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Default Extension="png" ContentType="image/png"/>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04"/>
        <w:ind w:left="2784" w:right="2783" w:firstLine="0"/>
        <w:jc w:val="center"/>
        <w:rPr>
          <w:rFonts w:ascii="宋体" w:hAnsi="宋体" w:cs="宋体" w:eastAsia="宋体" w:hint="default"/>
          <w:sz w:val="36"/>
          <w:szCs w:val="36"/>
        </w:rPr>
      </w:pPr>
      <w:r>
        <w:rPr/>
        <w:pict>
          <v:group style="position:absolute;margin-left:55.200001pt;margin-top:-84.77626pt;width:484.95pt;height:.1pt;mso-position-horizontal-relative:page;mso-position-vertical-relative:paragraph;z-index:0" coordorigin="1104,-1696" coordsize="9699,2">
            <v:shape style="position:absolute;left:1104;top:-1696;width:9699;height:2" coordorigin="1104,-1696" coordsize="9699,0" path="m1104,-1696l10802,-1696e" filled="false" stroked="true" strokeweight=".71997pt" strokecolor="#000000">
              <v:path arrowok="t"/>
            </v:shape>
            <w10:wrap type="none"/>
          </v:group>
        </w:pict>
      </w:r>
      <w:r>
        <w:rPr>
          <w:rFonts w:ascii="宋体" w:hAnsi="宋体" w:cs="宋体" w:eastAsia="宋体" w:hint="default"/>
          <w:b/>
          <w:bCs/>
          <w:sz w:val="36"/>
          <w:szCs w:val="36"/>
        </w:rPr>
        <w:t>荣信电力电子股份有限公司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2783" w:right="278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2015</w:t>
      </w:r>
      <w:r>
        <w:rPr>
          <w:rFonts w:ascii="Times New Roman" w:hAnsi="Times New Roman" w:cs="Times New Roman" w:eastAsia="Times New Roman" w:hint="default"/>
          <w:b/>
          <w:bCs/>
          <w:spacing w:val="-6"/>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784" w:right="278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2016</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3"/>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82" w:top="1060" w:bottom="1180" w:left="980" w:right="98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4" w:right="102"/>
        <w:jc w:val="left"/>
        <w:rPr>
          <w:b w:val="0"/>
          <w:bCs w:val="0"/>
        </w:rPr>
      </w:pPr>
      <w:bookmarkStart w:name="_TOC_250010" w:id="1"/>
      <w:r>
        <w:rPr/>
        <w:t>第一节</w:t>
      </w:r>
      <w:r>
        <w:rPr>
          <w:spacing w:val="-11"/>
        </w:rPr>
        <w:t> </w:t>
      </w:r>
      <w:r>
        <w:rPr/>
        <w:t>重要提示、目录和释义</w:t>
      </w:r>
      <w:bookmarkEnd w:id="1"/>
      <w:r>
        <w:rPr>
          <w:b w:val="0"/>
          <w:bCs w:val="0"/>
        </w:rPr>
      </w:r>
    </w:p>
    <w:p>
      <w:pPr>
        <w:spacing w:line="240" w:lineRule="auto" w:before="7"/>
        <w:rPr>
          <w:rFonts w:ascii="宋体" w:hAnsi="宋体" w:cs="宋体" w:eastAsia="宋体" w:hint="default"/>
          <w:b/>
          <w:bCs/>
          <w:sz w:val="46"/>
          <w:szCs w:val="46"/>
        </w:rPr>
      </w:pPr>
    </w:p>
    <w:p>
      <w:pPr>
        <w:pStyle w:val="BodyText"/>
        <w:spacing w:line="410" w:lineRule="auto"/>
        <w:ind w:right="209" w:firstLine="420"/>
        <w:jc w:val="both"/>
      </w:pPr>
      <w:r>
        <w:rPr>
          <w:spacing w:val="-1"/>
        </w:rPr>
        <w:t>本公司董事会、监事会及董事、监事、高级管理人员保证年度报告内容的真实、准确、完整，不存在</w:t>
      </w:r>
      <w:r>
        <w:rPr/>
        <w:t> 虚假记载、误导性陈述或重大遗漏，并承担个别和连带的法律责任。</w:t>
      </w:r>
    </w:p>
    <w:p>
      <w:pPr>
        <w:pStyle w:val="BodyText"/>
        <w:spacing w:line="386" w:lineRule="auto" w:before="143"/>
        <w:ind w:left="153" w:right="208" w:firstLine="420"/>
        <w:jc w:val="both"/>
      </w:pPr>
      <w:r>
        <w:rPr/>
        <w:t>公司负责人左强、主管会计工作负责人戴东及会计机构负责人</w:t>
      </w:r>
      <w:r>
        <w:rPr>
          <w:rFonts w:ascii="Times New Roman" w:hAnsi="Times New Roman" w:cs="Times New Roman" w:eastAsia="Times New Roman" w:hint="default"/>
        </w:rPr>
        <w:t>(</w:t>
      </w:r>
      <w:r>
        <w:rPr/>
        <w:t>会计主管人员</w:t>
      </w:r>
      <w:r>
        <w:rPr>
          <w:rFonts w:ascii="Times New Roman" w:hAnsi="Times New Roman" w:cs="Times New Roman" w:eastAsia="Times New Roman" w:hint="default"/>
        </w:rPr>
        <w:t>)</w:t>
      </w:r>
      <w:r>
        <w:rPr/>
        <w:t>计英声明：保证年度报 告中财务报告的真实、准确、完整。</w:t>
      </w:r>
    </w:p>
    <w:p>
      <w:pPr>
        <w:pStyle w:val="BodyText"/>
        <w:spacing w:line="496" w:lineRule="auto" w:before="164"/>
        <w:ind w:left="573" w:right="2901"/>
        <w:jc w:val="left"/>
      </w:pPr>
      <w:r>
        <w:rPr/>
        <w:t>所有董事均已出席了审议本报告的董事会会议。 本公司请投资者认真阅读本年度报告全文，并特别注意下列风险因素：</w:t>
      </w:r>
    </w:p>
    <w:p>
      <w:pPr>
        <w:pStyle w:val="BodyText"/>
        <w:spacing w:line="398" w:lineRule="auto" w:before="68"/>
        <w:ind w:left="153" w:right="210" w:firstLine="420"/>
        <w:jc w:val="both"/>
      </w:pPr>
      <w:r>
        <w:rPr/>
        <w:t>（</w:t>
      </w:r>
      <w:r>
        <w:rPr>
          <w:rFonts w:ascii="Times New Roman" w:hAnsi="Times New Roman" w:cs="Times New Roman" w:eastAsia="Times New Roman" w:hint="default"/>
        </w:rPr>
        <w:t>1</w:t>
      </w:r>
      <w:r>
        <w:rPr/>
        <w:t>）应收账款发生坏账的风险。截至</w:t>
      </w:r>
      <w:r>
        <w:rPr>
          <w:spacing w:val="-58"/>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
        </w:rPr>
        <w:t> </w:t>
      </w:r>
      <w:r>
        <w:rPr/>
        <w:t>年</w:t>
      </w:r>
      <w:r>
        <w:rPr>
          <w:spacing w:val="-58"/>
        </w:rPr>
        <w:t> </w:t>
      </w:r>
      <w:r>
        <w:rPr>
          <w:rFonts w:ascii="Times New Roman" w:hAnsi="Times New Roman" w:cs="Times New Roman" w:eastAsia="Times New Roman" w:hint="default"/>
        </w:rPr>
        <w:t>12</w:t>
      </w:r>
      <w:r>
        <w:rPr>
          <w:rFonts w:ascii="Times New Roman" w:hAnsi="Times New Roman" w:cs="Times New Roman" w:eastAsia="Times New Roman" w:hint="default"/>
          <w:spacing w:val="-5"/>
        </w:rPr>
        <w:t> </w:t>
      </w:r>
      <w:r>
        <w:rPr/>
        <w:t>月</w:t>
      </w:r>
      <w:r>
        <w:rPr>
          <w:spacing w:val="-58"/>
        </w:rPr>
        <w:t> </w:t>
      </w:r>
      <w:r>
        <w:rPr>
          <w:rFonts w:ascii="Times New Roman" w:hAnsi="Times New Roman" w:cs="Times New Roman" w:eastAsia="Times New Roman" w:hint="default"/>
        </w:rPr>
        <w:t>31</w:t>
      </w:r>
      <w:r>
        <w:rPr>
          <w:rFonts w:ascii="Times New Roman" w:hAnsi="Times New Roman" w:cs="Times New Roman" w:eastAsia="Times New Roman" w:hint="default"/>
          <w:spacing w:val="-5"/>
        </w:rPr>
        <w:t> </w:t>
      </w:r>
      <w:r>
        <w:rPr/>
        <w:t>日，公司应收账款余额为</w:t>
      </w:r>
      <w:r>
        <w:rPr>
          <w:spacing w:val="-58"/>
        </w:rPr>
        <w:t> </w:t>
      </w:r>
      <w:r>
        <w:rPr>
          <w:rFonts w:ascii="Times New Roman" w:hAnsi="Times New Roman" w:cs="Times New Roman" w:eastAsia="Times New Roman" w:hint="default"/>
        </w:rPr>
        <w:t>158,630.48</w:t>
      </w:r>
      <w:r>
        <w:rPr>
          <w:rFonts w:ascii="Times New Roman" w:hAnsi="Times New Roman" w:cs="Times New Roman" w:eastAsia="Times New Roman" w:hint="default"/>
          <w:spacing w:val="-5"/>
        </w:rPr>
        <w:t> </w:t>
      </w:r>
      <w:r>
        <w:rPr/>
        <w:t>万元，占 流动资产的 </w:t>
      </w:r>
      <w:r>
        <w:rPr>
          <w:rFonts w:ascii="Times New Roman" w:hAnsi="Times New Roman" w:cs="Times New Roman" w:eastAsia="Times New Roman" w:hint="default"/>
        </w:rPr>
        <w:t>41.10%</w:t>
      </w:r>
      <w:r>
        <w:rPr/>
        <w:t>，占总资产的</w:t>
      </w:r>
      <w:r>
        <w:rPr>
          <w:spacing w:val="-65"/>
        </w:rPr>
        <w:t> </w:t>
      </w:r>
      <w:r>
        <w:rPr>
          <w:rFonts w:ascii="Times New Roman" w:hAnsi="Times New Roman" w:cs="Times New Roman" w:eastAsia="Times New Roman" w:hint="default"/>
        </w:rPr>
        <w:t>21.61%</w:t>
      </w:r>
      <w:r>
        <w:rPr/>
        <w:t>。公司应收账款债务人主要是冶金、煤炭、电力等行业内的大中 </w:t>
      </w:r>
      <w:r>
        <w:rPr>
          <w:spacing w:val="-1"/>
        </w:rPr>
        <w:t>型企业，部分客户受宏观经济环境等因素影响导致付款周期有所延长。若宏观经济环境、客户经营状况等</w:t>
      </w:r>
      <w:r>
        <w:rPr>
          <w:spacing w:val="-83"/>
        </w:rPr>
        <w:t> </w:t>
      </w:r>
      <w:r>
        <w:rPr>
          <w:spacing w:val="-83"/>
        </w:rPr>
      </w:r>
      <w:r>
        <w:rPr>
          <w:spacing w:val="-1"/>
        </w:rPr>
        <w:t>发生不利变化，将导致公司面临坏账的风险。公司采取加大应收账款催收力度、将应收账款投保及足额计</w:t>
      </w:r>
      <w:r>
        <w:rPr>
          <w:spacing w:val="-83"/>
        </w:rPr>
        <w:t> </w:t>
      </w:r>
      <w:r>
        <w:rPr>
          <w:spacing w:val="-83"/>
        </w:rPr>
      </w:r>
      <w:r>
        <w:rPr/>
        <w:t>提减值准备等措施防范经营风险。</w:t>
      </w:r>
    </w:p>
    <w:p>
      <w:pPr>
        <w:pStyle w:val="BodyText"/>
        <w:spacing w:line="398" w:lineRule="auto" w:before="153"/>
        <w:ind w:left="153" w:right="207" w:firstLine="420"/>
        <w:jc w:val="both"/>
      </w:pPr>
      <w:r>
        <w:rPr/>
        <w:t>（</w:t>
      </w:r>
      <w:r>
        <w:rPr>
          <w:rFonts w:ascii="Times New Roman" w:hAnsi="Times New Roman" w:cs="Times New Roman" w:eastAsia="Times New Roman" w:hint="default"/>
        </w:rPr>
        <w:t>2</w:t>
      </w:r>
      <w:r>
        <w:rPr/>
        <w:t>）毛利下降风险。随着公司产品市场需求的增长，参与竞争的企业将逐步增加，公司产品的毛利</w:t>
      </w:r>
      <w:r>
        <w:rPr>
          <w:spacing w:val="2"/>
        </w:rPr>
        <w:t> </w:t>
      </w:r>
      <w:r>
        <w:rPr>
          <w:spacing w:val="-1"/>
        </w:rPr>
        <w:t>有下降的趋势。公司将通过增加研发投入，走高端路线保持产品高技术含量、推进产业技术升级、提高订</w:t>
      </w:r>
      <w:r>
        <w:rPr>
          <w:spacing w:val="-82"/>
        </w:rPr>
        <w:t> </w:t>
      </w:r>
      <w:r>
        <w:rPr>
          <w:spacing w:val="-82"/>
        </w:rPr>
      </w:r>
      <w:r>
        <w:rPr/>
        <w:t>单的整体质量等方式来稳定产品的利润水平。</w:t>
      </w:r>
    </w:p>
    <w:p>
      <w:pPr>
        <w:pStyle w:val="BodyText"/>
        <w:spacing w:line="405" w:lineRule="auto" w:before="153"/>
        <w:ind w:left="153" w:right="102" w:firstLine="420"/>
        <w:jc w:val="left"/>
      </w:pPr>
      <w:r>
        <w:rPr/>
        <w:t>（</w:t>
      </w:r>
      <w:r>
        <w:rPr>
          <w:rFonts w:ascii="Times New Roman" w:hAnsi="Times New Roman" w:cs="Times New Roman" w:eastAsia="Times New Roman" w:hint="default"/>
        </w:rPr>
        <w:t>3</w:t>
      </w:r>
      <w:r>
        <w:rPr/>
        <w:t>）管理风险。公司完成重大资产重组，深圳市梦网科技发展有限公司成为公司的全资子公司，由</w:t>
      </w:r>
      <w:r>
        <w:rPr>
          <w:spacing w:val="2"/>
        </w:rPr>
        <w:t> </w:t>
      </w:r>
      <w:r>
        <w:rPr>
          <w:spacing w:val="-3"/>
        </w:rPr>
        <w:t>于业务类型完全不同，公司和深圳市梦网科技发展有限公司的经营团队将会保持相对独立，但在管理团队、</w:t>
      </w:r>
      <w:r>
        <w:rPr>
          <w:spacing w:val="-92"/>
        </w:rPr>
        <w:t> </w:t>
      </w:r>
      <w:r>
        <w:rPr>
          <w:spacing w:val="-92"/>
        </w:rPr>
      </w:r>
      <w:r>
        <w:rPr/>
        <w:t>机构设置、财务管理等方面会存在一定重叠，从而在企业管理文化和管理制度建设等方面的差异会逐渐体</w:t>
      </w:r>
      <w:r>
        <w:rPr/>
        <w:t> 现在并购后的整合过程中，需要开展持续的管理流程整合。但是如果公司进行整合的时间较长，或者公司 不能实施有效的管理和整合，导致管理团队能力和管理水平不能适应迅速扩大的资产和业务规模，将影响 公司的稳定经营。为此公司将进一步加强管理队伍建设，通过加强对现有管理人员的培训，不断提高其管 理水平和协调能力。完善公司治理的经营管理机制，形成更加科学有效的决策机制，同时不断完善绩效考 核机制，形成更加有效的激励约束机制，使公司的经营模式和管理机制能够更加符合公司发展需要。</w:t>
      </w:r>
    </w:p>
    <w:p>
      <w:pPr>
        <w:pStyle w:val="BodyText"/>
        <w:spacing w:line="386" w:lineRule="auto" w:before="148"/>
        <w:ind w:left="153" w:right="207" w:firstLine="420"/>
        <w:jc w:val="both"/>
      </w:pPr>
      <w:r>
        <w:rPr/>
        <w:t>（</w:t>
      </w:r>
      <w:r>
        <w:rPr>
          <w:rFonts w:ascii="Times New Roman" w:hAnsi="Times New Roman" w:cs="Times New Roman" w:eastAsia="Times New Roman" w:hint="default"/>
        </w:rPr>
        <w:t>4</w:t>
      </w:r>
      <w:r>
        <w:rPr/>
        <w:t>）订单取消风险。公司节能大功率电力电子产品为定制化的产品，实行订单生产，由于公司订单</w:t>
      </w:r>
      <w:r>
        <w:rPr>
          <w:spacing w:val="2"/>
        </w:rPr>
        <w:t> </w:t>
      </w:r>
      <w:r>
        <w:rPr/>
        <w:t>执行期较长，报告期末，公司及控股子公司未执行合同</w:t>
      </w:r>
      <w:r>
        <w:rPr>
          <w:spacing w:val="-34"/>
        </w:rPr>
        <w:t> </w:t>
      </w:r>
      <w:r>
        <w:rPr>
          <w:rFonts w:ascii="Times New Roman" w:hAnsi="Times New Roman" w:cs="Times New Roman" w:eastAsia="Times New Roman" w:hint="default"/>
        </w:rPr>
        <w:t>156,832.11</w:t>
      </w:r>
      <w:r>
        <w:rPr>
          <w:rFonts w:ascii="Times New Roman" w:hAnsi="Times New Roman" w:cs="Times New Roman" w:eastAsia="Times New Roman" w:hint="default"/>
          <w:spacing w:val="19"/>
        </w:rPr>
        <w:t> </w:t>
      </w:r>
      <w:r>
        <w:rPr/>
        <w:t>万元（含税）结转至</w:t>
      </w:r>
      <w:r>
        <w:rPr>
          <w:spacing w:val="-34"/>
        </w:rPr>
        <w:t> </w:t>
      </w:r>
      <w:r>
        <w:rPr>
          <w:rFonts w:ascii="Times New Roman" w:hAnsi="Times New Roman" w:cs="Times New Roman" w:eastAsia="Times New Roman" w:hint="default"/>
        </w:rPr>
        <w:t>2016</w:t>
      </w:r>
      <w:r>
        <w:rPr>
          <w:rFonts w:ascii="Times New Roman" w:hAnsi="Times New Roman" w:cs="Times New Roman" w:eastAsia="Times New Roman" w:hint="default"/>
          <w:spacing w:val="19"/>
        </w:rPr>
        <w:t> </w:t>
      </w:r>
      <w:r>
        <w:rPr/>
        <w:t>年执行。未 </w:t>
      </w:r>
      <w:r>
        <w:rPr>
          <w:spacing w:val="-1"/>
        </w:rPr>
        <w:t>执行订单在履行过程中如果遇到宏观经济环境、客户经营状况发生不利变化等不可预计的或不可抗力等因</w:t>
      </w:r>
    </w:p>
    <w:p>
      <w:pPr>
        <w:spacing w:after="0" w:line="386" w:lineRule="auto"/>
        <w:jc w:val="both"/>
        <w:sectPr>
          <w:footerReference w:type="default" r:id="rId7"/>
          <w:pgSz w:w="11910" w:h="16840"/>
          <w:pgMar w:footer="982" w:header="747" w:top="1060" w:bottom="1180" w:left="980" w:right="920"/>
          <w:pgNumType w:start="2"/>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4"/>
        <w:rPr>
          <w:rFonts w:ascii="宋体" w:hAnsi="宋体" w:cs="宋体" w:eastAsia="宋体" w:hint="default"/>
          <w:sz w:val="26"/>
          <w:szCs w:val="26"/>
        </w:rPr>
      </w:pPr>
    </w:p>
    <w:p>
      <w:pPr>
        <w:pStyle w:val="BodyText"/>
        <w:spacing w:line="240" w:lineRule="auto" w:before="35"/>
        <w:ind w:right="0"/>
        <w:jc w:val="left"/>
      </w:pPr>
      <w:r>
        <w:rPr/>
        <w:t>素的影响，有可能会导致订单无法全部履行或终止的风险。</w:t>
      </w:r>
    </w:p>
    <w:p>
      <w:pPr>
        <w:spacing w:line="240" w:lineRule="auto" w:before="4"/>
        <w:rPr>
          <w:rFonts w:ascii="宋体" w:hAnsi="宋体" w:cs="宋体" w:eastAsia="宋体" w:hint="default"/>
          <w:sz w:val="22"/>
          <w:szCs w:val="22"/>
        </w:rPr>
      </w:pPr>
    </w:p>
    <w:p>
      <w:pPr>
        <w:pStyle w:val="BodyText"/>
        <w:spacing w:line="403" w:lineRule="auto"/>
        <w:ind w:right="149" w:firstLine="419"/>
        <w:jc w:val="both"/>
      </w:pPr>
      <w:r>
        <w:rPr/>
        <w:t>（</w:t>
      </w:r>
      <w:r>
        <w:rPr>
          <w:rFonts w:ascii="Times New Roman" w:hAnsi="Times New Roman" w:cs="Times New Roman" w:eastAsia="Times New Roman" w:hint="default"/>
        </w:rPr>
        <w:t>5</w:t>
      </w:r>
      <w:r>
        <w:rPr/>
        <w:t>）商誉减值风险。报告期内，公司已完成对深圳市梦网科技发展有限公司的收购，形成</w:t>
      </w:r>
      <w:r>
        <w:rPr>
          <w:spacing w:val="-88"/>
        </w:rPr>
        <w:t> </w:t>
      </w:r>
      <w:r>
        <w:rPr>
          <w:rFonts w:ascii="Times New Roman" w:hAnsi="Times New Roman" w:cs="Times New Roman" w:eastAsia="Times New Roman" w:hint="default"/>
        </w:rPr>
        <w:t>24.70</w:t>
      </w:r>
      <w:r>
        <w:rPr>
          <w:rFonts w:ascii="Times New Roman" w:hAnsi="Times New Roman" w:cs="Times New Roman" w:eastAsia="Times New Roman" w:hint="default"/>
          <w:spacing w:val="-35"/>
        </w:rPr>
        <w:t> </w:t>
      </w:r>
      <w:r>
        <w:rPr/>
        <w:t>亿元 </w:t>
      </w:r>
      <w:r>
        <w:rPr>
          <w:spacing w:val="-1"/>
        </w:rPr>
        <w:t>的商誉，根据《企业会计准则》规定，本次交易形成的商誉不作摊销处理，但至少应当在每个会计年度终</w:t>
      </w:r>
      <w:r>
        <w:rPr>
          <w:spacing w:val="-83"/>
        </w:rPr>
        <w:t> </w:t>
      </w:r>
      <w:r>
        <w:rPr>
          <w:spacing w:val="-83"/>
        </w:rPr>
      </w:r>
      <w:r>
        <w:rPr>
          <w:spacing w:val="-1"/>
        </w:rPr>
        <w:t>了时进行减值测试。尽管标的公司现有业务及资产盈利能力良好，盈利水平逐年提升，但当梦网科技业务</w:t>
      </w:r>
      <w:r>
        <w:rPr>
          <w:spacing w:val="-83"/>
        </w:rPr>
        <w:t> </w:t>
      </w:r>
      <w:r>
        <w:rPr>
          <w:spacing w:val="-83"/>
        </w:rPr>
      </w:r>
      <w:r>
        <w:rPr>
          <w:spacing w:val="-1"/>
        </w:rPr>
        <w:t>及资产在未来出现盈利能力下降的情况，或者未来对本次交易前的现有资产中的部分或全部进行处置，则</w:t>
      </w:r>
      <w:r>
        <w:rPr>
          <w:spacing w:val="-81"/>
        </w:rPr>
        <w:t> </w:t>
      </w:r>
      <w:r>
        <w:rPr>
          <w:spacing w:val="-81"/>
        </w:rPr>
      </w:r>
      <w:r>
        <w:rPr/>
        <w:t>存在确认较大金额商誉减值损失或资产处置损失的风险，从而对上市公司当期损益造成重大不利影响。</w:t>
      </w:r>
    </w:p>
    <w:p>
      <w:pPr>
        <w:pStyle w:val="BodyText"/>
        <w:spacing w:line="386" w:lineRule="auto" w:before="150"/>
        <w:ind w:right="151" w:firstLine="420"/>
        <w:jc w:val="both"/>
      </w:pPr>
      <w:r>
        <w:rPr>
          <w:rFonts w:ascii="Times New Roman" w:hAnsi="Times New Roman" w:cs="Times New Roman" w:eastAsia="Times New Roman" w:hint="default"/>
          <w:spacing w:val="-1"/>
        </w:rPr>
        <w:t>2015</w:t>
      </w:r>
      <w:r>
        <w:rPr>
          <w:rFonts w:ascii="Times New Roman" w:hAnsi="Times New Roman" w:cs="Times New Roman" w:eastAsia="Times New Roman" w:hint="default"/>
          <w:spacing w:val="7"/>
        </w:rPr>
        <w:t> </w:t>
      </w:r>
      <w:r>
        <w:rPr>
          <w:spacing w:val="-2"/>
        </w:rPr>
        <w:t>年度利润分配和公积金转增股本预案：公司计划不派发现金红利，不送红股，不以公积金转增股</w:t>
      </w:r>
      <w:r>
        <w:rPr/>
        <w:t> 本。</w:t>
      </w:r>
    </w:p>
    <w:p>
      <w:pPr>
        <w:spacing w:after="0" w:line="386" w:lineRule="auto"/>
        <w:jc w:val="both"/>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23"/>
        <w:ind w:left="2784" w:right="2783"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3"/>
          <w:szCs w:val="43"/>
        </w:rPr>
      </w:pPr>
    </w:p>
    <w:sdt>
      <w:sdtPr>
        <w:docPartObj>
          <w:docPartGallery w:val="Table of Contents"/>
          <w:docPartUnique/>
        </w:docPartObj>
      </w:sdtPr>
      <w:sdtEndPr/>
      <w:sdtContent>
        <w:p>
          <w:pPr>
            <w:pStyle w:val="TOC1"/>
            <w:tabs>
              <w:tab w:pos="9782" w:val="right" w:leader="dot"/>
            </w:tabs>
            <w:spacing w:line="240" w:lineRule="auto" w:before="0"/>
            <w:ind w:left="154"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0">
            <w:r>
              <w:rPr/>
              <w:t>第一节</w:t>
            </w:r>
            <w:r>
              <w:rPr>
                <w:spacing w:val="-21"/>
              </w:rPr>
              <w:t> </w:t>
            </w:r>
            <w:r>
              <w:rPr/>
              <w:t>重要提示、目录和释义</w:t>
            </w:r>
            <w:r>
              <w:rPr>
                <w:rFonts w:ascii="Times New Roman" w:hAnsi="Times New Roman" w:cs="Times New Roman" w:eastAsia="Times New Roman" w:hint="default"/>
              </w:rPr>
              <w:tab/>
              <w:t>6</w:t>
            </w:r>
          </w:hyperlink>
        </w:p>
        <w:p>
          <w:pPr>
            <w:pStyle w:val="TOC1"/>
            <w:tabs>
              <w:tab w:pos="9781" w:val="right" w:leader="dot"/>
            </w:tabs>
            <w:spacing w:line="240" w:lineRule="auto"/>
            <w:ind w:left="154" w:right="0"/>
            <w:jc w:val="left"/>
            <w:rPr>
              <w:rFonts w:ascii="Times New Roman" w:hAnsi="Times New Roman" w:cs="Times New Roman" w:eastAsia="Times New Roman" w:hint="default"/>
            </w:rPr>
          </w:pPr>
          <w:hyperlink w:history="true" w:anchor="_TOC_250009">
            <w:r>
              <w:rPr/>
              <w:t>第二节</w:t>
            </w:r>
            <w:r>
              <w:rPr>
                <w:spacing w:val="-21"/>
              </w:rPr>
              <w:t> </w:t>
            </w:r>
            <w:r>
              <w:rPr/>
              <w:t>公司简介和主要财务指标</w:t>
            </w:r>
            <w:r>
              <w:rPr>
                <w:rFonts w:ascii="Times New Roman" w:hAnsi="Times New Roman" w:cs="Times New Roman" w:eastAsia="Times New Roman" w:hint="default"/>
              </w:rPr>
              <w:tab/>
              <w:t>10</w:t>
            </w:r>
          </w:hyperlink>
        </w:p>
        <w:p>
          <w:pPr>
            <w:pStyle w:val="TOC1"/>
            <w:tabs>
              <w:tab w:pos="9781" w:val="right" w:leader="dot"/>
            </w:tabs>
            <w:spacing w:line="240" w:lineRule="auto"/>
            <w:ind w:left="154" w:right="0"/>
            <w:jc w:val="left"/>
            <w:rPr>
              <w:rFonts w:ascii="Times New Roman" w:hAnsi="Times New Roman" w:cs="Times New Roman" w:eastAsia="Times New Roman" w:hint="default"/>
            </w:rPr>
          </w:pPr>
          <w:hyperlink w:history="true" w:anchor="_TOC_250008">
            <w:r>
              <w:rPr/>
              <w:t>第三节</w:t>
            </w:r>
            <w:r>
              <w:rPr>
                <w:spacing w:val="-21"/>
              </w:rPr>
              <w:t> </w:t>
            </w:r>
            <w:r>
              <w:rPr/>
              <w:t>公司业务概要</w:t>
            </w:r>
            <w:r>
              <w:rPr>
                <w:rFonts w:ascii="Times New Roman" w:hAnsi="Times New Roman" w:cs="Times New Roman" w:eastAsia="Times New Roman" w:hint="default"/>
              </w:rPr>
              <w:tab/>
              <w:t>16</w:t>
            </w:r>
          </w:hyperlink>
        </w:p>
        <w:p>
          <w:pPr>
            <w:pStyle w:val="TOC1"/>
            <w:tabs>
              <w:tab w:pos="9781" w:val="right" w:leader="dot"/>
            </w:tabs>
            <w:spacing w:line="240" w:lineRule="auto"/>
            <w:ind w:left="154" w:right="0"/>
            <w:jc w:val="left"/>
            <w:rPr>
              <w:rFonts w:ascii="Times New Roman" w:hAnsi="Times New Roman" w:cs="Times New Roman" w:eastAsia="Times New Roman" w:hint="default"/>
            </w:rPr>
          </w:pPr>
          <w:hyperlink w:history="true" w:anchor="_TOC_250007">
            <w:r>
              <w:rPr/>
              <w:t>第四节</w:t>
            </w:r>
            <w:r>
              <w:rPr>
                <w:spacing w:val="-21"/>
              </w:rPr>
              <w:t> </w:t>
            </w:r>
            <w:r>
              <w:rPr/>
              <w:t>管理层讨论与分析</w:t>
            </w:r>
            <w:r>
              <w:rPr>
                <w:rFonts w:ascii="Times New Roman" w:hAnsi="Times New Roman" w:cs="Times New Roman" w:eastAsia="Times New Roman" w:hint="default"/>
              </w:rPr>
              <w:tab/>
              <w:t>36</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06">
            <w:r>
              <w:rPr/>
              <w:t>第五节</w:t>
            </w:r>
            <w:r>
              <w:rPr>
                <w:spacing w:val="-21"/>
              </w:rPr>
              <w:t> </w:t>
            </w:r>
            <w:r>
              <w:rPr/>
              <w:t>重要事项</w:t>
            </w:r>
            <w:r>
              <w:rPr>
                <w:rFonts w:ascii="Times New Roman" w:hAnsi="Times New Roman" w:cs="Times New Roman" w:eastAsia="Times New Roman" w:hint="default"/>
              </w:rPr>
              <w:tab/>
              <w:t>58</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5">
            <w:r>
              <w:rPr/>
              <w:t>第六节</w:t>
            </w:r>
            <w:r>
              <w:rPr>
                <w:spacing w:val="-21"/>
              </w:rPr>
              <w:t> </w:t>
            </w:r>
            <w:r>
              <w:rPr/>
              <w:t>股份变动及股东情况</w:t>
            </w:r>
            <w:r>
              <w:rPr>
                <w:rFonts w:ascii="Times New Roman" w:hAnsi="Times New Roman" w:cs="Times New Roman" w:eastAsia="Times New Roman" w:hint="default"/>
              </w:rPr>
              <w:tab/>
              <w:t>67</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4">
            <w:r>
              <w:rPr/>
              <w:t>第七节</w:t>
            </w:r>
            <w:r>
              <w:rPr>
                <w:spacing w:val="-21"/>
              </w:rPr>
              <w:t> </w:t>
            </w:r>
            <w:r>
              <w:rPr/>
              <w:t>优先股相关情况</w:t>
            </w:r>
            <w:r>
              <w:rPr>
                <w:rFonts w:ascii="Times New Roman" w:hAnsi="Times New Roman" w:cs="Times New Roman" w:eastAsia="Times New Roman" w:hint="default"/>
              </w:rPr>
              <w:tab/>
              <w:t>67</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3">
            <w:r>
              <w:rPr/>
              <w:t>第八节</w:t>
            </w:r>
            <w:r>
              <w:rPr>
                <w:spacing w:val="-21"/>
              </w:rPr>
              <w:t> </w:t>
            </w:r>
            <w:r>
              <w:rPr/>
              <w:t>董事、监事、高级管理人员和员工情况</w:t>
            </w:r>
            <w:r>
              <w:rPr>
                <w:rFonts w:ascii="Times New Roman" w:hAnsi="Times New Roman" w:cs="Times New Roman" w:eastAsia="Times New Roman" w:hint="default"/>
              </w:rPr>
              <w:tab/>
              <w:t>68</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02">
            <w:r>
              <w:rPr/>
              <w:t>第九节</w:t>
            </w:r>
            <w:r>
              <w:rPr>
                <w:spacing w:val="-21"/>
              </w:rPr>
              <w:t> </w:t>
            </w:r>
            <w:r>
              <w:rPr/>
              <w:t>公司治理</w:t>
            </w:r>
            <w:r>
              <w:rPr>
                <w:rFonts w:ascii="Times New Roman" w:hAnsi="Times New Roman" w:cs="Times New Roman" w:eastAsia="Times New Roman" w:hint="default"/>
              </w:rPr>
              <w:tab/>
              <w:t>76</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01">
            <w:r>
              <w:rPr/>
              <w:t>第十节</w:t>
            </w:r>
            <w:r>
              <w:rPr>
                <w:spacing w:val="-21"/>
              </w:rPr>
              <w:t> </w:t>
            </w:r>
            <w:r>
              <w:rPr/>
              <w:t>财务报告</w:t>
            </w:r>
            <w:r>
              <w:rPr>
                <w:rFonts w:ascii="Times New Roman" w:hAnsi="Times New Roman" w:cs="Times New Roman" w:eastAsia="Times New Roman" w:hint="default"/>
              </w:rPr>
              <w:tab/>
              <w:t>83</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0">
            <w:r>
              <w:rPr/>
              <w:t>第十一节</w:t>
            </w:r>
            <w:r>
              <w:rPr>
                <w:spacing w:val="-21"/>
              </w:rPr>
              <w:t> </w:t>
            </w:r>
            <w:r>
              <w:rPr/>
              <w:t>备查文件目录</w:t>
            </w:r>
            <w:r>
              <w:rPr>
                <w:rFonts w:ascii="Times New Roman" w:hAnsi="Times New Roman" w:cs="Times New Roman" w:eastAsia="Times New Roman" w:hint="default"/>
              </w:rPr>
              <w:tab/>
              <w:t>171</w:t>
            </w:r>
          </w:hyperlink>
        </w:p>
        <w:p>
          <w:pPr/>
          <w:r>
            <w:fldChar w:fldCharType="end"/>
          </w:r>
        </w:p>
      </w:sdtContent>
    </w:sdt>
    <w:p>
      <w:pPr>
        <w:spacing w:after="0"/>
        <w:sectPr>
          <w:pgSz w:w="11910" w:h="16840"/>
          <w:pgMar w:header="747" w:footer="982" w:top="1060" w:bottom="1180" w:left="980" w:right="980"/>
        </w:sectPr>
      </w:pPr>
    </w:p>
    <w:p>
      <w:pPr>
        <w:spacing w:before="946"/>
        <w:ind w:left="2784" w:right="2783"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24"/>
        <w:gridCol w:w="620"/>
        <w:gridCol w:w="5424"/>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公司、荣信股份、本公司</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荣信电力电子股份有限公司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梦网科技</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深圳市梦网科技发展有限公司</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SVC</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Static </w:t>
            </w:r>
            <w:r>
              <w:rPr>
                <w:rFonts w:ascii="Times New Roman" w:hAnsi="Times New Roman" w:cs="Times New Roman" w:eastAsia="Times New Roman" w:hint="default"/>
                <w:spacing w:val="-7"/>
                <w:sz w:val="18"/>
                <w:szCs w:val="18"/>
              </w:rPr>
              <w:t>Var</w:t>
            </w:r>
            <w:r>
              <w:rPr>
                <w:rFonts w:ascii="Times New Roman" w:hAnsi="Times New Roman" w:cs="Times New Roman" w:eastAsia="Times New Roman" w:hint="default"/>
                <w:spacing w:val="-13"/>
                <w:sz w:val="18"/>
                <w:szCs w:val="18"/>
              </w:rPr>
              <w:t> </w:t>
            </w:r>
            <w:r>
              <w:rPr>
                <w:rFonts w:ascii="Times New Roman" w:hAnsi="Times New Roman" w:cs="Times New Roman" w:eastAsia="Times New Roman" w:hint="default"/>
                <w:sz w:val="18"/>
                <w:szCs w:val="18"/>
              </w:rPr>
              <w:t>Compensator</w:t>
            </w:r>
            <w:r>
              <w:rPr>
                <w:rFonts w:ascii="宋体" w:hAnsi="宋体" w:cs="宋体" w:eastAsia="宋体" w:hint="default"/>
                <w:sz w:val="18"/>
                <w:szCs w:val="18"/>
              </w:rPr>
              <w:t>，高压动态无功补偿装置</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MABZ</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智能瓦斯排放装置</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FC</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电力滤波装置</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HVC</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High </w:t>
            </w:r>
            <w:r>
              <w:rPr>
                <w:rFonts w:ascii="Times New Roman" w:hAnsi="Times New Roman" w:cs="Times New Roman" w:eastAsia="Times New Roman" w:hint="default"/>
                <w:spacing w:val="-4"/>
                <w:sz w:val="18"/>
                <w:szCs w:val="18"/>
              </w:rPr>
              <w:t>Voltage</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Converter</w:t>
            </w:r>
            <w:r>
              <w:rPr>
                <w:rFonts w:ascii="宋体" w:hAnsi="宋体" w:cs="宋体" w:eastAsia="宋体" w:hint="default"/>
                <w:sz w:val="18"/>
                <w:szCs w:val="18"/>
              </w:rPr>
              <w:t>，高压变频装置</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VFS</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Variable </w:t>
            </w:r>
            <w:r>
              <w:rPr>
                <w:rFonts w:ascii="Times New Roman" w:hAnsi="Times New Roman" w:cs="Times New Roman" w:eastAsia="Times New Roman" w:hint="default"/>
                <w:sz w:val="18"/>
                <w:szCs w:val="18"/>
              </w:rPr>
              <w:t>Frequency Starter</w:t>
            </w:r>
            <w:r>
              <w:rPr>
                <w:rFonts w:ascii="宋体" w:hAnsi="宋体" w:cs="宋体" w:eastAsia="宋体" w:hint="default"/>
                <w:sz w:val="18"/>
                <w:szCs w:val="18"/>
              </w:rPr>
              <w:t>，高压软起动装置</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SVG</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STATCOM</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高压大功率静止无功发生器</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HVDC</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轻型直流输电系统</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FSC</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串补</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HPR</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整流器</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APF</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有源滤波装置</w:t>
            </w:r>
          </w:p>
        </w:tc>
      </w:tr>
      <w:tr>
        <w:trPr>
          <w:trHeight w:val="402"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B2C</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Business to customer,</w:t>
            </w:r>
            <w:r>
              <w:rPr>
                <w:rFonts w:ascii="Times New Roman" w:hAnsi="Times New Roman" w:cs="Times New Roman" w:eastAsia="Times New Roman" w:hint="default"/>
                <w:spacing w:val="26"/>
                <w:sz w:val="18"/>
                <w:szCs w:val="18"/>
              </w:rPr>
              <w:t> </w:t>
            </w:r>
            <w:r>
              <w:rPr>
                <w:rFonts w:ascii="宋体" w:hAnsi="宋体" w:cs="宋体" w:eastAsia="宋体" w:hint="default"/>
                <w:sz w:val="18"/>
                <w:szCs w:val="18"/>
              </w:rPr>
              <w:t>企业对终端消费</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r>
        <w:rPr/>
        <w:pict>
          <v:shape style="position:absolute;margin-left:138pt;margin-top:272.760010pt;width:396.9pt;height:19.6pt;mso-position-horizontal-relative:page;mso-position-vertical-relative:page;z-index:-102805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_TOC_250009" w:id="2"/>
      <w:r>
        <w:rPr/>
        <w:t>第二节</w:t>
      </w:r>
      <w:r>
        <w:rPr>
          <w:spacing w:val="-11"/>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3"/>
        <w:gridCol w:w="2156"/>
        <w:gridCol w:w="2176"/>
      </w:tblGrid>
      <w:tr>
        <w:trPr>
          <w:trHeight w:val="408"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荣信股份</w:t>
            </w:r>
          </w:p>
        </w:tc>
        <w:tc>
          <w:tcPr>
            <w:tcW w:w="21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002123</w:t>
            </w:r>
          </w:p>
        </w:tc>
      </w:tr>
      <w:tr>
        <w:trPr>
          <w:trHeight w:val="396"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荣信电力电子股份有限公司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荣信股份</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RONGXIN POWER ELECTRONIC  </w:t>
            </w:r>
            <w:r>
              <w:rPr>
                <w:rFonts w:ascii="Times New Roman"/>
                <w:spacing w:val="42"/>
                <w:sz w:val="18"/>
              </w:rPr>
              <w:t> </w:t>
            </w:r>
            <w:r>
              <w:rPr>
                <w:rFonts w:ascii="Times New Roman"/>
                <w:spacing w:val="-3"/>
                <w:sz w:val="18"/>
              </w:rPr>
              <w:t>CO.,LTD.</w:t>
            </w:r>
          </w:p>
        </w:tc>
      </w:tr>
      <w:tr>
        <w:trPr>
          <w:trHeight w:val="402" w:hRule="exact"/>
        </w:trPr>
        <w:tc>
          <w:tcPr>
            <w:tcW w:w="2284" w:type="dxa"/>
            <w:tcBorders>
              <w:top w:val="single" w:sz="4" w:space="0" w:color="000000"/>
              <w:left w:val="single" w:sz="4" w:space="0" w:color="000000"/>
              <w:bottom w:val="single" w:sz="4" w:space="0" w:color="000000"/>
              <w:right w:val="single" w:sz="10" w:space="0" w:color="FFFFFF"/>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5" w:type="dxa"/>
            <w:gridSpan w:val="3"/>
            <w:tcBorders>
              <w:top w:val="single" w:sz="4" w:space="0" w:color="000000"/>
              <w:left w:val="single" w:sz="10" w:space="0" w:color="FFFFFF"/>
              <w:bottom w:val="single" w:sz="4" w:space="0" w:color="000000"/>
              <w:right w:val="single" w:sz="9" w:space="0" w:color="FFFFFF"/>
            </w:tcBorders>
          </w:tcPr>
          <w:p>
            <w:pPr>
              <w:pStyle w:val="TableParagraph"/>
              <w:spacing w:line="240" w:lineRule="auto" w:before="92"/>
              <w:ind w:left="16" w:right="0"/>
              <w:jc w:val="left"/>
              <w:rPr>
                <w:rFonts w:ascii="Times New Roman" w:hAnsi="Times New Roman" w:cs="Times New Roman" w:eastAsia="Times New Roman" w:hint="default"/>
                <w:sz w:val="18"/>
                <w:szCs w:val="18"/>
              </w:rPr>
            </w:pPr>
            <w:r>
              <w:rPr>
                <w:rFonts w:ascii="Times New Roman"/>
                <w:sz w:val="18"/>
              </w:rPr>
              <w:t>RXPE</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左强</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鞍山高新区鞍千路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114051</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鞍山高新区科技路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114051</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8">
              <w:r>
                <w:rPr>
                  <w:rFonts w:ascii="Times New Roman"/>
                  <w:sz w:val="18"/>
                </w:rPr>
                <w:t>www.rxpe.com</w:t>
              </w:r>
            </w:hyperlink>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Times New Roman" w:hAnsi="Times New Roman" w:cs="Times New Roman" w:eastAsia="Times New Roman" w:hint="default"/>
                <w:sz w:val="18"/>
                <w:szCs w:val="18"/>
              </w:rPr>
            </w:pPr>
            <w:hyperlink r:id="rId9">
              <w:r>
                <w:rPr>
                  <w:rFonts w:ascii="Times New Roman"/>
                  <w:sz w:val="18"/>
                </w:rPr>
                <w:t>zqb@rxpe.com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赵殿波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公绍壮</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鞍山高新区科技路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鞍山高新区科技路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0412-7213603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0412-7213603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0412-7213646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0412-7213646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zdb@rxpe.com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sz@rxpe.com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2"/>
        <w:gridCol w:w="5575"/>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鞍山高新区科技路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号公司证券事务部</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91210000118887313L</w:t>
            </w:r>
          </w:p>
        </w:tc>
      </w:tr>
      <w:tr>
        <w:trPr>
          <w:trHeight w:val="363" w:hRule="exact"/>
        </w:trPr>
        <w:tc>
          <w:tcPr>
            <w:tcW w:w="3190" w:type="dxa"/>
            <w:tcBorders>
              <w:top w:val="single" w:sz="4" w:space="0" w:color="000000"/>
              <w:left w:val="single" w:sz="4" w:space="0" w:color="000000"/>
              <w:bottom w:val="nil" w:sz="6" w:space="0" w:color="auto"/>
              <w:right w:val="single" w:sz="4" w:space="0" w:color="000000"/>
            </w:tcBorders>
            <w:shd w:val="clear" w:color="auto" w:fill="D3D3D3"/>
          </w:tcPr>
          <w:p>
            <w:pPr/>
          </w:p>
        </w:tc>
        <w:tc>
          <w:tcPr>
            <w:tcW w:w="637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公司传统业务是从事节能大功率电子电子设备制造，</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年公司实施重大资产重</w:t>
            </w:r>
          </w:p>
        </w:tc>
      </w:tr>
      <w:tr>
        <w:trPr>
          <w:trHeight w:val="312"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3"/>
                <w:sz w:val="18"/>
                <w:szCs w:val="18"/>
              </w:rPr>
              <w:t>组，收购深圳市梦网科技发展有限公司</w:t>
            </w:r>
            <w:r>
              <w:rPr>
                <w:rFonts w:ascii="宋体" w:hAnsi="宋体" w:cs="宋体" w:eastAsia="宋体" w:hint="default"/>
                <w:spacing w:val="-19"/>
                <w:sz w:val="18"/>
                <w:szCs w:val="18"/>
              </w:rPr>
              <w:t> </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股权，其主营业务是为移动互联网各</w:t>
            </w:r>
          </w:p>
        </w:tc>
      </w:tr>
      <w:tr>
        <w:trPr>
          <w:trHeight w:val="312"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w:t>
            </w: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种</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B2C</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应用提供运营支撑平台，并通过该平台为企业提供基于短信、彩信、网讯</w:t>
            </w:r>
          </w:p>
        </w:tc>
      </w:tr>
      <w:tr>
        <w:trPr>
          <w:trHeight w:val="312"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有）</w:t>
            </w: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一体化的移动实名沟通平台及相关服务，同时扩展为含微信、微博、</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于一体</w:t>
            </w:r>
          </w:p>
        </w:tc>
      </w:tr>
      <w:tr>
        <w:trPr>
          <w:trHeight w:val="308" w:hRule="exact"/>
        </w:trPr>
        <w:tc>
          <w:tcPr>
            <w:tcW w:w="3190" w:type="dxa"/>
            <w:tcBorders>
              <w:top w:val="nil" w:sz="6" w:space="0" w:color="auto"/>
              <w:left w:val="single" w:sz="4" w:space="0" w:color="000000"/>
              <w:bottom w:val="nil" w:sz="6" w:space="0" w:color="auto"/>
              <w:right w:val="single" w:sz="4" w:space="0" w:color="000000"/>
            </w:tcBorders>
            <w:shd w:val="clear" w:color="auto" w:fill="D3D3D3"/>
          </w:tcPr>
          <w:p>
            <w:pPr/>
          </w:p>
        </w:tc>
        <w:tc>
          <w:tcPr>
            <w:tcW w:w="637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的移动信息即时通讯服务、基于企业后向付费的移动智能流量业务以及基于移动</w:t>
            </w:r>
          </w:p>
        </w:tc>
      </w:tr>
      <w:tr>
        <w:trPr>
          <w:trHeight w:val="356" w:hRule="exact"/>
        </w:trPr>
        <w:tc>
          <w:tcPr>
            <w:tcW w:w="3190" w:type="dxa"/>
            <w:tcBorders>
              <w:top w:val="nil" w:sz="6" w:space="0" w:color="auto"/>
              <w:left w:val="single" w:sz="4" w:space="0" w:color="000000"/>
              <w:bottom w:val="single" w:sz="4" w:space="0" w:color="000000"/>
              <w:right w:val="single" w:sz="4" w:space="0" w:color="000000"/>
            </w:tcBorders>
            <w:shd w:val="clear" w:color="auto" w:fill="D3D3D3"/>
          </w:tcPr>
          <w:p>
            <w:pPr/>
          </w:p>
        </w:tc>
        <w:tc>
          <w:tcPr>
            <w:tcW w:w="637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互联网的音视频平台、移动物联网的系列服务。目前公司实现双主业发展。</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深圳市福田区滨河大厦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5020 </w:t>
            </w:r>
            <w:r>
              <w:rPr>
                <w:rFonts w:ascii="宋体" w:hAnsi="宋体" w:cs="宋体" w:eastAsia="宋体" w:hint="default"/>
                <w:sz w:val="18"/>
                <w:szCs w:val="18"/>
              </w:rPr>
              <w:t>号证券大厦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1501</w:t>
            </w:r>
            <w:r>
              <w:rPr>
                <w:rFonts w:ascii="宋体" w:hAnsi="宋体" w:cs="宋体" w:eastAsia="宋体" w:hint="default"/>
                <w:sz w:val="18"/>
                <w:szCs w:val="18"/>
              </w:rPr>
              <w:t>、十六层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朱中伟  许治平</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38" w:lineRule="auto" w:before="117"/>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公司聘请的报告期内履行持续督导职责的财务顾问</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财务顾问名称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1" w:right="0"/>
              <w:jc w:val="left"/>
              <w:rPr>
                <w:rFonts w:ascii="宋体" w:hAnsi="宋体" w:cs="宋体" w:eastAsia="宋体" w:hint="default"/>
                <w:sz w:val="18"/>
                <w:szCs w:val="18"/>
              </w:rPr>
            </w:pPr>
            <w:r>
              <w:rPr>
                <w:rFonts w:ascii="宋体" w:hAnsi="宋体" w:cs="宋体" w:eastAsia="宋体" w:hint="default"/>
                <w:sz w:val="18"/>
                <w:szCs w:val="18"/>
              </w:rPr>
              <w:t>财务顾问办公地址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0" w:right="0"/>
              <w:jc w:val="left"/>
              <w:rPr>
                <w:rFonts w:ascii="宋体" w:hAnsi="宋体" w:cs="宋体" w:eastAsia="宋体" w:hint="default"/>
                <w:sz w:val="18"/>
                <w:szCs w:val="18"/>
              </w:rPr>
            </w:pPr>
            <w:r>
              <w:rPr>
                <w:rFonts w:ascii="宋体" w:hAnsi="宋体" w:cs="宋体" w:eastAsia="宋体" w:hint="default"/>
                <w:sz w:val="18"/>
                <w:szCs w:val="18"/>
              </w:rPr>
              <w:t>财务顾问主办人姓名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华泰联合证券有限责任公司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62"/>
              <w:jc w:val="left"/>
              <w:rPr>
                <w:rFonts w:ascii="宋体" w:hAnsi="宋体" w:cs="宋体" w:eastAsia="宋体" w:hint="default"/>
                <w:sz w:val="18"/>
                <w:szCs w:val="18"/>
              </w:rPr>
            </w:pPr>
            <w:r>
              <w:rPr>
                <w:rFonts w:ascii="宋体" w:hAnsi="宋体" w:cs="宋体" w:eastAsia="宋体" w:hint="default"/>
                <w:sz w:val="18"/>
                <w:szCs w:val="18"/>
              </w:rPr>
              <w:t>北京市西城区丰盛胡同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丰铭国际大厦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于洋、唐堂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六、主要会计数据和财务指标</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1,804,461,597.37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927,799,821.68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94.49%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1,320,321,732.22</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98,559,203.95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-257,683,938.81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138.25%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75,843,521.47</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19,205,332.42</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-272,062,365.38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107.06%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-75,168,779.98</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48,986,158.81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-112,482,507.30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143.55%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-90,688,303.70</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131.37%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131.37%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7,340,079,445.65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3,515,678,848.49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108.78%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4,079,589,319.06</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4,822,339,437.10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1,788,690,402.06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169.60%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2,056,610,625.06</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7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3"/>
        <w:spacing w:line="240" w:lineRule="auto" w:before="0"/>
        <w:ind w:right="0"/>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16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八、分季度主要财务指标</w:t>
      </w:r>
      <w:r>
        <w:rPr>
          <w:b w:val="0"/>
          <w:bCs w:val="0"/>
        </w:rPr>
      </w:r>
    </w:p>
    <w:p>
      <w:pPr>
        <w:spacing w:line="240" w:lineRule="auto" w:before="2"/>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39"/>
        <w:gridCol w:w="1740"/>
        <w:gridCol w:w="1729"/>
      </w:tblGrid>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307,524,566.52</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449,789,304.37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324,994,173.16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722,153,553.32</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10,418,508.76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16,199,737.97</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85,909,266.98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-13,968,309.76</w:t>
            </w:r>
          </w:p>
        </w:tc>
      </w:tr>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4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1,325,735.55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13,883,538.42</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29,706,308.13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-25,710,249.68</w:t>
            </w:r>
          </w:p>
        </w:tc>
      </w:tr>
      <w:tr>
        <w:trPr>
          <w:trHeight w:val="402"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-75,291,799.34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19,461,819.43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57,710,734.16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47,105,404.56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九、非经常性损益项目及金额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296"/>
        <w:gridCol w:w="1519"/>
        <w:gridCol w:w="1520"/>
        <w:gridCol w:w="1522"/>
        <w:gridCol w:w="1710"/>
      </w:tblGrid>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62" w:hRule="exact"/>
        </w:trPr>
        <w:tc>
          <w:tcPr>
            <w:tcW w:w="32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2" w:right="0"/>
              <w:jc w:val="left"/>
              <w:rPr>
                <w:rFonts w:ascii="Times New Roman" w:hAnsi="Times New Roman" w:cs="Times New Roman" w:eastAsia="Times New Roman" w:hint="default"/>
                <w:sz w:val="18"/>
                <w:szCs w:val="18"/>
              </w:rPr>
            </w:pPr>
            <w:r>
              <w:rPr>
                <w:rFonts w:ascii="Times New Roman"/>
                <w:sz w:val="18"/>
              </w:rPr>
              <w:t>48,389,674.21</w:t>
            </w:r>
          </w:p>
        </w:tc>
        <w:tc>
          <w:tcPr>
            <w:tcW w:w="15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3" w:right="0"/>
              <w:jc w:val="left"/>
              <w:rPr>
                <w:rFonts w:ascii="Times New Roman" w:hAnsi="Times New Roman" w:cs="Times New Roman" w:eastAsia="Times New Roman" w:hint="default"/>
                <w:sz w:val="18"/>
                <w:szCs w:val="18"/>
              </w:rPr>
            </w:pPr>
            <w:r>
              <w:rPr>
                <w:rFonts w:ascii="Times New Roman"/>
                <w:sz w:val="18"/>
              </w:rPr>
              <w:t>-6,368,906.61</w:t>
            </w:r>
          </w:p>
        </w:tc>
        <w:tc>
          <w:tcPr>
            <w:tcW w:w="152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84" w:right="0"/>
              <w:jc w:val="left"/>
              <w:rPr>
                <w:rFonts w:ascii="Times New Roman" w:hAnsi="Times New Roman" w:cs="Times New Roman" w:eastAsia="Times New Roman" w:hint="default"/>
                <w:sz w:val="18"/>
                <w:szCs w:val="18"/>
              </w:rPr>
            </w:pPr>
            <w:r>
              <w:rPr>
                <w:rFonts w:ascii="Times New Roman"/>
                <w:sz w:val="18"/>
              </w:rPr>
              <w:t>-1,610,331.91</w:t>
            </w:r>
          </w:p>
        </w:tc>
        <w:tc>
          <w:tcPr>
            <w:tcW w:w="1710" w:type="dxa"/>
            <w:vMerge w:val="restart"/>
            <w:tcBorders>
              <w:top w:val="single" w:sz="4" w:space="0" w:color="000000"/>
              <w:left w:val="single" w:sz="4" w:space="0" w:color="000000"/>
              <w:right w:val="single" w:sz="4" w:space="0" w:color="000000"/>
            </w:tcBorders>
          </w:tcPr>
          <w:p>
            <w:pPr>
              <w:pStyle w:val="TableParagraph"/>
              <w:spacing w:line="316" w:lineRule="auto" w:before="52"/>
              <w:ind w:left="23" w:right="54"/>
              <w:jc w:val="both"/>
              <w:rPr>
                <w:rFonts w:ascii="宋体" w:hAnsi="宋体" w:cs="宋体" w:eastAsia="宋体" w:hint="default"/>
                <w:sz w:val="18"/>
                <w:szCs w:val="18"/>
              </w:rPr>
            </w:pPr>
            <w:r>
              <w:rPr>
                <w:rFonts w:ascii="宋体" w:hAnsi="宋体" w:cs="宋体" w:eastAsia="宋体" w:hint="default"/>
                <w:sz w:val="18"/>
                <w:szCs w:val="18"/>
              </w:rPr>
              <w:t>主要是报告期公司出 售北京房产及控股子 公司股权净损益</w:t>
            </w:r>
          </w:p>
        </w:tc>
      </w:tr>
      <w:tr>
        <w:trPr>
          <w:trHeight w:val="703" w:hRule="exact"/>
        </w:trPr>
        <w:tc>
          <w:tcPr>
            <w:tcW w:w="32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19" w:type="dxa"/>
            <w:vMerge/>
            <w:tcBorders>
              <w:left w:val="single" w:sz="4" w:space="0" w:color="000000"/>
              <w:right w:val="single" w:sz="4" w:space="0" w:color="000000"/>
            </w:tcBorders>
          </w:tcPr>
          <w:p>
            <w:pPr/>
          </w:p>
        </w:tc>
        <w:tc>
          <w:tcPr>
            <w:tcW w:w="1520" w:type="dxa"/>
            <w:vMerge/>
            <w:tcBorders>
              <w:left w:val="single" w:sz="4" w:space="0" w:color="000000"/>
              <w:right w:val="single" w:sz="4" w:space="0" w:color="000000"/>
            </w:tcBorders>
          </w:tcPr>
          <w:p>
            <w:pPr/>
          </w:p>
        </w:tc>
        <w:tc>
          <w:tcPr>
            <w:tcW w:w="1522" w:type="dxa"/>
            <w:vMerge/>
            <w:tcBorders>
              <w:left w:val="single" w:sz="4" w:space="0" w:color="000000"/>
              <w:right w:val="single" w:sz="4" w:space="0" w:color="000000"/>
            </w:tcBorders>
          </w:tcPr>
          <w:p>
            <w:pPr/>
          </w:p>
        </w:tc>
        <w:tc>
          <w:tcPr>
            <w:tcW w:w="1710" w:type="dxa"/>
            <w:vMerge/>
            <w:tcBorders>
              <w:left w:val="single" w:sz="4" w:space="0" w:color="000000"/>
              <w:right w:val="single" w:sz="4" w:space="0" w:color="000000"/>
            </w:tcBorders>
          </w:tcPr>
          <w:p>
            <w:pPr/>
          </w:p>
        </w:tc>
      </w:tr>
      <w:tr>
        <w:trPr>
          <w:trHeight w:val="161" w:hRule="exact"/>
        </w:trPr>
        <w:tc>
          <w:tcPr>
            <w:tcW w:w="32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19" w:type="dxa"/>
            <w:vMerge/>
            <w:tcBorders>
              <w:left w:val="single" w:sz="4" w:space="0" w:color="000000"/>
              <w:bottom w:val="single" w:sz="4" w:space="0" w:color="000000"/>
              <w:right w:val="single" w:sz="4" w:space="0" w:color="000000"/>
            </w:tcBorders>
          </w:tcPr>
          <w:p>
            <w:pPr/>
          </w:p>
        </w:tc>
        <w:tc>
          <w:tcPr>
            <w:tcW w:w="1520" w:type="dxa"/>
            <w:vMerge/>
            <w:tcBorders>
              <w:left w:val="single" w:sz="4" w:space="0" w:color="000000"/>
              <w:bottom w:val="single" w:sz="4" w:space="0" w:color="000000"/>
              <w:right w:val="single" w:sz="4" w:space="0" w:color="000000"/>
            </w:tcBorders>
          </w:tcPr>
          <w:p>
            <w:pPr/>
          </w:p>
        </w:tc>
        <w:tc>
          <w:tcPr>
            <w:tcW w:w="1522" w:type="dxa"/>
            <w:vMerge/>
            <w:tcBorders>
              <w:left w:val="single" w:sz="4" w:space="0" w:color="000000"/>
              <w:bottom w:val="single" w:sz="4" w:space="0" w:color="000000"/>
              <w:right w:val="single" w:sz="4" w:space="0" w:color="000000"/>
            </w:tcBorders>
          </w:tcPr>
          <w:p>
            <w:pPr/>
          </w:p>
        </w:tc>
        <w:tc>
          <w:tcPr>
            <w:tcW w:w="1710" w:type="dxa"/>
            <w:vMerge/>
            <w:tcBorders>
              <w:left w:val="single" w:sz="4" w:space="0" w:color="000000"/>
              <w:bottom w:val="single" w:sz="4" w:space="0" w:color="000000"/>
              <w:right w:val="single" w:sz="4" w:space="0" w:color="000000"/>
            </w:tcBorders>
          </w:tcPr>
          <w:p>
            <w:pPr/>
          </w:p>
        </w:tc>
      </w:tr>
      <w:tr>
        <w:trPr>
          <w:trHeight w:val="67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w:t>
            </w:r>
          </w:p>
        </w:tc>
        <w:tc>
          <w:tcPr>
            <w:tcW w:w="151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40" w:right="0"/>
              <w:jc w:val="left"/>
              <w:rPr>
                <w:rFonts w:ascii="Times New Roman" w:hAnsi="Times New Roman" w:cs="Times New Roman" w:eastAsia="Times New Roman" w:hint="default"/>
                <w:sz w:val="18"/>
                <w:szCs w:val="18"/>
              </w:rPr>
            </w:pPr>
            <w:r>
              <w:rPr>
                <w:rFonts w:ascii="Times New Roman"/>
                <w:sz w:val="18"/>
              </w:rPr>
              <w:t>39,581,647.64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53" w:right="0"/>
              <w:jc w:val="left"/>
              <w:rPr>
                <w:rFonts w:ascii="Times New Roman" w:hAnsi="Times New Roman" w:cs="Times New Roman" w:eastAsia="Times New Roman" w:hint="default"/>
                <w:sz w:val="18"/>
                <w:szCs w:val="18"/>
              </w:rPr>
            </w:pPr>
            <w:r>
              <w:rPr>
                <w:rFonts w:ascii="Times New Roman"/>
                <w:sz w:val="18"/>
              </w:rPr>
              <w:t>16,085,904.64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54" w:right="0"/>
              <w:jc w:val="left"/>
              <w:rPr>
                <w:rFonts w:ascii="Times New Roman" w:hAnsi="Times New Roman" w:cs="Times New Roman" w:eastAsia="Times New Roman" w:hint="default"/>
                <w:sz w:val="18"/>
                <w:szCs w:val="18"/>
              </w:rPr>
            </w:pPr>
            <w:r>
              <w:rPr>
                <w:rFonts w:ascii="Times New Roman"/>
                <w:sz w:val="18"/>
              </w:rPr>
              <w:t>21,469,439.64</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54"/>
              <w:jc w:val="left"/>
              <w:rPr>
                <w:rFonts w:ascii="宋体" w:hAnsi="宋体" w:cs="宋体" w:eastAsia="宋体" w:hint="default"/>
                <w:sz w:val="18"/>
                <w:szCs w:val="18"/>
              </w:rPr>
            </w:pPr>
            <w:r>
              <w:rPr>
                <w:rFonts w:ascii="宋体" w:hAnsi="宋体" w:cs="宋体" w:eastAsia="宋体" w:hint="default"/>
                <w:sz w:val="18"/>
                <w:szCs w:val="18"/>
              </w:rPr>
              <w:t>除软件产品即征即退 增值税返还外的政府</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6"/>
        <w:gridCol w:w="1519"/>
        <w:gridCol w:w="1520"/>
        <w:gridCol w:w="1522"/>
        <w:gridCol w:w="1710"/>
      </w:tblGrid>
      <w:tr>
        <w:trPr>
          <w:trHeight w:val="36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补助</w:t>
            </w:r>
          </w:p>
        </w:tc>
      </w:tr>
      <w:tr>
        <w:trPr>
          <w:trHeight w:val="1650"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19" w:type="dxa"/>
            <w:tcBorders>
              <w:top w:val="single" w:sz="4" w:space="0" w:color="000000"/>
              <w:left w:val="single" w:sz="4" w:space="0" w:color="000000"/>
              <w:bottom w:val="single" w:sz="4" w:space="0" w:color="000000"/>
              <w:right w:val="single" w:sz="4" w:space="0" w:color="000000"/>
            </w:tcBorders>
          </w:tcPr>
          <w:p>
            <w:pP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-1,721,740.92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156,058,022.79</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1,986,379.53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1,565,166.80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460,000.00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-2,096,382.38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3,035,980.90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1,780,066.55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-7,644,347.57</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4"/>
              <w:jc w:val="both"/>
              <w:rPr>
                <w:rFonts w:ascii="宋体" w:hAnsi="宋体" w:cs="宋体" w:eastAsia="宋体" w:hint="default"/>
                <w:sz w:val="18"/>
                <w:szCs w:val="18"/>
              </w:rPr>
            </w:pPr>
            <w:r>
              <w:rPr>
                <w:rFonts w:ascii="宋体" w:hAnsi="宋体" w:cs="宋体" w:eastAsia="宋体" w:hint="default"/>
                <w:sz w:val="18"/>
                <w:szCs w:val="18"/>
              </w:rPr>
              <w:t>预提梦网科技超额盈 利奖励，超额盈利奖 励系本公司根据与梦 网科技补充义务人签 订的《盈利预测补偿 协议》相关奖励规定 计提的奖励费用。</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243,086.15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465,139.76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26,736,044.66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620,013.75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-2,247,161.52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408,850.96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79,353,871.53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14,378,426.57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151,012,301.45</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7"/>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r>
        <w:rPr>
          <w:rFonts w:ascii="宋体" w:hAnsi="宋体" w:cs="宋体" w:eastAsia="宋体" w:hint="default"/>
          <w:sz w:val="18"/>
          <w:szCs w:val="18"/>
        </w:rPr>
      </w:r>
    </w:p>
    <w:p>
      <w:pPr>
        <w:spacing w:line="302" w:lineRule="auto" w:before="61"/>
        <w:ind w:left="154" w:right="137"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7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4" w:right="134"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28" w:right="3484"/>
        <w:jc w:val="center"/>
        <w:rPr>
          <w:b w:val="0"/>
          <w:bCs w:val="0"/>
        </w:rPr>
      </w:pPr>
      <w:bookmarkStart w:name="_TOC_250008" w:id="3"/>
      <w:r>
        <w:rPr/>
        <w:t>第三节</w:t>
      </w:r>
      <w:r>
        <w:rPr>
          <w:spacing w:val="-1"/>
        </w:rPr>
        <w:t> </w:t>
      </w:r>
      <w:r>
        <w:rPr/>
        <w:t>公司业务概要</w:t>
      </w:r>
      <w:bookmarkEnd w:id="3"/>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102"/>
        <w:jc w:val="left"/>
        <w:rPr>
          <w:b w:val="0"/>
          <w:bCs w:val="0"/>
        </w:rPr>
      </w:pPr>
      <w:r>
        <w:rPr/>
        <w:t>一、报告期内公司从事的主要业务</w:t>
      </w:r>
      <w:r>
        <w:rPr>
          <w:b w:val="0"/>
          <w:bCs w:val="0"/>
        </w:rPr>
      </w:r>
    </w:p>
    <w:p>
      <w:pPr>
        <w:spacing w:line="240" w:lineRule="auto" w:before="6"/>
        <w:rPr>
          <w:rFonts w:ascii="宋体" w:hAnsi="宋体" w:cs="宋体" w:eastAsia="宋体" w:hint="default"/>
          <w:b/>
          <w:bCs/>
          <w:sz w:val="30"/>
          <w:szCs w:val="30"/>
        </w:rPr>
      </w:pPr>
    </w:p>
    <w:p>
      <w:pPr>
        <w:pStyle w:val="BodyText"/>
        <w:spacing w:line="386" w:lineRule="auto"/>
        <w:ind w:left="153" w:right="211" w:firstLine="379"/>
        <w:jc w:val="both"/>
      </w:pPr>
      <w:r>
        <w:rPr/>
        <w:t>公司传统业务是从事节能大功率电力电子设备制造，</w:t>
      </w:r>
      <w:r>
        <w:rPr>
          <w:rFonts w:ascii="Times New Roman" w:hAnsi="Times New Roman" w:cs="Times New Roman" w:eastAsia="Times New Roman" w:hint="default"/>
        </w:rPr>
        <w:t>2015</w:t>
      </w:r>
      <w:r>
        <w:rPr/>
        <w:t>年公司实施重大资产重组，收购深圳市梦网 </w:t>
      </w:r>
      <w:r>
        <w:rPr>
          <w:spacing w:val="-3"/>
        </w:rPr>
        <w:t>科技发展有限公司</w:t>
      </w:r>
      <w:r>
        <w:rPr>
          <w:rFonts w:ascii="Times New Roman" w:hAnsi="Times New Roman" w:cs="Times New Roman" w:eastAsia="Times New Roman" w:hint="default"/>
          <w:spacing w:val="-3"/>
        </w:rPr>
        <w:t>100%</w:t>
      </w:r>
      <w:r>
        <w:rPr>
          <w:spacing w:val="-3"/>
        </w:rPr>
        <w:t>股权，其主营业务为移动互联网运营支撑服务业务，通过本次重大资产重组，公司</w:t>
      </w:r>
      <w:r>
        <w:rPr>
          <w:spacing w:val="-58"/>
        </w:rPr>
        <w:t> </w:t>
      </w:r>
      <w:r>
        <w:rPr>
          <w:spacing w:val="-58"/>
        </w:rPr>
      </w:r>
      <w:r>
        <w:rPr/>
        <w:t>实现双主业发展。</w:t>
      </w:r>
    </w:p>
    <w:p>
      <w:pPr>
        <w:spacing w:line="408" w:lineRule="auto" w:before="65"/>
        <w:ind w:left="566" w:right="88" w:hanging="161"/>
        <w:jc w:val="left"/>
        <w:rPr>
          <w:rFonts w:ascii="宋体" w:hAnsi="宋体" w:cs="宋体" w:eastAsia="宋体" w:hint="default"/>
          <w:sz w:val="21"/>
          <w:szCs w:val="21"/>
        </w:rPr>
      </w:pPr>
      <w:r>
        <w:rPr>
          <w:rFonts w:ascii="宋体" w:hAnsi="宋体" w:cs="宋体" w:eastAsia="宋体" w:hint="default"/>
          <w:b/>
          <w:bCs/>
          <w:sz w:val="21"/>
          <w:szCs w:val="21"/>
        </w:rPr>
        <w:t>（一）节能大功率电力电子设备的设计和制造业务</w:t>
      </w:r>
      <w:r>
        <w:rPr>
          <w:rFonts w:ascii="宋体" w:hAnsi="宋体" w:cs="宋体" w:eastAsia="宋体" w:hint="default"/>
          <w:b/>
          <w:bCs/>
          <w:spacing w:val="1"/>
          <w:w w:val="99"/>
          <w:sz w:val="21"/>
          <w:szCs w:val="21"/>
        </w:rPr>
        <w:t> </w:t>
      </w:r>
      <w:r>
        <w:rPr>
          <w:rFonts w:ascii="宋体" w:hAnsi="宋体" w:cs="宋体" w:eastAsia="宋体" w:hint="default"/>
          <w:sz w:val="21"/>
          <w:szCs w:val="21"/>
        </w:rPr>
        <w:t>公司从事的节能大功率电力电子设备的设计和制造业务，产品包括： </w:t>
      </w:r>
      <w:r>
        <w:rPr>
          <w:rFonts w:ascii="宋体" w:hAnsi="宋体" w:cs="宋体" w:eastAsia="宋体" w:hint="default"/>
          <w:b/>
          <w:bCs/>
          <w:sz w:val="21"/>
          <w:szCs w:val="21"/>
        </w:rPr>
        <w:t>电能质量与电力安全：</w:t>
      </w:r>
      <w:r>
        <w:rPr>
          <w:rFonts w:ascii="宋体" w:hAnsi="宋体" w:cs="宋体" w:eastAsia="宋体" w:hint="default"/>
          <w:sz w:val="21"/>
          <w:szCs w:val="21"/>
        </w:rPr>
        <w:t>高压动态无功补偿装置（</w:t>
      </w:r>
      <w:r>
        <w:rPr>
          <w:rFonts w:ascii="Times New Roman" w:hAnsi="Times New Roman" w:cs="Times New Roman" w:eastAsia="Times New Roman" w:hint="default"/>
          <w:sz w:val="21"/>
          <w:szCs w:val="21"/>
        </w:rPr>
        <w:t>SVC</w:t>
      </w:r>
      <w:r>
        <w:rPr>
          <w:rFonts w:ascii="宋体" w:hAnsi="宋体" w:cs="宋体" w:eastAsia="宋体" w:hint="default"/>
          <w:sz w:val="21"/>
          <w:szCs w:val="21"/>
        </w:rPr>
        <w:t>）、高压静止无功发生器（</w:t>
      </w:r>
      <w:r>
        <w:rPr>
          <w:rFonts w:ascii="Times New Roman" w:hAnsi="Times New Roman" w:cs="Times New Roman" w:eastAsia="Times New Roman" w:hint="default"/>
          <w:sz w:val="21"/>
          <w:szCs w:val="21"/>
        </w:rPr>
        <w:t>SVG</w:t>
      </w:r>
      <w:r>
        <w:rPr>
          <w:rFonts w:ascii="宋体" w:hAnsi="宋体" w:cs="宋体" w:eastAsia="宋体" w:hint="default"/>
          <w:sz w:val="21"/>
          <w:szCs w:val="21"/>
        </w:rPr>
        <w:t>）、串补</w:t>
      </w:r>
      <w:r>
        <w:rPr>
          <w:rFonts w:ascii="Times New Roman" w:hAnsi="Times New Roman" w:cs="Times New Roman" w:eastAsia="Times New Roman" w:hint="default"/>
          <w:sz w:val="21"/>
          <w:szCs w:val="21"/>
        </w:rPr>
        <w:t>(FSC)</w:t>
      </w:r>
      <w:r>
        <w:rPr>
          <w:rFonts w:ascii="宋体" w:hAnsi="宋体" w:cs="宋体" w:eastAsia="宋体" w:hint="default"/>
          <w:sz w:val="21"/>
          <w:szCs w:val="21"/>
        </w:rPr>
        <w:t>、</w:t>
      </w:r>
    </w:p>
    <w:p>
      <w:pPr>
        <w:pStyle w:val="BodyText"/>
        <w:spacing w:line="386" w:lineRule="auto" w:before="14"/>
        <w:ind w:left="566" w:right="102" w:hanging="413"/>
        <w:jc w:val="left"/>
      </w:pPr>
      <w:r>
        <w:rPr/>
        <w:t>电力滤波装置（</w:t>
      </w:r>
      <w:r>
        <w:rPr>
          <w:rFonts w:ascii="Times New Roman" w:hAnsi="Times New Roman" w:cs="Times New Roman" w:eastAsia="Times New Roman" w:hint="default"/>
        </w:rPr>
        <w:t>FC</w:t>
      </w:r>
      <w:r>
        <w:rPr/>
        <w:t>）、有源滤波装置（</w:t>
      </w:r>
      <w:r>
        <w:rPr>
          <w:rFonts w:ascii="Times New Roman" w:hAnsi="Times New Roman" w:cs="Times New Roman" w:eastAsia="Times New Roman" w:hint="default"/>
        </w:rPr>
        <w:t>APF</w:t>
      </w:r>
      <w:r>
        <w:rPr/>
        <w:t>）、电抗器（</w:t>
      </w:r>
      <w:r>
        <w:rPr>
          <w:rFonts w:ascii="Times New Roman" w:hAnsi="Times New Roman" w:cs="Times New Roman" w:eastAsia="Times New Roman" w:hint="default"/>
        </w:rPr>
        <w:t>HCR</w:t>
      </w:r>
      <w:r>
        <w:rPr/>
        <w:t>）。 </w:t>
      </w:r>
      <w:r>
        <w:rPr>
          <w:rFonts w:ascii="宋体" w:hAnsi="宋体" w:cs="宋体" w:eastAsia="宋体" w:hint="default"/>
          <w:b/>
          <w:bCs/>
          <w:spacing w:val="-1"/>
        </w:rPr>
        <w:t>变频传动与新能源控制系统：</w:t>
      </w:r>
      <w:r>
        <w:rPr>
          <w:spacing w:val="-1"/>
        </w:rPr>
        <w:t>高压变频装置（</w:t>
      </w:r>
      <w:r>
        <w:rPr>
          <w:rFonts w:ascii="Times New Roman" w:hAnsi="Times New Roman" w:cs="Times New Roman" w:eastAsia="Times New Roman" w:hint="default"/>
          <w:spacing w:val="-1"/>
        </w:rPr>
        <w:t>HVC</w:t>
      </w:r>
      <w:r>
        <w:rPr>
          <w:spacing w:val="-1"/>
        </w:rPr>
        <w:t>）、高压软启动装置（</w:t>
      </w:r>
      <w:r>
        <w:rPr>
          <w:rFonts w:ascii="Times New Roman" w:hAnsi="Times New Roman" w:cs="Times New Roman" w:eastAsia="Times New Roman" w:hint="default"/>
          <w:spacing w:val="-1"/>
        </w:rPr>
        <w:t>VFS</w:t>
      </w:r>
      <w:r>
        <w:rPr>
          <w:spacing w:val="-1"/>
        </w:rPr>
        <w:t>）、智能瓦斯排放装置</w:t>
      </w:r>
    </w:p>
    <w:p>
      <w:pPr>
        <w:pStyle w:val="BodyText"/>
        <w:spacing w:line="386" w:lineRule="auto" w:before="35"/>
        <w:ind w:left="153" w:right="102"/>
        <w:jc w:val="left"/>
      </w:pPr>
      <w:r>
        <w:rPr/>
        <w:t>（</w:t>
      </w:r>
      <w:r>
        <w:rPr>
          <w:rFonts w:ascii="Times New Roman" w:hAnsi="Times New Roman" w:cs="Times New Roman" w:eastAsia="Times New Roman" w:hint="default"/>
        </w:rPr>
        <w:t>MABZ</w:t>
      </w:r>
      <w:r>
        <w:rPr/>
        <w:t>）、轻型直流输电系统（</w:t>
      </w:r>
      <w:r>
        <w:rPr>
          <w:rFonts w:ascii="Times New Roman" w:hAnsi="Times New Roman" w:cs="Times New Roman" w:eastAsia="Times New Roman" w:hint="default"/>
        </w:rPr>
        <w:t>HVDC</w:t>
      </w:r>
      <w:r>
        <w:rPr/>
        <w:t>）、整流器（</w:t>
      </w:r>
      <w:r>
        <w:rPr>
          <w:rFonts w:ascii="Times New Roman" w:hAnsi="Times New Roman" w:cs="Times New Roman" w:eastAsia="Times New Roman" w:hint="default"/>
        </w:rPr>
        <w:t>HPR</w:t>
      </w:r>
      <w:r>
        <w:rPr/>
        <w:t>）、新能源控制装置及矿井传动和自动化控制</w:t>
      </w:r>
      <w:r>
        <w:rPr>
          <w:spacing w:val="-70"/>
        </w:rPr>
        <w:t> </w:t>
      </w:r>
      <w:r>
        <w:rPr/>
        <w:t>设备。</w:t>
      </w:r>
    </w:p>
    <w:p>
      <w:pPr>
        <w:pStyle w:val="BodyText"/>
        <w:spacing w:line="408" w:lineRule="auto" w:before="65"/>
        <w:ind w:left="153" w:right="209" w:firstLine="420"/>
        <w:jc w:val="both"/>
      </w:pPr>
      <w:r>
        <w:rPr>
          <w:spacing w:val="-1"/>
        </w:rPr>
        <w:t>节能大功率电力电子设备制造产品为定制化的产品，订单生产，量身定制，实行以销定产。产品广泛</w:t>
      </w:r>
      <w:r>
        <w:rPr/>
        <w:t> </w:t>
      </w:r>
      <w:r>
        <w:rPr>
          <w:spacing w:val="-1"/>
        </w:rPr>
        <w:t>应用于冶金、电力、煤炭、有色金属、电气化铁路等重点耗能行业，在节能降耗，提高电网安全性和稳定</w:t>
      </w:r>
      <w:r>
        <w:rPr>
          <w:spacing w:val="-83"/>
        </w:rPr>
        <w:t> </w:t>
      </w:r>
      <w:r>
        <w:rPr>
          <w:spacing w:val="-83"/>
        </w:rPr>
      </w:r>
      <w:r>
        <w:rPr/>
        <w:t>性，改善电能质量，提升煤矿安全生产水平，保障矿工生命和矿井财产安全方面发挥着重要作用。</w:t>
      </w:r>
    </w:p>
    <w:p>
      <w:pPr>
        <w:pStyle w:val="BodyText"/>
        <w:spacing w:line="408" w:lineRule="auto" w:before="46"/>
        <w:ind w:left="153" w:right="210" w:firstLine="420"/>
        <w:jc w:val="both"/>
      </w:pPr>
      <w:r>
        <w:rPr>
          <w:spacing w:val="-1"/>
        </w:rPr>
        <w:t>节能大功率电力电子设备制造业是一个新兴行业，涉及重大节能技术，为先进制造业、国家重大装备</w:t>
      </w:r>
      <w:r>
        <w:rPr/>
        <w:t> </w:t>
      </w:r>
      <w:r>
        <w:rPr>
          <w:spacing w:val="-1"/>
        </w:rPr>
        <w:t>制造业及高技术产业，受国家多项政策支持。公司立足高端，实施蓝海战略。凭借较高的产品性价比、及</w:t>
      </w:r>
      <w:r>
        <w:rPr>
          <w:spacing w:val="-83"/>
        </w:rPr>
        <w:t> </w:t>
      </w:r>
      <w:r>
        <w:rPr>
          <w:spacing w:val="-83"/>
        </w:rPr>
      </w:r>
      <w:r>
        <w:rPr>
          <w:spacing w:val="-1"/>
        </w:rPr>
        <w:t>时有效的低成本售后服及全面的技术创新能力、完善的试验和检测设备、强大的品牌影响力，在行业竞争</w:t>
      </w:r>
      <w:r>
        <w:rPr>
          <w:spacing w:val="-83"/>
        </w:rPr>
        <w:t> </w:t>
      </w:r>
      <w:r>
        <w:rPr>
          <w:spacing w:val="-83"/>
        </w:rPr>
      </w:r>
      <w:r>
        <w:rPr/>
        <w:t>中具有一定优势地位。</w:t>
      </w:r>
    </w:p>
    <w:p>
      <w:pPr>
        <w:pStyle w:val="Heading3"/>
        <w:spacing w:line="240" w:lineRule="auto" w:before="46"/>
        <w:ind w:left="469" w:right="102"/>
        <w:jc w:val="left"/>
        <w:rPr>
          <w:b w:val="0"/>
          <w:bCs w:val="0"/>
        </w:rPr>
      </w:pPr>
      <w:r>
        <w:rPr/>
        <w:t>（二）移动互联网运营支撑服务业务</w:t>
      </w:r>
      <w:r>
        <w:rPr>
          <w:b w:val="0"/>
          <w:bCs w:val="0"/>
        </w:rPr>
      </w:r>
    </w:p>
    <w:p>
      <w:pPr>
        <w:spacing w:line="240" w:lineRule="auto" w:before="12"/>
        <w:rPr>
          <w:rFonts w:ascii="宋体" w:hAnsi="宋体" w:cs="宋体" w:eastAsia="宋体" w:hint="default"/>
          <w:b/>
          <w:bCs/>
          <w:sz w:val="23"/>
          <w:szCs w:val="23"/>
        </w:rPr>
      </w:pPr>
    </w:p>
    <w:p>
      <w:pPr>
        <w:pStyle w:val="BodyText"/>
        <w:spacing w:line="393" w:lineRule="auto"/>
        <w:ind w:left="153" w:right="210" w:firstLine="480"/>
        <w:jc w:val="both"/>
      </w:pPr>
      <w:r>
        <w:rPr>
          <w:spacing w:val="-2"/>
        </w:rPr>
        <w:t>梦网科技是国内领先的移动互联网运营支撑服务商，主营业务是为移动互联网各种</w:t>
      </w:r>
      <w:r>
        <w:rPr>
          <w:rFonts w:ascii="Times New Roman" w:hAnsi="Times New Roman" w:cs="Times New Roman" w:eastAsia="Times New Roman" w:hint="default"/>
          <w:spacing w:val="-2"/>
        </w:rPr>
        <w:t>B2C</w:t>
      </w:r>
      <w:r>
        <w:rPr>
          <w:spacing w:val="-2"/>
        </w:rPr>
        <w:t>应用提供运营</w:t>
      </w:r>
      <w:r>
        <w:rPr/>
        <w:t> </w:t>
      </w:r>
      <w:r>
        <w:rPr>
          <w:spacing w:val="-1"/>
        </w:rPr>
        <w:t>支撑平台，并通过平台为企业提供移动信息即时通讯服务，主要包括基于短信、彩信、网讯一体化的实名</w:t>
      </w:r>
      <w:r>
        <w:rPr>
          <w:spacing w:val="-82"/>
        </w:rPr>
        <w:t> </w:t>
      </w:r>
      <w:r>
        <w:rPr>
          <w:spacing w:val="-82"/>
        </w:rPr>
      </w:r>
      <w:r>
        <w:rPr/>
        <w:t>沟通平台及相关服务，同时扩展为含微信、微博、</w:t>
      </w:r>
      <w:r>
        <w:rPr>
          <w:rFonts w:ascii="Times New Roman" w:hAnsi="Times New Roman" w:cs="Times New Roman" w:eastAsia="Times New Roman" w:hint="default"/>
        </w:rPr>
        <w:t>App</w:t>
      </w:r>
      <w:r>
        <w:rPr/>
        <w:t>于一体的移动信息即时通讯服务、基于企业后向付</w:t>
      </w:r>
      <w:r>
        <w:rPr>
          <w:spacing w:val="-77"/>
        </w:rPr>
        <w:t> </w:t>
      </w:r>
      <w:r>
        <w:rPr>
          <w:spacing w:val="-77"/>
        </w:rPr>
      </w:r>
      <w:r>
        <w:rPr/>
        <w:t>费的移动智能流量业务以及基于移动互联网的音视频平台、移动物联网的系列服务。</w:t>
      </w:r>
    </w:p>
    <w:p>
      <w:pPr>
        <w:pStyle w:val="BodyText"/>
        <w:spacing w:line="408" w:lineRule="auto" w:before="178"/>
        <w:ind w:left="153" w:right="188" w:firstLine="480"/>
        <w:jc w:val="both"/>
      </w:pPr>
      <w:r>
        <w:rPr>
          <w:spacing w:val="-2"/>
        </w:rPr>
        <w:t>在移动互联网环境下，梦网科技下游行业客户与上游运营商均能在与梦网科技的合作中通过移动通信</w:t>
      </w:r>
      <w:r>
        <w:rPr/>
        <w:t> </w:t>
      </w:r>
      <w:r>
        <w:rPr>
          <w:spacing w:val="-1"/>
        </w:rPr>
        <w:t>技术实现企业与客户的高效沟通以及多方面移动商务能力的价值的提升：一方面，行业集团和企业客户通</w:t>
      </w:r>
      <w:r>
        <w:rPr>
          <w:spacing w:val="-81"/>
        </w:rPr>
        <w:t> </w:t>
      </w:r>
      <w:r>
        <w:rPr>
          <w:spacing w:val="-81"/>
        </w:rPr>
      </w:r>
      <w:r>
        <w:rPr/>
        <w:t>过梦网科技提供的运营支撑平台和保障服务，能快速有效解决企业移动信息化及移动应用的个性化需求，</w:t>
      </w:r>
    </w:p>
    <w:p>
      <w:pPr>
        <w:spacing w:after="0" w:line="408" w:lineRule="auto"/>
        <w:jc w:val="both"/>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400" w:lineRule="auto" w:before="174"/>
        <w:ind w:left="153" w:right="211"/>
        <w:jc w:val="both"/>
      </w:pPr>
      <w:r>
        <w:rPr/>
        <w:t>完成集团客户的</w:t>
      </w:r>
      <w:r>
        <w:rPr>
          <w:rFonts w:ascii="Times New Roman" w:hAnsi="Times New Roman" w:cs="Times New Roman" w:eastAsia="Times New Roman" w:hint="default"/>
        </w:rPr>
        <w:t>IT</w:t>
      </w:r>
      <w:r>
        <w:rPr>
          <w:rFonts w:ascii="Times New Roman" w:hAnsi="Times New Roman" w:cs="Times New Roman" w:eastAsia="Times New Roman" w:hint="default"/>
          <w:spacing w:val="45"/>
        </w:rPr>
        <w:t> </w:t>
      </w:r>
      <w:r>
        <w:rPr>
          <w:spacing w:val="-3"/>
        </w:rPr>
        <w:t>系统无缝对接移动通信网，实现灵活便捷的产品应用和客户沟通服务；另一方面，运营</w:t>
      </w:r>
      <w:r>
        <w:rPr>
          <w:spacing w:val="-103"/>
        </w:rPr>
        <w:t> </w:t>
      </w:r>
      <w:r>
        <w:rPr>
          <w:spacing w:val="-103"/>
        </w:rPr>
      </w:r>
      <w:r>
        <w:rPr>
          <w:spacing w:val="-1"/>
        </w:rPr>
        <w:t>商的传统业务主要是面向终端个人用户提供语音和短信服务，针对企业客户提供的移动信息服务无论从涵</w:t>
      </w:r>
      <w:r>
        <w:rPr>
          <w:spacing w:val="-81"/>
        </w:rPr>
        <w:t> </w:t>
      </w:r>
      <w:r>
        <w:rPr>
          <w:spacing w:val="-81"/>
        </w:rPr>
      </w:r>
      <w:r>
        <w:rPr>
          <w:spacing w:val="-1"/>
        </w:rPr>
        <w:t>盖面还是服务能力上均存在扩展和提升的空间，通过与梦网科技的合作，运营商能实现快速响应企业客户</w:t>
      </w:r>
      <w:r>
        <w:rPr>
          <w:spacing w:val="-81"/>
        </w:rPr>
        <w:t> </w:t>
      </w:r>
      <w:r>
        <w:rPr>
          <w:spacing w:val="-81"/>
        </w:rPr>
      </w:r>
      <w:r>
        <w:rPr/>
        <w:t>的个性化移动应用的需求，提升信息服务的能力、扩展企业级客户的服务范围。</w:t>
      </w:r>
    </w:p>
    <w:p>
      <w:pPr>
        <w:pStyle w:val="BodyText"/>
        <w:spacing w:line="405" w:lineRule="auto" w:before="172"/>
        <w:ind w:left="153" w:right="102" w:firstLine="480"/>
        <w:jc w:val="left"/>
      </w:pPr>
      <w:r>
        <w:rPr>
          <w:color w:val="0D0D0D"/>
          <w:spacing w:val="-2"/>
        </w:rPr>
        <w:t>梦网科技自成立以来一直专注于企业移动信息即时通讯业务，并坚持直接服务集团和大型企业客户的</w:t>
      </w:r>
      <w:r>
        <w:rPr>
          <w:color w:val="0D0D0D"/>
        </w:rPr>
        <w:t> 发展战略，以专业的业务能力及企业客户服务经验，完成了金融、互联网以及消费品等重要行业和客户的 </w:t>
      </w:r>
      <w:r>
        <w:rPr>
          <w:color w:val="0D0D0D"/>
          <w:spacing w:val="-3"/>
        </w:rPr>
        <w:t>市场布局，并与行业大客户建立并保持密切的合作关系，报告期内，包括中国银行、交通银行、平安集团、</w:t>
      </w:r>
      <w:r>
        <w:rPr>
          <w:color w:val="0D0D0D"/>
          <w:spacing w:val="-94"/>
        </w:rPr>
        <w:t> </w:t>
      </w:r>
      <w:r>
        <w:rPr>
          <w:color w:val="0D0D0D"/>
          <w:spacing w:val="-94"/>
        </w:rPr>
      </w:r>
      <w:r>
        <w:rPr>
          <w:color w:val="0D0D0D"/>
          <w:spacing w:val="-3"/>
        </w:rPr>
        <w:t>华夏银行、光大银行、宁波银行、重庆农商行、深圳农商行、招商证券、安信证券、华夏基金、天弘基金、</w:t>
      </w:r>
      <w:r>
        <w:rPr>
          <w:color w:val="0D0D0D"/>
          <w:spacing w:val="-92"/>
        </w:rPr>
        <w:t> </w:t>
      </w:r>
      <w:r>
        <w:rPr>
          <w:color w:val="0D0D0D"/>
          <w:spacing w:val="-92"/>
        </w:rPr>
      </w:r>
      <w:r>
        <w:rPr>
          <w:color w:val="0D0D0D"/>
          <w:spacing w:val="-3"/>
        </w:rPr>
        <w:t>南方基金、易方达基金、新华人寿、腾讯、新浪、搜狐、百度、小米、盛大、阿里巴巴、万达、京东商城、</w:t>
      </w:r>
      <w:r>
        <w:rPr>
          <w:color w:val="0D0D0D"/>
          <w:spacing w:val="-92"/>
        </w:rPr>
        <w:t> </w:t>
      </w:r>
      <w:r>
        <w:rPr>
          <w:color w:val="0D0D0D"/>
          <w:spacing w:val="-92"/>
        </w:rPr>
      </w:r>
      <w:r>
        <w:rPr>
          <w:color w:val="0D0D0D"/>
        </w:rPr>
        <w:t>亚马逊、苏宁、国美、凡客诚品、当当网、唯品会、携程、艺龙、同程网、途牛、快的、顺丰、韵达、中</w:t>
      </w:r>
      <w:r>
        <w:rPr>
          <w:color w:val="0D0D0D"/>
        </w:rPr>
        <w:t> 通、七天连锁、如家、美的、深圳证券交易所在内的数千家企业单位和政府部门均为梦网科技的客户，通 过为这些客户提供移动信息服务，梦网科技为近十亿手机用户提供移动信息即时通讯的便利，并实现了业 务快速发展，</w:t>
      </w:r>
      <w:r>
        <w:rPr>
          <w:rFonts w:ascii="Times New Roman" w:hAnsi="Times New Roman" w:cs="Times New Roman" w:eastAsia="Times New Roman" w:hint="default"/>
          <w:color w:val="0D0D0D"/>
        </w:rPr>
        <w:t>2013</w:t>
      </w:r>
      <w:r>
        <w:rPr>
          <w:color w:val="0D0D0D"/>
        </w:rPr>
        <w:t>年、</w:t>
      </w:r>
      <w:r>
        <w:rPr>
          <w:rFonts w:ascii="Times New Roman" w:hAnsi="Times New Roman" w:cs="Times New Roman" w:eastAsia="Times New Roman" w:hint="default"/>
          <w:color w:val="0D0D0D"/>
        </w:rPr>
        <w:t>2014</w:t>
      </w:r>
      <w:r>
        <w:rPr>
          <w:color w:val="0D0D0D"/>
        </w:rPr>
        <w:t>年梦网科技的移动信息发送数量均过百亿条次，远远领先于竞争对手。目前梦 网科技核心产品和服务包括：</w:t>
      </w:r>
      <w:r>
        <w:rPr/>
      </w:r>
    </w:p>
    <w:p>
      <w:pPr>
        <w:pStyle w:val="BodyText"/>
        <w:spacing w:line="408" w:lineRule="auto" w:before="168"/>
        <w:ind w:left="153" w:right="210" w:firstLine="399"/>
        <w:jc w:val="both"/>
      </w:pPr>
      <w:r>
        <w:rPr>
          <w:rFonts w:ascii="宋体" w:hAnsi="宋体" w:cs="宋体" w:eastAsia="宋体" w:hint="default"/>
          <w:b/>
          <w:bCs/>
          <w:w w:val="95"/>
        </w:rPr>
        <w:t>移动信息即时通讯服务业务</w:t>
      </w:r>
      <w:r>
        <w:rPr>
          <w:w w:val="95"/>
        </w:rPr>
        <w:t>：</w:t>
      </w:r>
      <w:r>
        <w:rPr>
          <w:color w:val="0D0D0D"/>
          <w:w w:val="95"/>
        </w:rPr>
        <w:t>主要是指梦网科技利用移动通信网络、固定专线通信网络或互联网向行</w:t>
      </w:r>
      <w:r>
        <w:rPr>
          <w:color w:val="0D0D0D"/>
          <w:spacing w:val="-50"/>
          <w:w w:val="95"/>
        </w:rPr>
        <w:t> </w:t>
      </w:r>
      <w:r>
        <w:rPr>
          <w:color w:val="0D0D0D"/>
          <w:spacing w:val="-50"/>
          <w:w w:val="95"/>
        </w:rPr>
      </w:r>
      <w:r>
        <w:rPr>
          <w:color w:val="0D0D0D"/>
          <w:spacing w:val="-1"/>
        </w:rPr>
        <w:t>业客户的终端用户发送基于实名制的即时沟通信息，包括网讯、短信和彩信，以及将终端用户向客户发送</w:t>
      </w:r>
      <w:r>
        <w:rPr>
          <w:color w:val="0D0D0D"/>
          <w:spacing w:val="-83"/>
        </w:rPr>
        <w:t> </w:t>
      </w:r>
      <w:r>
        <w:rPr>
          <w:color w:val="0D0D0D"/>
          <w:spacing w:val="-83"/>
        </w:rPr>
      </w:r>
      <w:r>
        <w:rPr>
          <w:color w:val="0D0D0D"/>
        </w:rPr>
        <w:t>的移动信息收集并回收的服务。</w:t>
      </w:r>
      <w:r>
        <w:rPr/>
      </w:r>
    </w:p>
    <w:p>
      <w:pPr>
        <w:pStyle w:val="BodyText"/>
        <w:spacing w:line="398" w:lineRule="auto" w:before="46"/>
        <w:ind w:left="153" w:right="210" w:firstLine="412"/>
        <w:jc w:val="both"/>
      </w:pPr>
      <w:r>
        <w:rPr>
          <w:rFonts w:ascii="宋体" w:hAnsi="宋体" w:cs="宋体" w:eastAsia="宋体" w:hint="default"/>
          <w:b/>
          <w:bCs/>
          <w:spacing w:val="-1"/>
        </w:rPr>
        <w:t>移动智能流量业务：</w:t>
      </w:r>
      <w:r>
        <w:rPr>
          <w:spacing w:val="-1"/>
        </w:rPr>
        <w:t>为个人手机用户通过移动网络（不含</w:t>
      </w:r>
      <w:r>
        <w:rPr>
          <w:rFonts w:ascii="Times New Roman" w:hAnsi="Times New Roman" w:cs="Times New Roman" w:eastAsia="Times New Roman" w:hint="default"/>
          <w:spacing w:val="-1"/>
        </w:rPr>
        <w:t>WLAN</w:t>
      </w:r>
      <w:r>
        <w:rPr>
          <w:spacing w:val="-1"/>
        </w:rPr>
        <w:t>）访问互联网时，产生的数据流量费</w:t>
      </w:r>
      <w:r>
        <w:rPr/>
        <w:t> </w:t>
      </w:r>
      <w:r>
        <w:rPr>
          <w:spacing w:val="-1"/>
        </w:rPr>
        <w:t>用减免，由企业后向统一支付，这是一项梦网科技为满足终端用户免费使用手机上网流量，企业获取和维</w:t>
      </w:r>
      <w:r>
        <w:rPr>
          <w:spacing w:val="-83"/>
        </w:rPr>
        <w:t> </w:t>
      </w:r>
      <w:r>
        <w:rPr>
          <w:spacing w:val="-83"/>
        </w:rPr>
      </w:r>
      <w:r>
        <w:rPr/>
        <w:t>护终端用户的需求，推出的面向企业的产品和应用的一项业务。</w:t>
      </w:r>
    </w:p>
    <w:p>
      <w:pPr>
        <w:pStyle w:val="BodyText"/>
        <w:spacing w:line="393" w:lineRule="auto" w:before="54"/>
        <w:ind w:left="153" w:right="210" w:firstLine="412"/>
        <w:jc w:val="both"/>
      </w:pPr>
      <w:r>
        <w:rPr>
          <w:rFonts w:ascii="宋体" w:hAnsi="宋体" w:cs="宋体" w:eastAsia="宋体" w:hint="default"/>
          <w:b/>
          <w:bCs/>
          <w:spacing w:val="-2"/>
        </w:rPr>
        <w:t>移动音视频业务：</w:t>
      </w:r>
      <w:r>
        <w:rPr>
          <w:color w:val="0D0D0D"/>
          <w:spacing w:val="-2"/>
        </w:rPr>
        <w:t>梦网科技构建基于移动互联网的大型音</w:t>
      </w:r>
      <w:r>
        <w:rPr>
          <w:rFonts w:ascii="Times New Roman" w:hAnsi="Times New Roman" w:cs="Times New Roman" w:eastAsia="Times New Roman" w:hint="default"/>
          <w:color w:val="0D0D0D"/>
          <w:spacing w:val="-2"/>
        </w:rPr>
        <w:t>/</w:t>
      </w:r>
      <w:r>
        <w:rPr>
          <w:color w:val="0D0D0D"/>
          <w:spacing w:val="-2"/>
        </w:rPr>
        <w:t>视频通信服务云平台，通过插件模式，嵌入</w:t>
      </w:r>
      <w:r>
        <w:rPr>
          <w:color w:val="0D0D0D"/>
        </w:rPr>
        <w:t> 到</w:t>
      </w:r>
      <w:r>
        <w:rPr>
          <w:rFonts w:ascii="Times New Roman" w:hAnsi="Times New Roman" w:cs="Times New Roman" w:eastAsia="Times New Roman" w:hint="default"/>
          <w:color w:val="0D0D0D"/>
        </w:rPr>
        <w:t>App</w:t>
      </w:r>
      <w:r>
        <w:rPr>
          <w:color w:val="0D0D0D"/>
        </w:rPr>
        <w:t>或</w:t>
      </w:r>
      <w:r>
        <w:rPr>
          <w:rFonts w:ascii="Times New Roman" w:hAnsi="Times New Roman" w:cs="Times New Roman" w:eastAsia="Times New Roman" w:hint="default"/>
          <w:color w:val="0D0D0D"/>
        </w:rPr>
        <w:t>HTML</w:t>
      </w:r>
      <w:r>
        <w:rPr>
          <w:color w:val="0D0D0D"/>
        </w:rPr>
        <w:t>网页上，为企业在客户移动端快速实现了基于移动互联网音视频通信能力，极大提高企业</w:t>
      </w:r>
      <w:r>
        <w:rPr>
          <w:color w:val="0D0D0D"/>
          <w:spacing w:val="-48"/>
        </w:rPr>
        <w:t> </w:t>
      </w:r>
      <w:r>
        <w:rPr>
          <w:color w:val="0D0D0D"/>
          <w:spacing w:val="-48"/>
        </w:rPr>
      </w:r>
      <w:r>
        <w:rPr>
          <w:color w:val="0D0D0D"/>
          <w:spacing w:val="-1"/>
        </w:rPr>
        <w:t>对客户的服务能力及商务拓展能力，并大幅度降低企业经营成本；为企业的用户提供方便、快捷、低廉的</w:t>
      </w:r>
      <w:r>
        <w:rPr>
          <w:color w:val="0D0D0D"/>
          <w:spacing w:val="-82"/>
        </w:rPr>
        <w:t> </w:t>
      </w:r>
      <w:r>
        <w:rPr>
          <w:color w:val="0D0D0D"/>
          <w:spacing w:val="-82"/>
        </w:rPr>
      </w:r>
      <w:r>
        <w:rPr>
          <w:color w:val="0D0D0D"/>
        </w:rPr>
        <w:t>服务渠道，增加客户黏度。</w:t>
      </w:r>
      <w:r>
        <w:rPr/>
      </w:r>
    </w:p>
    <w:p>
      <w:pPr>
        <w:pStyle w:val="BodyText"/>
        <w:spacing w:line="403" w:lineRule="auto" w:before="59"/>
        <w:ind w:left="153" w:right="188" w:firstLine="420"/>
        <w:jc w:val="both"/>
      </w:pPr>
      <w:r>
        <w:rPr>
          <w:spacing w:val="-1"/>
        </w:rPr>
        <w:t>梦网科技为国内最大的移动信息即时通讯服务提供商之一。</w:t>
      </w:r>
      <w:r>
        <w:rPr>
          <w:rFonts w:ascii="Times New Roman" w:hAnsi="Times New Roman" w:cs="Times New Roman" w:eastAsia="Times New Roman" w:hint="default"/>
          <w:spacing w:val="-1"/>
        </w:rPr>
        <w:t>2013</w:t>
      </w:r>
      <w:r>
        <w:rPr>
          <w:spacing w:val="-1"/>
        </w:rPr>
        <w:t>年、</w:t>
      </w:r>
      <w:r>
        <w:rPr>
          <w:rFonts w:ascii="Times New Roman" w:hAnsi="Times New Roman" w:cs="Times New Roman" w:eastAsia="Times New Roman" w:hint="default"/>
          <w:spacing w:val="-1"/>
        </w:rPr>
        <w:t>2014</w:t>
      </w:r>
      <w:r>
        <w:rPr>
          <w:spacing w:val="-1"/>
        </w:rPr>
        <w:t>、</w:t>
      </w:r>
      <w:r>
        <w:rPr>
          <w:rFonts w:ascii="Times New Roman" w:hAnsi="Times New Roman" w:cs="Times New Roman" w:eastAsia="Times New Roman" w:hint="default"/>
          <w:spacing w:val="-1"/>
        </w:rPr>
        <w:t>2015</w:t>
      </w:r>
      <w:r>
        <w:rPr>
          <w:spacing w:val="-1"/>
        </w:rPr>
        <w:t>年年梦网科技的移动</w:t>
      </w:r>
      <w:r>
        <w:rPr/>
        <w:t> 信息发送数量均过百亿条次，远远领先于竞争对手；从客户资源来看，梦网科技凭借良好的品牌影响力， </w:t>
      </w:r>
      <w:r>
        <w:rPr>
          <w:spacing w:val="-1"/>
        </w:rPr>
        <w:t>已经完成了金融、互联网以及消费品等重要行业和客户的市场布局；从收入规模和盈利能力来看，在同样</w:t>
      </w:r>
      <w:r>
        <w:rPr>
          <w:spacing w:val="-83"/>
        </w:rPr>
        <w:t> </w:t>
      </w:r>
      <w:r>
        <w:rPr>
          <w:spacing w:val="-83"/>
        </w:rPr>
      </w:r>
      <w:r>
        <w:rPr>
          <w:spacing w:val="-1"/>
        </w:rPr>
        <w:t>以服务自身企业客户模式为主的行业可比公司中优势明显；从未来的业务增长潜力来看，在企业移动信息</w:t>
      </w:r>
      <w:r>
        <w:rPr>
          <w:spacing w:val="-81"/>
        </w:rPr>
        <w:t> </w:t>
      </w:r>
      <w:r>
        <w:rPr>
          <w:spacing w:val="-81"/>
        </w:rPr>
      </w:r>
      <w:r>
        <w:rPr/>
        <w:t>服务行业最具发展前景的基于企业后向付费的移动智能流量业务领域，梦网科技先于同行业公司进行布</w:t>
      </w:r>
    </w:p>
    <w:p>
      <w:pPr>
        <w:spacing w:after="0" w:line="403" w:lineRule="auto"/>
        <w:jc w:val="both"/>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393" w:lineRule="auto" w:before="174"/>
        <w:ind w:left="153" w:right="150"/>
        <w:jc w:val="both"/>
      </w:pPr>
      <w:r>
        <w:rPr>
          <w:spacing w:val="-1"/>
        </w:rPr>
        <w:t>局。</w:t>
      </w:r>
      <w:r>
        <w:rPr>
          <w:rFonts w:ascii="Times New Roman" w:hAnsi="Times New Roman" w:cs="Times New Roman" w:eastAsia="Times New Roman" w:hint="default"/>
          <w:spacing w:val="-1"/>
        </w:rPr>
        <w:t>2015</w:t>
      </w:r>
      <w:r>
        <w:rPr>
          <w:spacing w:val="-1"/>
        </w:rPr>
        <w:t>年，梦网科技率先启动流量网关云平台的开发及与三大运营商就移动智能流量业务的合作，目前</w:t>
      </w:r>
      <w:r>
        <w:rPr>
          <w:spacing w:val="-84"/>
        </w:rPr>
        <w:t> </w:t>
      </w:r>
      <w:r>
        <w:rPr>
          <w:spacing w:val="-84"/>
        </w:rPr>
      </w:r>
      <w:r>
        <w:rPr>
          <w:spacing w:val="-1"/>
        </w:rPr>
        <w:t>已经与万达信息、世纪龙、招商银行、交通银行、百度等客户签署了移动智能流量业务协议。随着移动互</w:t>
      </w:r>
      <w:r>
        <w:rPr>
          <w:spacing w:val="-83"/>
        </w:rPr>
        <w:t> </w:t>
      </w:r>
      <w:r>
        <w:rPr>
          <w:spacing w:val="-83"/>
        </w:rPr>
      </w:r>
      <w:r>
        <w:rPr>
          <w:spacing w:val="-1"/>
        </w:rPr>
        <w:t>联网、</w:t>
      </w:r>
      <w:r>
        <w:rPr>
          <w:rFonts w:ascii="Times New Roman" w:hAnsi="Times New Roman" w:cs="Times New Roman" w:eastAsia="Times New Roman" w:hint="default"/>
          <w:spacing w:val="-1"/>
        </w:rPr>
        <w:t>OTT</w:t>
      </w:r>
      <w:r>
        <w:rPr>
          <w:spacing w:val="-1"/>
        </w:rPr>
        <w:t>市场的进一步发展，移动智能流量业务将成为移动信息即时通讯服务提供商适应移动互联网变</w:t>
      </w:r>
      <w:r>
        <w:rPr>
          <w:spacing w:val="-70"/>
        </w:rPr>
        <w:t> </w:t>
      </w:r>
      <w:r>
        <w:rPr>
          <w:spacing w:val="-70"/>
        </w:rPr>
      </w:r>
      <w:r>
        <w:rPr/>
        <w:t>革、占领新一轮竞争制高点的关键领域。</w:t>
      </w:r>
    </w:p>
    <w:p>
      <w:pPr>
        <w:spacing w:line="240" w:lineRule="auto" w:before="10"/>
        <w:rPr>
          <w:rFonts w:ascii="宋体" w:hAnsi="宋体" w:cs="宋体" w:eastAsia="宋体" w:hint="default"/>
          <w:sz w:val="19"/>
          <w:szCs w:val="19"/>
        </w:rPr>
      </w:pPr>
    </w:p>
    <w:p>
      <w:pPr>
        <w:pStyle w:val="Heading2"/>
        <w:spacing w:line="240" w:lineRule="auto"/>
        <w:ind w:right="0"/>
        <w:jc w:val="both"/>
        <w:rPr>
          <w:b w:val="0"/>
          <w:bCs w:val="0"/>
        </w:rPr>
      </w:pP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both"/>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6"/>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1" w:hRule="exact"/>
        </w:trPr>
        <w:tc>
          <w:tcPr>
            <w:tcW w:w="3052" w:type="dxa"/>
            <w:tcBorders>
              <w:top w:val="single" w:sz="4" w:space="0" w:color="000000"/>
              <w:left w:val="single" w:sz="4" w:space="0" w:color="000000"/>
              <w:bottom w:val="nil" w:sz="6" w:space="0" w:color="auto"/>
              <w:right w:val="single" w:sz="4" w:space="0" w:color="000000"/>
            </w:tcBorders>
            <w:shd w:val="clear" w:color="auto" w:fill="D3D3D3"/>
          </w:tcPr>
          <w:p>
            <w:pPr/>
          </w:p>
        </w:tc>
        <w:tc>
          <w:tcPr>
            <w:tcW w:w="6516" w:type="dxa"/>
            <w:vMerge w:val="restart"/>
            <w:tcBorders>
              <w:top w:val="single" w:sz="4" w:space="0" w:color="000000"/>
              <w:left w:val="single" w:sz="4" w:space="0" w:color="000000"/>
              <w:right w:val="single" w:sz="4" w:space="0" w:color="000000"/>
            </w:tcBorders>
          </w:tcPr>
          <w:p>
            <w:pPr>
              <w:pStyle w:val="TableParagraph"/>
              <w:spacing w:line="300"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主要是公司发行股份及支付现金购买深圳市梦网科技发展有限公司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股权，公 司股权资产增加。</w:t>
            </w: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6" w:type="dxa"/>
            <w:vMerge/>
            <w:tcBorders>
              <w:left w:val="single" w:sz="4" w:space="0" w:color="000000"/>
              <w:right w:val="single" w:sz="4" w:space="0" w:color="000000"/>
            </w:tcBorders>
          </w:tcPr>
          <w:p>
            <w:pPr/>
          </w:p>
        </w:tc>
      </w:tr>
      <w:tr>
        <w:trPr>
          <w:trHeight w:val="161" w:hRule="exact"/>
        </w:trPr>
        <w:tc>
          <w:tcPr>
            <w:tcW w:w="3052" w:type="dxa"/>
            <w:tcBorders>
              <w:top w:val="nil" w:sz="6" w:space="0" w:color="auto"/>
              <w:left w:val="single" w:sz="4" w:space="0" w:color="000000"/>
              <w:bottom w:val="single" w:sz="4" w:space="0" w:color="000000"/>
              <w:right w:val="single" w:sz="4" w:space="0" w:color="000000"/>
            </w:tcBorders>
            <w:shd w:val="clear" w:color="auto" w:fill="D3D3D3"/>
          </w:tcPr>
          <w:p>
            <w:pPr/>
          </w:p>
        </w:tc>
        <w:tc>
          <w:tcPr>
            <w:tcW w:w="6516" w:type="dxa"/>
            <w:vMerge/>
            <w:tcBorders>
              <w:left w:val="single" w:sz="4" w:space="0" w:color="000000"/>
              <w:bottom w:val="single" w:sz="4" w:space="0" w:color="000000"/>
              <w:right w:val="single" w:sz="4" w:space="0" w:color="000000"/>
            </w:tcBorders>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固定资产减少主要是出售北京房产所致。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公司无形资产同比增加主要是由于梦网科技无形资产评估增值所致。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在建工程减少主要是在建工程完工转入固定资产所致。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主要系报告期内公司收购深圳市梦网科技发展有限公司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股权事项形成的商誉 所致。</w:t>
            </w:r>
          </w:p>
        </w:tc>
      </w:tr>
      <w:tr>
        <w:trPr>
          <w:trHeight w:val="714"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81"/>
              <w:jc w:val="left"/>
              <w:rPr>
                <w:rFonts w:ascii="宋体" w:hAnsi="宋体" w:cs="宋体" w:eastAsia="宋体" w:hint="default"/>
                <w:sz w:val="18"/>
                <w:szCs w:val="18"/>
              </w:rPr>
            </w:pPr>
            <w:r>
              <w:rPr>
                <w:rFonts w:ascii="宋体" w:hAnsi="宋体" w:cs="宋体" w:eastAsia="宋体" w:hint="default"/>
                <w:sz w:val="18"/>
                <w:szCs w:val="18"/>
              </w:rPr>
              <w:t>可供出售金融资产增加主要是公司参股公司广州高澜节能技术股份有限公司公允 价值变化所致。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预付款项增加主要是预付供应商款项增加所致。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应收账款增加主要是收购梦网科技纳入合并范围所致。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货币资金增加主要是借款及销售回款增加所致。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其他应收款增加主要是收购梦网科技纳入合并范围所致。</w:t>
            </w:r>
          </w:p>
        </w:tc>
      </w:tr>
    </w:tbl>
    <w:p>
      <w:pPr>
        <w:spacing w:line="240" w:lineRule="auto" w:before="2"/>
        <w:rPr>
          <w:rFonts w:ascii="宋体" w:hAnsi="宋体" w:cs="宋体" w:eastAsia="宋体" w:hint="default"/>
          <w:b/>
          <w:bCs/>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三、核心竞争力分析</w:t>
      </w:r>
      <w:r>
        <w:rPr>
          <w:b w:val="0"/>
          <w:bCs w:val="0"/>
        </w:rPr>
      </w:r>
    </w:p>
    <w:p>
      <w:pPr>
        <w:spacing w:line="580" w:lineRule="atLeast" w:before="93"/>
        <w:ind w:left="595" w:right="89" w:hanging="106"/>
        <w:jc w:val="left"/>
        <w:rPr>
          <w:rFonts w:ascii="宋体" w:hAnsi="宋体" w:cs="宋体" w:eastAsia="宋体" w:hint="default"/>
          <w:sz w:val="21"/>
          <w:szCs w:val="21"/>
        </w:rPr>
      </w:pPr>
      <w:r>
        <w:rPr>
          <w:rFonts w:ascii="宋体" w:hAnsi="宋体" w:cs="宋体" w:eastAsia="宋体" w:hint="default"/>
          <w:b/>
          <w:bCs/>
          <w:sz w:val="21"/>
          <w:szCs w:val="21"/>
        </w:rPr>
        <w:t>（一）节能大功率电力电子设备制造业务</w:t>
      </w:r>
      <w:r>
        <w:rPr>
          <w:rFonts w:ascii="宋体" w:hAnsi="宋体" w:cs="宋体" w:eastAsia="宋体" w:hint="default"/>
          <w:b/>
          <w:bCs/>
          <w:spacing w:val="1"/>
          <w:w w:val="99"/>
          <w:sz w:val="21"/>
          <w:szCs w:val="21"/>
        </w:rPr>
        <w:t> </w:t>
      </w:r>
      <w:r>
        <w:rPr>
          <w:rFonts w:ascii="宋体" w:hAnsi="宋体" w:cs="宋体" w:eastAsia="宋体" w:hint="default"/>
          <w:sz w:val="21"/>
          <w:szCs w:val="21"/>
        </w:rPr>
        <w:t>公司节能大功率电力电子设备制造业的竞争优势是立足高端，实施蓝海战略。与国际竞争对手相比，</w:t>
      </w:r>
    </w:p>
    <w:p>
      <w:pPr>
        <w:spacing w:line="240" w:lineRule="auto" w:before="10"/>
        <w:rPr>
          <w:rFonts w:ascii="宋体" w:hAnsi="宋体" w:cs="宋体" w:eastAsia="宋体" w:hint="default"/>
          <w:sz w:val="14"/>
          <w:szCs w:val="14"/>
        </w:rPr>
      </w:pPr>
    </w:p>
    <w:p>
      <w:pPr>
        <w:pStyle w:val="BodyText"/>
        <w:spacing w:line="408" w:lineRule="auto"/>
        <w:ind w:left="153" w:right="0"/>
        <w:jc w:val="left"/>
      </w:pPr>
      <w:r>
        <w:rPr>
          <w:spacing w:val="-1"/>
        </w:rPr>
        <w:t>公司的竞争优势主要体现在较高的产品性价比和及时有效的低成本售后服务。与国内竞争对手相比，公司</w:t>
      </w:r>
      <w:r>
        <w:rPr>
          <w:spacing w:val="-81"/>
        </w:rPr>
        <w:t> </w:t>
      </w:r>
      <w:r>
        <w:rPr>
          <w:spacing w:val="-81"/>
        </w:rPr>
      </w:r>
      <w:r>
        <w:rPr/>
        <w:t>又具有全面的技术创新能力、完善的试验和检测设备、强大的品牌影响力，具体包括如下竞争优势：</w:t>
      </w:r>
    </w:p>
    <w:p>
      <w:pPr>
        <w:pStyle w:val="BodyText"/>
        <w:spacing w:line="240" w:lineRule="auto" w:before="166"/>
        <w:ind w:left="633" w:right="0"/>
        <w:jc w:val="left"/>
      </w:pPr>
      <w:r>
        <w:rPr/>
        <w:t>（</w:t>
      </w:r>
      <w:r>
        <w:rPr>
          <w:rFonts w:ascii="Times New Roman" w:hAnsi="Times New Roman" w:cs="Times New Roman" w:eastAsia="Times New Roman" w:hint="default"/>
        </w:rPr>
        <w:t>1</w:t>
      </w:r>
      <w:r>
        <w:rPr/>
        <w:t>）品牌与声誉优势</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386" w:lineRule="auto" w:before="174"/>
        <w:ind w:right="102" w:firstLine="441"/>
        <w:jc w:val="left"/>
      </w:pPr>
      <w:r>
        <w:rPr>
          <w:spacing w:val="-4"/>
        </w:rPr>
        <w:t>公司</w:t>
      </w:r>
      <w:r>
        <w:rPr>
          <w:rFonts w:ascii="Times New Roman" w:hAnsi="Times New Roman" w:cs="Times New Roman" w:eastAsia="Times New Roman" w:hint="default"/>
          <w:spacing w:val="-4"/>
        </w:rPr>
        <w:t>SVC</w:t>
      </w:r>
      <w:r>
        <w:rPr>
          <w:spacing w:val="-4"/>
        </w:rPr>
        <w:t>、</w:t>
      </w:r>
      <w:r>
        <w:rPr>
          <w:rFonts w:ascii="Times New Roman" w:hAnsi="Times New Roman" w:cs="Times New Roman" w:eastAsia="Times New Roman" w:hint="default"/>
          <w:spacing w:val="-4"/>
        </w:rPr>
        <w:t>SVG</w:t>
      </w:r>
      <w:r>
        <w:rPr>
          <w:spacing w:val="-4"/>
        </w:rPr>
        <w:t>国内市场份额大，应用量多，在线运行率较高，成为业内具有较强品牌影响力的产品。</w:t>
      </w:r>
      <w:r>
        <w:rPr/>
        <w:t> 公司</w:t>
      </w:r>
      <w:r>
        <w:rPr>
          <w:rFonts w:ascii="Times New Roman" w:hAnsi="Times New Roman" w:cs="Times New Roman" w:eastAsia="Times New Roman" w:hint="default"/>
        </w:rPr>
        <w:t>HVC</w:t>
      </w:r>
      <w:r>
        <w:rPr/>
        <w:t>、</w:t>
      </w:r>
      <w:r>
        <w:rPr>
          <w:rFonts w:ascii="Times New Roman" w:hAnsi="Times New Roman" w:cs="Times New Roman" w:eastAsia="Times New Roman" w:hint="default"/>
        </w:rPr>
        <w:t>MABZ</w:t>
      </w:r>
      <w:r>
        <w:rPr/>
        <w:t>、</w:t>
      </w:r>
      <w:r>
        <w:rPr>
          <w:rFonts w:ascii="Times New Roman" w:hAnsi="Times New Roman" w:cs="Times New Roman" w:eastAsia="Times New Roman" w:hint="default"/>
        </w:rPr>
        <w:t>HVDC</w:t>
      </w:r>
      <w:r>
        <w:rPr/>
        <w:t>等产品自投放市场以来，正在逐渐成为业内有影响力的品牌。</w:t>
      </w:r>
    </w:p>
    <w:p>
      <w:pPr>
        <w:pStyle w:val="BodyText"/>
        <w:spacing w:line="240" w:lineRule="auto" w:before="155"/>
        <w:ind w:left="634" w:right="102"/>
        <w:jc w:val="left"/>
      </w:pPr>
      <w:r>
        <w:rPr/>
        <w:t>（</w:t>
      </w:r>
      <w:r>
        <w:rPr>
          <w:rFonts w:ascii="Times New Roman" w:hAnsi="Times New Roman" w:cs="Times New Roman" w:eastAsia="Times New Roman" w:hint="default"/>
        </w:rPr>
        <w:t>2</w:t>
      </w:r>
      <w:r>
        <w:rPr/>
        <w:t>）研发与创新能力优势</w:t>
      </w:r>
    </w:p>
    <w:p>
      <w:pPr>
        <w:spacing w:line="240" w:lineRule="auto" w:before="9"/>
        <w:rPr>
          <w:rFonts w:ascii="宋体" w:hAnsi="宋体" w:cs="宋体" w:eastAsia="宋体" w:hint="default"/>
          <w:sz w:val="22"/>
          <w:szCs w:val="22"/>
        </w:rPr>
      </w:pPr>
    </w:p>
    <w:p>
      <w:pPr>
        <w:pStyle w:val="BodyText"/>
        <w:spacing w:line="386" w:lineRule="auto"/>
        <w:ind w:right="207" w:firstLine="489"/>
        <w:jc w:val="both"/>
      </w:pPr>
      <w:r>
        <w:rPr>
          <w:spacing w:val="-2"/>
        </w:rPr>
        <w:t>公司具有国内同行业中较为全面的技术创新能力，同时拥有</w:t>
      </w:r>
      <w:r>
        <w:rPr>
          <w:rFonts w:ascii="Times New Roman" w:hAnsi="Times New Roman" w:cs="Times New Roman" w:eastAsia="Times New Roman" w:hint="default"/>
          <w:spacing w:val="-2"/>
        </w:rPr>
        <w:t>SVC</w:t>
      </w:r>
      <w:r>
        <w:rPr>
          <w:spacing w:val="-2"/>
        </w:rPr>
        <w:t>、</w:t>
      </w:r>
      <w:r>
        <w:rPr>
          <w:rFonts w:ascii="Times New Roman" w:hAnsi="Times New Roman" w:cs="Times New Roman" w:eastAsia="Times New Roman" w:hint="default"/>
          <w:spacing w:val="-2"/>
        </w:rPr>
        <w:t>SVG</w:t>
      </w:r>
      <w:r>
        <w:rPr>
          <w:spacing w:val="-2"/>
        </w:rPr>
        <w:t>、</w:t>
      </w:r>
      <w:r>
        <w:rPr>
          <w:rFonts w:ascii="Times New Roman" w:hAnsi="Times New Roman" w:cs="Times New Roman" w:eastAsia="Times New Roman" w:hint="default"/>
          <w:spacing w:val="-2"/>
        </w:rPr>
        <w:t>HVC</w:t>
      </w:r>
      <w:r>
        <w:rPr>
          <w:spacing w:val="-2"/>
        </w:rPr>
        <w:t>、</w:t>
      </w:r>
      <w:r>
        <w:rPr>
          <w:rFonts w:ascii="Times New Roman" w:hAnsi="Times New Roman" w:cs="Times New Roman" w:eastAsia="Times New Roman" w:hint="default"/>
          <w:spacing w:val="-2"/>
        </w:rPr>
        <w:t>MABZ</w:t>
      </w:r>
      <w:r>
        <w:rPr>
          <w:spacing w:val="-2"/>
        </w:rPr>
        <w:t>、</w:t>
      </w:r>
      <w:r>
        <w:rPr>
          <w:rFonts w:ascii="Times New Roman" w:hAnsi="Times New Roman" w:cs="Times New Roman" w:eastAsia="Times New Roman" w:hint="default"/>
          <w:spacing w:val="-2"/>
        </w:rPr>
        <w:t>HVDC</w:t>
      </w:r>
      <w:r>
        <w:rPr>
          <w:spacing w:val="-2"/>
        </w:rPr>
        <w:t>等产</w:t>
      </w:r>
      <w:r>
        <w:rPr/>
        <w:t> </w:t>
      </w:r>
      <w:r>
        <w:rPr>
          <w:spacing w:val="-1"/>
        </w:rPr>
        <w:t>品与技术。公司连续多年被认定为国家规划布局内重点软件企业，</w:t>
      </w:r>
      <w:r>
        <w:rPr>
          <w:rFonts w:ascii="Times New Roman" w:hAnsi="Times New Roman" w:cs="Times New Roman" w:eastAsia="Times New Roman" w:hint="default"/>
          <w:spacing w:val="-1"/>
        </w:rPr>
        <w:t>2014</w:t>
      </w:r>
      <w:r>
        <w:rPr>
          <w:spacing w:val="-1"/>
        </w:rPr>
        <w:t>年被认定为高新技术企业，是首部</w:t>
      </w:r>
      <w:r>
        <w:rPr>
          <w:spacing w:val="-85"/>
        </w:rPr>
        <w:t> </w:t>
      </w:r>
      <w:r>
        <w:rPr>
          <w:spacing w:val="-85"/>
        </w:rPr>
      </w:r>
      <w:r>
        <w:rPr>
          <w:rFonts w:ascii="Times New Roman" w:hAnsi="Times New Roman" w:cs="Times New Roman" w:eastAsia="Times New Roman" w:hint="default"/>
        </w:rPr>
        <w:t>SVC</w:t>
      </w:r>
      <w:r>
        <w:rPr/>
        <w:t>国家标准主要起草单位，先后获得</w:t>
      </w:r>
      <w:r>
        <w:rPr>
          <w:rFonts w:ascii="Times New Roman" w:hAnsi="Times New Roman" w:cs="Times New Roman" w:eastAsia="Times New Roman" w:hint="default"/>
        </w:rPr>
        <w:t>442</w:t>
      </w:r>
      <w:r>
        <w:rPr/>
        <w:t>项专利和</w:t>
      </w:r>
      <w:r>
        <w:rPr>
          <w:rFonts w:ascii="Times New Roman" w:hAnsi="Times New Roman" w:cs="Times New Roman" w:eastAsia="Times New Roman" w:hint="default"/>
        </w:rPr>
        <w:t>67</w:t>
      </w:r>
      <w:r>
        <w:rPr/>
        <w:t>项软件著作权。公司自成立以来，承担了多项国家</w:t>
      </w:r>
      <w:r>
        <w:rPr>
          <w:spacing w:val="-27"/>
        </w:rPr>
        <w:t> </w:t>
      </w:r>
      <w:r>
        <w:rPr>
          <w:spacing w:val="-27"/>
        </w:rPr>
      </w:r>
      <w:r>
        <w:rPr/>
        <w:t>级项目，包括：国家重点工业性试验项目</w:t>
      </w:r>
      <w:r>
        <w:rPr>
          <w:rFonts w:ascii="Times New Roman" w:hAnsi="Times New Roman" w:cs="Times New Roman" w:eastAsia="Times New Roman" w:hint="default"/>
        </w:rPr>
        <w:t>1</w:t>
      </w:r>
      <w:r>
        <w:rPr/>
        <w:t>项、国家高技术产业化专项</w:t>
      </w:r>
      <w:r>
        <w:rPr>
          <w:rFonts w:ascii="Times New Roman" w:hAnsi="Times New Roman" w:cs="Times New Roman" w:eastAsia="Times New Roman" w:hint="default"/>
        </w:rPr>
        <w:t>2</w:t>
      </w:r>
      <w:r>
        <w:rPr/>
        <w:t>项、国家高技术产业化推广项目</w:t>
      </w: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t>项、国家火炬计划</w:t>
      </w:r>
      <w:r>
        <w:rPr>
          <w:rFonts w:ascii="Times New Roman" w:hAnsi="Times New Roman" w:cs="Times New Roman" w:eastAsia="Times New Roman" w:hint="default"/>
        </w:rPr>
        <w:t>4</w:t>
      </w:r>
      <w:r>
        <w:rPr/>
        <w:t>项、国家重大技术装备国产化项目</w:t>
      </w:r>
      <w:r>
        <w:rPr>
          <w:rFonts w:ascii="Times New Roman" w:hAnsi="Times New Roman" w:cs="Times New Roman" w:eastAsia="Times New Roman" w:hint="default"/>
        </w:rPr>
        <w:t>1</w:t>
      </w:r>
      <w:r>
        <w:rPr/>
        <w:t>项、国家重点新产品</w:t>
      </w:r>
      <w:r>
        <w:rPr>
          <w:rFonts w:ascii="Times New Roman" w:hAnsi="Times New Roman" w:cs="Times New Roman" w:eastAsia="Times New Roman" w:hint="default"/>
        </w:rPr>
        <w:t>6</w:t>
      </w:r>
      <w:r>
        <w:rPr/>
        <w:t>项、国家中小企业创新基金</w:t>
      </w:r>
      <w:r>
        <w:rPr>
          <w:spacing w:val="-36"/>
        </w:rPr>
        <w:t> </w:t>
      </w:r>
      <w:r>
        <w:rPr>
          <w:spacing w:val="-36"/>
        </w:rPr>
      </w:r>
      <w:r>
        <w:rPr/>
        <w:t>项目</w:t>
      </w:r>
      <w:r>
        <w:rPr>
          <w:rFonts w:ascii="Times New Roman" w:hAnsi="Times New Roman" w:cs="Times New Roman" w:eastAsia="Times New Roman" w:hint="default"/>
        </w:rPr>
        <w:t>3</w:t>
      </w:r>
      <w:r>
        <w:rPr/>
        <w:t>项。</w:t>
      </w:r>
    </w:p>
    <w:p>
      <w:pPr>
        <w:pStyle w:val="BodyText"/>
        <w:spacing w:line="240" w:lineRule="auto" w:before="155"/>
        <w:ind w:left="634" w:right="102"/>
        <w:jc w:val="left"/>
      </w:pPr>
      <w:r>
        <w:rPr/>
        <w:t>（</w:t>
      </w:r>
      <w:r>
        <w:rPr>
          <w:rFonts w:ascii="Times New Roman" w:hAnsi="Times New Roman" w:cs="Times New Roman" w:eastAsia="Times New Roman" w:hint="default"/>
        </w:rPr>
        <w:t>3</w:t>
      </w:r>
      <w:r>
        <w:rPr/>
        <w:t>）专用试验检测设备与质量控制优势</w:t>
      </w:r>
    </w:p>
    <w:p>
      <w:pPr>
        <w:spacing w:line="240" w:lineRule="auto" w:before="9"/>
        <w:rPr>
          <w:rFonts w:ascii="宋体" w:hAnsi="宋体" w:cs="宋体" w:eastAsia="宋体" w:hint="default"/>
          <w:sz w:val="22"/>
          <w:szCs w:val="22"/>
        </w:rPr>
      </w:pPr>
    </w:p>
    <w:p>
      <w:pPr>
        <w:pStyle w:val="BodyText"/>
        <w:spacing w:line="386" w:lineRule="auto"/>
        <w:ind w:right="207" w:firstLine="480"/>
        <w:jc w:val="both"/>
      </w:pPr>
      <w:r>
        <w:rPr/>
        <w:t>公司拥有齐全的系列专业试验检测设备，包括：</w:t>
      </w:r>
      <w:r>
        <w:rPr>
          <w:rFonts w:ascii="Times New Roman" w:hAnsi="Times New Roman" w:cs="Times New Roman" w:eastAsia="Times New Roman" w:hint="default"/>
        </w:rPr>
        <w:t>SVC</w:t>
      </w:r>
      <w:r>
        <w:rPr/>
        <w:t>高压全载试验检测中心（</w:t>
      </w:r>
      <w:r>
        <w:rPr>
          <w:rFonts w:ascii="Times New Roman" w:hAnsi="Times New Roman" w:cs="Times New Roman" w:eastAsia="Times New Roman" w:hint="default"/>
        </w:rPr>
        <w:t>66/10000A</w:t>
      </w:r>
      <w:r>
        <w:rPr/>
        <w:t>）、</w:t>
      </w:r>
      <w:r>
        <w:rPr>
          <w:rFonts w:ascii="Times New Roman" w:hAnsi="Times New Roman" w:cs="Times New Roman" w:eastAsia="Times New Roman" w:hint="default"/>
        </w:rPr>
        <w:t>HVC</w:t>
      </w:r>
      <w:r>
        <w:rPr/>
        <w:t>高 压全载试验检测中心（</w:t>
      </w:r>
      <w:r>
        <w:rPr>
          <w:rFonts w:ascii="Times New Roman" w:hAnsi="Times New Roman" w:cs="Times New Roman" w:eastAsia="Times New Roman" w:hint="default"/>
        </w:rPr>
        <w:t>10/2500KW</w:t>
      </w:r>
      <w:r>
        <w:rPr/>
        <w:t>）、试验电源系统（</w:t>
      </w:r>
      <w:r>
        <w:rPr>
          <w:rFonts w:ascii="Times New Roman" w:hAnsi="Times New Roman" w:cs="Times New Roman" w:eastAsia="Times New Roman" w:hint="default"/>
        </w:rPr>
        <w:t>66/16000A</w:t>
      </w:r>
      <w:r>
        <w:rPr/>
        <w:t>）、光伏逆变器全载试验检测中心等。</w:t>
      </w:r>
      <w:r>
        <w:rPr>
          <w:spacing w:val="-33"/>
        </w:rPr>
        <w:t> </w:t>
      </w:r>
      <w:r>
        <w:rPr>
          <w:spacing w:val="-33"/>
        </w:rPr>
      </w:r>
      <w:r>
        <w:rPr>
          <w:spacing w:val="-2"/>
        </w:rPr>
        <w:t>公司为行业内最早通过</w:t>
      </w:r>
      <w:r>
        <w:rPr>
          <w:rFonts w:ascii="Times New Roman" w:hAnsi="Times New Roman" w:cs="Times New Roman" w:eastAsia="Times New Roman" w:hint="default"/>
          <w:spacing w:val="-2"/>
        </w:rPr>
        <w:t>ISO9001</w:t>
      </w:r>
      <w:r>
        <w:rPr>
          <w:spacing w:val="-2"/>
        </w:rPr>
        <w:t>专业认证（</w:t>
      </w:r>
      <w:r>
        <w:rPr>
          <w:rFonts w:ascii="Times New Roman" w:hAnsi="Times New Roman" w:cs="Times New Roman" w:eastAsia="Times New Roman" w:hint="default"/>
          <w:spacing w:val="-2"/>
        </w:rPr>
        <w:t>2000</w:t>
      </w:r>
      <w:r>
        <w:rPr>
          <w:spacing w:val="-2"/>
        </w:rPr>
        <w:t>年，瑞士</w:t>
      </w:r>
      <w:r>
        <w:rPr>
          <w:rFonts w:ascii="Times New Roman" w:hAnsi="Times New Roman" w:cs="Times New Roman" w:eastAsia="Times New Roman" w:hint="default"/>
          <w:spacing w:val="-2"/>
        </w:rPr>
        <w:t>SGS</w:t>
      </w:r>
      <w:r>
        <w:rPr>
          <w:spacing w:val="-2"/>
        </w:rPr>
        <w:t>认证）的公司，采用国际标准</w:t>
      </w:r>
      <w:r>
        <w:rPr>
          <w:rFonts w:ascii="Times New Roman" w:hAnsi="Times New Roman" w:cs="Times New Roman" w:eastAsia="Times New Roman" w:hint="default"/>
          <w:spacing w:val="-2"/>
        </w:rPr>
        <w:t>IEC</w:t>
      </w:r>
      <w:r>
        <w:rPr>
          <w:spacing w:val="-2"/>
        </w:rPr>
        <w:t>、</w:t>
      </w:r>
      <w:r>
        <w:rPr>
          <w:rFonts w:ascii="Times New Roman" w:hAnsi="Times New Roman" w:cs="Times New Roman" w:eastAsia="Times New Roman" w:hint="default"/>
          <w:spacing w:val="-2"/>
        </w:rPr>
        <w:t>IEEE</w:t>
      </w:r>
      <w:r>
        <w:rPr>
          <w:spacing w:val="-2"/>
        </w:rPr>
        <w:t>制造</w:t>
      </w:r>
      <w:r>
        <w:rPr>
          <w:spacing w:val="-74"/>
        </w:rPr>
        <w:t> </w:t>
      </w:r>
      <w:r>
        <w:rPr>
          <w:rFonts w:ascii="Times New Roman" w:hAnsi="Times New Roman" w:cs="Times New Roman" w:eastAsia="Times New Roman" w:hint="default"/>
        </w:rPr>
        <w:t>SVC</w:t>
      </w:r>
      <w:r>
        <w:rPr/>
        <w:t>（</w:t>
      </w:r>
      <w:r>
        <w:rPr>
          <w:rFonts w:ascii="Times New Roman" w:hAnsi="Times New Roman" w:cs="Times New Roman" w:eastAsia="Times New Roman" w:hint="default"/>
        </w:rPr>
        <w:t>2005</w:t>
      </w:r>
      <w:r>
        <w:rPr/>
        <w:t>年，国际标准认证证书），并于</w:t>
      </w:r>
      <w:r>
        <w:rPr>
          <w:rFonts w:ascii="Times New Roman" w:hAnsi="Times New Roman" w:cs="Times New Roman" w:eastAsia="Times New Roman" w:hint="default"/>
        </w:rPr>
        <w:t>2010</w:t>
      </w:r>
      <w:r>
        <w:rPr/>
        <w:t>年取得金太阳认证及</w:t>
      </w:r>
      <w:r>
        <w:rPr>
          <w:rFonts w:ascii="Times New Roman" w:hAnsi="Times New Roman" w:cs="Times New Roman" w:eastAsia="Times New Roman" w:hint="default"/>
        </w:rPr>
        <w:t>TUV</w:t>
      </w:r>
      <w:r>
        <w:rPr/>
        <w:t>认证。</w:t>
      </w:r>
    </w:p>
    <w:p>
      <w:pPr>
        <w:pStyle w:val="BodyText"/>
        <w:spacing w:line="240" w:lineRule="auto" w:before="155"/>
        <w:ind w:left="634" w:right="102"/>
        <w:jc w:val="left"/>
      </w:pPr>
      <w:r>
        <w:rPr/>
        <w:t>（</w:t>
      </w:r>
      <w:r>
        <w:rPr>
          <w:rFonts w:ascii="Times New Roman" w:hAnsi="Times New Roman" w:cs="Times New Roman" w:eastAsia="Times New Roman" w:hint="default"/>
        </w:rPr>
        <w:t>4</w:t>
      </w:r>
      <w:r>
        <w:rPr/>
        <w:t>）技术支持与服务能力优势</w:t>
      </w:r>
    </w:p>
    <w:p>
      <w:pPr>
        <w:spacing w:line="240" w:lineRule="auto" w:before="9"/>
        <w:rPr>
          <w:rFonts w:ascii="宋体" w:hAnsi="宋体" w:cs="宋体" w:eastAsia="宋体" w:hint="default"/>
          <w:sz w:val="22"/>
          <w:szCs w:val="22"/>
        </w:rPr>
      </w:pPr>
    </w:p>
    <w:p>
      <w:pPr>
        <w:pStyle w:val="BodyText"/>
        <w:spacing w:line="393" w:lineRule="auto"/>
        <w:ind w:left="153" w:right="209" w:firstLine="584"/>
        <w:jc w:val="both"/>
      </w:pPr>
      <w:r>
        <w:rPr>
          <w:spacing w:val="-2"/>
        </w:rPr>
        <w:t>公司在业内率先建立专业技术支持流程，可为用户提供最优的一体化解决方案。公司建立了</w:t>
      </w:r>
      <w:r>
        <w:rPr>
          <w:rFonts w:ascii="Times New Roman" w:hAnsi="Times New Roman" w:cs="Times New Roman" w:eastAsia="Times New Roman" w:hint="default"/>
          <w:spacing w:val="-2"/>
        </w:rPr>
        <w:t>2</w:t>
      </w:r>
      <w:r>
        <w:rPr>
          <w:spacing w:val="-2"/>
        </w:rPr>
        <w:t>小时反</w:t>
      </w:r>
      <w:r>
        <w:rPr/>
        <w:t> </w:t>
      </w:r>
      <w:r>
        <w:rPr>
          <w:spacing w:val="-1"/>
        </w:rPr>
        <w:t>应、</w:t>
      </w:r>
      <w:r>
        <w:rPr>
          <w:rFonts w:ascii="Times New Roman" w:hAnsi="Times New Roman" w:cs="Times New Roman" w:eastAsia="Times New Roman" w:hint="default"/>
          <w:spacing w:val="-1"/>
        </w:rPr>
        <w:t>24</w:t>
      </w:r>
      <w:r>
        <w:rPr>
          <w:spacing w:val="-1"/>
        </w:rPr>
        <w:t>小时到现场、</w:t>
      </w:r>
      <w:r>
        <w:rPr>
          <w:rFonts w:ascii="Times New Roman" w:hAnsi="Times New Roman" w:cs="Times New Roman" w:eastAsia="Times New Roman" w:hint="default"/>
          <w:spacing w:val="-1"/>
        </w:rPr>
        <w:t>48</w:t>
      </w:r>
      <w:r>
        <w:rPr>
          <w:spacing w:val="-1"/>
        </w:rPr>
        <w:t>小时解决问题的保证机制，独家建立了远程数字监控与支持系统，为用户产品的运</w:t>
      </w:r>
      <w:r>
        <w:rPr>
          <w:spacing w:val="-83"/>
        </w:rPr>
        <w:t> </w:t>
      </w:r>
      <w:r>
        <w:rPr>
          <w:spacing w:val="-83"/>
        </w:rPr>
      </w:r>
      <w:r>
        <w:rPr>
          <w:spacing w:val="-1"/>
        </w:rPr>
        <w:t>行提供远端（公司总部）实时诊断、趋势判断、参数调整、现场指导等一系列技术支持，极大地缩短了设</w:t>
      </w:r>
      <w:r>
        <w:rPr>
          <w:spacing w:val="-83"/>
        </w:rPr>
        <w:t> </w:t>
      </w:r>
      <w:r>
        <w:rPr>
          <w:spacing w:val="-83"/>
        </w:rPr>
      </w:r>
      <w:r>
        <w:rPr/>
        <w:t>备维修时间，降低了维修支出成本。</w:t>
      </w:r>
    </w:p>
    <w:p>
      <w:pPr>
        <w:pStyle w:val="Heading3"/>
        <w:spacing w:line="240" w:lineRule="auto" w:before="178"/>
        <w:ind w:left="633" w:right="102"/>
        <w:jc w:val="left"/>
        <w:rPr>
          <w:b w:val="0"/>
          <w:bCs w:val="0"/>
        </w:rPr>
      </w:pPr>
      <w:r>
        <w:rPr/>
        <w:t>（二）移动互联网运营支撑服务业务</w:t>
      </w:r>
      <w:r>
        <w:rPr>
          <w:b w:val="0"/>
          <w:bCs w:val="0"/>
        </w:rPr>
      </w:r>
    </w:p>
    <w:p>
      <w:pPr>
        <w:spacing w:line="240" w:lineRule="auto" w:before="12"/>
        <w:rPr>
          <w:rFonts w:ascii="宋体" w:hAnsi="宋体" w:cs="宋体" w:eastAsia="宋体" w:hint="default"/>
          <w:b/>
          <w:bCs/>
          <w:sz w:val="23"/>
          <w:szCs w:val="23"/>
        </w:rPr>
      </w:pPr>
    </w:p>
    <w:p>
      <w:pPr>
        <w:pStyle w:val="BodyText"/>
        <w:spacing w:line="408" w:lineRule="auto"/>
        <w:ind w:left="153" w:right="199" w:firstLine="480"/>
        <w:jc w:val="left"/>
      </w:pPr>
      <w:r>
        <w:rPr>
          <w:spacing w:val="-2"/>
        </w:rPr>
        <w:t>公司移动互联网运营支撑服务业务在技术优势、客户资源、运营商渠道、服务质量、品牌效应等方面</w:t>
      </w:r>
      <w:r>
        <w:rPr/>
        <w:t> 形成了核心竞争优势，具体体现为：</w:t>
      </w:r>
    </w:p>
    <w:p>
      <w:pPr>
        <w:pStyle w:val="BodyText"/>
        <w:spacing w:line="484" w:lineRule="auto" w:before="166"/>
        <w:ind w:left="537" w:right="207"/>
        <w:jc w:val="left"/>
      </w:pPr>
      <w:r>
        <w:rPr/>
        <w:t>（</w:t>
      </w:r>
      <w:r>
        <w:rPr>
          <w:rFonts w:ascii="Times New Roman" w:hAnsi="Times New Roman" w:cs="Times New Roman" w:eastAsia="Times New Roman" w:hint="default"/>
        </w:rPr>
        <w:t>1</w:t>
      </w:r>
      <w:r>
        <w:rPr/>
        <w:t>）核心平台自主研发的技术优势 公司自主研发的核心平台技术水平处于行业领先地位。拥有的自主开发并运营的标准产品包括梦网智</w:t>
      </w:r>
    </w:p>
    <w:p>
      <w:pPr>
        <w:pStyle w:val="BodyText"/>
        <w:spacing w:line="270" w:lineRule="exact"/>
        <w:ind w:left="153" w:right="102"/>
        <w:jc w:val="left"/>
      </w:pPr>
      <w:r>
        <w:rPr/>
        <w:t>能网关云平台、流量网关云平台、梦网综合监控平台、</w:t>
      </w:r>
      <w:r>
        <w:rPr>
          <w:rFonts w:ascii="Times New Roman" w:hAnsi="Times New Roman" w:cs="Times New Roman" w:eastAsia="Times New Roman" w:hint="default"/>
        </w:rPr>
        <w:t>M-BOSS</w:t>
      </w:r>
      <w:r>
        <w:rPr/>
        <w:t>综合管理云平台等，公司的云通讯平台，</w:t>
      </w:r>
    </w:p>
    <w:p>
      <w:pPr>
        <w:pStyle w:val="BodyText"/>
        <w:spacing w:line="408" w:lineRule="auto" w:before="177"/>
        <w:ind w:left="153" w:right="102"/>
        <w:jc w:val="left"/>
      </w:pPr>
      <w:r>
        <w:rPr>
          <w:spacing w:val="-1"/>
        </w:rPr>
        <w:t>基于移动通信网络的各种业务能力及融合通信技术，打通移动互联网和基础通信网络，以分布式软件技术</w:t>
      </w:r>
      <w:r>
        <w:rPr>
          <w:spacing w:val="-81"/>
        </w:rPr>
        <w:t> </w:t>
      </w:r>
      <w:r>
        <w:rPr>
          <w:spacing w:val="-81"/>
        </w:rPr>
      </w:r>
      <w:r>
        <w:rPr/>
        <w:t>为核心，构建融合短信、流量、语音、视频等各类信元实时通信及数据能力，提供企业</w:t>
      </w:r>
      <w:r>
        <w:rPr>
          <w:rFonts w:ascii="Times New Roman" w:hAnsi="Times New Roman" w:cs="Times New Roman" w:eastAsia="Times New Roman" w:hint="default"/>
        </w:rPr>
        <w:t>B2C</w:t>
      </w:r>
      <w:r>
        <w:rPr/>
        <w:t>、</w:t>
      </w:r>
      <w:r>
        <w:rPr>
          <w:rFonts w:ascii="Times New Roman" w:hAnsi="Times New Roman" w:cs="Times New Roman" w:eastAsia="Times New Roman" w:hint="default"/>
        </w:rPr>
        <w:t>C2C</w:t>
      </w:r>
      <w:r>
        <w:rPr/>
        <w:t>等一对</w:t>
      </w:r>
    </w:p>
    <w:p>
      <w:pPr>
        <w:spacing w:after="0" w:line="408"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400" w:lineRule="auto" w:before="174"/>
        <w:ind w:left="153" w:right="206"/>
        <w:jc w:val="both"/>
      </w:pPr>
      <w:r>
        <w:rPr>
          <w:spacing w:val="-1"/>
        </w:rPr>
        <w:t>多、多对多的实时通信应用，满足广大企业与移动用户在任何时间、任何地点通过文字、数据、语音、图</w:t>
      </w:r>
      <w:r>
        <w:rPr>
          <w:spacing w:val="-83"/>
        </w:rPr>
        <w:t> </w:t>
      </w:r>
      <w:r>
        <w:rPr>
          <w:spacing w:val="-83"/>
        </w:rPr>
      </w:r>
      <w:r>
        <w:rPr>
          <w:spacing w:val="-1"/>
        </w:rPr>
        <w:t>片、视频的综合通信应用，并整合了数据流量管理，极大地提高了企业商务效率和客户的粘性，是企业的</w:t>
      </w:r>
      <w:r>
        <w:rPr>
          <w:spacing w:val="-82"/>
        </w:rPr>
        <w:t> </w:t>
      </w:r>
      <w:r>
        <w:rPr>
          <w:spacing w:val="-82"/>
        </w:rPr>
      </w:r>
      <w:r>
        <w:rPr/>
        <w:t>基本刚性需求。云平台以云</w:t>
      </w:r>
      <w:r>
        <w:rPr>
          <w:rFonts w:ascii="Times New Roman" w:hAnsi="Times New Roman" w:cs="Times New Roman" w:eastAsia="Times New Roman" w:hint="default"/>
        </w:rPr>
        <w:t>+SaaS</w:t>
      </w:r>
      <w:r>
        <w:rPr/>
        <w:t>模式，与企业现有的应用系统，如</w:t>
      </w:r>
      <w:r>
        <w:rPr>
          <w:rFonts w:ascii="Times New Roman" w:hAnsi="Times New Roman" w:cs="Times New Roman" w:eastAsia="Times New Roman" w:hint="default"/>
        </w:rPr>
        <w:t>CRM</w:t>
      </w:r>
      <w:r>
        <w:rPr/>
        <w:t>、</w:t>
      </w:r>
      <w:r>
        <w:rPr>
          <w:rFonts w:ascii="Times New Roman" w:hAnsi="Times New Roman" w:cs="Times New Roman" w:eastAsia="Times New Roman" w:hint="default"/>
        </w:rPr>
        <w:t>ERP</w:t>
      </w:r>
      <w:r>
        <w:rPr/>
        <w:t>、</w:t>
      </w:r>
      <w:r>
        <w:rPr>
          <w:rFonts w:ascii="Times New Roman" w:hAnsi="Times New Roman" w:cs="Times New Roman" w:eastAsia="Times New Roman" w:hint="default"/>
        </w:rPr>
        <w:t>SCM</w:t>
      </w:r>
      <w:r>
        <w:rPr/>
        <w:t>等进行无缝对接适</w:t>
      </w:r>
      <w:r>
        <w:rPr>
          <w:spacing w:val="-80"/>
        </w:rPr>
        <w:t> </w:t>
      </w:r>
      <w:r>
        <w:rPr>
          <w:spacing w:val="-80"/>
        </w:rPr>
      </w:r>
      <w:r>
        <w:rPr/>
        <w:t>配，实现移动终端和应用的高度融合。</w:t>
      </w:r>
    </w:p>
    <w:p>
      <w:pPr>
        <w:pStyle w:val="BodyText"/>
        <w:spacing w:line="391" w:lineRule="auto" w:before="172"/>
        <w:ind w:left="153" w:right="88" w:firstLine="480"/>
        <w:jc w:val="left"/>
      </w:pPr>
      <w:r>
        <w:rPr>
          <w:color w:val="0D0D0D"/>
        </w:rPr>
        <w:t>梦网科技一贯坚持技术驱动市场，需求推动服务，在业内率先通过</w:t>
      </w:r>
      <w:r>
        <w:rPr>
          <w:rFonts w:ascii="Times New Roman" w:hAnsi="Times New Roman" w:cs="Times New Roman" w:eastAsia="Times New Roman" w:hint="default"/>
          <w:color w:val="0D0D0D"/>
        </w:rPr>
        <w:t>ISO27001</w:t>
      </w:r>
      <w:r>
        <w:rPr>
          <w:color w:val="0D0D0D"/>
        </w:rPr>
        <w:t>信息安全管理体系认证， </w:t>
      </w:r>
      <w:r>
        <w:rPr>
          <w:rFonts w:ascii="Times New Roman" w:hAnsi="Times New Roman" w:cs="Times New Roman" w:eastAsia="Times New Roman" w:hint="default"/>
          <w:color w:val="0D0D0D"/>
        </w:rPr>
        <w:t>CMMI</w:t>
      </w:r>
      <w:r>
        <w:rPr>
          <w:color w:val="0D0D0D"/>
        </w:rPr>
        <w:t>软件能力成熟度模型认证，为客户构建便捷、安全、高效的企业移动信息化能力，得到了众多合作</w:t>
      </w:r>
      <w:r>
        <w:rPr>
          <w:color w:val="0D0D0D"/>
          <w:spacing w:val="-89"/>
        </w:rPr>
        <w:t> </w:t>
      </w:r>
      <w:r>
        <w:rPr>
          <w:color w:val="0D0D0D"/>
          <w:spacing w:val="-89"/>
        </w:rPr>
      </w:r>
      <w:r>
        <w:rPr>
          <w:color w:val="0D0D0D"/>
        </w:rPr>
        <w:t>伙伴的认可和支持。</w:t>
      </w:r>
      <w:r>
        <w:rPr/>
        <w:t>梦网科技拥有一支超过</w:t>
      </w:r>
      <w:r>
        <w:rPr>
          <w:rFonts w:ascii="Times New Roman" w:hAnsi="Times New Roman" w:cs="Times New Roman" w:eastAsia="Times New Roman" w:hint="default"/>
        </w:rPr>
        <w:t>200</w:t>
      </w:r>
      <w:r>
        <w:rPr/>
        <w:t>人的研发团队，每年持续投入大量的研发支出保证其研发</w:t>
      </w:r>
      <w:r>
        <w:rPr>
          <w:spacing w:val="-35"/>
        </w:rPr>
        <w:t> </w:t>
      </w:r>
      <w:r>
        <w:rPr>
          <w:spacing w:val="-35"/>
        </w:rPr>
      </w:r>
      <w:r>
        <w:rPr/>
        <w:t>能力，通过对移动信息化行业的理解和认识开发具有竞争力的产品，为客户提供个性化的优质服务，先后</w:t>
      </w:r>
      <w:r>
        <w:rPr/>
        <w:t> 获得</w:t>
      </w:r>
      <w:r>
        <w:rPr>
          <w:rFonts w:ascii="Times New Roman" w:hAnsi="Times New Roman" w:cs="Times New Roman" w:eastAsia="Times New Roman" w:hint="default"/>
        </w:rPr>
        <w:t>6</w:t>
      </w:r>
      <w:r>
        <w:rPr/>
        <w:t>项专利和</w:t>
      </w:r>
      <w:r>
        <w:rPr>
          <w:rFonts w:ascii="Times New Roman" w:hAnsi="Times New Roman" w:cs="Times New Roman" w:eastAsia="Times New Roman" w:hint="default"/>
        </w:rPr>
        <w:t>28</w:t>
      </w:r>
      <w:r>
        <w:rPr/>
        <w:t>项软件著作权。梦网科技是国家级高新技术企业，</w:t>
      </w:r>
      <w:r>
        <w:rPr>
          <w:color w:val="0D0D0D"/>
        </w:rPr>
        <w:t>是深圳市通信与互联网协会副会长单</w:t>
      </w:r>
      <w:r>
        <w:rPr>
          <w:color w:val="0D0D0D"/>
          <w:spacing w:val="-34"/>
        </w:rPr>
        <w:t> </w:t>
      </w:r>
      <w:r>
        <w:rPr>
          <w:color w:val="0D0D0D"/>
          <w:spacing w:val="-34"/>
        </w:rPr>
      </w:r>
      <w:r>
        <w:rPr>
          <w:color w:val="0D0D0D"/>
        </w:rPr>
        <w:t>位，梦网科技荣获多项国家级奖励，是中国行业信息化</w:t>
      </w:r>
      <w:r>
        <w:rPr>
          <w:rFonts w:ascii="Times New Roman" w:hAnsi="Times New Roman" w:cs="Times New Roman" w:eastAsia="Times New Roman" w:hint="default"/>
          <w:color w:val="0D0D0D"/>
        </w:rPr>
        <w:t>2013</w:t>
      </w:r>
      <w:r>
        <w:rPr>
          <w:color w:val="0D0D0D"/>
        </w:rPr>
        <w:t>年最具影响力企业，</w:t>
      </w:r>
      <w:r>
        <w:rPr>
          <w:rFonts w:ascii="Times New Roman" w:hAnsi="Times New Roman" w:cs="Times New Roman" w:eastAsia="Times New Roman" w:hint="default"/>
          <w:color w:val="0D0D0D"/>
        </w:rPr>
        <w:t>2014</w:t>
      </w:r>
      <w:r>
        <w:rPr>
          <w:color w:val="0D0D0D"/>
        </w:rPr>
        <w:t>年中国行业信息化突 出贡献企业。</w:t>
      </w:r>
      <w:r>
        <w:rPr/>
      </w:r>
    </w:p>
    <w:p>
      <w:pPr>
        <w:spacing w:line="240" w:lineRule="auto" w:before="11"/>
        <w:rPr>
          <w:rFonts w:ascii="宋体" w:hAnsi="宋体" w:cs="宋体" w:eastAsia="宋体" w:hint="default"/>
          <w:sz w:val="13"/>
          <w:szCs w:val="13"/>
        </w:rPr>
      </w:pPr>
    </w:p>
    <w:p>
      <w:pPr>
        <w:pStyle w:val="BodyText"/>
        <w:spacing w:line="484" w:lineRule="auto"/>
        <w:ind w:left="595" w:right="193" w:hanging="142"/>
        <w:jc w:val="left"/>
      </w:pPr>
      <w:r>
        <w:rPr/>
        <w:t>（</w:t>
      </w:r>
      <w:r>
        <w:rPr>
          <w:rFonts w:ascii="Times New Roman" w:hAnsi="Times New Roman" w:cs="Times New Roman" w:eastAsia="Times New Roman" w:hint="default"/>
        </w:rPr>
        <w:t>2</w:t>
      </w:r>
      <w:r>
        <w:rPr/>
        <w:t>）各行业优质的规模级客户积累 </w:t>
      </w:r>
      <w:r>
        <w:rPr>
          <w:spacing w:val="-1"/>
        </w:rPr>
        <w:t>梦网科技已经完成了金融、互联网以及消费品等重要行业和客户的市场布局，并与行业大客户建立并</w:t>
      </w:r>
    </w:p>
    <w:p>
      <w:pPr>
        <w:pStyle w:val="BodyText"/>
        <w:spacing w:line="254" w:lineRule="exact"/>
        <w:ind w:right="0"/>
        <w:jc w:val="both"/>
      </w:pPr>
      <w:r>
        <w:rPr>
          <w:spacing w:val="-3"/>
        </w:rPr>
        <w:t>保持密切的合作关系。其主要客户包括中国银行、交通银行、平安集团、华夏银行、光大银行、宁波银行、</w:t>
      </w:r>
    </w:p>
    <w:p>
      <w:pPr>
        <w:spacing w:line="240" w:lineRule="auto" w:before="10"/>
        <w:rPr>
          <w:rFonts w:ascii="宋体" w:hAnsi="宋体" w:cs="宋体" w:eastAsia="宋体" w:hint="default"/>
          <w:sz w:val="14"/>
          <w:szCs w:val="14"/>
        </w:rPr>
      </w:pPr>
    </w:p>
    <w:p>
      <w:pPr>
        <w:pStyle w:val="BodyText"/>
        <w:spacing w:line="408" w:lineRule="auto"/>
        <w:ind w:right="188"/>
        <w:jc w:val="both"/>
      </w:pPr>
      <w:r>
        <w:rPr>
          <w:spacing w:val="-1"/>
        </w:rPr>
        <w:t>重庆农商行、深圳农商行、招商证券、安信证券、华夏基金、天弘基金、南方基金、易方达基金、新华人</w:t>
      </w:r>
      <w:r>
        <w:rPr>
          <w:spacing w:val="-85"/>
        </w:rPr>
        <w:t> </w:t>
      </w:r>
      <w:r>
        <w:rPr>
          <w:spacing w:val="-85"/>
        </w:rPr>
      </w:r>
      <w:r>
        <w:rPr>
          <w:spacing w:val="-1"/>
        </w:rPr>
        <w:t>寿、腾讯、新浪、搜狐、百度、小米、盛大、阿里巴巴、万达、京东商城、亚马逊、苏宁、国美、凡客诚</w:t>
      </w:r>
      <w:r>
        <w:rPr>
          <w:spacing w:val="-90"/>
        </w:rPr>
        <w:t> </w:t>
      </w:r>
      <w:r>
        <w:rPr>
          <w:spacing w:val="-90"/>
        </w:rPr>
      </w:r>
      <w:r>
        <w:rPr/>
        <w:t>品、当当网、唯品会、携程、艺龙、同程网、途牛、快的、顺丰、韵达、中通、七天连锁、如家、美的、 深圳证券交易所等。智能流量业务也斩获了万达信息、世纪龙、招商银行、交通银行、百度等潜力客户。</w:t>
      </w:r>
    </w:p>
    <w:p>
      <w:pPr>
        <w:pStyle w:val="BodyText"/>
        <w:spacing w:line="408" w:lineRule="auto" w:before="166"/>
        <w:ind w:right="101" w:firstLine="489"/>
        <w:jc w:val="left"/>
      </w:pPr>
      <w:r>
        <w:rPr/>
        <w:t>由于梦网科技以服务自身企业客户模式为主要经营模式，不同于服务运营商客户模式的同行业公司， 其直接与企业客户开展合作、独立服务，因此与同等优质的企业客户之间的黏性更大、服务持续性更强。</w:t>
      </w:r>
    </w:p>
    <w:p>
      <w:pPr>
        <w:pStyle w:val="BodyText"/>
        <w:spacing w:line="386" w:lineRule="auto" w:before="166"/>
        <w:ind w:left="153" w:right="207" w:firstLine="384"/>
        <w:jc w:val="left"/>
      </w:pPr>
      <w:r>
        <w:rPr/>
        <w:t>梦网科技优质的客户资源积累为</w:t>
      </w:r>
      <w:r>
        <w:rPr>
          <w:rFonts w:ascii="Times New Roman" w:hAnsi="Times New Roman" w:cs="Times New Roman" w:eastAsia="Times New Roman" w:hint="default"/>
        </w:rPr>
        <w:t>2016</w:t>
      </w:r>
      <w:r>
        <w:rPr/>
        <w:t>年将重点开展的移动智能流量业务奠定了明显的客户优势，为后 续业务拓展的核心竞争力。</w:t>
      </w:r>
    </w:p>
    <w:p>
      <w:pPr>
        <w:spacing w:line="240" w:lineRule="auto" w:before="2"/>
        <w:rPr>
          <w:rFonts w:ascii="宋体" w:hAnsi="宋体" w:cs="宋体" w:eastAsia="宋体" w:hint="default"/>
          <w:sz w:val="14"/>
          <w:szCs w:val="14"/>
        </w:rPr>
      </w:pPr>
    </w:p>
    <w:p>
      <w:pPr>
        <w:pStyle w:val="BodyText"/>
        <w:spacing w:line="484" w:lineRule="auto"/>
        <w:ind w:left="538" w:right="206" w:hanging="85"/>
        <w:jc w:val="left"/>
      </w:pPr>
      <w:r>
        <w:rPr/>
        <w:t>（</w:t>
      </w:r>
      <w:r>
        <w:rPr>
          <w:rFonts w:ascii="Times New Roman" w:hAnsi="Times New Roman" w:cs="Times New Roman" w:eastAsia="Times New Roman" w:hint="default"/>
        </w:rPr>
        <w:t>3</w:t>
      </w:r>
      <w:r>
        <w:rPr/>
        <w:t>）稳定优质的运营商渠道优势 梦网科技</w:t>
      </w:r>
      <w:r>
        <w:rPr>
          <w:color w:val="0D0D0D"/>
        </w:rPr>
        <w:t>是中国移动、中国联通、中国电信的全网服务提供商，是中国移动的集团业务集成商和政企</w:t>
      </w:r>
      <w:r>
        <w:rPr/>
      </w:r>
    </w:p>
    <w:p>
      <w:pPr>
        <w:pStyle w:val="BodyText"/>
        <w:spacing w:line="254" w:lineRule="exact"/>
        <w:ind w:right="0"/>
        <w:jc w:val="both"/>
      </w:pPr>
      <w:r>
        <w:rPr>
          <w:color w:val="0D0D0D"/>
        </w:rPr>
        <w:t>业务的一级代理商，以及中国联通和中国电信的长期合作伙伴</w:t>
      </w:r>
      <w:r>
        <w:rPr/>
        <w:t>。梦网科技设立了</w:t>
      </w:r>
      <w:r>
        <w:rPr>
          <w:color w:val="0D0D0D"/>
        </w:rPr>
        <w:t>三个运营商合作中心，主</w:t>
      </w:r>
      <w:r>
        <w:rPr/>
      </w:r>
    </w:p>
    <w:p>
      <w:pPr>
        <w:spacing w:line="240" w:lineRule="auto" w:before="10"/>
        <w:rPr>
          <w:rFonts w:ascii="宋体" w:hAnsi="宋体" w:cs="宋体" w:eastAsia="宋体" w:hint="default"/>
          <w:sz w:val="14"/>
          <w:szCs w:val="14"/>
        </w:rPr>
      </w:pPr>
    </w:p>
    <w:p>
      <w:pPr>
        <w:pStyle w:val="BodyText"/>
        <w:spacing w:line="398" w:lineRule="auto"/>
        <w:ind w:right="209"/>
        <w:jc w:val="both"/>
      </w:pPr>
      <w:r>
        <w:rPr>
          <w:color w:val="0D0D0D"/>
          <w:spacing w:val="-2"/>
        </w:rPr>
        <w:t>要职能为在全国范围内与电信运营商深入开展移动信息业务合作，共建</w:t>
      </w:r>
      <w:r>
        <w:rPr>
          <w:rFonts w:ascii="Times New Roman" w:hAnsi="Times New Roman" w:cs="Times New Roman" w:eastAsia="Times New Roman" w:hint="default"/>
          <w:color w:val="0D0D0D"/>
          <w:spacing w:val="-2"/>
        </w:rPr>
        <w:t>ADC</w:t>
      </w:r>
      <w:r>
        <w:rPr>
          <w:color w:val="0D0D0D"/>
          <w:spacing w:val="-2"/>
        </w:rPr>
        <w:t>应用平台、扩充通道规模，同</w:t>
      </w:r>
      <w:r>
        <w:rPr>
          <w:color w:val="0D0D0D"/>
          <w:spacing w:val="-60"/>
        </w:rPr>
        <w:t> </w:t>
      </w:r>
      <w:r>
        <w:rPr>
          <w:color w:val="0D0D0D"/>
          <w:spacing w:val="-60"/>
        </w:rPr>
      </w:r>
      <w:r>
        <w:rPr>
          <w:color w:val="0D0D0D"/>
          <w:spacing w:val="-1"/>
        </w:rPr>
        <w:t>时对已接入的移动信息平台和通道资源进行维护管理。目前已经拥有近万条移动信息通道资源，与数十个</w:t>
      </w:r>
      <w:r>
        <w:rPr>
          <w:color w:val="0D0D0D"/>
          <w:spacing w:val="-81"/>
        </w:rPr>
        <w:t> </w:t>
      </w:r>
      <w:r>
        <w:rPr>
          <w:color w:val="0D0D0D"/>
          <w:spacing w:val="-81"/>
        </w:rPr>
      </w:r>
      <w:r>
        <w:rPr>
          <w:color w:val="0D0D0D"/>
          <w:spacing w:val="-1"/>
        </w:rPr>
        <w:t>省、市的各电信运营商建立了业务合作关系，稳定优质的全网渠道优势明显。梦网科技还与具有短信通道</w:t>
      </w:r>
      <w:r>
        <w:rPr>
          <w:spacing w:val="-1"/>
        </w:rPr>
      </w:r>
    </w:p>
    <w:p>
      <w:pPr>
        <w:spacing w:after="0" w:line="398" w:lineRule="auto"/>
        <w:jc w:val="both"/>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408" w:lineRule="auto" w:before="174"/>
        <w:ind w:left="153" w:right="102"/>
        <w:jc w:val="left"/>
      </w:pPr>
      <w:r>
        <w:rPr>
          <w:color w:val="0D0D0D"/>
        </w:rPr>
        <w:t>资源的第三方公司建立产品和商务合作关系，共建产品应用平台，共同为客户提供服务，进一步扩充了梦 </w:t>
      </w:r>
      <w:r>
        <w:rPr>
          <w:color w:val="0D0D0D"/>
          <w:spacing w:val="-3"/>
        </w:rPr>
        <w:t>网科技的通道数量，增强了其为客户提供移动信息即时通讯服务的能力。同时，在</w:t>
      </w:r>
      <w:r>
        <w:rPr>
          <w:spacing w:val="-3"/>
        </w:rPr>
        <w:t>移动智能流量业务方面，</w:t>
      </w:r>
      <w:r>
        <w:rPr>
          <w:spacing w:val="-90"/>
        </w:rPr>
        <w:t> </w:t>
      </w:r>
      <w:r>
        <w:rPr>
          <w:spacing w:val="-90"/>
        </w:rPr>
      </w:r>
      <w:r>
        <w:rPr>
          <w:color w:val="0D0D0D"/>
        </w:rPr>
        <w:t>梦网科技也与中国联通、中国电信、中国移动的多个省市公司建立了合作关系，同广东省移动公司和福建</w:t>
      </w:r>
      <w:r>
        <w:rPr>
          <w:color w:val="0D0D0D"/>
        </w:rPr>
        <w:t> 省移动公司分别开展了企视通和企业快快两个流量平台的合作。现有的运营商渠道优势，将为移动智能流 量业务奠定优质的供应源基础。</w:t>
      </w:r>
      <w:r>
        <w:rPr/>
      </w:r>
    </w:p>
    <w:p>
      <w:pPr>
        <w:pStyle w:val="BodyText"/>
        <w:spacing w:line="484" w:lineRule="auto" w:before="166"/>
        <w:ind w:left="643" w:right="102" w:hanging="106"/>
        <w:jc w:val="left"/>
      </w:pPr>
      <w:r>
        <w:rPr>
          <w:color w:val="0D0D0D"/>
        </w:rPr>
        <w:t>（</w:t>
      </w:r>
      <w:r>
        <w:rPr>
          <w:rFonts w:ascii="Times New Roman" w:hAnsi="Times New Roman" w:cs="Times New Roman" w:eastAsia="Times New Roman" w:hint="default"/>
          <w:color w:val="0D0D0D"/>
        </w:rPr>
        <w:t>4</w:t>
      </w:r>
      <w:r>
        <w:rPr>
          <w:color w:val="0D0D0D"/>
        </w:rPr>
        <w:t>）</w:t>
      </w:r>
      <w:r>
        <w:rPr/>
        <w:t>领先的服务理念和服务能力</w:t>
      </w:r>
      <w:r>
        <w:rPr/>
        <w:t> </w:t>
      </w:r>
      <w:r>
        <w:rPr>
          <w:spacing w:val="-3"/>
        </w:rPr>
        <w:t>在市场化竞争越来越激烈的移动信息服务行业，除产品价格、技术能力之外，服务质量成为企业客户</w:t>
      </w:r>
    </w:p>
    <w:p>
      <w:pPr>
        <w:pStyle w:val="BodyText"/>
        <w:spacing w:line="254" w:lineRule="exact"/>
        <w:ind w:right="102"/>
        <w:jc w:val="left"/>
      </w:pPr>
      <w:r>
        <w:rPr/>
        <w:t>选择移动信息服务商的关键要素。</w:t>
      </w:r>
    </w:p>
    <w:p>
      <w:pPr>
        <w:spacing w:line="240" w:lineRule="auto" w:before="12"/>
        <w:rPr>
          <w:rFonts w:ascii="宋体" w:hAnsi="宋体" w:cs="宋体" w:eastAsia="宋体" w:hint="default"/>
          <w:sz w:val="23"/>
          <w:szCs w:val="23"/>
        </w:rPr>
      </w:pPr>
    </w:p>
    <w:p>
      <w:pPr>
        <w:pStyle w:val="BodyText"/>
        <w:spacing w:line="400" w:lineRule="auto"/>
        <w:ind w:right="209" w:firstLine="489"/>
        <w:jc w:val="both"/>
      </w:pPr>
      <w:r>
        <w:rPr>
          <w:spacing w:val="-3"/>
        </w:rPr>
        <w:t>经过多年的坚持和积累，梦网科技拥有一支能将客户服务理念真正贯彻执行、并且客户服务经验丰富</w:t>
      </w:r>
      <w:r>
        <w:rPr/>
        <w:t> </w:t>
      </w:r>
      <w:r>
        <w:rPr>
          <w:spacing w:val="-1"/>
        </w:rPr>
        <w:t>的运营团队，并在公司内部了一套高效的服务模式和服务流程，通过提供比竞争对手更为优质的服务增加</w:t>
      </w:r>
      <w:r>
        <w:rPr>
          <w:spacing w:val="-81"/>
        </w:rPr>
        <w:t> </w:t>
      </w:r>
      <w:r>
        <w:rPr>
          <w:spacing w:val="-81"/>
        </w:rPr>
      </w:r>
      <w:r>
        <w:rPr/>
        <w:t>了客户黏性。具体而言，梦网科技以持之贯彻的</w:t>
      </w:r>
      <w:r>
        <w:rPr>
          <w:rFonts w:ascii="Times New Roman" w:hAnsi="Times New Roman" w:cs="Times New Roman" w:eastAsia="Times New Roman" w:hint="default"/>
        </w:rPr>
        <w:t>“</w:t>
      </w:r>
      <w:r>
        <w:rPr/>
        <w:t>专业、负责、真诚、便捷</w:t>
      </w:r>
      <w:r>
        <w:rPr>
          <w:rFonts w:ascii="Times New Roman" w:hAnsi="Times New Roman" w:cs="Times New Roman" w:eastAsia="Times New Roman" w:hint="default"/>
        </w:rPr>
        <w:t>”</w:t>
      </w:r>
      <w:r>
        <w:rPr/>
        <w:t>服务理念，根据客户需求提供 </w:t>
      </w:r>
      <w:r>
        <w:rPr>
          <w:spacing w:val="-1"/>
        </w:rPr>
        <w:t>一站式的服务解决方案；实施项目经理负责和首问责任制双轨客服系统，除专属服务团队外，还拥有遍布</w:t>
      </w:r>
      <w:r>
        <w:rPr>
          <w:spacing w:val="-83"/>
        </w:rPr>
        <w:t> </w:t>
      </w:r>
      <w:r>
        <w:rPr>
          <w:spacing w:val="-83"/>
        </w:rPr>
      </w:r>
      <w:r>
        <w:rPr>
          <w:spacing w:val="-1"/>
        </w:rPr>
        <w:t>全国的运维团队，通过</w:t>
      </w:r>
      <w:r>
        <w:rPr>
          <w:rFonts w:ascii="Times New Roman" w:hAnsi="Times New Roman" w:cs="Times New Roman" w:eastAsia="Times New Roman" w:hint="default"/>
          <w:spacing w:val="-1"/>
        </w:rPr>
        <w:t>35</w:t>
      </w:r>
      <w:r>
        <w:rPr>
          <w:spacing w:val="-1"/>
        </w:rPr>
        <w:t>个城市的营业网点和多种灵活的线上线下沟通方式，</w:t>
      </w:r>
      <w:r>
        <w:rPr>
          <w:rFonts w:ascii="Times New Roman" w:hAnsi="Times New Roman" w:cs="Times New Roman" w:eastAsia="Times New Roman" w:hint="default"/>
          <w:spacing w:val="-1"/>
        </w:rPr>
        <w:t>7×24</w:t>
      </w:r>
      <w:r>
        <w:rPr>
          <w:spacing w:val="-1"/>
        </w:rPr>
        <w:t>小时随时随地提供一对</w:t>
      </w:r>
      <w:r>
        <w:rPr>
          <w:spacing w:val="-96"/>
        </w:rPr>
        <w:t> </w:t>
      </w:r>
      <w:r>
        <w:rPr/>
        <w:t>一客户支持。客户服务的高效性、专业性已经成为梦网科技吸引企业客户的核心竞争优势之一。</w:t>
      </w:r>
    </w:p>
    <w:p>
      <w:pPr>
        <w:pStyle w:val="BodyText"/>
        <w:spacing w:line="484" w:lineRule="auto" w:before="172"/>
        <w:ind w:left="643" w:right="102" w:hanging="87"/>
        <w:jc w:val="left"/>
      </w:pPr>
      <w:r>
        <w:rPr/>
        <w:t>（</w:t>
      </w:r>
      <w:r>
        <w:rPr>
          <w:rFonts w:ascii="Times New Roman" w:hAnsi="Times New Roman" w:cs="Times New Roman" w:eastAsia="Times New Roman" w:hint="default"/>
        </w:rPr>
        <w:t>5</w:t>
      </w:r>
      <w:r>
        <w:rPr/>
        <w:t>）坚持市场化运营建立的品牌影响力 </w:t>
      </w:r>
      <w:r>
        <w:rPr>
          <w:spacing w:val="-3"/>
        </w:rPr>
        <w:t>梦网科技自设立以来，始终坚持正规化、市场化运营的原则，长期经历激烈的市场竞争磨砺，以深刻</w:t>
      </w:r>
    </w:p>
    <w:p>
      <w:pPr>
        <w:pStyle w:val="BodyText"/>
        <w:spacing w:line="254" w:lineRule="exact"/>
        <w:ind w:right="102"/>
        <w:jc w:val="left"/>
      </w:pPr>
      <w:r>
        <w:rPr/>
        <w:t>的行业理解能力、丰富的客户服务经验、领先的核心技术优势，在各重要行业的大客户中树立了良好的口</w:t>
      </w:r>
    </w:p>
    <w:p>
      <w:pPr>
        <w:spacing w:line="240" w:lineRule="auto" w:before="10"/>
        <w:rPr>
          <w:rFonts w:ascii="宋体" w:hAnsi="宋体" w:cs="宋体" w:eastAsia="宋体" w:hint="default"/>
          <w:sz w:val="14"/>
          <w:szCs w:val="14"/>
        </w:rPr>
      </w:pPr>
    </w:p>
    <w:p>
      <w:pPr>
        <w:pStyle w:val="BodyText"/>
        <w:spacing w:line="240" w:lineRule="auto"/>
        <w:ind w:right="102"/>
        <w:jc w:val="left"/>
      </w:pPr>
      <w:r>
        <w:rPr/>
        <w:t>碑和品牌效应。</w:t>
      </w:r>
    </w:p>
    <w:p>
      <w:pPr>
        <w:spacing w:line="240" w:lineRule="auto" w:before="12"/>
        <w:rPr>
          <w:rFonts w:ascii="宋体" w:hAnsi="宋体" w:cs="宋体" w:eastAsia="宋体" w:hint="default"/>
          <w:sz w:val="23"/>
          <w:szCs w:val="23"/>
        </w:rPr>
      </w:pPr>
    </w:p>
    <w:p>
      <w:pPr>
        <w:pStyle w:val="BodyText"/>
        <w:spacing w:line="408" w:lineRule="auto"/>
        <w:ind w:right="209" w:firstLine="384"/>
        <w:jc w:val="both"/>
      </w:pPr>
      <w:r>
        <w:rPr/>
        <w:t>不同于服务运营商客户模式的同行业公司，梦网科技需要通过市场化竞争开发大量的企业客户作为直 </w:t>
      </w:r>
      <w:r>
        <w:rPr>
          <w:spacing w:val="-1"/>
        </w:rPr>
        <w:t>接服务的对象，不仅需要独立服务需求差异性较大、个性化需求较多的企业客户，而且需要持续保证在三</w:t>
      </w:r>
      <w:r>
        <w:rPr>
          <w:spacing w:val="-83"/>
        </w:rPr>
        <w:t> </w:t>
      </w:r>
      <w:r>
        <w:rPr>
          <w:spacing w:val="-83"/>
        </w:rPr>
      </w:r>
      <w:r>
        <w:rPr>
          <w:spacing w:val="-1"/>
        </w:rPr>
        <w:t>大运营商各地方公司的短信通道采购优势、不同运营商系统的对接处理能力，其通过不断实践积累的客户</w:t>
      </w:r>
      <w:r>
        <w:rPr>
          <w:spacing w:val="-81"/>
        </w:rPr>
        <w:t> </w:t>
      </w:r>
      <w:r>
        <w:rPr>
          <w:spacing w:val="-81"/>
        </w:rPr>
      </w:r>
      <w:r>
        <w:rPr/>
        <w:t>口碑及品牌影响力更为牢固。</w:t>
      </w:r>
    </w:p>
    <w:p>
      <w:pPr>
        <w:pStyle w:val="BodyText"/>
        <w:spacing w:line="408" w:lineRule="auto" w:before="166"/>
        <w:ind w:right="188" w:firstLine="384"/>
        <w:jc w:val="both"/>
      </w:pPr>
      <w:r>
        <w:rPr/>
        <w:t>相比于其他直接服务企业客户模式的同行业公司，梦网科技不仅在技术服务和客户理解上处于行业领 先位置，而且其服务质量上遥遥领先，在公司客户同时选择的多家移动信息服务商中服务优势显著突出， 赢得了广泛的好评。</w:t>
      </w:r>
    </w:p>
    <w:p>
      <w:pPr>
        <w:spacing w:after="0" w:line="408" w:lineRule="auto"/>
        <w:jc w:val="both"/>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126" w:right="102"/>
        <w:jc w:val="left"/>
        <w:rPr>
          <w:b w:val="0"/>
          <w:bCs w:val="0"/>
        </w:rPr>
      </w:pPr>
      <w:bookmarkStart w:name="_TOC_250007" w:id="4"/>
      <w:r>
        <w:rPr/>
        <w:t>第四节</w:t>
      </w:r>
      <w:r>
        <w:rPr>
          <w:spacing w:val="-9"/>
        </w:rPr>
        <w:t> </w:t>
      </w:r>
      <w:r>
        <w:rPr/>
        <w:t>管理层讨论与分析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102"/>
        <w:jc w:val="left"/>
        <w:rPr>
          <w:b w:val="0"/>
          <w:bCs w:val="0"/>
        </w:rPr>
      </w:pPr>
      <w:r>
        <w:rPr/>
        <w:t>一、概述</w:t>
      </w:r>
      <w:r>
        <w:rPr>
          <w:b w:val="0"/>
          <w:bCs w:val="0"/>
        </w:rPr>
      </w:r>
    </w:p>
    <w:p>
      <w:pPr>
        <w:spacing w:line="240" w:lineRule="auto" w:before="8"/>
        <w:rPr>
          <w:rFonts w:ascii="宋体" w:hAnsi="宋体" w:cs="宋体" w:eastAsia="宋体" w:hint="default"/>
          <w:b/>
          <w:bCs/>
          <w:sz w:val="30"/>
          <w:szCs w:val="30"/>
        </w:rPr>
      </w:pPr>
    </w:p>
    <w:p>
      <w:pPr>
        <w:pStyle w:val="BodyText"/>
        <w:spacing w:line="398" w:lineRule="auto"/>
        <w:ind w:left="153" w:right="102" w:firstLine="464"/>
        <w:jc w:val="left"/>
      </w:pPr>
      <w:r>
        <w:rPr/>
        <w:t>报告期，公司完成发行股份及支付现金收购深圳市梦网科技发展有限公司</w:t>
      </w:r>
      <w:r>
        <w:rPr>
          <w:rFonts w:ascii="Times New Roman" w:hAnsi="Times New Roman" w:cs="Times New Roman" w:eastAsia="Times New Roman" w:hint="default"/>
        </w:rPr>
        <w:t>100%</w:t>
      </w:r>
      <w:r>
        <w:rPr/>
        <w:t>股权事项，实现双主 </w:t>
      </w:r>
      <w:r>
        <w:rPr>
          <w:spacing w:val="-1"/>
        </w:rPr>
        <w:t>业发展，提高了公司整体盈利能力。同时，公司通过整合和优化原有业务，努力降低成本和费用，实现扭</w:t>
      </w:r>
      <w:r>
        <w:rPr>
          <w:spacing w:val="-83"/>
        </w:rPr>
        <w:t> </w:t>
      </w:r>
      <w:r>
        <w:rPr>
          <w:spacing w:val="-83"/>
        </w:rPr>
      </w:r>
      <w:r>
        <w:rPr/>
        <w:t>亏为盈。</w:t>
      </w:r>
    </w:p>
    <w:p>
      <w:pPr>
        <w:pStyle w:val="BodyText"/>
        <w:spacing w:line="408" w:lineRule="auto" w:before="93"/>
        <w:ind w:left="153" w:right="90" w:firstLine="426"/>
        <w:jc w:val="left"/>
      </w:pPr>
      <w:r>
        <w:rPr>
          <w:spacing w:val="-3"/>
        </w:rPr>
        <w:t>报告期，公司对传统的节能大功率电力电子设备制造业务进行了优化和整合，通过改革销售体系、关、</w:t>
      </w:r>
      <w:r>
        <w:rPr/>
        <w:t> 停和转让与公司未来发展战略不符的子公司和事业部及通过优化产品设计等手段大幅降低了成本和费用， 压缩了人员编制，保证了公司未来可持续健康发展。</w:t>
      </w:r>
    </w:p>
    <w:p>
      <w:pPr>
        <w:pStyle w:val="BodyText"/>
        <w:spacing w:line="386" w:lineRule="auto" w:before="46"/>
        <w:ind w:right="211" w:firstLine="426"/>
        <w:jc w:val="both"/>
      </w:pPr>
      <w:r>
        <w:rPr>
          <w:spacing w:val="-1"/>
        </w:rPr>
        <w:t>报告期内，公司实现营业收入</w:t>
      </w:r>
      <w:r>
        <w:rPr>
          <w:rFonts w:ascii="Times New Roman" w:hAnsi="Times New Roman" w:cs="Times New Roman" w:eastAsia="Times New Roman" w:hint="default"/>
          <w:spacing w:val="-1"/>
        </w:rPr>
        <w:t>1,804,461.60</w:t>
      </w:r>
      <w:r>
        <w:rPr>
          <w:spacing w:val="-1"/>
        </w:rPr>
        <w:t>万元，同比增长</w:t>
      </w:r>
      <w:r>
        <w:rPr>
          <w:rFonts w:ascii="Times New Roman" w:hAnsi="Times New Roman" w:cs="Times New Roman" w:eastAsia="Times New Roman" w:hint="default"/>
          <w:spacing w:val="-1"/>
        </w:rPr>
        <w:t>94.49%</w:t>
      </w:r>
      <w:r>
        <w:rPr>
          <w:spacing w:val="-1"/>
        </w:rPr>
        <w:t>；实现营业利润</w:t>
      </w:r>
      <w:r>
        <w:rPr>
          <w:rFonts w:ascii="Times New Roman" w:hAnsi="Times New Roman" w:cs="Times New Roman" w:eastAsia="Times New Roman" w:hint="default"/>
          <w:spacing w:val="-1"/>
        </w:rPr>
        <w:t>280.45</w:t>
      </w:r>
      <w:r>
        <w:rPr>
          <w:spacing w:val="-1"/>
        </w:rPr>
        <w:t>万元，同比增</w:t>
      </w:r>
      <w:r>
        <w:rPr/>
        <w:t> 长</w:t>
      </w:r>
      <w:r>
        <w:rPr>
          <w:rFonts w:ascii="Times New Roman" w:hAnsi="Times New Roman" w:cs="Times New Roman" w:eastAsia="Times New Roman" w:hint="default"/>
        </w:rPr>
        <w:t>100.89%</w:t>
      </w:r>
      <w:r>
        <w:rPr/>
        <w:t>；实现归属于母公司所有者净利润</w:t>
      </w:r>
      <w:r>
        <w:rPr>
          <w:rFonts w:ascii="Times New Roman" w:hAnsi="Times New Roman" w:cs="Times New Roman" w:eastAsia="Times New Roman" w:hint="default"/>
        </w:rPr>
        <w:t>9,855.92</w:t>
      </w:r>
      <w:r>
        <w:rPr/>
        <w:t>万元，同比增长</w:t>
      </w:r>
      <w:r>
        <w:rPr>
          <w:rFonts w:ascii="Times New Roman" w:hAnsi="Times New Roman" w:cs="Times New Roman" w:eastAsia="Times New Roman" w:hint="default"/>
        </w:rPr>
        <w:t>138.25%</w:t>
      </w:r>
      <w:r>
        <w:rPr/>
        <w:t>；经营活动产生的现金流量 净额为</w:t>
      </w:r>
      <w:r>
        <w:rPr>
          <w:rFonts w:ascii="Times New Roman" w:hAnsi="Times New Roman" w:cs="Times New Roman" w:eastAsia="Times New Roman" w:hint="default"/>
        </w:rPr>
        <w:t>4,898.62</w:t>
      </w:r>
      <w:r>
        <w:rPr/>
        <w:t>万元，同比增长</w:t>
      </w:r>
      <w:r>
        <w:rPr>
          <w:rFonts w:ascii="Times New Roman" w:hAnsi="Times New Roman" w:cs="Times New Roman" w:eastAsia="Times New Roman" w:hint="default"/>
        </w:rPr>
        <w:t>143.55%</w:t>
      </w:r>
      <w:r>
        <w:rPr/>
        <w:t>。其中：梦网科技对公司</w:t>
      </w:r>
      <w:r>
        <w:rPr>
          <w:rFonts w:ascii="Times New Roman" w:hAnsi="Times New Roman" w:cs="Times New Roman" w:eastAsia="Times New Roman" w:hint="default"/>
        </w:rPr>
        <w:t>2015</w:t>
      </w:r>
      <w:r>
        <w:rPr/>
        <w:t>年业绩贡献为</w:t>
      </w:r>
      <w:r>
        <w:rPr>
          <w:rFonts w:ascii="Times New Roman" w:hAnsi="Times New Roman" w:cs="Times New Roman" w:eastAsia="Times New Roman" w:hint="default"/>
        </w:rPr>
        <w:t>7,842.65</w:t>
      </w:r>
      <w:r>
        <w:rPr/>
        <w:t>万元。</w:t>
      </w:r>
    </w:p>
    <w:p>
      <w:pPr>
        <w:pStyle w:val="BodyText"/>
        <w:spacing w:line="386" w:lineRule="auto" w:before="76"/>
        <w:ind w:right="211" w:firstLine="468"/>
        <w:jc w:val="both"/>
      </w:pPr>
      <w:r>
        <w:rPr>
          <w:rFonts w:ascii="Times New Roman" w:hAnsi="Times New Roman" w:cs="Times New Roman" w:eastAsia="Times New Roman" w:hint="default"/>
          <w:spacing w:val="-2"/>
        </w:rPr>
        <w:t>2015</w:t>
      </w:r>
      <w:r>
        <w:rPr>
          <w:spacing w:val="-2"/>
        </w:rPr>
        <w:t>年，梦网科技实现营业收入</w:t>
      </w:r>
      <w:r>
        <w:rPr>
          <w:rFonts w:ascii="Times New Roman" w:hAnsi="Times New Roman" w:cs="Times New Roman" w:eastAsia="Times New Roman" w:hint="default"/>
          <w:spacing w:val="-2"/>
        </w:rPr>
        <w:t>99,051.56</w:t>
      </w:r>
      <w:r>
        <w:rPr>
          <w:spacing w:val="-2"/>
        </w:rPr>
        <w:t>万元，同比增长</w:t>
      </w:r>
      <w:r>
        <w:rPr>
          <w:rFonts w:ascii="Times New Roman" w:hAnsi="Times New Roman" w:cs="Times New Roman" w:eastAsia="Times New Roman" w:hint="default"/>
          <w:spacing w:val="-2"/>
        </w:rPr>
        <w:t>68.18%</w:t>
      </w:r>
      <w:r>
        <w:rPr>
          <w:spacing w:val="-2"/>
        </w:rPr>
        <w:t>；实现营业利润</w:t>
      </w:r>
      <w:r>
        <w:rPr>
          <w:rFonts w:ascii="Times New Roman" w:hAnsi="Times New Roman" w:cs="Times New Roman" w:eastAsia="Times New Roman" w:hint="default"/>
          <w:spacing w:val="-2"/>
        </w:rPr>
        <w:t>25,820.64</w:t>
      </w:r>
      <w:r>
        <w:rPr>
          <w:spacing w:val="-2"/>
        </w:rPr>
        <w:t>万元，同比</w:t>
      </w:r>
      <w:r>
        <w:rPr/>
        <w:t> 增长</w:t>
      </w:r>
      <w:r>
        <w:rPr>
          <w:rFonts w:ascii="Times New Roman" w:hAnsi="Times New Roman" w:cs="Times New Roman" w:eastAsia="Times New Roman" w:hint="default"/>
        </w:rPr>
        <w:t>144.78%</w:t>
      </w:r>
      <w:r>
        <w:rPr/>
        <w:t>；实现净利润</w:t>
      </w:r>
      <w:r>
        <w:rPr>
          <w:rFonts w:ascii="Times New Roman" w:hAnsi="Times New Roman" w:cs="Times New Roman" w:eastAsia="Times New Roman" w:hint="default"/>
        </w:rPr>
        <w:t>23,095.06</w:t>
      </w:r>
      <w:r>
        <w:rPr/>
        <w:t>万元，同比增长</w:t>
      </w:r>
      <w:r>
        <w:rPr>
          <w:rFonts w:ascii="Times New Roman" w:hAnsi="Times New Roman" w:cs="Times New Roman" w:eastAsia="Times New Roman" w:hint="default"/>
        </w:rPr>
        <w:t>124.23%</w:t>
      </w:r>
      <w:r>
        <w:rPr/>
        <w:t>。梦网科技股权过户已办理完毕自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 纳入公司合并报表</w:t>
      </w:r>
    </w:p>
    <w:p>
      <w:pPr>
        <w:pStyle w:val="BodyText"/>
        <w:spacing w:line="417" w:lineRule="auto" w:before="106"/>
        <w:ind w:left="658" w:right="102"/>
        <w:jc w:val="left"/>
      </w:pPr>
      <w:r>
        <w:rPr/>
        <w:t>报告期，公司销售收入同比增长</w:t>
      </w:r>
      <w:r>
        <w:rPr>
          <w:rFonts w:ascii="Times New Roman" w:hAnsi="Times New Roman" w:cs="Times New Roman" w:eastAsia="Times New Roman" w:hint="default"/>
        </w:rPr>
        <w:t>94.49%</w:t>
      </w:r>
      <w:r>
        <w:rPr/>
        <w:t>，主要是合并梦网科技，公司本年收入增加所致。 </w:t>
      </w:r>
      <w:r>
        <w:rPr>
          <w:spacing w:val="-1"/>
        </w:rPr>
        <w:t>报告期，归属于母公司所有者的净利润增加</w:t>
      </w:r>
      <w:r>
        <w:rPr>
          <w:rFonts w:ascii="Times New Roman" w:hAnsi="Times New Roman" w:cs="Times New Roman" w:eastAsia="Times New Roman" w:hint="default"/>
          <w:spacing w:val="-1"/>
        </w:rPr>
        <w:t>138.25%</w:t>
      </w:r>
      <w:r>
        <w:rPr>
          <w:spacing w:val="-1"/>
        </w:rPr>
        <w:t>，主要是合并梦网科技盈利增加及公司出售房产</w:t>
      </w:r>
    </w:p>
    <w:p>
      <w:pPr>
        <w:pStyle w:val="BodyText"/>
        <w:spacing w:line="441" w:lineRule="auto" w:before="6"/>
        <w:ind w:left="574" w:right="102" w:hanging="420"/>
        <w:jc w:val="left"/>
      </w:pPr>
      <w:r>
        <w:rPr/>
        <w:t>导致营业外收入增加所致。 报告期，公司综合毛利同比下降</w:t>
      </w:r>
      <w:r>
        <w:rPr>
          <w:rFonts w:ascii="Times New Roman" w:hAnsi="Times New Roman" w:cs="Times New Roman" w:eastAsia="Times New Roman" w:hint="default"/>
        </w:rPr>
        <w:t>1.90%</w:t>
      </w:r>
      <w:r>
        <w:rPr/>
        <w:t>，主要是由于电力电子产品市场竞争激烈，价格下降，另外，</w:t>
      </w:r>
    </w:p>
    <w:p>
      <w:pPr>
        <w:pStyle w:val="BodyText"/>
        <w:spacing w:line="258" w:lineRule="exact"/>
        <w:ind w:right="102"/>
        <w:jc w:val="left"/>
      </w:pPr>
      <w:r>
        <w:rPr/>
        <w:t>梦网科技公司业务毛利相比公司传统业务低，摊薄了综合毛利。</w:t>
      </w:r>
    </w:p>
    <w:p>
      <w:pPr>
        <w:spacing w:line="240" w:lineRule="auto" w:before="9"/>
        <w:rPr>
          <w:rFonts w:ascii="宋体" w:hAnsi="宋体" w:cs="宋体" w:eastAsia="宋体" w:hint="default"/>
          <w:sz w:val="17"/>
          <w:szCs w:val="17"/>
        </w:rPr>
      </w:pPr>
    </w:p>
    <w:p>
      <w:pPr>
        <w:pStyle w:val="BodyText"/>
        <w:spacing w:line="398" w:lineRule="auto"/>
        <w:ind w:right="208" w:firstLine="420"/>
        <w:jc w:val="both"/>
      </w:pPr>
      <w:r>
        <w:rPr>
          <w:spacing w:val="-1"/>
        </w:rPr>
        <w:t>报告期，公司优化和整合传统业务，通过缩减规模和改革销售体系等举措努力降低费用，取得了明显</w:t>
      </w:r>
      <w:r>
        <w:rPr/>
        <w:t> </w:t>
      </w:r>
      <w:r>
        <w:rPr>
          <w:spacing w:val="-2"/>
        </w:rPr>
        <w:t>的效果，管理费用同比下降</w:t>
      </w:r>
      <w:r>
        <w:rPr>
          <w:rFonts w:ascii="Times New Roman" w:hAnsi="Times New Roman" w:cs="Times New Roman" w:eastAsia="Times New Roman" w:hint="default"/>
          <w:spacing w:val="-2"/>
        </w:rPr>
        <w:t>12.91%</w:t>
      </w:r>
      <w:r>
        <w:rPr>
          <w:spacing w:val="-2"/>
        </w:rPr>
        <w:t>，销售费用同比下降</w:t>
      </w:r>
      <w:r>
        <w:rPr>
          <w:rFonts w:ascii="Times New Roman" w:hAnsi="Times New Roman" w:cs="Times New Roman" w:eastAsia="Times New Roman" w:hint="default"/>
          <w:spacing w:val="-2"/>
        </w:rPr>
        <w:t>11.61%</w:t>
      </w:r>
      <w:r>
        <w:rPr>
          <w:spacing w:val="-2"/>
        </w:rPr>
        <w:t>。财务费用同比下降</w:t>
      </w:r>
      <w:r>
        <w:rPr>
          <w:rFonts w:ascii="Times New Roman" w:hAnsi="Times New Roman" w:cs="Times New Roman" w:eastAsia="Times New Roman" w:hint="default"/>
          <w:spacing w:val="-2"/>
        </w:rPr>
        <w:t>11.08%</w:t>
      </w:r>
      <w:r>
        <w:rPr>
          <w:spacing w:val="-2"/>
        </w:rPr>
        <w:t>，主要是借款利</w:t>
      </w:r>
      <w:r>
        <w:rPr>
          <w:spacing w:val="-82"/>
        </w:rPr>
        <w:t> </w:t>
      </w:r>
      <w:r>
        <w:rPr>
          <w:spacing w:val="-82"/>
        </w:rPr>
      </w:r>
      <w:r>
        <w:rPr/>
        <w:t>息及银行手续费减少的原因。</w:t>
      </w:r>
    </w:p>
    <w:p>
      <w:pPr>
        <w:pStyle w:val="BodyText"/>
        <w:spacing w:line="468" w:lineRule="auto" w:before="95"/>
        <w:ind w:left="574" w:right="102" w:hanging="1"/>
        <w:jc w:val="left"/>
      </w:pPr>
      <w:r>
        <w:rPr>
          <w:spacing w:val="-3"/>
        </w:rPr>
        <w:t>报告期，经营活动产生的现金流量净额为</w:t>
      </w:r>
      <w:r>
        <w:rPr>
          <w:rFonts w:ascii="Times New Roman" w:hAnsi="Times New Roman" w:cs="Times New Roman" w:eastAsia="Times New Roman" w:hint="default"/>
          <w:spacing w:val="-3"/>
        </w:rPr>
        <w:t>4,898.62</w:t>
      </w:r>
      <w:r>
        <w:rPr>
          <w:spacing w:val="-3"/>
        </w:rPr>
        <w:t>万元，同比增长</w:t>
      </w:r>
      <w:r>
        <w:rPr>
          <w:rFonts w:ascii="Times New Roman" w:hAnsi="Times New Roman" w:cs="Times New Roman" w:eastAsia="Times New Roman" w:hint="default"/>
          <w:spacing w:val="-3"/>
        </w:rPr>
        <w:t>143.55%</w:t>
      </w:r>
      <w:r>
        <w:rPr>
          <w:spacing w:val="-3"/>
        </w:rPr>
        <w:t>，主要是销售回款增加所致。</w:t>
      </w:r>
      <w:r>
        <w:rPr>
          <w:spacing w:val="-100"/>
        </w:rPr>
        <w:t> </w:t>
      </w:r>
      <w:r>
        <w:rPr>
          <w:spacing w:val="-100"/>
        </w:rPr>
      </w:r>
      <w:r>
        <w:rPr/>
        <w:t>公司通过收购梦网科技布局战略新兴产业，从传统制造业向现代智能制造业的转型和融合，实现了传</w:t>
      </w:r>
    </w:p>
    <w:p>
      <w:pPr>
        <w:pStyle w:val="BodyText"/>
        <w:spacing w:line="386" w:lineRule="auto"/>
        <w:ind w:right="102"/>
        <w:jc w:val="left"/>
      </w:pPr>
      <w:r>
        <w:rPr>
          <w:spacing w:val="-1"/>
        </w:rPr>
        <w:t>统产业和新兴产业的双轮驱动发展，目前梦网科技正处于快速发展时期，</w:t>
      </w:r>
      <w:r>
        <w:rPr>
          <w:rFonts w:ascii="Times New Roman" w:hAnsi="Times New Roman" w:cs="Times New Roman" w:eastAsia="Times New Roman" w:hint="default"/>
          <w:spacing w:val="-1"/>
        </w:rPr>
        <w:t>2015</w:t>
      </w:r>
      <w:r>
        <w:rPr>
          <w:spacing w:val="-1"/>
        </w:rPr>
        <w:t>年业绩增速超过预期，并有</w:t>
      </w:r>
      <w:r>
        <w:rPr>
          <w:spacing w:val="-84"/>
        </w:rPr>
        <w:t> </w:t>
      </w:r>
      <w:r>
        <w:rPr>
          <w:spacing w:val="-84"/>
        </w:rPr>
      </w:r>
      <w:r>
        <w:rPr/>
        <w:t>望继续保持快速发展的势头。</w:t>
      </w:r>
    </w:p>
    <w:p>
      <w:pPr>
        <w:spacing w:after="0" w:line="386"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63"/>
        <w:ind w:right="0"/>
        <w:jc w:val="left"/>
        <w:rPr>
          <w:b w:val="0"/>
          <w:bCs w:val="0"/>
        </w:rPr>
      </w:pPr>
      <w:r>
        <w:rPr/>
        <w:t>二、主营业务分析</w:t>
      </w:r>
      <w:r>
        <w:rPr>
          <w:b w:val="0"/>
          <w:bCs w:val="0"/>
        </w:rPr>
      </w:r>
    </w:p>
    <w:p>
      <w:pPr>
        <w:spacing w:line="240" w:lineRule="auto" w:before="8"/>
        <w:rPr>
          <w:rFonts w:ascii="宋体" w:hAnsi="宋体" w:cs="宋体" w:eastAsia="宋体" w:hint="default"/>
          <w:b/>
          <w:bCs/>
          <w:sz w:val="24"/>
          <w:szCs w:val="24"/>
        </w:rPr>
      </w:pPr>
    </w:p>
    <w:p>
      <w:pPr>
        <w:spacing w:line="544" w:lineRule="auto" w:before="0"/>
        <w:ind w:left="154" w:right="567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0"/>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3D3D3"/>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1,804,461,597.37</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927,799,821.68</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94.49%</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节能大功率电力电 子设备制造业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1,403,895,984.22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927,799,821.68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51.31%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移动信息服务业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400,565,613.15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电能质量与电力安 全</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874,725,216.58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501,802,059.28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74.32%</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变频传动与新能源 控制系统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339,013,093.29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299,070,358.52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13.36%</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其他（电力电子设 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190,157,674.35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126,927,403.88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13.68%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49.82%</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移动信息即时通讯 服务收入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387,024,819.33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21.45%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其他（移动信息服 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13,540,793.82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1,736,750,041.16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827,793,999.23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109.80%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67,711,556.21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100,005,822.45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-32.29%</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节能大功率电力 电子设备制造业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1,403,895,984.22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874,887,727.19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54.87%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移动信息服务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400,565,613.15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258,139,541.63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电能质量与电力 安全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874,725,216.58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571,638,513.11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81.00%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-3.51%</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变频传动与新能 源控制系统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339,013,093.29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193,590,268.74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9.98%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1.75%</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移动信息即时通 讯服务收入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387,024,819.33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253,868,601.33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34.41%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1,736,750,041.16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1,096,875,147.26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109.80%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117.75%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w:t>
            </w:r>
          </w:p>
        </w:tc>
      </w:tr>
    </w:tbl>
    <w:p>
      <w:pPr>
        <w:spacing w:before="51"/>
        <w:ind w:left="154" w:right="377"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53" w:right="37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before="0"/>
        <w:ind w:right="377"/>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spacing w:before="0"/>
        <w:ind w:left="154" w:right="37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611"/>
              <w:jc w:val="right"/>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val="restart"/>
            <w:tcBorders>
              <w:top w:val="single" w:sz="4" w:space="0" w:color="000000"/>
              <w:left w:val="single" w:sz="4" w:space="0" w:color="000000"/>
              <w:right w:val="single" w:sz="4" w:space="0" w:color="000000"/>
            </w:tcBorders>
          </w:tcPr>
          <w:p>
            <w:pPr>
              <w:pStyle w:val="TableParagraph"/>
              <w:spacing w:line="319" w:lineRule="auto" w:before="97"/>
              <w:ind w:left="22" w:right="121"/>
              <w:jc w:val="left"/>
              <w:rPr>
                <w:rFonts w:ascii="宋体" w:hAnsi="宋体" w:cs="宋体" w:eastAsia="宋体" w:hint="default"/>
                <w:sz w:val="18"/>
                <w:szCs w:val="18"/>
              </w:rPr>
            </w:pPr>
            <w:r>
              <w:rPr>
                <w:rFonts w:ascii="宋体" w:hAnsi="宋体" w:cs="宋体" w:eastAsia="宋体" w:hint="default"/>
                <w:sz w:val="18"/>
                <w:szCs w:val="18"/>
              </w:rPr>
              <w:t>节能大功率电力电 子装备制造业</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销售量（订单额）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611"/>
              <w:jc w:val="right"/>
              <w:rPr>
                <w:rFonts w:ascii="宋体" w:hAnsi="宋体" w:cs="宋体" w:eastAsia="宋体" w:hint="default"/>
                <w:sz w:val="18"/>
                <w:szCs w:val="18"/>
              </w:rPr>
            </w:pPr>
            <w:r>
              <w:rPr>
                <w:rFonts w:ascii="宋体" w:hAnsi="宋体" w:cs="宋体" w:eastAsia="宋体" w:hint="default"/>
                <w:sz w:val="18"/>
                <w:szCs w:val="18"/>
              </w:rPr>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141,249.96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139,238.61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1.44%</w:t>
            </w:r>
          </w:p>
        </w:tc>
      </w:tr>
      <w:tr>
        <w:trPr>
          <w:trHeight w:val="403"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生产量（销售收入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tabs>
                <w:tab w:pos="613" w:val="left" w:leader="none"/>
              </w:tabs>
              <w:spacing w:line="240" w:lineRule="auto" w:before="52"/>
              <w:ind w:left="-131" w:right="611"/>
              <w:jc w:val="right"/>
              <w:rPr>
                <w:rFonts w:ascii="宋体" w:hAnsi="宋体" w:cs="宋体" w:eastAsia="宋体" w:hint="default"/>
                <w:sz w:val="18"/>
                <w:szCs w:val="18"/>
              </w:rPr>
            </w:pPr>
            <w:r>
              <w:rPr>
                <w:rFonts w:ascii="宋体" w:hAnsi="宋体" w:cs="宋体" w:eastAsia="宋体" w:hint="default"/>
                <w:sz w:val="18"/>
                <w:szCs w:val="18"/>
              </w:rPr>
              <w:t>）</w:t>
              <w:tab/>
              <w:t>万元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140,389.6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92,779.98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51.31%</w:t>
            </w:r>
          </w:p>
        </w:tc>
      </w:tr>
    </w:tbl>
    <w:p>
      <w:pPr>
        <w:spacing w:before="51"/>
        <w:ind w:left="154" w:right="377" w:firstLine="0"/>
        <w:jc w:val="left"/>
        <w:rPr>
          <w:rFonts w:ascii="宋体" w:hAnsi="宋体" w:cs="宋体" w:eastAsia="宋体" w:hint="default"/>
          <w:sz w:val="18"/>
          <w:szCs w:val="18"/>
        </w:rPr>
      </w:pPr>
      <w:r>
        <w:rPr/>
        <w:pict>
          <v:group style="position:absolute;margin-left:216.419998pt;margin-top:-20.11787pt;width:79.2pt;height:19.6pt;mso-position-horizontal-relative:page;mso-position-vertical-relative:paragraph;z-index:-1028032" coordorigin="4328,-402" coordsize="1584,392">
            <v:group style="position:absolute;left:5890;top:-402;width:23;height:392" coordorigin="5890,-402" coordsize="23,392">
              <v:shape style="position:absolute;left:5890;top:-402;width:23;height:392" coordorigin="5890,-402" coordsize="23,392" path="m5890,-11l5912,-11,5912,-402,5890,-402,5890,-11xe" filled="true" fillcolor="#ffffff" stroked="false">
                <v:path arrowok="t"/>
                <v:fill type="solid"/>
              </v:shape>
            </v:group>
            <v:group style="position:absolute;left:4328;top:-402;width:24;height:392" coordorigin="4328,-402" coordsize="24,392">
              <v:shape style="position:absolute;left:4328;top:-402;width:24;height:392" coordorigin="4328,-402" coordsize="24,392" path="m4328,-11l4352,-11,4352,-402,4328,-402,4328,-11xe" filled="true" fillcolor="#ffffff" stroked="false">
                <v:path arrowok="t"/>
                <v:fill type="solid"/>
              </v:shape>
            </v:group>
            <v:group style="position:absolute;left:4352;top:-402;width:1538;height:392" coordorigin="4352,-402" coordsize="1538,392">
              <v:shape style="position:absolute;left:4352;top:-402;width:1538;height:392" coordorigin="4352,-402" coordsize="1538,392" path="m4352,-11l5890,-11,5890,-402,4352,-402,4352,-11xe" filled="true" fillcolor="#ffffff" stroked="false">
                <v:path arrowok="t"/>
                <v:fill type="solid"/>
              </v:shape>
            </v:group>
            <w10:wrap type="none"/>
          </v:group>
        </w:pict>
      </w: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2"/>
        <w:ind w:left="154" w:right="37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5"/>
        <w:ind w:right="377" w:firstLine="420"/>
        <w:jc w:val="left"/>
      </w:pPr>
      <w:r>
        <w:rPr/>
        <w:t>报告期，公司节能大功率电力电子装备实现销售收入</w:t>
      </w:r>
      <w:r>
        <w:rPr>
          <w:rFonts w:ascii="Times New Roman" w:hAnsi="Times New Roman" w:cs="Times New Roman" w:eastAsia="Times New Roman" w:hint="default"/>
        </w:rPr>
        <w:t>140,389.60</w:t>
      </w:r>
      <w:r>
        <w:rPr/>
        <w:t>万元，同比增长</w:t>
      </w:r>
      <w:r>
        <w:rPr>
          <w:rFonts w:ascii="Times New Roman" w:hAnsi="Times New Roman" w:cs="Times New Roman" w:eastAsia="Times New Roman" w:hint="default"/>
        </w:rPr>
        <w:t>51.31%</w:t>
      </w:r>
      <w:r>
        <w:rPr/>
        <w:t>，主要是公司 在手订单执行比上年加快，销售收入确认增加。</w:t>
      </w:r>
    </w:p>
    <w:p>
      <w:pPr>
        <w:spacing w:line="240" w:lineRule="auto" w:before="0"/>
        <w:rPr>
          <w:rFonts w:ascii="宋体" w:hAnsi="宋体" w:cs="宋体" w:eastAsia="宋体" w:hint="default"/>
          <w:sz w:val="22"/>
          <w:szCs w:val="22"/>
        </w:rPr>
      </w:pPr>
    </w:p>
    <w:p>
      <w:pPr>
        <w:pStyle w:val="Heading3"/>
        <w:spacing w:line="240" w:lineRule="auto" w:before="0"/>
        <w:ind w:right="377"/>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8"/>
        <w:rPr>
          <w:rFonts w:ascii="宋体" w:hAnsi="宋体" w:cs="宋体" w:eastAsia="宋体" w:hint="default"/>
          <w:b/>
          <w:bCs/>
          <w:sz w:val="26"/>
          <w:szCs w:val="26"/>
        </w:rPr>
      </w:pPr>
    </w:p>
    <w:p>
      <w:pPr>
        <w:spacing w:before="0"/>
        <w:ind w:left="154" w:right="37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Heading3"/>
        <w:spacing w:line="240" w:lineRule="auto" w:before="153"/>
        <w:ind w:left="490" w:right="377"/>
        <w:jc w:val="left"/>
        <w:rPr>
          <w:b w:val="0"/>
          <w:bCs w:val="0"/>
        </w:rPr>
      </w:pPr>
      <w:r>
        <w:rPr/>
        <w:t>（一）节能大功率电力电子设备制造业订单签订情况</w:t>
      </w:r>
      <w:r>
        <w:rPr>
          <w:b w:val="0"/>
          <w:bCs w:val="0"/>
        </w:rPr>
      </w:r>
    </w:p>
    <w:p>
      <w:pPr>
        <w:spacing w:line="240" w:lineRule="auto" w:before="10"/>
        <w:rPr>
          <w:rFonts w:ascii="宋体" w:hAnsi="宋体" w:cs="宋体" w:eastAsia="宋体" w:hint="default"/>
          <w:b/>
          <w:bCs/>
          <w:sz w:val="14"/>
          <w:szCs w:val="14"/>
        </w:rPr>
      </w:pPr>
    </w:p>
    <w:p>
      <w:pPr>
        <w:pStyle w:val="BodyText"/>
        <w:spacing w:line="240" w:lineRule="auto"/>
        <w:ind w:left="659" w:right="377"/>
        <w:jc w:val="left"/>
      </w:pPr>
      <w:r>
        <w:rPr>
          <w:rFonts w:ascii="Times New Roman" w:hAnsi="Times New Roman" w:cs="Times New Roman" w:eastAsia="Times New Roman" w:hint="default"/>
        </w:rPr>
        <w:t>2015</w:t>
      </w:r>
      <w:r>
        <w:rPr/>
        <w:t>年，节能大功率电力电子设备新签订订单</w:t>
      </w:r>
      <w:r>
        <w:rPr>
          <w:rFonts w:ascii="Times New Roman" w:hAnsi="Times New Roman" w:cs="Times New Roman" w:eastAsia="Times New Roman" w:hint="default"/>
        </w:rPr>
        <w:t>141,249.96</w:t>
      </w:r>
      <w:r>
        <w:rPr/>
        <w:t>万元（含税），同比增长</w:t>
      </w:r>
      <w:r>
        <w:rPr>
          <w:rFonts w:ascii="Times New Roman" w:hAnsi="Times New Roman" w:cs="Times New Roman" w:eastAsia="Times New Roman" w:hint="default"/>
        </w:rPr>
        <w:t>1.44%</w:t>
      </w:r>
      <w:r>
        <w:rPr/>
        <w:t>。</w:t>
      </w:r>
    </w:p>
    <w:p>
      <w:pPr>
        <w:pStyle w:val="BodyText"/>
        <w:tabs>
          <w:tab w:pos="8892" w:val="left" w:leader="none"/>
        </w:tabs>
        <w:spacing w:line="240" w:lineRule="auto" w:before="140"/>
        <w:ind w:left="574" w:right="215"/>
        <w:jc w:val="left"/>
      </w:pPr>
      <w:r>
        <w:rPr>
          <w:spacing w:val="-4"/>
        </w:rPr>
        <w:t>（</w:t>
      </w:r>
      <w:r>
        <w:rPr>
          <w:rFonts w:ascii="Times New Roman" w:hAnsi="Times New Roman" w:cs="Times New Roman" w:eastAsia="Times New Roman" w:hint="default"/>
          <w:spacing w:val="-4"/>
        </w:rPr>
        <w:t>1</w:t>
      </w:r>
      <w:r>
        <w:rPr>
          <w:spacing w:val="-4"/>
        </w:rPr>
        <w:t>）订单行业分布</w:t>
        <w:tab/>
      </w:r>
      <w:r>
        <w:rPr/>
        <w:t>单位</w:t>
      </w:r>
      <w:r>
        <w:rPr>
          <w:rFonts w:ascii="Times New Roman" w:hAnsi="Times New Roman" w:cs="Times New Roman" w:eastAsia="Times New Roman" w:hint="default"/>
        </w:rPr>
        <w:t>:</w:t>
      </w:r>
      <w:r>
        <w:rPr/>
        <w:t>万元</w:t>
      </w:r>
    </w:p>
    <w:p>
      <w:pPr>
        <w:spacing w:line="240" w:lineRule="auto" w:before="1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562"/>
        <w:gridCol w:w="1160"/>
        <w:gridCol w:w="1162"/>
        <w:gridCol w:w="1160"/>
        <w:gridCol w:w="1061"/>
        <w:gridCol w:w="1162"/>
        <w:gridCol w:w="1160"/>
        <w:gridCol w:w="1162"/>
        <w:gridCol w:w="1266"/>
      </w:tblGrid>
      <w:tr>
        <w:trPr>
          <w:trHeight w:val="427" w:hRule="exact"/>
        </w:trPr>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行业</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冶金</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发电</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煤炭</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石油石化</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电网</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有色</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其他</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427" w:hRule="exact"/>
        </w:trPr>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14,444.77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
              <w:jc w:val="center"/>
              <w:rPr>
                <w:rFonts w:ascii="Times New Roman" w:hAnsi="Times New Roman" w:cs="Times New Roman" w:eastAsia="Times New Roman" w:hint="default"/>
                <w:sz w:val="21"/>
                <w:szCs w:val="21"/>
              </w:rPr>
            </w:pPr>
            <w:r>
              <w:rPr>
                <w:rFonts w:ascii="Times New Roman"/>
                <w:sz w:val="21"/>
              </w:rPr>
              <w:t>69,107.46</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8,747.30</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1"/>
              <w:jc w:val="center"/>
              <w:rPr>
                <w:rFonts w:ascii="Times New Roman" w:hAnsi="Times New Roman" w:cs="Times New Roman" w:eastAsia="Times New Roman" w:hint="default"/>
                <w:sz w:val="21"/>
                <w:szCs w:val="21"/>
              </w:rPr>
            </w:pPr>
            <w:r>
              <w:rPr>
                <w:rFonts w:ascii="Times New Roman"/>
                <w:sz w:val="21"/>
              </w:rPr>
              <w:t>7,199.57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24,784.71</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3,229.31</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left="2" w:right="0"/>
              <w:jc w:val="center"/>
              <w:rPr>
                <w:rFonts w:ascii="Times New Roman" w:hAnsi="Times New Roman" w:cs="Times New Roman" w:eastAsia="Times New Roman" w:hint="default"/>
                <w:sz w:val="21"/>
                <w:szCs w:val="21"/>
              </w:rPr>
            </w:pPr>
            <w:r>
              <w:rPr>
                <w:rFonts w:ascii="Times New Roman"/>
                <w:sz w:val="21"/>
              </w:rPr>
              <w:t>13,736.84</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141,249.96</w:t>
            </w:r>
          </w:p>
        </w:tc>
      </w:tr>
    </w:tbl>
    <w:p>
      <w:pPr>
        <w:spacing w:after="0" w:line="240" w:lineRule="auto"/>
        <w:jc w:val="center"/>
        <w:rPr>
          <w:rFonts w:ascii="Times New Roman" w:hAnsi="Times New Roman" w:cs="Times New Roman" w:eastAsia="Times New Roman" w:hint="default"/>
          <w:sz w:val="21"/>
          <w:szCs w:val="21"/>
        </w:rPr>
        <w:sectPr>
          <w:pgSz w:w="11910" w:h="16840"/>
          <w:pgMar w:header="747" w:footer="982" w:top="1060" w:bottom="1180" w:left="980" w:right="80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562"/>
        <w:gridCol w:w="1160"/>
        <w:gridCol w:w="1162"/>
        <w:gridCol w:w="1160"/>
        <w:gridCol w:w="1061"/>
        <w:gridCol w:w="1162"/>
        <w:gridCol w:w="1160"/>
        <w:gridCol w:w="1162"/>
        <w:gridCol w:w="1266"/>
      </w:tblGrid>
      <w:tr>
        <w:trPr>
          <w:trHeight w:val="427" w:hRule="exact"/>
        </w:trPr>
        <w:tc>
          <w:tcPr>
            <w:tcW w:w="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6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48" w:right="0"/>
              <w:jc w:val="left"/>
              <w:rPr>
                <w:rFonts w:ascii="Times New Roman" w:hAnsi="Times New Roman" w:cs="Times New Roman" w:eastAsia="Times New Roman" w:hint="default"/>
                <w:sz w:val="21"/>
                <w:szCs w:val="21"/>
              </w:rPr>
            </w:pPr>
            <w:r>
              <w:rPr>
                <w:rFonts w:ascii="Times New Roman"/>
                <w:sz w:val="21"/>
              </w:rPr>
              <w:t>10.23%</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48" w:right="0"/>
              <w:jc w:val="left"/>
              <w:rPr>
                <w:rFonts w:ascii="Times New Roman" w:hAnsi="Times New Roman" w:cs="Times New Roman" w:eastAsia="Times New Roman" w:hint="default"/>
                <w:sz w:val="21"/>
                <w:szCs w:val="21"/>
              </w:rPr>
            </w:pPr>
            <w:r>
              <w:rPr>
                <w:rFonts w:ascii="Times New Roman"/>
                <w:sz w:val="21"/>
              </w:rPr>
              <w:t>48.92%</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00" w:right="0"/>
              <w:jc w:val="left"/>
              <w:rPr>
                <w:rFonts w:ascii="Times New Roman" w:hAnsi="Times New Roman" w:cs="Times New Roman" w:eastAsia="Times New Roman" w:hint="default"/>
                <w:sz w:val="21"/>
                <w:szCs w:val="21"/>
              </w:rPr>
            </w:pPr>
            <w:r>
              <w:rPr>
                <w:rFonts w:ascii="Times New Roman"/>
                <w:sz w:val="21"/>
              </w:rPr>
              <w:t>6.19%</w:t>
            </w:r>
          </w:p>
        </w:tc>
        <w:tc>
          <w:tcPr>
            <w:tcW w:w="10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51" w:right="0"/>
              <w:jc w:val="left"/>
              <w:rPr>
                <w:rFonts w:ascii="Times New Roman" w:hAnsi="Times New Roman" w:cs="Times New Roman" w:eastAsia="Times New Roman" w:hint="default"/>
                <w:sz w:val="21"/>
                <w:szCs w:val="21"/>
              </w:rPr>
            </w:pPr>
            <w:r>
              <w:rPr>
                <w:rFonts w:ascii="Times New Roman"/>
                <w:sz w:val="21"/>
              </w:rPr>
              <w:t>5.10%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248" w:right="0"/>
              <w:jc w:val="left"/>
              <w:rPr>
                <w:rFonts w:ascii="Times New Roman" w:hAnsi="Times New Roman" w:cs="Times New Roman" w:eastAsia="Times New Roman" w:hint="default"/>
                <w:sz w:val="21"/>
                <w:szCs w:val="21"/>
              </w:rPr>
            </w:pPr>
            <w:r>
              <w:rPr>
                <w:rFonts w:ascii="Times New Roman"/>
                <w:sz w:val="21"/>
              </w:rPr>
              <w:t>17.55%</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01" w:right="0"/>
              <w:jc w:val="left"/>
              <w:rPr>
                <w:rFonts w:ascii="Times New Roman" w:hAnsi="Times New Roman" w:cs="Times New Roman" w:eastAsia="Times New Roman" w:hint="default"/>
                <w:sz w:val="21"/>
                <w:szCs w:val="21"/>
              </w:rPr>
            </w:pPr>
            <w:r>
              <w:rPr>
                <w:rFonts w:ascii="Times New Roman"/>
                <w:sz w:val="21"/>
              </w:rPr>
              <w:t>2.29%</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02" w:right="0"/>
              <w:jc w:val="left"/>
              <w:rPr>
                <w:rFonts w:ascii="Times New Roman" w:hAnsi="Times New Roman" w:cs="Times New Roman" w:eastAsia="Times New Roman" w:hint="default"/>
                <w:sz w:val="21"/>
                <w:szCs w:val="21"/>
              </w:rPr>
            </w:pPr>
            <w:r>
              <w:rPr>
                <w:rFonts w:ascii="Times New Roman"/>
                <w:sz w:val="21"/>
              </w:rPr>
              <w:t>9.72%</w:t>
            </w:r>
          </w:p>
        </w:tc>
        <w:tc>
          <w:tcPr>
            <w:tcW w:w="1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80" w:right="0"/>
              <w:jc w:val="left"/>
              <w:rPr>
                <w:rFonts w:ascii="Times New Roman" w:hAnsi="Times New Roman" w:cs="Times New Roman" w:eastAsia="Times New Roman" w:hint="default"/>
                <w:sz w:val="21"/>
                <w:szCs w:val="21"/>
              </w:rPr>
            </w:pPr>
            <w:r>
              <w:rPr>
                <w:rFonts w:ascii="Times New Roman"/>
                <w:sz w:val="21"/>
              </w:rPr>
              <w:t>100%</w:t>
            </w:r>
          </w:p>
        </w:tc>
      </w:tr>
    </w:tbl>
    <w:p>
      <w:pPr>
        <w:pStyle w:val="BodyText"/>
        <w:tabs>
          <w:tab w:pos="8759" w:val="left" w:leader="none"/>
        </w:tabs>
        <w:spacing w:line="240" w:lineRule="auto" w:before="26"/>
        <w:ind w:left="636" w:right="215"/>
        <w:jc w:val="left"/>
      </w:pPr>
      <w:r>
        <w:rPr>
          <w:spacing w:val="-2"/>
        </w:rPr>
        <w:t>（</w:t>
      </w:r>
      <w:r>
        <w:rPr>
          <w:rFonts w:ascii="Times New Roman" w:hAnsi="Times New Roman" w:cs="Times New Roman" w:eastAsia="Times New Roman" w:hint="default"/>
          <w:spacing w:val="-2"/>
        </w:rPr>
        <w:t>2</w:t>
      </w:r>
      <w:r>
        <w:rPr>
          <w:spacing w:val="-2"/>
        </w:rPr>
        <w:t>）订单分产品情况</w:t>
        <w:tab/>
      </w:r>
      <w:r>
        <w:rPr>
          <w:spacing w:val="-4"/>
        </w:rPr>
        <w:t>单位：万元</w:t>
      </w:r>
    </w:p>
    <w:p>
      <w:pPr>
        <w:spacing w:line="240" w:lineRule="auto" w:before="1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650"/>
        <w:gridCol w:w="1160"/>
        <w:gridCol w:w="1145"/>
        <w:gridCol w:w="1156"/>
        <w:gridCol w:w="2083"/>
        <w:gridCol w:w="1271"/>
        <w:gridCol w:w="1152"/>
        <w:gridCol w:w="1231"/>
      </w:tblGrid>
      <w:tr>
        <w:trPr>
          <w:trHeight w:val="369" w:hRule="exact"/>
        </w:trPr>
        <w:tc>
          <w:tcPr>
            <w:tcW w:w="650" w:type="dxa"/>
            <w:vMerge w:val="restart"/>
            <w:tcBorders>
              <w:top w:val="single" w:sz="6" w:space="0" w:color="000000"/>
              <w:left w:val="single" w:sz="6" w:space="0" w:color="000000"/>
              <w:right w:val="single" w:sz="6" w:space="0" w:color="000000"/>
            </w:tcBorders>
          </w:tcPr>
          <w:p>
            <w:pPr>
              <w:pStyle w:val="TableParagraph"/>
              <w:spacing w:line="307" w:lineRule="auto" w:before="36"/>
              <w:ind w:left="212" w:right="211"/>
              <w:jc w:val="center"/>
              <w:rPr>
                <w:rFonts w:ascii="宋体" w:hAnsi="宋体" w:cs="宋体" w:eastAsia="宋体" w:hint="default"/>
                <w:sz w:val="21"/>
                <w:szCs w:val="21"/>
              </w:rPr>
            </w:pPr>
            <w:r>
              <w:rPr>
                <w:rFonts w:ascii="宋体" w:hAnsi="宋体" w:cs="宋体" w:eastAsia="宋体" w:hint="default"/>
                <w:sz w:val="21"/>
                <w:szCs w:val="21"/>
              </w:rPr>
              <w:t>产 品</w:t>
            </w:r>
          </w:p>
        </w:tc>
        <w:tc>
          <w:tcPr>
            <w:tcW w:w="1160"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高压动态无</w:t>
            </w:r>
          </w:p>
        </w:tc>
        <w:tc>
          <w:tcPr>
            <w:tcW w:w="11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6"/>
              <w:ind w:right="353"/>
              <w:jc w:val="right"/>
              <w:rPr>
                <w:rFonts w:ascii="宋体" w:hAnsi="宋体" w:cs="宋体" w:eastAsia="宋体" w:hint="default"/>
                <w:sz w:val="21"/>
                <w:szCs w:val="21"/>
              </w:rPr>
            </w:pPr>
            <w:r>
              <w:rPr>
                <w:rFonts w:ascii="宋体" w:hAnsi="宋体" w:cs="宋体" w:eastAsia="宋体" w:hint="default"/>
                <w:sz w:val="21"/>
                <w:szCs w:val="21"/>
              </w:rPr>
              <w:t>串补</w:t>
            </w:r>
          </w:p>
        </w:tc>
        <w:tc>
          <w:tcPr>
            <w:tcW w:w="115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静止无功发</w:t>
            </w:r>
          </w:p>
        </w:tc>
        <w:tc>
          <w:tcPr>
            <w:tcW w:w="208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高压变频调速装置及</w:t>
            </w:r>
          </w:p>
        </w:tc>
        <w:tc>
          <w:tcPr>
            <w:tcW w:w="127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智能瓦斯排</w:t>
            </w:r>
          </w:p>
        </w:tc>
        <w:tc>
          <w:tcPr>
            <w:tcW w:w="115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6"/>
              <w:ind w:right="0"/>
              <w:jc w:val="center"/>
              <w:rPr>
                <w:rFonts w:ascii="宋体" w:hAnsi="宋体" w:cs="宋体" w:eastAsia="宋体" w:hint="default"/>
                <w:sz w:val="21"/>
                <w:szCs w:val="21"/>
              </w:rPr>
            </w:pPr>
            <w:r>
              <w:rPr>
                <w:rFonts w:ascii="宋体" w:hAnsi="宋体" w:cs="宋体" w:eastAsia="宋体" w:hint="default"/>
                <w:sz w:val="21"/>
                <w:szCs w:val="21"/>
              </w:rPr>
              <w:t>电力滤波</w:t>
            </w:r>
          </w:p>
        </w:tc>
        <w:tc>
          <w:tcPr>
            <w:tcW w:w="1231"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6"/>
              <w:ind w:right="1"/>
              <w:jc w:val="center"/>
              <w:rPr>
                <w:rFonts w:ascii="宋体" w:hAnsi="宋体" w:cs="宋体" w:eastAsia="宋体" w:hint="default"/>
                <w:sz w:val="21"/>
                <w:szCs w:val="21"/>
              </w:rPr>
            </w:pPr>
            <w:r>
              <w:rPr>
                <w:rFonts w:ascii="宋体" w:hAnsi="宋体" w:cs="宋体" w:eastAsia="宋体" w:hint="default"/>
                <w:sz w:val="21"/>
                <w:szCs w:val="21"/>
              </w:rPr>
              <w:t>备件及其他</w:t>
            </w:r>
          </w:p>
        </w:tc>
      </w:tr>
      <w:tr>
        <w:trPr>
          <w:trHeight w:val="343" w:hRule="exact"/>
        </w:trPr>
        <w:tc>
          <w:tcPr>
            <w:tcW w:w="650" w:type="dxa"/>
            <w:vMerge/>
            <w:tcBorders>
              <w:left w:val="single" w:sz="6" w:space="0" w:color="000000"/>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60" w:lineRule="exact"/>
              <w:ind w:right="0"/>
              <w:jc w:val="center"/>
              <w:rPr>
                <w:rFonts w:ascii="宋体" w:hAnsi="宋体" w:cs="宋体" w:eastAsia="宋体" w:hint="default"/>
                <w:sz w:val="21"/>
                <w:szCs w:val="21"/>
              </w:rPr>
            </w:pPr>
            <w:r>
              <w:rPr>
                <w:rFonts w:ascii="宋体" w:hAnsi="宋体" w:cs="宋体" w:eastAsia="宋体" w:hint="default"/>
                <w:sz w:val="21"/>
                <w:szCs w:val="21"/>
              </w:rPr>
              <w:t>功补偿装置</w:t>
            </w:r>
          </w:p>
        </w:tc>
        <w:tc>
          <w:tcPr>
            <w:tcW w:w="1145" w:type="dxa"/>
            <w:tcBorders>
              <w:top w:val="nil" w:sz="6" w:space="0" w:color="auto"/>
              <w:left w:val="single" w:sz="6" w:space="0" w:color="000000"/>
              <w:bottom w:val="nil" w:sz="6" w:space="0" w:color="auto"/>
              <w:right w:val="single" w:sz="6" w:space="0" w:color="000000"/>
            </w:tcBorders>
          </w:tcPr>
          <w:p>
            <w:pPr>
              <w:pStyle w:val="TableParagraph"/>
              <w:spacing w:line="240" w:lineRule="auto" w:before="75"/>
              <w:ind w:left="1" w:right="0"/>
              <w:jc w:val="center"/>
              <w:rPr>
                <w:rFonts w:ascii="Times New Roman" w:hAnsi="Times New Roman" w:cs="Times New Roman" w:eastAsia="Times New Roman" w:hint="default"/>
                <w:sz w:val="21"/>
                <w:szCs w:val="21"/>
              </w:rPr>
            </w:pPr>
            <w:r>
              <w:rPr>
                <w:rFonts w:ascii="Times New Roman"/>
                <w:sz w:val="21"/>
              </w:rPr>
              <w:t>FSC</w:t>
            </w:r>
          </w:p>
        </w:tc>
        <w:tc>
          <w:tcPr>
            <w:tcW w:w="1156" w:type="dxa"/>
            <w:tcBorders>
              <w:top w:val="nil" w:sz="6" w:space="0" w:color="auto"/>
              <w:left w:val="single" w:sz="6" w:space="0" w:color="000000"/>
              <w:bottom w:val="nil" w:sz="6" w:space="0" w:color="auto"/>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生器</w:t>
            </w:r>
          </w:p>
        </w:tc>
        <w:tc>
          <w:tcPr>
            <w:tcW w:w="2083" w:type="dxa"/>
            <w:tcBorders>
              <w:top w:val="nil" w:sz="6" w:space="0" w:color="auto"/>
              <w:left w:val="single" w:sz="6" w:space="0" w:color="000000"/>
              <w:bottom w:val="nil" w:sz="6" w:space="0" w:color="auto"/>
              <w:right w:val="single" w:sz="6" w:space="0" w:color="000000"/>
            </w:tcBorders>
          </w:tcPr>
          <w:p>
            <w:pPr>
              <w:pStyle w:val="TableParagraph"/>
              <w:spacing w:line="260" w:lineRule="exact"/>
              <w:ind w:right="1"/>
              <w:jc w:val="center"/>
              <w:rPr>
                <w:rFonts w:ascii="宋体" w:hAnsi="宋体" w:cs="宋体" w:eastAsia="宋体" w:hint="default"/>
                <w:sz w:val="21"/>
                <w:szCs w:val="21"/>
              </w:rPr>
            </w:pPr>
            <w:r>
              <w:rPr>
                <w:rFonts w:ascii="宋体" w:hAnsi="宋体" w:cs="宋体" w:eastAsia="宋体" w:hint="default"/>
                <w:sz w:val="21"/>
                <w:szCs w:val="21"/>
              </w:rPr>
              <w:t>高压软启动装置</w:t>
            </w:r>
          </w:p>
        </w:tc>
        <w:tc>
          <w:tcPr>
            <w:tcW w:w="1271" w:type="dxa"/>
            <w:tcBorders>
              <w:top w:val="nil" w:sz="6" w:space="0" w:color="auto"/>
              <w:left w:val="single" w:sz="6" w:space="0" w:color="000000"/>
              <w:bottom w:val="nil" w:sz="6" w:space="0" w:color="auto"/>
              <w:right w:val="single" w:sz="6" w:space="0" w:color="000000"/>
            </w:tcBorders>
          </w:tcPr>
          <w:p>
            <w:pPr>
              <w:pStyle w:val="TableParagraph"/>
              <w:spacing w:line="27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放装置</w:t>
            </w:r>
            <w:r>
              <w:rPr>
                <w:rFonts w:ascii="Times New Roman" w:hAnsi="Times New Roman" w:cs="Times New Roman" w:eastAsia="Times New Roman" w:hint="default"/>
                <w:sz w:val="21"/>
                <w:szCs w:val="21"/>
              </w:rPr>
              <w:t>MABZ</w:t>
            </w:r>
          </w:p>
        </w:tc>
        <w:tc>
          <w:tcPr>
            <w:tcW w:w="1152" w:type="dxa"/>
            <w:tcBorders>
              <w:top w:val="nil" w:sz="6" w:space="0" w:color="auto"/>
              <w:left w:val="single" w:sz="6" w:space="0" w:color="000000"/>
              <w:bottom w:val="nil" w:sz="6" w:space="0" w:color="auto"/>
              <w:right w:val="single" w:sz="6" w:space="0" w:color="000000"/>
            </w:tcBorders>
          </w:tcPr>
          <w:p>
            <w:pPr>
              <w:pStyle w:val="TableParagraph"/>
              <w:spacing w:line="240" w:lineRule="auto" w:before="75"/>
              <w:ind w:right="0"/>
              <w:jc w:val="center"/>
              <w:rPr>
                <w:rFonts w:ascii="Times New Roman" w:hAnsi="Times New Roman" w:cs="Times New Roman" w:eastAsia="Times New Roman" w:hint="default"/>
                <w:sz w:val="21"/>
                <w:szCs w:val="21"/>
              </w:rPr>
            </w:pPr>
            <w:r>
              <w:rPr>
                <w:rFonts w:ascii="Times New Roman"/>
                <w:sz w:val="21"/>
              </w:rPr>
              <w:t>FC</w:t>
            </w:r>
          </w:p>
        </w:tc>
        <w:tc>
          <w:tcPr>
            <w:tcW w:w="1231" w:type="dxa"/>
            <w:tcBorders>
              <w:top w:val="nil" w:sz="6" w:space="0" w:color="auto"/>
              <w:left w:val="single" w:sz="6" w:space="0" w:color="000000"/>
              <w:bottom w:val="nil" w:sz="6" w:space="0" w:color="auto"/>
              <w:right w:val="single" w:sz="6" w:space="0" w:color="000000"/>
            </w:tcBorders>
          </w:tcPr>
          <w:p>
            <w:pPr/>
          </w:p>
        </w:tc>
      </w:tr>
      <w:tr>
        <w:trPr>
          <w:trHeight w:val="293" w:hRule="exact"/>
        </w:trPr>
        <w:tc>
          <w:tcPr>
            <w:tcW w:w="650" w:type="dxa"/>
            <w:vMerge/>
            <w:tcBorders>
              <w:left w:val="single" w:sz="6" w:space="0" w:color="000000"/>
              <w:right w:val="single" w:sz="6" w:space="0" w:color="000000"/>
            </w:tcBorders>
          </w:tcPr>
          <w:p>
            <w:pPr/>
          </w:p>
        </w:tc>
        <w:tc>
          <w:tcPr>
            <w:tcW w:w="1160"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center"/>
              <w:rPr>
                <w:rFonts w:ascii="Times New Roman" w:hAnsi="Times New Roman" w:cs="Times New Roman" w:eastAsia="Times New Roman" w:hint="default"/>
                <w:sz w:val="21"/>
                <w:szCs w:val="21"/>
              </w:rPr>
            </w:pPr>
            <w:r>
              <w:rPr>
                <w:rFonts w:ascii="Times New Roman"/>
                <w:sz w:val="21"/>
              </w:rPr>
              <w:t>SVC</w:t>
            </w:r>
          </w:p>
        </w:tc>
        <w:tc>
          <w:tcPr>
            <w:tcW w:w="1145" w:type="dxa"/>
            <w:tcBorders>
              <w:top w:val="nil" w:sz="6" w:space="0" w:color="auto"/>
              <w:left w:val="single" w:sz="6" w:space="0" w:color="000000"/>
              <w:bottom w:val="nil" w:sz="6" w:space="0" w:color="auto"/>
              <w:right w:val="single" w:sz="6" w:space="0" w:color="000000"/>
            </w:tcBorders>
          </w:tcPr>
          <w:p>
            <w:pPr/>
          </w:p>
        </w:tc>
        <w:tc>
          <w:tcPr>
            <w:tcW w:w="1156" w:type="dxa"/>
            <w:tcBorders>
              <w:top w:val="nil" w:sz="6" w:space="0" w:color="auto"/>
              <w:left w:val="single" w:sz="6" w:space="0" w:color="000000"/>
              <w:bottom w:val="nil" w:sz="6" w:space="0" w:color="auto"/>
              <w:right w:val="single" w:sz="6" w:space="0" w:color="000000"/>
            </w:tcBorders>
          </w:tcPr>
          <w:p>
            <w:pPr>
              <w:pStyle w:val="TableParagraph"/>
              <w:spacing w:line="240" w:lineRule="auto" w:before="3"/>
              <w:ind w:right="1"/>
              <w:jc w:val="center"/>
              <w:rPr>
                <w:rFonts w:ascii="Times New Roman" w:hAnsi="Times New Roman" w:cs="Times New Roman" w:eastAsia="Times New Roman" w:hint="default"/>
                <w:sz w:val="21"/>
                <w:szCs w:val="21"/>
              </w:rPr>
            </w:pPr>
            <w:r>
              <w:rPr>
                <w:rFonts w:ascii="Times New Roman"/>
                <w:sz w:val="21"/>
              </w:rPr>
              <w:t>SVG/STAT</w:t>
            </w:r>
          </w:p>
        </w:tc>
        <w:tc>
          <w:tcPr>
            <w:tcW w:w="2083" w:type="dxa"/>
            <w:tcBorders>
              <w:top w:val="nil" w:sz="6" w:space="0" w:color="auto"/>
              <w:left w:val="single" w:sz="6" w:space="0" w:color="000000"/>
              <w:bottom w:val="nil" w:sz="6" w:space="0" w:color="auto"/>
              <w:right w:val="single" w:sz="6" w:space="0" w:color="000000"/>
            </w:tcBorders>
          </w:tcPr>
          <w:p>
            <w:pPr>
              <w:pStyle w:val="TableParagraph"/>
              <w:spacing w:line="240" w:lineRule="auto" w:before="4"/>
              <w:ind w:right="0"/>
              <w:jc w:val="center"/>
              <w:rPr>
                <w:rFonts w:ascii="Times New Roman" w:hAnsi="Times New Roman" w:cs="Times New Roman" w:eastAsia="Times New Roman" w:hint="default"/>
                <w:sz w:val="21"/>
                <w:szCs w:val="21"/>
              </w:rPr>
            </w:pPr>
            <w:r>
              <w:rPr>
                <w:rFonts w:ascii="Times New Roman"/>
                <w:sz w:val="21"/>
              </w:rPr>
              <w:t>HVC/VFS</w:t>
            </w:r>
          </w:p>
        </w:tc>
        <w:tc>
          <w:tcPr>
            <w:tcW w:w="1271" w:type="dxa"/>
            <w:tcBorders>
              <w:top w:val="nil" w:sz="6" w:space="0" w:color="auto"/>
              <w:left w:val="single" w:sz="6" w:space="0" w:color="000000"/>
              <w:bottom w:val="nil" w:sz="6" w:space="0" w:color="auto"/>
              <w:right w:val="single" w:sz="6" w:space="0" w:color="000000"/>
            </w:tcBorders>
          </w:tcPr>
          <w:p>
            <w:pPr/>
          </w:p>
        </w:tc>
        <w:tc>
          <w:tcPr>
            <w:tcW w:w="1152" w:type="dxa"/>
            <w:tcBorders>
              <w:top w:val="nil" w:sz="6" w:space="0" w:color="auto"/>
              <w:left w:val="single" w:sz="6" w:space="0" w:color="000000"/>
              <w:bottom w:val="nil" w:sz="6" w:space="0" w:color="auto"/>
              <w:right w:val="single" w:sz="6" w:space="0" w:color="000000"/>
            </w:tcBorders>
          </w:tcPr>
          <w:p>
            <w:pPr/>
          </w:p>
        </w:tc>
        <w:tc>
          <w:tcPr>
            <w:tcW w:w="1231" w:type="dxa"/>
            <w:tcBorders>
              <w:top w:val="nil" w:sz="6" w:space="0" w:color="auto"/>
              <w:left w:val="single" w:sz="6" w:space="0" w:color="000000"/>
              <w:bottom w:val="nil" w:sz="6" w:space="0" w:color="auto"/>
              <w:right w:val="single" w:sz="6" w:space="0" w:color="000000"/>
            </w:tcBorders>
          </w:tcPr>
          <w:p>
            <w:pPr/>
          </w:p>
        </w:tc>
      </w:tr>
      <w:tr>
        <w:trPr>
          <w:trHeight w:val="358" w:hRule="exact"/>
        </w:trPr>
        <w:tc>
          <w:tcPr>
            <w:tcW w:w="650" w:type="dxa"/>
            <w:vMerge/>
            <w:tcBorders>
              <w:left w:val="single" w:sz="6" w:space="0" w:color="000000"/>
              <w:bottom w:val="single" w:sz="6" w:space="0" w:color="000000"/>
              <w:right w:val="single" w:sz="6" w:space="0" w:color="000000"/>
            </w:tcBorders>
          </w:tcPr>
          <w:p>
            <w:pPr/>
          </w:p>
        </w:tc>
        <w:tc>
          <w:tcPr>
            <w:tcW w:w="1160" w:type="dxa"/>
            <w:tcBorders>
              <w:top w:val="nil" w:sz="6" w:space="0" w:color="auto"/>
              <w:left w:val="single" w:sz="6" w:space="0" w:color="000000"/>
              <w:bottom w:val="single" w:sz="6" w:space="0" w:color="000000"/>
              <w:right w:val="single" w:sz="6" w:space="0" w:color="000000"/>
            </w:tcBorders>
          </w:tcPr>
          <w:p>
            <w:pPr/>
          </w:p>
        </w:tc>
        <w:tc>
          <w:tcPr>
            <w:tcW w:w="1145" w:type="dxa"/>
            <w:tcBorders>
              <w:top w:val="nil" w:sz="6" w:space="0" w:color="auto"/>
              <w:left w:val="single" w:sz="6" w:space="0" w:color="000000"/>
              <w:bottom w:val="single" w:sz="6" w:space="0" w:color="000000"/>
              <w:right w:val="single" w:sz="6" w:space="0" w:color="000000"/>
            </w:tcBorders>
          </w:tcPr>
          <w:p>
            <w:pPr/>
          </w:p>
        </w:tc>
        <w:tc>
          <w:tcPr>
            <w:tcW w:w="115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4"/>
              <w:ind w:right="0"/>
              <w:jc w:val="center"/>
              <w:rPr>
                <w:rFonts w:ascii="Times New Roman" w:hAnsi="Times New Roman" w:cs="Times New Roman" w:eastAsia="Times New Roman" w:hint="default"/>
                <w:sz w:val="21"/>
                <w:szCs w:val="21"/>
              </w:rPr>
            </w:pPr>
            <w:r>
              <w:rPr>
                <w:rFonts w:ascii="Times New Roman"/>
                <w:sz w:val="21"/>
              </w:rPr>
              <w:t>COM</w:t>
            </w:r>
          </w:p>
        </w:tc>
        <w:tc>
          <w:tcPr>
            <w:tcW w:w="2083" w:type="dxa"/>
            <w:tcBorders>
              <w:top w:val="nil" w:sz="6" w:space="0" w:color="auto"/>
              <w:left w:val="single" w:sz="6" w:space="0" w:color="000000"/>
              <w:bottom w:val="single" w:sz="6" w:space="0" w:color="000000"/>
              <w:right w:val="single" w:sz="6" w:space="0" w:color="000000"/>
            </w:tcBorders>
          </w:tcPr>
          <w:p>
            <w:pPr/>
          </w:p>
        </w:tc>
        <w:tc>
          <w:tcPr>
            <w:tcW w:w="1271" w:type="dxa"/>
            <w:tcBorders>
              <w:top w:val="nil" w:sz="6" w:space="0" w:color="auto"/>
              <w:left w:val="single" w:sz="6" w:space="0" w:color="000000"/>
              <w:bottom w:val="single" w:sz="6" w:space="0" w:color="000000"/>
              <w:right w:val="single" w:sz="6" w:space="0" w:color="000000"/>
            </w:tcBorders>
          </w:tcPr>
          <w:p>
            <w:pPr/>
          </w:p>
        </w:tc>
        <w:tc>
          <w:tcPr>
            <w:tcW w:w="1152" w:type="dxa"/>
            <w:tcBorders>
              <w:top w:val="nil" w:sz="6" w:space="0" w:color="auto"/>
              <w:left w:val="single" w:sz="6" w:space="0" w:color="000000"/>
              <w:bottom w:val="single" w:sz="6" w:space="0" w:color="000000"/>
              <w:right w:val="single" w:sz="6" w:space="0" w:color="000000"/>
            </w:tcBorders>
          </w:tcPr>
          <w:p>
            <w:pPr/>
          </w:p>
        </w:tc>
        <w:tc>
          <w:tcPr>
            <w:tcW w:w="1231" w:type="dxa"/>
            <w:tcBorders>
              <w:top w:val="nil" w:sz="6" w:space="0" w:color="auto"/>
              <w:left w:val="single" w:sz="6" w:space="0" w:color="000000"/>
              <w:bottom w:val="single" w:sz="6" w:space="0" w:color="000000"/>
              <w:right w:val="single" w:sz="6" w:space="0" w:color="000000"/>
            </w:tcBorders>
          </w:tcPr>
          <w:p>
            <w:pPr/>
          </w:p>
        </w:tc>
      </w:tr>
      <w:tr>
        <w:trPr>
          <w:trHeight w:val="427" w:hRule="exact"/>
        </w:trPr>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07"/>
              <w:jc w:val="right"/>
              <w:rPr>
                <w:rFonts w:ascii="宋体" w:hAnsi="宋体" w:cs="宋体" w:eastAsia="宋体" w:hint="default"/>
                <w:sz w:val="21"/>
                <w:szCs w:val="21"/>
              </w:rPr>
            </w:pPr>
            <w:r>
              <w:rPr>
                <w:rFonts w:ascii="宋体" w:hAnsi="宋体" w:cs="宋体" w:eastAsia="宋体" w:hint="default"/>
                <w:sz w:val="21"/>
                <w:szCs w:val="21"/>
              </w:rPr>
              <w:t>金额</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6,927.13</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73"/>
              <w:jc w:val="right"/>
              <w:rPr>
                <w:rFonts w:ascii="Times New Roman" w:hAnsi="Times New Roman" w:cs="Times New Roman" w:eastAsia="Times New Roman" w:hint="default"/>
                <w:sz w:val="21"/>
                <w:szCs w:val="21"/>
              </w:rPr>
            </w:pPr>
            <w:r>
              <w:rPr>
                <w:rFonts w:ascii="Times New Roman"/>
                <w:spacing w:val="-1"/>
                <w:sz w:val="21"/>
              </w:rPr>
              <w:t>947.00</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88,443.19</w:t>
            </w:r>
          </w:p>
        </w:tc>
        <w:tc>
          <w:tcPr>
            <w:tcW w:w="2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28,989.88</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4,166.19</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956.00</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10,820.57</w:t>
            </w:r>
          </w:p>
        </w:tc>
      </w:tr>
      <w:tr>
        <w:trPr>
          <w:trHeight w:val="427" w:hRule="exact"/>
        </w:trPr>
        <w:tc>
          <w:tcPr>
            <w:tcW w:w="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7"/>
              <w:jc w:val="right"/>
              <w:rPr>
                <w:rFonts w:ascii="宋体" w:hAnsi="宋体" w:cs="宋体" w:eastAsia="宋体" w:hint="default"/>
                <w:sz w:val="21"/>
                <w:szCs w:val="21"/>
              </w:rPr>
            </w:pPr>
            <w:r>
              <w:rPr>
                <w:rFonts w:ascii="宋体" w:hAnsi="宋体" w:cs="宋体" w:eastAsia="宋体" w:hint="default"/>
                <w:sz w:val="21"/>
                <w:szCs w:val="21"/>
              </w:rPr>
              <w:t>比例</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4.90%</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290"/>
              <w:jc w:val="right"/>
              <w:rPr>
                <w:rFonts w:ascii="Times New Roman" w:hAnsi="Times New Roman" w:cs="Times New Roman" w:eastAsia="Times New Roman" w:hint="default"/>
                <w:sz w:val="21"/>
                <w:szCs w:val="21"/>
              </w:rPr>
            </w:pPr>
            <w:r>
              <w:rPr>
                <w:rFonts w:ascii="Times New Roman"/>
                <w:spacing w:val="-1"/>
                <w:sz w:val="21"/>
              </w:rPr>
              <w:t>0.67%</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62.61%</w:t>
            </w:r>
          </w:p>
        </w:tc>
        <w:tc>
          <w:tcPr>
            <w:tcW w:w="20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20.52%</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2.95%</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0.68%</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4"/>
              <w:ind w:right="0"/>
              <w:jc w:val="center"/>
              <w:rPr>
                <w:rFonts w:ascii="Times New Roman" w:hAnsi="Times New Roman" w:cs="Times New Roman" w:eastAsia="Times New Roman" w:hint="default"/>
                <w:sz w:val="21"/>
                <w:szCs w:val="21"/>
              </w:rPr>
            </w:pPr>
            <w:r>
              <w:rPr>
                <w:rFonts w:ascii="Times New Roman"/>
                <w:sz w:val="21"/>
              </w:rPr>
              <w:t>7.67%</w:t>
            </w:r>
          </w:p>
        </w:tc>
      </w:tr>
    </w:tbl>
    <w:p>
      <w:pPr>
        <w:spacing w:line="240" w:lineRule="auto" w:before="3"/>
        <w:rPr>
          <w:rFonts w:ascii="宋体" w:hAnsi="宋体" w:cs="宋体" w:eastAsia="宋体" w:hint="default"/>
          <w:sz w:val="5"/>
          <w:szCs w:val="5"/>
        </w:rPr>
      </w:pPr>
    </w:p>
    <w:p>
      <w:pPr>
        <w:pStyle w:val="BodyText"/>
        <w:spacing w:line="420" w:lineRule="auto" w:before="35"/>
        <w:ind w:left="574" w:right="215" w:firstLine="21"/>
        <w:jc w:val="left"/>
      </w:pPr>
      <w:r>
        <w:rPr>
          <w:rFonts w:ascii="Times New Roman" w:hAnsi="Times New Roman" w:cs="Times New Roman" w:eastAsia="Times New Roman" w:hint="default"/>
        </w:rPr>
        <w:t>2015</w:t>
      </w:r>
      <w:r>
        <w:rPr/>
        <w:t>年，公司新签海外订单</w:t>
      </w:r>
      <w:r>
        <w:rPr>
          <w:rFonts w:ascii="Times New Roman" w:hAnsi="Times New Roman" w:cs="Times New Roman" w:eastAsia="Times New Roman" w:hint="default"/>
        </w:rPr>
        <w:t>36,963.35</w:t>
      </w:r>
      <w:r>
        <w:rPr/>
        <w:t>万元，同比增长</w:t>
      </w:r>
      <w:r>
        <w:rPr>
          <w:rFonts w:ascii="Times New Roman" w:hAnsi="Times New Roman" w:cs="Times New Roman" w:eastAsia="Times New Roman" w:hint="default"/>
        </w:rPr>
        <w:t>305.57%</w:t>
      </w:r>
      <w:r>
        <w:rPr/>
        <w:t>。 报告期末，节能大功率电力电子设备未执行合同</w:t>
      </w:r>
      <w:r>
        <w:rPr>
          <w:rFonts w:ascii="Times New Roman" w:hAnsi="Times New Roman" w:cs="Times New Roman" w:eastAsia="Times New Roman" w:hint="default"/>
        </w:rPr>
        <w:t>156,832.11</w:t>
      </w:r>
      <w:r>
        <w:rPr/>
        <w:t>万元（含税），转入</w:t>
      </w:r>
      <w:r>
        <w:rPr>
          <w:rFonts w:ascii="Times New Roman" w:hAnsi="Times New Roman" w:cs="Times New Roman" w:eastAsia="Times New Roman" w:hint="default"/>
        </w:rPr>
        <w:t>2016</w:t>
      </w:r>
      <w:r>
        <w:rPr/>
        <w:t>年执行。 </w:t>
      </w:r>
      <w:r>
        <w:rPr>
          <w:spacing w:val="-3"/>
        </w:rPr>
        <w:t>公司节能大功率电力电子设备为定制化的产品，实行订单生产，由于公司订单执行期较长，报告期末，</w:t>
      </w:r>
    </w:p>
    <w:p>
      <w:pPr>
        <w:pStyle w:val="BodyText"/>
        <w:spacing w:line="398" w:lineRule="auto" w:before="35"/>
        <w:ind w:right="329"/>
        <w:jc w:val="both"/>
      </w:pPr>
      <w:r>
        <w:rPr>
          <w:spacing w:val="-1"/>
        </w:rPr>
        <w:t>公司及控股子公司未执行合同结转至</w:t>
      </w:r>
      <w:r>
        <w:rPr>
          <w:rFonts w:ascii="Times New Roman" w:hAnsi="Times New Roman" w:cs="Times New Roman" w:eastAsia="Times New Roman" w:hint="default"/>
          <w:spacing w:val="-1"/>
        </w:rPr>
        <w:t>2016</w:t>
      </w:r>
      <w:r>
        <w:rPr>
          <w:spacing w:val="-1"/>
        </w:rPr>
        <w:t>年执行。未执行订单在履行过程中如果遇到宏观经济环境、客户</w:t>
      </w:r>
      <w:r>
        <w:rPr>
          <w:spacing w:val="-82"/>
        </w:rPr>
        <w:t> </w:t>
      </w:r>
      <w:r>
        <w:rPr>
          <w:spacing w:val="-82"/>
        </w:rPr>
      </w:r>
      <w:r>
        <w:rPr>
          <w:spacing w:val="-1"/>
        </w:rPr>
        <w:t>经营状况发生不利变化等不可预计的或不可抗力等因素的影响，有可能会导致订单无法全部履行或终止的</w:t>
      </w:r>
      <w:r>
        <w:rPr>
          <w:spacing w:val="-81"/>
        </w:rPr>
        <w:t> </w:t>
      </w:r>
      <w:r>
        <w:rPr>
          <w:spacing w:val="-81"/>
        </w:rPr>
      </w:r>
      <w:r>
        <w:rPr/>
        <w:t>风险。</w:t>
      </w:r>
    </w:p>
    <w:p>
      <w:pPr>
        <w:pStyle w:val="Heading3"/>
        <w:spacing w:line="240" w:lineRule="auto" w:before="16"/>
        <w:ind w:left="574" w:right="377"/>
        <w:jc w:val="left"/>
        <w:rPr>
          <w:b w:val="0"/>
          <w:bCs w:val="0"/>
        </w:rPr>
      </w:pPr>
      <w:r>
        <w:rPr/>
        <w:t>（二）移动互联网运营支撑服务业务订单签订情况</w:t>
      </w:r>
      <w:r>
        <w:rPr>
          <w:b w:val="0"/>
          <w:bCs w:val="0"/>
        </w:rPr>
      </w:r>
    </w:p>
    <w:p>
      <w:pPr>
        <w:spacing w:line="240" w:lineRule="auto" w:before="0"/>
        <w:rPr>
          <w:rFonts w:ascii="宋体" w:hAnsi="宋体" w:cs="宋体" w:eastAsia="宋体" w:hint="default"/>
          <w:b/>
          <w:bCs/>
          <w:sz w:val="20"/>
          <w:szCs w:val="20"/>
        </w:rPr>
      </w:pPr>
    </w:p>
    <w:p>
      <w:pPr>
        <w:pStyle w:val="BodyText"/>
        <w:spacing w:line="240" w:lineRule="auto" w:before="168"/>
        <w:ind w:left="574" w:right="377"/>
        <w:jc w:val="left"/>
      </w:pPr>
      <w:r>
        <w:rPr/>
        <w:t>截至</w:t>
      </w:r>
      <w:r>
        <w:rPr>
          <w:rFonts w:ascii="Times New Roman" w:hAnsi="Times New Roman" w:cs="Times New Roman" w:eastAsia="Times New Roman" w:hint="default"/>
        </w:rPr>
        <w:t>2015</w:t>
      </w:r>
      <w:r>
        <w:rPr/>
        <w:t>年末，梦网科技正在执行的订单如下：</w:t>
      </w:r>
    </w:p>
    <w:p>
      <w:pPr>
        <w:pStyle w:val="BodyText"/>
        <w:tabs>
          <w:tab w:pos="8865" w:val="left" w:leader="none"/>
        </w:tabs>
        <w:spacing w:line="240" w:lineRule="auto" w:before="61"/>
        <w:ind w:left="574" w:right="377"/>
        <w:jc w:val="left"/>
      </w:pPr>
      <w:r>
        <w:rPr>
          <w:spacing w:val="-1"/>
        </w:rPr>
        <w:t>行业客户订单分布</w:t>
        <w:tab/>
      </w:r>
      <w:r>
        <w:rPr/>
        <w:t>单位：个</w:t>
      </w:r>
    </w:p>
    <w:p>
      <w:pPr>
        <w:spacing w:line="240" w:lineRule="auto" w:before="0"/>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866"/>
        <w:gridCol w:w="1700"/>
        <w:gridCol w:w="992"/>
        <w:gridCol w:w="992"/>
        <w:gridCol w:w="851"/>
        <w:gridCol w:w="1843"/>
        <w:gridCol w:w="1274"/>
        <w:gridCol w:w="1134"/>
      </w:tblGrid>
      <w:tr>
        <w:trPr>
          <w:trHeight w:val="347" w:hRule="exact"/>
        </w:trPr>
        <w:tc>
          <w:tcPr>
            <w:tcW w:w="866" w:type="dxa"/>
            <w:tcBorders>
              <w:top w:val="single" w:sz="6" w:space="0" w:color="000000"/>
              <w:left w:val="single" w:sz="6" w:space="0" w:color="000000"/>
              <w:bottom w:val="nil" w:sz="6" w:space="0" w:color="auto"/>
              <w:right w:val="single" w:sz="6" w:space="0" w:color="000000"/>
            </w:tcBorders>
          </w:tcPr>
          <w:p>
            <w:pPr/>
          </w:p>
        </w:tc>
        <w:tc>
          <w:tcPr>
            <w:tcW w:w="3685"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全部客户</w:t>
            </w:r>
          </w:p>
        </w:tc>
        <w:tc>
          <w:tcPr>
            <w:tcW w:w="851" w:type="dxa"/>
            <w:tcBorders>
              <w:top w:val="single" w:sz="6" w:space="0" w:color="000000"/>
              <w:left w:val="single" w:sz="6" w:space="0" w:color="000000"/>
              <w:bottom w:val="nil" w:sz="6" w:space="0" w:color="auto"/>
              <w:right w:val="single" w:sz="6" w:space="0" w:color="000000"/>
            </w:tcBorders>
          </w:tcPr>
          <w:p>
            <w:pPr/>
          </w:p>
        </w:tc>
        <w:tc>
          <w:tcPr>
            <w:tcW w:w="425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全部客户</w:t>
            </w:r>
          </w:p>
        </w:tc>
      </w:tr>
      <w:tr>
        <w:trPr>
          <w:trHeight w:val="337" w:hRule="exact"/>
        </w:trPr>
        <w:tc>
          <w:tcPr>
            <w:tcW w:w="866" w:type="dxa"/>
            <w:tcBorders>
              <w:top w:val="nil" w:sz="6" w:space="0" w:color="auto"/>
              <w:left w:val="single" w:sz="6" w:space="0" w:color="000000"/>
              <w:bottom w:val="nil" w:sz="6" w:space="0" w:color="auto"/>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行业</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客户数</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51" w:type="dxa"/>
            <w:tcBorders>
              <w:top w:val="nil" w:sz="6" w:space="0" w:color="auto"/>
              <w:left w:val="single" w:sz="6" w:space="0" w:color="000000"/>
              <w:bottom w:val="nil" w:sz="6" w:space="0" w:color="auto"/>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行业</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客户数</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336" w:hRule="exact"/>
        </w:trPr>
        <w:tc>
          <w:tcPr>
            <w:tcW w:w="866" w:type="dxa"/>
            <w:vMerge w:val="restart"/>
            <w:tcBorders>
              <w:top w:val="nil" w:sz="6" w:space="0" w:color="auto"/>
              <w:left w:val="single" w:sz="6" w:space="0" w:color="000000"/>
              <w:right w:val="single" w:sz="6" w:space="0" w:color="000000"/>
            </w:tcBorders>
          </w:tcPr>
          <w:p>
            <w:pPr>
              <w:pStyle w:val="TableParagraph"/>
              <w:spacing w:line="316" w:lineRule="auto" w:before="43"/>
              <w:ind w:left="64" w:right="65"/>
              <w:jc w:val="center"/>
              <w:rPr>
                <w:rFonts w:ascii="宋体" w:hAnsi="宋体" w:cs="宋体" w:eastAsia="宋体" w:hint="default"/>
                <w:sz w:val="18"/>
                <w:szCs w:val="18"/>
              </w:rPr>
            </w:pPr>
            <w:r>
              <w:rPr>
                <w:rFonts w:ascii="宋体" w:hAnsi="宋体" w:cs="宋体" w:eastAsia="宋体" w:hint="default"/>
                <w:sz w:val="18"/>
                <w:szCs w:val="18"/>
              </w:rPr>
              <w:t>移动信息 即时通讯 服务</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互联网与电子商务</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left="1" w:right="0"/>
              <w:jc w:val="center"/>
              <w:rPr>
                <w:rFonts w:ascii="Times New Roman" w:hAnsi="Times New Roman" w:cs="Times New Roman" w:eastAsia="Times New Roman" w:hint="default"/>
                <w:sz w:val="18"/>
                <w:szCs w:val="18"/>
              </w:rPr>
            </w:pPr>
            <w:r>
              <w:rPr>
                <w:rFonts w:ascii="Times New Roman"/>
                <w:sz w:val="18"/>
              </w:rPr>
              <w:t>1,638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20.97%</w:t>
            </w:r>
          </w:p>
        </w:tc>
        <w:tc>
          <w:tcPr>
            <w:tcW w:w="851" w:type="dxa"/>
            <w:vMerge w:val="restart"/>
            <w:tcBorders>
              <w:top w:val="nil" w:sz="6" w:space="0" w:color="auto"/>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316" w:lineRule="auto"/>
              <w:ind w:left="237" w:right="56" w:hanging="180"/>
              <w:jc w:val="left"/>
              <w:rPr>
                <w:rFonts w:ascii="宋体" w:hAnsi="宋体" w:cs="宋体" w:eastAsia="宋体" w:hint="default"/>
                <w:sz w:val="18"/>
                <w:szCs w:val="18"/>
              </w:rPr>
            </w:pPr>
            <w:r>
              <w:rPr>
                <w:rFonts w:ascii="宋体" w:hAnsi="宋体" w:cs="宋体" w:eastAsia="宋体" w:hint="default"/>
                <w:sz w:val="18"/>
                <w:szCs w:val="18"/>
              </w:rPr>
              <w:t>移动智能 流量</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互联网与电子商务</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57</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45.24%</w:t>
            </w:r>
          </w:p>
        </w:tc>
      </w:tr>
      <w:tr>
        <w:trPr>
          <w:trHeight w:val="337" w:hRule="exact"/>
        </w:trPr>
        <w:tc>
          <w:tcPr>
            <w:tcW w:w="866" w:type="dxa"/>
            <w:vMerge/>
            <w:tcBorders>
              <w:left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金融业</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749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9.59%</w:t>
            </w:r>
          </w:p>
        </w:tc>
        <w:tc>
          <w:tcPr>
            <w:tcW w:w="851" w:type="dxa"/>
            <w:vMerge/>
            <w:tcBorders>
              <w:left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金融业</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26.19%</w:t>
            </w:r>
          </w:p>
        </w:tc>
      </w:tr>
      <w:tr>
        <w:trPr>
          <w:trHeight w:val="337" w:hRule="exact"/>
        </w:trPr>
        <w:tc>
          <w:tcPr>
            <w:tcW w:w="866" w:type="dxa"/>
            <w:vMerge/>
            <w:tcBorders>
              <w:left w:val="single" w:sz="6" w:space="0" w:color="000000"/>
              <w:bottom w:val="nil" w:sz="6" w:space="0" w:color="auto"/>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连锁零售与其他</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1,086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13.90%</w:t>
            </w:r>
          </w:p>
        </w:tc>
        <w:tc>
          <w:tcPr>
            <w:tcW w:w="851" w:type="dxa"/>
            <w:vMerge/>
            <w:tcBorders>
              <w:left w:val="single" w:sz="6" w:space="0" w:color="000000"/>
              <w:bottom w:val="nil" w:sz="6" w:space="0" w:color="auto"/>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连锁零售与其它</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2.38%</w:t>
            </w:r>
          </w:p>
        </w:tc>
      </w:tr>
      <w:tr>
        <w:trPr>
          <w:trHeight w:val="337" w:hRule="exact"/>
        </w:trPr>
        <w:tc>
          <w:tcPr>
            <w:tcW w:w="866" w:type="dxa"/>
            <w:tcBorders>
              <w:top w:val="nil" w:sz="6" w:space="0" w:color="auto"/>
              <w:left w:val="single" w:sz="6" w:space="0" w:color="000000"/>
              <w:bottom w:val="nil" w:sz="6" w:space="0" w:color="auto"/>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18"/>
                <w:szCs w:val="18"/>
              </w:rPr>
            </w:pPr>
            <w:r>
              <w:rPr>
                <w:rFonts w:ascii="Times New Roman"/>
                <w:sz w:val="18"/>
              </w:rPr>
              <w:t>4,338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55.54%</w:t>
            </w:r>
          </w:p>
        </w:tc>
        <w:tc>
          <w:tcPr>
            <w:tcW w:w="851" w:type="dxa"/>
            <w:tcBorders>
              <w:top w:val="nil" w:sz="6" w:space="0" w:color="auto"/>
              <w:left w:val="single" w:sz="6" w:space="0" w:color="000000"/>
              <w:bottom w:val="nil" w:sz="6" w:space="0" w:color="auto"/>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其它</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33</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26.19%</w:t>
            </w:r>
          </w:p>
        </w:tc>
      </w:tr>
      <w:tr>
        <w:trPr>
          <w:trHeight w:val="337" w:hRule="exact"/>
        </w:trPr>
        <w:tc>
          <w:tcPr>
            <w:tcW w:w="866" w:type="dxa"/>
            <w:tcBorders>
              <w:top w:val="nil" w:sz="6" w:space="0" w:color="auto"/>
              <w:left w:val="single" w:sz="6" w:space="0" w:color="000000"/>
              <w:bottom w:val="single" w:sz="6" w:space="0" w:color="000000"/>
              <w:right w:val="single" w:sz="6" w:space="0" w:color="000000"/>
            </w:tcBorders>
          </w:tcPr>
          <w:p>
            <w:pP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总计</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7,811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w:t>
            </w:r>
          </w:p>
        </w:tc>
        <w:tc>
          <w:tcPr>
            <w:tcW w:w="851" w:type="dxa"/>
            <w:tcBorders>
              <w:top w:val="nil" w:sz="6" w:space="0" w:color="auto"/>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总计</w:t>
            </w:r>
          </w:p>
        </w:tc>
        <w:tc>
          <w:tcPr>
            <w:tcW w:w="12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126</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0"/>
              <w:ind w:right="1"/>
              <w:jc w:val="center"/>
              <w:rPr>
                <w:rFonts w:ascii="Times New Roman" w:hAnsi="Times New Roman" w:cs="Times New Roman" w:eastAsia="Times New Roman" w:hint="default"/>
                <w:sz w:val="18"/>
                <w:szCs w:val="18"/>
              </w:rPr>
            </w:pPr>
            <w:r>
              <w:rPr>
                <w:rFonts w:ascii="Times New Roman"/>
                <w:sz w:val="18"/>
              </w:rPr>
              <w:t>100.00%</w:t>
            </w:r>
          </w:p>
        </w:tc>
      </w:tr>
    </w:tbl>
    <w:p>
      <w:pPr>
        <w:spacing w:line="240" w:lineRule="auto" w:before="2"/>
        <w:rPr>
          <w:rFonts w:ascii="宋体" w:hAnsi="宋体" w:cs="宋体" w:eastAsia="宋体" w:hint="default"/>
          <w:sz w:val="19"/>
          <w:szCs w:val="19"/>
        </w:rPr>
      </w:pPr>
    </w:p>
    <w:p>
      <w:pPr>
        <w:pStyle w:val="Heading3"/>
        <w:spacing w:line="240" w:lineRule="auto"/>
        <w:ind w:right="377"/>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3"/>
        <w:rPr>
          <w:rFonts w:ascii="宋体" w:hAnsi="宋体" w:cs="宋体" w:eastAsia="宋体" w:hint="default"/>
          <w:b/>
          <w:bCs/>
          <w:sz w:val="23"/>
          <w:szCs w:val="23"/>
        </w:rPr>
      </w:pPr>
    </w:p>
    <w:p>
      <w:pPr>
        <w:spacing w:before="44"/>
        <w:ind w:left="154" w:right="377"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7"/>
        <w:ind w:left="0" w:right="3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节能大功率电力 电子设备制造业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838,578,915.42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520,114,505.59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3.78%</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节能大功率电力 电子设备制造业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17,957,510.72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14,292,274.35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-0.48%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80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节能大功率电力 电子设备制造业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制造费用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18,351,301.05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1" w:right="0"/>
              <w:jc w:val="left"/>
              <w:rPr>
                <w:rFonts w:ascii="Times New Roman" w:hAnsi="Times New Roman" w:cs="Times New Roman" w:eastAsia="Times New Roman" w:hint="default"/>
                <w:sz w:val="18"/>
                <w:szCs w:val="18"/>
              </w:rPr>
            </w:pPr>
            <w:r>
              <w:rPr>
                <w:rFonts w:ascii="Times New Roman"/>
                <w:sz w:val="18"/>
              </w:rPr>
              <w:t>30,505,249.59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9" w:right="0"/>
              <w:jc w:val="left"/>
              <w:rPr>
                <w:rFonts w:ascii="Times New Roman" w:hAnsi="Times New Roman" w:cs="Times New Roman" w:eastAsia="Times New Roman" w:hint="default"/>
                <w:sz w:val="18"/>
                <w:szCs w:val="18"/>
              </w:rPr>
            </w:pPr>
            <w:r>
              <w:rPr>
                <w:rFonts w:ascii="Times New Roman"/>
                <w:sz w:val="18"/>
              </w:rPr>
              <w:t>5.40%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0" w:right="0"/>
              <w:jc w:val="left"/>
              <w:rPr>
                <w:rFonts w:ascii="Times New Roman" w:hAnsi="Times New Roman" w:cs="Times New Roman" w:eastAsia="Times New Roman" w:hint="default"/>
                <w:sz w:val="18"/>
                <w:szCs w:val="18"/>
              </w:rPr>
            </w:pPr>
            <w:r>
              <w:rPr>
                <w:rFonts w:ascii="Times New Roman"/>
                <w:sz w:val="18"/>
              </w:rPr>
              <w:t>-3.30%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宋体" w:hAnsi="宋体" w:cs="宋体" w:eastAsia="宋体" w:hint="default"/>
                <w:sz w:val="18"/>
                <w:szCs w:val="18"/>
              </w:rPr>
              <w:t>移动信息服务业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249,328,053.59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96.59%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宋体" w:hAnsi="宋体" w:cs="宋体" w:eastAsia="宋体" w:hint="default"/>
                <w:sz w:val="18"/>
                <w:szCs w:val="18"/>
              </w:rPr>
              <w:t>移动信息服务业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人工工资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8,811,488.04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386" w:lineRule="auto" w:before="155"/>
        <w:ind w:right="151" w:firstLine="379"/>
        <w:jc w:val="both"/>
      </w:pPr>
      <w:r>
        <w:rPr>
          <w:rFonts w:ascii="Times New Roman" w:hAnsi="Times New Roman" w:cs="Times New Roman" w:eastAsia="Times New Roman" w:hint="default"/>
          <w:spacing w:val="-2"/>
        </w:rPr>
        <w:t>1</w:t>
      </w:r>
      <w:r>
        <w:rPr>
          <w:spacing w:val="-2"/>
        </w:rPr>
        <w:t>、报告期，公司经中国证监会《关于核准荣信电力电子股份有限公司向余文胜等发行股份购买资产并</w:t>
      </w:r>
      <w:r>
        <w:rPr/>
        <w:t> 募集配套资金的批复》（证监许可</w:t>
      </w:r>
      <w:r>
        <w:rPr>
          <w:rFonts w:ascii="Times New Roman" w:hAnsi="Times New Roman" w:cs="Times New Roman" w:eastAsia="Times New Roman" w:hint="default"/>
        </w:rPr>
        <w:t>[2015]1717</w:t>
      </w:r>
      <w:r>
        <w:rPr/>
        <w:t>号）核准，发行股份及支付现金购买深圳市梦网科技发展有 限公司</w:t>
      </w:r>
      <w:r>
        <w:rPr>
          <w:rFonts w:ascii="Times New Roman" w:hAnsi="Times New Roman" w:cs="Times New Roman" w:eastAsia="Times New Roman" w:hint="default"/>
        </w:rPr>
        <w:t>100%</w:t>
      </w:r>
      <w:r>
        <w:rPr/>
        <w:t>股权，自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月起公司将深圳市梦网科技发展有限公司纳入合并报表。</w:t>
      </w:r>
    </w:p>
    <w:p>
      <w:pPr>
        <w:pStyle w:val="BodyText"/>
        <w:spacing w:line="240" w:lineRule="auto" w:before="35"/>
        <w:ind w:left="557" w:right="0"/>
        <w:jc w:val="left"/>
      </w:pPr>
      <w:r>
        <w:rPr>
          <w:rFonts w:ascii="Times New Roman" w:hAnsi="Times New Roman" w:cs="Times New Roman" w:eastAsia="Times New Roman" w:hint="default"/>
        </w:rPr>
        <w:t>2</w:t>
      </w:r>
      <w:r>
        <w:rPr/>
        <w:t>、报告期，公司在英国设立全资子公司荣信电力有限公司，工商手续已办理完毕，纳入合并报表。</w:t>
      </w:r>
    </w:p>
    <w:p>
      <w:pPr>
        <w:pStyle w:val="BodyText"/>
        <w:spacing w:line="240" w:lineRule="auto" w:before="177"/>
        <w:ind w:left="574" w:right="0"/>
        <w:jc w:val="left"/>
      </w:pPr>
      <w:r>
        <w:rPr>
          <w:rFonts w:ascii="Times New Roman" w:hAnsi="Times New Roman" w:cs="Times New Roman" w:eastAsia="Times New Roman" w:hint="default"/>
        </w:rPr>
        <w:t>3</w:t>
      </w:r>
      <w:r>
        <w:rPr/>
        <w:t>、报告期，公司在香港设立全资子公司荣信股份控股有限公司，纳入合并报表。</w:t>
      </w:r>
    </w:p>
    <w:p>
      <w:pPr>
        <w:pStyle w:val="BodyText"/>
        <w:spacing w:line="240" w:lineRule="auto" w:before="177"/>
        <w:ind w:left="574" w:right="0"/>
        <w:jc w:val="left"/>
      </w:pPr>
      <w:r>
        <w:rPr>
          <w:rFonts w:ascii="Times New Roman" w:hAnsi="Times New Roman" w:cs="Times New Roman" w:eastAsia="Times New Roman" w:hint="default"/>
        </w:rPr>
        <w:t>4</w:t>
      </w:r>
      <w:r>
        <w:rPr/>
        <w:t>、报告期，注销了销售公司北京诚和伟业发展有限公司，不再纳入合并报表。</w:t>
      </w:r>
    </w:p>
    <w:p>
      <w:pPr>
        <w:pStyle w:val="BodyText"/>
        <w:spacing w:line="240" w:lineRule="auto" w:before="177"/>
        <w:ind w:left="574" w:right="0"/>
        <w:jc w:val="left"/>
      </w:pPr>
      <w:r>
        <w:rPr>
          <w:rFonts w:ascii="Times New Roman" w:hAnsi="Times New Roman" w:cs="Times New Roman" w:eastAsia="Times New Roman" w:hint="default"/>
        </w:rPr>
        <w:t>5</w:t>
      </w:r>
      <w:r>
        <w:rPr/>
        <w:t>、报告期，公司将所持有的辽宁荣信光伏技术有限公司</w:t>
      </w:r>
      <w:r>
        <w:rPr>
          <w:rFonts w:ascii="Times New Roman" w:hAnsi="Times New Roman" w:cs="Times New Roman" w:eastAsia="Times New Roman" w:hint="default"/>
        </w:rPr>
        <w:t>90%</w:t>
      </w:r>
      <w:r>
        <w:rPr/>
        <w:t>的股权转让，不再纳入合并报表。</w:t>
      </w:r>
    </w:p>
    <w:p>
      <w:pPr>
        <w:pStyle w:val="BodyText"/>
        <w:spacing w:line="240" w:lineRule="auto" w:before="177"/>
        <w:ind w:left="574" w:right="0"/>
        <w:jc w:val="left"/>
      </w:pPr>
      <w:r>
        <w:rPr>
          <w:rFonts w:ascii="Times New Roman" w:hAnsi="Times New Roman" w:cs="Times New Roman" w:eastAsia="Times New Roman" w:hint="default"/>
        </w:rPr>
        <w:t>6</w:t>
      </w:r>
      <w:r>
        <w:rPr/>
        <w:t>、报告期，公司将所持有的北京荣华恒信开关技术有限公司</w:t>
      </w:r>
      <w:r>
        <w:rPr>
          <w:rFonts w:ascii="Times New Roman" w:hAnsi="Times New Roman" w:cs="Times New Roman" w:eastAsia="Times New Roman" w:hint="default"/>
        </w:rPr>
        <w:t>70%</w:t>
      </w:r>
      <w:r>
        <w:rPr/>
        <w:t>的股权转让，不再纳入合并报表。</w:t>
      </w:r>
    </w:p>
    <w:p>
      <w:pPr>
        <w:pStyle w:val="BodyText"/>
        <w:spacing w:line="240" w:lineRule="auto" w:before="177"/>
        <w:ind w:left="574" w:right="0"/>
        <w:jc w:val="left"/>
      </w:pPr>
      <w:r>
        <w:rPr>
          <w:rFonts w:ascii="Times New Roman" w:hAnsi="Times New Roman" w:cs="Times New Roman" w:eastAsia="Times New Roman" w:hint="default"/>
        </w:rPr>
        <w:t>7</w:t>
      </w:r>
      <w:r>
        <w:rPr/>
        <w:t>、报告期，公司将所持有的广州邦建电力技术有限公司</w:t>
      </w:r>
      <w:r>
        <w:rPr>
          <w:rFonts w:ascii="Times New Roman" w:hAnsi="Times New Roman" w:cs="Times New Roman" w:eastAsia="Times New Roman" w:hint="default"/>
        </w:rPr>
        <w:t>85%</w:t>
      </w:r>
      <w:r>
        <w:rPr/>
        <w:t>的股权转让，不再纳入合并报表。</w:t>
      </w:r>
    </w:p>
    <w:p>
      <w:pPr>
        <w:pStyle w:val="BodyText"/>
        <w:spacing w:line="240" w:lineRule="auto" w:before="177"/>
        <w:ind w:left="574" w:right="0"/>
        <w:jc w:val="left"/>
      </w:pPr>
      <w:r>
        <w:rPr>
          <w:rFonts w:ascii="Times New Roman" w:hAnsi="Times New Roman" w:cs="Times New Roman" w:eastAsia="Times New Roman" w:hint="default"/>
        </w:rPr>
        <w:t>8</w:t>
      </w:r>
      <w:r>
        <w:rPr/>
        <w:t>、报告期，公司将所持有的西安荣信电气有限公司</w:t>
      </w:r>
      <w:r>
        <w:rPr>
          <w:rFonts w:ascii="Times New Roman" w:hAnsi="Times New Roman" w:cs="Times New Roman" w:eastAsia="Times New Roman" w:hint="default"/>
        </w:rPr>
        <w:t>90%</w:t>
      </w:r>
      <w:r>
        <w:rPr/>
        <w:t>的股权转让，不再纳入合并报表。</w:t>
      </w:r>
    </w:p>
    <w:p>
      <w:pPr>
        <w:spacing w:line="240" w:lineRule="auto" w:before="8"/>
        <w:rPr>
          <w:rFonts w:ascii="宋体" w:hAnsi="宋体" w:cs="宋体" w:eastAsia="宋体" w:hint="default"/>
          <w:sz w:val="30"/>
          <w:szCs w:val="30"/>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3"/>
        <w:ind w:right="151" w:firstLine="441"/>
        <w:jc w:val="both"/>
      </w:pPr>
      <w:r>
        <w:rPr>
          <w:spacing w:val="-2"/>
        </w:rPr>
        <w:t>公司传统业务是从事节能大功率电力电子设备制造，</w:t>
      </w:r>
      <w:r>
        <w:rPr>
          <w:rFonts w:ascii="Times New Roman" w:hAnsi="Times New Roman" w:cs="Times New Roman" w:eastAsia="Times New Roman" w:hint="default"/>
          <w:spacing w:val="-2"/>
        </w:rPr>
        <w:t>2015</w:t>
      </w:r>
      <w:r>
        <w:rPr>
          <w:spacing w:val="-2"/>
        </w:rPr>
        <w:t>年公司实施重大资产重组，收购深圳市梦网</w:t>
      </w:r>
      <w:r>
        <w:rPr/>
        <w:t> </w:t>
      </w:r>
      <w:r>
        <w:rPr>
          <w:spacing w:val="-3"/>
        </w:rPr>
        <w:t>科技发展有限公司</w:t>
      </w:r>
      <w:r>
        <w:rPr>
          <w:rFonts w:ascii="Times New Roman" w:hAnsi="Times New Roman" w:cs="Times New Roman" w:eastAsia="Times New Roman" w:hint="default"/>
          <w:spacing w:val="-3"/>
        </w:rPr>
        <w:t>100%</w:t>
      </w:r>
      <w:r>
        <w:rPr>
          <w:spacing w:val="-3"/>
        </w:rPr>
        <w:t>股权，其主营业务为移动互联网运营支撑服务业务，通过本次重大资产重组，公司</w:t>
      </w:r>
      <w:r>
        <w:rPr>
          <w:spacing w:val="-58"/>
        </w:rPr>
        <w:t> </w:t>
      </w:r>
      <w:r>
        <w:rPr>
          <w:spacing w:val="-58"/>
        </w:rPr>
      </w:r>
      <w:r>
        <w:rPr/>
        <w:t>实现双主业发展。具体情况详见</w:t>
      </w:r>
      <w:r>
        <w:rPr>
          <w:rFonts w:ascii="Times New Roman" w:hAnsi="Times New Roman" w:cs="Times New Roman" w:eastAsia="Times New Roman" w:hint="default"/>
        </w:rPr>
        <w:t>“</w:t>
      </w:r>
      <w:r>
        <w:rPr/>
        <w:t>第三节公司业务概要，之一、报告期内公司从事的主要业务</w:t>
      </w:r>
      <w:r>
        <w:rPr>
          <w:rFonts w:ascii="Times New Roman" w:hAnsi="Times New Roman" w:cs="Times New Roman" w:eastAsia="Times New Roman" w:hint="default"/>
        </w:rPr>
        <w:t>”</w:t>
      </w:r>
      <w:r>
        <w:rPr/>
        <w:t>。</w:t>
      </w:r>
    </w:p>
    <w:p>
      <w:pPr>
        <w:pStyle w:val="BodyText"/>
        <w:spacing w:line="386" w:lineRule="auto" w:before="35"/>
        <w:ind w:left="153" w:right="0" w:firstLine="336"/>
        <w:jc w:val="left"/>
      </w:pPr>
      <w:r>
        <w:rPr>
          <w:spacing w:val="-2"/>
        </w:rPr>
        <w:t>报告期，梦网科技股权过户已办理完毕自</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9</w:t>
      </w:r>
      <w:r>
        <w:rPr>
          <w:spacing w:val="-2"/>
        </w:rPr>
        <w:t>月纳入公司合并报表，报告期，梦网科技对公司净利</w:t>
      </w:r>
      <w:r>
        <w:rPr/>
        <w:t> 润贡献为</w:t>
      </w:r>
      <w:r>
        <w:rPr>
          <w:rFonts w:ascii="Times New Roman" w:hAnsi="Times New Roman" w:cs="Times New Roman" w:eastAsia="Times New Roman" w:hint="default"/>
        </w:rPr>
        <w:t>7,842.65</w:t>
      </w:r>
      <w:r>
        <w:rPr/>
        <w:t>万元。</w:t>
      </w:r>
    </w:p>
    <w:p>
      <w:pPr>
        <w:spacing w:line="240" w:lineRule="auto" w:before="10"/>
        <w:rPr>
          <w:rFonts w:ascii="宋体" w:hAnsi="宋体" w:cs="宋体" w:eastAsia="宋体" w:hint="default"/>
          <w:sz w:val="19"/>
          <w:szCs w:val="19"/>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535,913,308.49</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29.69%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02"/>
        <w:gridCol w:w="3301"/>
        <w:gridCol w:w="2322"/>
        <w:gridCol w:w="3143"/>
      </w:tblGrid>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307,740,923.08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17.05%</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65,685,149.14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3.64%</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61,687,606.84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3.42%</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51,286,581.32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2.84%</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49,513,048.11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2.74%</w:t>
            </w:r>
          </w:p>
        </w:tc>
      </w:tr>
      <w:tr>
        <w:trPr>
          <w:trHeight w:val="402"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535,913,308.49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38" w:lineRule="auto" w:before="117"/>
        <w:ind w:left="154" w:right="81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186,682,525.15</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48,011,047.17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37,899,558.68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3.17%</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37,144,956.49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3.11%</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34,123,549.38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2.85%</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29,503,413.43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w:t>
            </w:r>
          </w:p>
        </w:tc>
      </w:tr>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186,682,525.15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15.62%</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5"/>
        <w:gridCol w:w="1637"/>
        <w:gridCol w:w="1637"/>
        <w:gridCol w:w="1462"/>
        <w:gridCol w:w="2917"/>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228,241,610.38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258,226,095.88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-11.61%</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
              <w:jc w:val="left"/>
              <w:rPr>
                <w:rFonts w:ascii="宋体" w:hAnsi="宋体" w:cs="宋体" w:eastAsia="宋体" w:hint="default"/>
                <w:sz w:val="18"/>
                <w:szCs w:val="18"/>
              </w:rPr>
            </w:pPr>
            <w:r>
              <w:rPr>
                <w:rFonts w:ascii="宋体" w:hAnsi="宋体" w:cs="宋体" w:eastAsia="宋体" w:hint="default"/>
                <w:sz w:val="18"/>
                <w:szCs w:val="18"/>
              </w:rPr>
              <w:t>报告期，公司优化和整合传统业务， 改革销售体系，销售费用同比下降。</w:t>
            </w:r>
          </w:p>
        </w:tc>
      </w:tr>
      <w:tr>
        <w:trPr>
          <w:trHeight w:val="1026"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277,850,129.24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319,020,091.29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-12.91%</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
              <w:jc w:val="both"/>
              <w:rPr>
                <w:rFonts w:ascii="宋体" w:hAnsi="宋体" w:cs="宋体" w:eastAsia="宋体" w:hint="default"/>
                <w:sz w:val="18"/>
                <w:szCs w:val="18"/>
              </w:rPr>
            </w:pPr>
            <w:r>
              <w:rPr>
                <w:rFonts w:ascii="宋体" w:hAnsi="宋体" w:cs="宋体" w:eastAsia="宋体" w:hint="default"/>
                <w:sz w:val="18"/>
                <w:szCs w:val="18"/>
              </w:rPr>
              <w:t>报告期，公司优化和整合传统业务， 削减了传统业务规模和人员，管理费 用同比下降。</w:t>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55,160,327.11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69" w:right="0"/>
              <w:jc w:val="left"/>
              <w:rPr>
                <w:rFonts w:ascii="Times New Roman" w:hAnsi="Times New Roman" w:cs="Times New Roman" w:eastAsia="Times New Roman" w:hint="default"/>
                <w:sz w:val="18"/>
                <w:szCs w:val="18"/>
              </w:rPr>
            </w:pPr>
            <w:r>
              <w:rPr>
                <w:rFonts w:ascii="Times New Roman"/>
                <w:sz w:val="18"/>
              </w:rPr>
              <w:t>62,035,278.82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-11.08%</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2"/>
              <w:jc w:val="left"/>
              <w:rPr>
                <w:rFonts w:ascii="宋体" w:hAnsi="宋体" w:cs="宋体" w:eastAsia="宋体" w:hint="default"/>
                <w:sz w:val="18"/>
                <w:szCs w:val="18"/>
              </w:rPr>
            </w:pPr>
            <w:r>
              <w:rPr>
                <w:rFonts w:ascii="宋体" w:hAnsi="宋体" w:cs="宋体" w:eastAsia="宋体" w:hint="default"/>
                <w:sz w:val="18"/>
                <w:szCs w:val="18"/>
              </w:rPr>
              <w:t>主要是借款利息及银行手续费减少 的原因。</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3"/>
        <w:ind w:left="574" w:right="0"/>
        <w:jc w:val="left"/>
      </w:pPr>
      <w:r>
        <w:rPr/>
        <w:t>报告期，公司节能大功率电力电子设备制造业和移动互联网运营支撑服务业务发展趋势和国内市场需</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spacing w:val="-1"/>
        </w:rPr>
        <w:t>要，有针对性地进行各技术领域的基础研究和专项技术开发，保证公司产品的技术水平保持国内领先，并</w:t>
      </w:r>
      <w:r>
        <w:rPr>
          <w:spacing w:val="-83"/>
        </w:rPr>
        <w:t> </w:t>
      </w:r>
      <w:r>
        <w:rPr>
          <w:spacing w:val="-83"/>
        </w:rPr>
      </w:r>
      <w:r>
        <w:rPr/>
        <w:t>开发行业前沿技术，力争与国际先进技术水平同步。</w:t>
      </w:r>
    </w:p>
    <w:p>
      <w:pPr>
        <w:pStyle w:val="BodyText"/>
        <w:spacing w:line="386" w:lineRule="auto" w:before="46"/>
        <w:ind w:left="453" w:right="0"/>
        <w:jc w:val="left"/>
      </w:pPr>
      <w:r>
        <w:rPr/>
        <w:t>报告期，公司共计投入研发资金</w:t>
      </w:r>
      <w:r>
        <w:rPr>
          <w:rFonts w:ascii="Times New Roman" w:hAnsi="Times New Roman" w:cs="Times New Roman" w:eastAsia="Times New Roman" w:hint="default"/>
        </w:rPr>
        <w:t>10,290.99</w:t>
      </w:r>
      <w:r>
        <w:rPr/>
        <w:t>万元，占</w:t>
      </w:r>
      <w:r>
        <w:rPr>
          <w:rFonts w:ascii="Times New Roman" w:hAnsi="Times New Roman" w:cs="Times New Roman" w:eastAsia="Times New Roman" w:hint="default"/>
        </w:rPr>
        <w:t>2015</w:t>
      </w:r>
      <w:r>
        <w:rPr/>
        <w:t>年销售收入</w:t>
      </w:r>
      <w:r>
        <w:rPr>
          <w:rFonts w:ascii="Times New Roman" w:hAnsi="Times New Roman" w:cs="Times New Roman" w:eastAsia="Times New Roman" w:hint="default"/>
        </w:rPr>
        <w:t>5.70%</w:t>
      </w:r>
      <w:r>
        <w:rPr/>
        <w:t>。 </w:t>
      </w:r>
      <w:r>
        <w:rPr>
          <w:spacing w:val="-1"/>
        </w:rPr>
        <w:t>报告期，公司及控股子公司有</w:t>
      </w:r>
      <w:r>
        <w:rPr>
          <w:rFonts w:ascii="Times New Roman" w:hAnsi="Times New Roman" w:cs="Times New Roman" w:eastAsia="Times New Roman" w:hint="default"/>
          <w:spacing w:val="-1"/>
        </w:rPr>
        <w:t>43</w:t>
      </w:r>
      <w:r>
        <w:rPr>
          <w:spacing w:val="-1"/>
        </w:rPr>
        <w:t>项专利获得授权，其中：发明专利</w:t>
      </w:r>
      <w:r>
        <w:rPr>
          <w:rFonts w:ascii="Times New Roman" w:hAnsi="Times New Roman" w:cs="Times New Roman" w:eastAsia="Times New Roman" w:hint="default"/>
          <w:spacing w:val="-1"/>
        </w:rPr>
        <w:t>8</w:t>
      </w:r>
      <w:r>
        <w:rPr>
          <w:spacing w:val="-1"/>
        </w:rPr>
        <w:t>项，实用新型专利</w:t>
      </w:r>
      <w:r>
        <w:rPr>
          <w:rFonts w:ascii="Times New Roman" w:hAnsi="Times New Roman" w:cs="Times New Roman" w:eastAsia="Times New Roman" w:hint="default"/>
          <w:spacing w:val="-1"/>
        </w:rPr>
        <w:t>35</w:t>
      </w:r>
      <w:r>
        <w:rPr>
          <w:spacing w:val="-1"/>
        </w:rPr>
        <w:t>项；申请并已</w:t>
      </w:r>
    </w:p>
    <w:p>
      <w:pPr>
        <w:pStyle w:val="BodyText"/>
        <w:spacing w:line="240" w:lineRule="auto" w:before="35"/>
        <w:ind w:right="0"/>
        <w:jc w:val="left"/>
      </w:pPr>
      <w:r>
        <w:rPr/>
        <w:t>受理的专利</w:t>
      </w:r>
      <w:r>
        <w:rPr>
          <w:rFonts w:ascii="Times New Roman" w:hAnsi="Times New Roman" w:cs="Times New Roman" w:eastAsia="Times New Roman" w:hint="default"/>
        </w:rPr>
        <w:t>37</w:t>
      </w:r>
      <w:r>
        <w:rPr/>
        <w:t>项，其中：发明专利</w:t>
      </w:r>
      <w:r>
        <w:rPr>
          <w:rFonts w:ascii="Times New Roman" w:hAnsi="Times New Roman" w:cs="Times New Roman" w:eastAsia="Times New Roman" w:hint="default"/>
        </w:rPr>
        <w:t>12</w:t>
      </w:r>
      <w:r>
        <w:rPr/>
        <w:t>项，实用新型</w:t>
      </w:r>
      <w:r>
        <w:rPr>
          <w:rFonts w:ascii="Times New Roman" w:hAnsi="Times New Roman" w:cs="Times New Roman" w:eastAsia="Times New Roman" w:hint="default"/>
        </w:rPr>
        <w:t>25</w:t>
      </w:r>
      <w:r>
        <w:rPr/>
        <w:t>项；取得软件著作权</w:t>
      </w:r>
      <w:r>
        <w:rPr>
          <w:rFonts w:ascii="Times New Roman" w:hAnsi="Times New Roman" w:cs="Times New Roman" w:eastAsia="Times New Roman" w:hint="default"/>
        </w:rPr>
        <w:t>6</w:t>
      </w:r>
      <w:r>
        <w:rPr/>
        <w:t>项。</w:t>
      </w:r>
    </w:p>
    <w:p>
      <w:pPr>
        <w:spacing w:before="165"/>
        <w:ind w:left="154" w:right="0" w:firstLine="0"/>
        <w:jc w:val="left"/>
        <w:rPr>
          <w:rFonts w:ascii="宋体" w:hAnsi="宋体" w:cs="宋体" w:eastAsia="宋体" w:hint="default"/>
          <w:sz w:val="18"/>
          <w:szCs w:val="18"/>
        </w:rPr>
      </w:pPr>
      <w:r>
        <w:rPr>
          <w:rFonts w:ascii="宋体" w:hAnsi="宋体" w:cs="宋体" w:eastAsia="宋体" w:hint="default"/>
          <w:sz w:val="18"/>
          <w:szCs w:val="18"/>
        </w:rPr>
        <w:t>公司研发投入情况</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102,909,869.60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125,332,097.80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98" w:lineRule="auto" w:before="153"/>
        <w:ind w:left="153" w:right="128" w:firstLine="420"/>
        <w:jc w:val="both"/>
      </w:pPr>
      <w:r>
        <w:rPr/>
        <w:t>报告期，公司研发投入占营业收入比例同比下降</w:t>
      </w:r>
      <w:r>
        <w:rPr>
          <w:rFonts w:ascii="Times New Roman" w:hAnsi="Times New Roman" w:cs="Times New Roman" w:eastAsia="Times New Roman" w:hint="default"/>
        </w:rPr>
        <w:t>7.81</w:t>
      </w:r>
      <w:r>
        <w:rPr/>
        <w:t>个百分点，主要是由于公司传统业务削减规模， 研发投入同比减少，另外公司新增合并梦网科技，该公司研发投入占营业收收入比重低于公司传统业务， 造成摊薄影响。</w:t>
      </w:r>
    </w:p>
    <w:p>
      <w:pPr>
        <w:spacing w:before="43"/>
        <w:ind w:left="154" w:right="0" w:firstLine="0"/>
        <w:jc w:val="left"/>
        <w:rPr>
          <w:rFonts w:ascii="宋体" w:hAnsi="宋体" w:cs="宋体" w:eastAsia="宋体" w:hint="default"/>
          <w:sz w:val="18"/>
          <w:szCs w:val="18"/>
        </w:rPr>
      </w:pPr>
      <w:r>
        <w:rPr>
          <w:rFonts w:ascii="宋体" w:hAnsi="宋体" w:cs="宋体" w:eastAsia="宋体" w:hint="default"/>
          <w:sz w:val="18"/>
          <w:szCs w:val="18"/>
        </w:rPr>
        <w:t>研发投入资本化率大幅变动的原因及其合理性说明</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before="0"/>
        <w:ind w:right="0"/>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9"/>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1,927,004,665.35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1,371,668,942.30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40.49%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1,878,018,506.54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1,484,151,449.60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26.54%</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48,986,158.81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-112,482,507.30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143.55%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290,567,671.74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2,452,636.51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11,747.16%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602,715,164.63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112,939,245.22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449.60%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-330,147,492.89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-110,486,608.71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-198.81%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1,208,799,994.24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357,521,888.70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238.11%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301,099,003.98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383,666,199.23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-21.52%</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907,700,990.26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-26,144,310.53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3,571.89%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625,847,998.61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-250,234,759.60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160.55%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left="573" w:right="0"/>
        <w:jc w:val="left"/>
      </w:pPr>
      <w:r>
        <w:rPr/>
        <w:t>报告期，经营活动现金流入同比增加，主要是销售回款增加所致。 报告期，经营活动产生的现金流量净额为同比增，主要是销售回款增加所致。 报告期，投资活动现金流入同比增加，主要是处置固定资产、长期股权投资收到现金增加所致。 报告期，投资活动现金流出同比增加，主要是收购梦网科技支付现金增加所致。 报告期，投资活动产生的现金流量净额同比减少，主要是投资活动现金流出增加所致。 报告期，筹资活动现金流入同比增加，主要是非公开发行股份募集资金增加所致。 报告期，筹资活动产生的现金流量净额同比增加主要是筹资活动现金流入增加所致。 </w:t>
      </w:r>
      <w:r>
        <w:rPr>
          <w:spacing w:val="-1"/>
        </w:rPr>
        <w:t>报告期，现金及现金等价物净增加额同比增加主要是经营活动产生的现金流量净额和筹资活动产生的</w:t>
      </w:r>
    </w:p>
    <w:p>
      <w:pPr>
        <w:pStyle w:val="BodyText"/>
        <w:spacing w:line="240" w:lineRule="auto" w:before="46"/>
        <w:ind w:right="0"/>
        <w:jc w:val="left"/>
      </w:pPr>
      <w:r>
        <w:rPr/>
        <w:t>现金流量净额同比增加所致。</w:t>
      </w:r>
    </w:p>
    <w:p>
      <w:pPr>
        <w:spacing w:line="240" w:lineRule="auto" w:before="11"/>
        <w:rPr>
          <w:rFonts w:ascii="宋体" w:hAnsi="宋体" w:cs="宋体" w:eastAsia="宋体" w:hint="default"/>
          <w:sz w:val="13"/>
          <w:szCs w:val="13"/>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right="0" w:firstLine="420"/>
        <w:jc w:val="left"/>
      </w:pPr>
      <w:r>
        <w:rPr>
          <w:spacing w:val="-1"/>
        </w:rPr>
        <w:t>报告期内，导致公司经营性现金流与净利润存在差异的主要原因是对报告期净利润产生较大影响的如</w:t>
      </w:r>
      <w:r>
        <w:rPr/>
        <w:t> 资产减值准备、固定资产折旧、无形资产摊销等项目减少本期净利润但并未形成实际的现金的流出。</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r>
        <w:rPr/>
        <w:t>三、非主营业务分析</w:t>
      </w:r>
      <w:r>
        <w:rPr>
          <w:b w:val="0"/>
          <w:bCs w:val="0"/>
        </w:rPr>
      </w:r>
    </w:p>
    <w:p>
      <w:pPr>
        <w:spacing w:line="240" w:lineRule="auto" w:before="2"/>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23"/>
        <w:gridCol w:w="1916"/>
        <w:gridCol w:w="1622"/>
        <w:gridCol w:w="2254"/>
        <w:gridCol w:w="2254"/>
      </w:tblGrid>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1"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8" w:right="0"/>
              <w:jc w:val="left"/>
              <w:rPr>
                <w:rFonts w:ascii="Times New Roman" w:hAnsi="Times New Roman" w:cs="Times New Roman" w:eastAsia="Times New Roman" w:hint="default"/>
                <w:sz w:val="18"/>
                <w:szCs w:val="18"/>
              </w:rPr>
            </w:pPr>
            <w:r>
              <w:rPr>
                <w:rFonts w:ascii="Times New Roman"/>
                <w:sz w:val="18"/>
              </w:rPr>
              <w:t>-35,519,578.50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-29.63%</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联营企业亏损</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8" w:right="0"/>
              <w:jc w:val="left"/>
              <w:rPr>
                <w:rFonts w:ascii="Times New Roman" w:hAnsi="Times New Roman" w:cs="Times New Roman" w:eastAsia="Times New Roman" w:hint="default"/>
                <w:sz w:val="18"/>
                <w:szCs w:val="18"/>
              </w:rPr>
            </w:pPr>
            <w:r>
              <w:rPr>
                <w:rFonts w:ascii="Times New Roman"/>
                <w:sz w:val="18"/>
              </w:rPr>
              <w:t>60,683,122.61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50.61%</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9"/>
              <w:jc w:val="left"/>
              <w:rPr>
                <w:rFonts w:ascii="宋体" w:hAnsi="宋体" w:cs="宋体" w:eastAsia="宋体" w:hint="default"/>
                <w:sz w:val="18"/>
                <w:szCs w:val="18"/>
              </w:rPr>
            </w:pPr>
            <w:r>
              <w:rPr>
                <w:rFonts w:ascii="宋体" w:hAnsi="宋体" w:cs="宋体" w:eastAsia="宋体" w:hint="default"/>
                <w:sz w:val="18"/>
                <w:szCs w:val="18"/>
              </w:rPr>
              <w:t>主要是计提应收账款坏账准 备</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8" w:right="0"/>
              <w:jc w:val="left"/>
              <w:rPr>
                <w:rFonts w:ascii="Times New Roman" w:hAnsi="Times New Roman" w:cs="Times New Roman" w:eastAsia="Times New Roman" w:hint="default"/>
                <w:sz w:val="18"/>
                <w:szCs w:val="18"/>
              </w:rPr>
            </w:pPr>
            <w:r>
              <w:rPr>
                <w:rFonts w:ascii="Times New Roman"/>
                <w:sz w:val="18"/>
              </w:rPr>
              <w:t>147,257,408.88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122.82%</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9"/>
              <w:jc w:val="left"/>
              <w:rPr>
                <w:rFonts w:ascii="宋体" w:hAnsi="宋体" w:cs="宋体" w:eastAsia="宋体" w:hint="default"/>
                <w:sz w:val="18"/>
                <w:szCs w:val="18"/>
              </w:rPr>
            </w:pPr>
            <w:r>
              <w:rPr>
                <w:rFonts w:ascii="宋体" w:hAnsi="宋体" w:cs="宋体" w:eastAsia="宋体" w:hint="default"/>
                <w:sz w:val="18"/>
                <w:szCs w:val="18"/>
              </w:rPr>
              <w:t>处置固定资产利得及获得政 府补助</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部分政府补助具有可持续性</w:t>
            </w:r>
          </w:p>
        </w:tc>
      </w:tr>
      <w:tr>
        <w:trPr>
          <w:trHeight w:val="714" w:hRule="exact"/>
        </w:trPr>
        <w:tc>
          <w:tcPr>
            <w:tcW w:w="15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8" w:right="0"/>
              <w:jc w:val="left"/>
              <w:rPr>
                <w:rFonts w:ascii="Times New Roman" w:hAnsi="Times New Roman" w:cs="Times New Roman" w:eastAsia="Times New Roman" w:hint="default"/>
                <w:sz w:val="18"/>
                <w:szCs w:val="18"/>
              </w:rPr>
            </w:pPr>
            <w:r>
              <w:rPr>
                <w:rFonts w:ascii="Times New Roman"/>
                <w:sz w:val="18"/>
              </w:rPr>
              <w:t>30,166,846.03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25.16%</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9"/>
              <w:jc w:val="left"/>
              <w:rPr>
                <w:rFonts w:ascii="宋体" w:hAnsi="宋体" w:cs="宋体" w:eastAsia="宋体" w:hint="default"/>
                <w:sz w:val="18"/>
                <w:szCs w:val="18"/>
              </w:rPr>
            </w:pPr>
            <w:r>
              <w:rPr>
                <w:rFonts w:ascii="宋体" w:hAnsi="宋体" w:cs="宋体" w:eastAsia="宋体" w:hint="default"/>
                <w:sz w:val="18"/>
                <w:szCs w:val="18"/>
              </w:rPr>
              <w:t>固定资产处置损失及预提的 超额奖励</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102"/>
        <w:jc w:val="left"/>
        <w:rPr>
          <w:b w:val="0"/>
          <w:bCs w:val="0"/>
        </w:rPr>
      </w:pP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102"/>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164"/>
        <w:gridCol w:w="1063"/>
        <w:gridCol w:w="1195"/>
        <w:gridCol w:w="1063"/>
        <w:gridCol w:w="798"/>
        <w:gridCol w:w="2917"/>
      </w:tblGrid>
      <w:tr>
        <w:trPr>
          <w:trHeight w:val="383" w:hRule="exact"/>
        </w:trPr>
        <w:tc>
          <w:tcPr>
            <w:tcW w:w="1368" w:type="dxa"/>
            <w:vMerge w:val="restart"/>
            <w:tcBorders>
              <w:top w:val="single" w:sz="4" w:space="0" w:color="000000"/>
              <w:left w:val="single" w:sz="4" w:space="0" w:color="000000"/>
              <w:right w:val="single" w:sz="4" w:space="0" w:color="000000"/>
            </w:tcBorders>
            <w:shd w:val="clear" w:color="auto" w:fill="D3D3D3"/>
          </w:tcPr>
          <w:p>
            <w:pPr/>
          </w:p>
        </w:tc>
        <w:tc>
          <w:tcPr>
            <w:tcW w:w="222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72" w:hRule="exact"/>
        </w:trPr>
        <w:tc>
          <w:tcPr>
            <w:tcW w:w="1368" w:type="dxa"/>
            <w:vMerge/>
            <w:tcBorders>
              <w:left w:val="single" w:sz="4" w:space="0" w:color="000000"/>
              <w:right w:val="single" w:sz="4" w:space="0" w:color="000000"/>
            </w:tcBorders>
            <w:shd w:val="clear" w:color="auto" w:fill="D3D3D3"/>
          </w:tcPr>
          <w:p>
            <w:pPr/>
          </w:p>
        </w:tc>
        <w:tc>
          <w:tcPr>
            <w:tcW w:w="11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7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8" w:type="dxa"/>
            <w:vMerge/>
            <w:tcBorders>
              <w:left w:val="single" w:sz="4" w:space="0" w:color="000000"/>
              <w:right w:val="single" w:sz="4" w:space="0" w:color="000000"/>
            </w:tcBorders>
            <w:shd w:val="clear" w:color="auto" w:fill="D3D3D3"/>
          </w:tcPr>
          <w:p>
            <w:pPr/>
          </w:p>
        </w:tc>
        <w:tc>
          <w:tcPr>
            <w:tcW w:w="291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1"/>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164"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063"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291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1,127,029,625.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15.35%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537,614,403.66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0.06%</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1,586,304,815.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21.61%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1,077,966,375.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30.66%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-9.05%</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2"/>
              <w:jc w:val="left"/>
              <w:rPr>
                <w:rFonts w:ascii="宋体" w:hAnsi="宋体" w:cs="宋体" w:eastAsia="宋体" w:hint="default"/>
                <w:sz w:val="18"/>
                <w:szCs w:val="18"/>
              </w:rPr>
            </w:pPr>
            <w:r>
              <w:rPr>
                <w:rFonts w:ascii="宋体" w:hAnsi="宋体" w:cs="宋体" w:eastAsia="宋体" w:hint="default"/>
                <w:sz w:val="18"/>
                <w:szCs w:val="18"/>
              </w:rPr>
              <w:t>主要是收购梦网科技总资产大幅增 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672,236,513.3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547,360,768.22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-6.41%</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2"/>
              <w:jc w:val="left"/>
              <w:rPr>
                <w:rFonts w:ascii="宋体" w:hAnsi="宋体" w:cs="宋体" w:eastAsia="宋体" w:hint="default"/>
                <w:sz w:val="18"/>
                <w:szCs w:val="18"/>
              </w:rPr>
            </w:pPr>
            <w:r>
              <w:rPr>
                <w:rFonts w:ascii="宋体" w:hAnsi="宋体" w:cs="宋体" w:eastAsia="宋体" w:hint="default"/>
                <w:sz w:val="18"/>
                <w:szCs w:val="18"/>
              </w:rPr>
              <w:t>主要是收购梦网科技总资产大幅增 加所致。</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129,546,868.3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162,278,386.65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-2.86%</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605,838,443.3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692,565,106.76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-11.45%</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主要是处置固定资产所致。</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6" w:right="0"/>
              <w:jc w:val="left"/>
              <w:rPr>
                <w:rFonts w:ascii="Times New Roman" w:hAnsi="Times New Roman" w:cs="Times New Roman" w:eastAsia="Times New Roman" w:hint="default"/>
                <w:sz w:val="18"/>
                <w:szCs w:val="18"/>
              </w:rPr>
            </w:pPr>
            <w:r>
              <w:rPr>
                <w:rFonts w:ascii="Times New Roman"/>
                <w:sz w:val="18"/>
              </w:rPr>
              <w:t>4,240,299.52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22,801,892.98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0.65%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-0.59%</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477,300,000.0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6.50%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214,565,098.50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0.40%</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-2.84%</w:t>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2,470,041,051.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33.87%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3,993,764.63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0.11%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33.76%</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主要是梦网科技评估增值所致。</w:t>
            </w:r>
          </w:p>
        </w:tc>
      </w:tr>
    </w:tbl>
    <w:p>
      <w:pPr>
        <w:spacing w:line="240" w:lineRule="auto" w:before="3"/>
        <w:rPr>
          <w:rFonts w:ascii="宋体" w:hAnsi="宋体" w:cs="宋体" w:eastAsia="宋体" w:hint="default"/>
          <w:sz w:val="5"/>
          <w:szCs w:val="5"/>
        </w:rPr>
      </w:pPr>
    </w:p>
    <w:p>
      <w:pPr>
        <w:pStyle w:val="BodyText"/>
        <w:spacing w:line="386" w:lineRule="auto" w:before="35"/>
        <w:ind w:left="153" w:right="210" w:firstLine="420"/>
        <w:jc w:val="both"/>
      </w:pPr>
      <w:r>
        <w:rPr>
          <w:spacing w:val="-1"/>
        </w:rPr>
        <w:t>本公司应收账款期末余额较大的原因是：</w:t>
      </w:r>
      <w:r>
        <w:rPr>
          <w:rFonts w:ascii="Times New Roman" w:hAnsi="Times New Roman" w:cs="Times New Roman" w:eastAsia="Times New Roman" w:hint="default"/>
          <w:spacing w:val="-1"/>
        </w:rPr>
        <w:t>A.</w:t>
      </w:r>
      <w:r>
        <w:rPr>
          <w:spacing w:val="-1"/>
        </w:rPr>
        <w:t>公司产品主要为大型定制化设备，单笔业务金额较大，在</w:t>
      </w:r>
      <w:r>
        <w:rPr/>
        <w:t> </w:t>
      </w:r>
      <w:r>
        <w:rPr>
          <w:spacing w:val="-1"/>
        </w:rPr>
        <w:t>收入确认后完全收款之前，相应应收账款规模较大。</w:t>
      </w:r>
      <w:r>
        <w:rPr>
          <w:rFonts w:ascii="Times New Roman" w:hAnsi="Times New Roman" w:cs="Times New Roman" w:eastAsia="Times New Roman" w:hint="default"/>
          <w:spacing w:val="-1"/>
        </w:rPr>
        <w:t>B.</w:t>
      </w:r>
      <w:r>
        <w:rPr>
          <w:spacing w:val="-1"/>
        </w:rPr>
        <w:t>公司产品主要面向冶金、煤炭、发电、有色金属等</w:t>
      </w:r>
      <w:r>
        <w:rPr>
          <w:spacing w:val="-68"/>
        </w:rPr>
        <w:t> </w:t>
      </w:r>
      <w:r>
        <w:rPr>
          <w:spacing w:val="-68"/>
        </w:rPr>
      </w:r>
      <w:r>
        <w:rPr>
          <w:spacing w:val="-1"/>
        </w:rPr>
        <w:t>基础性行业，下游客户受宏观经济周期性影响较大，资金紧张，造成公司应收账款回款较慢。</w:t>
      </w:r>
      <w:r>
        <w:rPr>
          <w:rFonts w:ascii="Times New Roman" w:hAnsi="Times New Roman" w:cs="Times New Roman" w:eastAsia="Times New Roman" w:hint="default"/>
          <w:spacing w:val="-1"/>
        </w:rPr>
        <w:t>C.</w:t>
      </w:r>
      <w:r>
        <w:rPr>
          <w:spacing w:val="-1"/>
        </w:rPr>
        <w:t>公司为进</w:t>
      </w:r>
      <w:r>
        <w:rPr>
          <w:spacing w:val="-68"/>
        </w:rPr>
        <w:t> </w:t>
      </w:r>
      <w:r>
        <w:rPr>
          <w:spacing w:val="-68"/>
        </w:rPr>
      </w:r>
      <w:r>
        <w:rPr/>
        <w:t>一步开拓市场，实行较为宽松的信用政策，客户付款周期有所延长。</w:t>
      </w:r>
    </w:p>
    <w:p>
      <w:pPr>
        <w:pStyle w:val="BodyText"/>
        <w:spacing w:line="444" w:lineRule="auto" w:before="104"/>
        <w:ind w:left="573" w:right="102"/>
        <w:jc w:val="left"/>
      </w:pPr>
      <w:r>
        <w:rPr/>
        <w:t>为了使应收账款的增加不会对公司持续经营构成不利影响。 </w:t>
      </w:r>
      <w:r>
        <w:rPr>
          <w:spacing w:val="-1"/>
        </w:rPr>
        <w:t>公司主要采取了以下措施：</w:t>
      </w:r>
      <w:r>
        <w:rPr>
          <w:rFonts w:ascii="Times New Roman" w:hAnsi="Times New Roman" w:cs="Times New Roman" w:eastAsia="Times New Roman" w:hint="default"/>
          <w:spacing w:val="-1"/>
        </w:rPr>
        <w:t>A.</w:t>
      </w:r>
      <w:r>
        <w:rPr>
          <w:spacing w:val="-1"/>
        </w:rPr>
        <w:t>公司对应收账款均按照账龄进行坏账准备的计提，并对部分账龄较长预</w:t>
      </w:r>
    </w:p>
    <w:p>
      <w:pPr>
        <w:pStyle w:val="BodyText"/>
        <w:spacing w:line="270" w:lineRule="exact"/>
        <w:ind w:left="153" w:right="0"/>
        <w:jc w:val="both"/>
      </w:pPr>
      <w:r>
        <w:rPr/>
        <w:t>计无法收回的应收账款</w:t>
      </w:r>
      <w:r>
        <w:rPr>
          <w:spacing w:val="24"/>
        </w:rPr>
        <w:t> </w:t>
      </w:r>
      <w:r>
        <w:rPr>
          <w:rFonts w:ascii="Times New Roman" w:hAnsi="Times New Roman" w:cs="Times New Roman" w:eastAsia="Times New Roman" w:hint="default"/>
        </w:rPr>
        <w:t>100%</w:t>
      </w:r>
      <w:r>
        <w:rPr/>
        <w:t>计提了坏账准备。</w:t>
      </w:r>
      <w:r>
        <w:rPr>
          <w:rFonts w:ascii="Times New Roman" w:hAnsi="Times New Roman" w:cs="Times New Roman" w:eastAsia="Times New Roman" w:hint="default"/>
        </w:rPr>
        <w:t>B.</w:t>
      </w:r>
      <w:r>
        <w:rPr/>
        <w:t>为了加强应收账款回收、加快资金周转，报告期内公司</w:t>
      </w:r>
    </w:p>
    <w:p>
      <w:pPr>
        <w:pStyle w:val="BodyText"/>
        <w:spacing w:line="408" w:lineRule="auto" w:before="177"/>
        <w:ind w:left="153" w:right="105"/>
        <w:jc w:val="both"/>
      </w:pPr>
      <w:r>
        <w:rPr/>
        <w:t>开展了应收账款保理业务，公司通过保理业务获取银行融资，相当于应收账款提前收回。应收账款保理业 务的开展有助于公司提前收取货款，盘活和缓解流动资金压力。通过开展应收账款保理业务，一方面可以 将账期较长的应收账款提前收回，从而加快周转；另一方面，公司所开展的保理业务的相关成本及条件相 </w:t>
      </w:r>
      <w:r>
        <w:rPr>
          <w:spacing w:val="-3"/>
        </w:rPr>
        <w:t>对其他融资方式（银行借款）较为优惠，可降低公司整体融资成本。</w:t>
      </w:r>
      <w:r>
        <w:rPr>
          <w:rFonts w:ascii="Times New Roman" w:hAnsi="Times New Roman" w:cs="Times New Roman" w:eastAsia="Times New Roman" w:hint="default"/>
          <w:spacing w:val="-3"/>
        </w:rPr>
        <w:t>C.</w:t>
      </w:r>
      <w:r>
        <w:rPr>
          <w:spacing w:val="-3"/>
        </w:rPr>
        <w:t>公司已采取加大应收款项催收力度、</w:t>
      </w:r>
    </w:p>
    <w:p>
      <w:pPr>
        <w:spacing w:after="0" w:line="408" w:lineRule="auto"/>
        <w:jc w:val="both"/>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410" w:lineRule="auto" w:before="174"/>
        <w:ind w:right="0"/>
        <w:jc w:val="left"/>
      </w:pPr>
      <w:r>
        <w:rPr>
          <w:spacing w:val="-1"/>
        </w:rPr>
        <w:t>将客户回款情况作为关键指标对公司销售人员进行考核等多种措施以缩短销售回款周期等，这将在一定程</w:t>
      </w:r>
      <w:r>
        <w:rPr>
          <w:spacing w:val="-81"/>
        </w:rPr>
        <w:t> </w:t>
      </w:r>
      <w:r>
        <w:rPr>
          <w:spacing w:val="-81"/>
        </w:rPr>
      </w:r>
      <w:r>
        <w:rPr/>
        <w:t>度上使公司应收账款增速得到放缓，从而减小公司应收账款持续快速增加对公司盈利能力指标的影响。</w:t>
      </w:r>
    </w:p>
    <w:p>
      <w:pPr>
        <w:spacing w:line="240" w:lineRule="auto" w:before="3"/>
        <w:rPr>
          <w:rFonts w:ascii="宋体" w:hAnsi="宋体" w:cs="宋体" w:eastAsia="宋体" w:hint="default"/>
          <w:sz w:val="20"/>
          <w:szCs w:val="20"/>
        </w:rPr>
      </w:pPr>
    </w:p>
    <w:p>
      <w:pPr>
        <w:pStyle w:val="Heading3"/>
        <w:spacing w:line="240" w:lineRule="auto" w:before="0"/>
        <w:ind w:right="0"/>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before="0"/>
        <w:ind w:right="0"/>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1" w:right="0"/>
              <w:jc w:val="left"/>
              <w:rPr>
                <w:rFonts w:ascii="Times New Roman" w:hAnsi="Times New Roman" w:cs="Times New Roman" w:eastAsia="Times New Roman" w:hint="default"/>
                <w:sz w:val="18"/>
                <w:szCs w:val="18"/>
              </w:rPr>
            </w:pPr>
            <w:r>
              <w:rPr>
                <w:rFonts w:ascii="Times New Roman"/>
                <w:sz w:val="18"/>
              </w:rPr>
              <w:t>3,049,886,117.12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2"/>
        <w:gridCol w:w="690"/>
        <w:gridCol w:w="690"/>
        <w:gridCol w:w="668"/>
      </w:tblGrid>
      <w:tr>
        <w:trPr>
          <w:trHeight w:val="357" w:hRule="exact"/>
        </w:trPr>
        <w:tc>
          <w:tcPr>
            <w:tcW w:w="654" w:type="dxa"/>
            <w:tcBorders>
              <w:top w:val="single" w:sz="4" w:space="0" w:color="000000"/>
              <w:left w:val="single" w:sz="4" w:space="0" w:color="000000"/>
              <w:bottom w:val="nil" w:sz="6" w:space="0" w:color="auto"/>
              <w:right w:val="single" w:sz="4" w:space="0" w:color="000000"/>
            </w:tcBorders>
            <w:shd w:val="clear" w:color="auto" w:fill="D3D3D3"/>
          </w:tcPr>
          <w:p>
            <w:pPr/>
          </w:p>
        </w:tc>
        <w:tc>
          <w:tcPr>
            <w:tcW w:w="652" w:type="dxa"/>
            <w:tcBorders>
              <w:top w:val="single" w:sz="4" w:space="0" w:color="000000"/>
              <w:left w:val="single" w:sz="4" w:space="0" w:color="000000"/>
              <w:bottom w:val="nil" w:sz="6" w:space="0" w:color="auto"/>
              <w:right w:val="single" w:sz="4" w:space="0" w:color="000000"/>
            </w:tcBorders>
            <w:shd w:val="clear" w:color="auto" w:fill="D3D3D3"/>
          </w:tcPr>
          <w:p>
            <w:pPr/>
          </w:p>
        </w:tc>
        <w:tc>
          <w:tcPr>
            <w:tcW w:w="623" w:type="dxa"/>
            <w:tcBorders>
              <w:top w:val="single" w:sz="4" w:space="0" w:color="000000"/>
              <w:left w:val="single" w:sz="4" w:space="0" w:color="000000"/>
              <w:bottom w:val="nil" w:sz="6" w:space="0" w:color="auto"/>
              <w:right w:val="single" w:sz="4" w:space="0" w:color="000000"/>
            </w:tcBorders>
            <w:shd w:val="clear" w:color="auto" w:fill="D3D3D3"/>
          </w:tcPr>
          <w:p>
            <w:pPr/>
          </w:p>
        </w:tc>
        <w:tc>
          <w:tcPr>
            <w:tcW w:w="622" w:type="dxa"/>
            <w:tcBorders>
              <w:top w:val="single" w:sz="4" w:space="0" w:color="000000"/>
              <w:left w:val="single" w:sz="4" w:space="0" w:color="000000"/>
              <w:bottom w:val="nil" w:sz="6" w:space="0" w:color="auto"/>
              <w:right w:val="single" w:sz="4" w:space="0" w:color="000000"/>
            </w:tcBorders>
            <w:shd w:val="clear" w:color="auto" w:fill="D3D3D3"/>
          </w:tcPr>
          <w:p>
            <w:pPr/>
          </w:p>
        </w:tc>
        <w:tc>
          <w:tcPr>
            <w:tcW w:w="622" w:type="dxa"/>
            <w:tcBorders>
              <w:top w:val="single" w:sz="4" w:space="0" w:color="000000"/>
              <w:left w:val="single" w:sz="4" w:space="0" w:color="000000"/>
              <w:bottom w:val="nil" w:sz="6" w:space="0" w:color="auto"/>
              <w:right w:val="single" w:sz="4" w:space="0" w:color="000000"/>
            </w:tcBorders>
            <w:shd w:val="clear" w:color="auto" w:fill="D3D3D3"/>
          </w:tcPr>
          <w:p>
            <w:pPr/>
          </w:p>
        </w:tc>
        <w:tc>
          <w:tcPr>
            <w:tcW w:w="623" w:type="dxa"/>
            <w:tcBorders>
              <w:top w:val="single" w:sz="4" w:space="0" w:color="000000"/>
              <w:left w:val="single" w:sz="4" w:space="0" w:color="000000"/>
              <w:bottom w:val="nil" w:sz="6" w:space="0" w:color="auto"/>
              <w:right w:val="single" w:sz="4" w:space="0" w:color="000000"/>
            </w:tcBorders>
            <w:shd w:val="clear" w:color="auto" w:fill="D3D3D3"/>
          </w:tcPr>
          <w:p>
            <w:pPr/>
          </w:p>
        </w:tc>
        <w:tc>
          <w:tcPr>
            <w:tcW w:w="618" w:type="dxa"/>
            <w:tcBorders>
              <w:top w:val="single" w:sz="4" w:space="0" w:color="000000"/>
              <w:left w:val="single" w:sz="4" w:space="0" w:color="000000"/>
              <w:bottom w:val="nil" w:sz="6" w:space="0" w:color="auto"/>
              <w:right w:val="single" w:sz="4" w:space="0" w:color="000000"/>
            </w:tcBorders>
            <w:shd w:val="clear" w:color="auto" w:fill="D3D3D3"/>
          </w:tcPr>
          <w:p>
            <w:pPr/>
          </w:p>
        </w:tc>
        <w:tc>
          <w:tcPr>
            <w:tcW w:w="616" w:type="dxa"/>
            <w:tcBorders>
              <w:top w:val="single" w:sz="4" w:space="0" w:color="000000"/>
              <w:left w:val="single" w:sz="4" w:space="0" w:color="000000"/>
              <w:bottom w:val="nil" w:sz="6" w:space="0" w:color="auto"/>
              <w:right w:val="single" w:sz="4" w:space="0" w:color="000000"/>
            </w:tcBorders>
            <w:shd w:val="clear" w:color="auto" w:fill="D3D3D3"/>
          </w:tcPr>
          <w:p>
            <w:pPr/>
          </w:p>
        </w:tc>
        <w:tc>
          <w:tcPr>
            <w:tcW w:w="618" w:type="dxa"/>
            <w:tcBorders>
              <w:top w:val="single" w:sz="4" w:space="0" w:color="000000"/>
              <w:left w:val="single" w:sz="4" w:space="0" w:color="000000"/>
              <w:bottom w:val="nil" w:sz="6" w:space="0" w:color="auto"/>
              <w:right w:val="single" w:sz="4" w:space="0" w:color="000000"/>
            </w:tcBorders>
            <w:shd w:val="clear" w:color="auto" w:fill="D3D3D3"/>
          </w:tcPr>
          <w:p>
            <w:pPr/>
          </w:p>
        </w:tc>
        <w:tc>
          <w:tcPr>
            <w:tcW w:w="592"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截至</w:t>
            </w:r>
          </w:p>
        </w:tc>
        <w:tc>
          <w:tcPr>
            <w:tcW w:w="593" w:type="dxa"/>
            <w:tcBorders>
              <w:top w:val="single" w:sz="4" w:space="0" w:color="000000"/>
              <w:left w:val="single" w:sz="4" w:space="0" w:color="000000"/>
              <w:bottom w:val="nil" w:sz="6" w:space="0" w:color="auto"/>
              <w:right w:val="single" w:sz="4" w:space="0" w:color="000000"/>
            </w:tcBorders>
            <w:shd w:val="clear" w:color="auto" w:fill="D3D3D3"/>
          </w:tcPr>
          <w:p>
            <w:pPr/>
          </w:p>
        </w:tc>
        <w:tc>
          <w:tcPr>
            <w:tcW w:w="692" w:type="dxa"/>
            <w:tcBorders>
              <w:top w:val="single" w:sz="4" w:space="0" w:color="000000"/>
              <w:left w:val="single" w:sz="4" w:space="0" w:color="000000"/>
              <w:bottom w:val="nil" w:sz="6" w:space="0" w:color="auto"/>
              <w:right w:val="single" w:sz="4" w:space="0" w:color="000000"/>
            </w:tcBorders>
            <w:shd w:val="clear" w:color="auto" w:fill="D3D3D3"/>
          </w:tcPr>
          <w:p>
            <w:pPr/>
          </w:p>
        </w:tc>
        <w:tc>
          <w:tcPr>
            <w:tcW w:w="690" w:type="dxa"/>
            <w:tcBorders>
              <w:top w:val="single" w:sz="4" w:space="0" w:color="000000"/>
              <w:left w:val="single" w:sz="4" w:space="0" w:color="000000"/>
              <w:bottom w:val="nil" w:sz="6" w:space="0" w:color="auto"/>
              <w:right w:val="single" w:sz="4" w:space="0" w:color="000000"/>
            </w:tcBorders>
            <w:shd w:val="clear" w:color="auto" w:fill="D3D3D3"/>
          </w:tcPr>
          <w:p>
            <w:pPr/>
          </w:p>
        </w:tc>
        <w:tc>
          <w:tcPr>
            <w:tcW w:w="690" w:type="dxa"/>
            <w:tcBorders>
              <w:top w:val="single" w:sz="4" w:space="0" w:color="000000"/>
              <w:left w:val="single" w:sz="4" w:space="0" w:color="000000"/>
              <w:bottom w:val="nil" w:sz="6" w:space="0" w:color="auto"/>
              <w:right w:val="single" w:sz="4" w:space="0" w:color="000000"/>
            </w:tcBorders>
            <w:shd w:val="clear" w:color="auto" w:fill="D3D3D3"/>
          </w:tcPr>
          <w:p>
            <w:pPr/>
          </w:p>
        </w:tc>
        <w:tc>
          <w:tcPr>
            <w:tcW w:w="66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11" w:hRule="exact"/>
        </w:trPr>
        <w:tc>
          <w:tcPr>
            <w:tcW w:w="654" w:type="dxa"/>
            <w:tcBorders>
              <w:top w:val="nil" w:sz="6" w:space="0" w:color="auto"/>
              <w:left w:val="single" w:sz="4" w:space="0" w:color="000000"/>
              <w:bottom w:val="nil" w:sz="6" w:space="0" w:color="auto"/>
              <w:right w:val="single" w:sz="4" w:space="0" w:color="000000"/>
            </w:tcBorders>
            <w:shd w:val="clear" w:color="auto" w:fill="D3D3D3"/>
          </w:tcPr>
          <w:p>
            <w:pPr/>
          </w:p>
        </w:tc>
        <w:tc>
          <w:tcPr>
            <w:tcW w:w="652" w:type="dxa"/>
            <w:tcBorders>
              <w:top w:val="nil" w:sz="6" w:space="0" w:color="auto"/>
              <w:left w:val="single" w:sz="4" w:space="0" w:color="000000"/>
              <w:bottom w:val="nil" w:sz="6" w:space="0" w:color="auto"/>
              <w:right w:val="single" w:sz="4" w:space="0" w:color="000000"/>
            </w:tcBorders>
            <w:shd w:val="clear" w:color="auto" w:fill="D3D3D3"/>
          </w:tcPr>
          <w:p>
            <w:pPr/>
          </w:p>
        </w:tc>
        <w:tc>
          <w:tcPr>
            <w:tcW w:w="623" w:type="dxa"/>
            <w:tcBorders>
              <w:top w:val="nil" w:sz="6" w:space="0" w:color="auto"/>
              <w:left w:val="single" w:sz="4" w:space="0" w:color="000000"/>
              <w:bottom w:val="nil" w:sz="6" w:space="0" w:color="auto"/>
              <w:right w:val="single" w:sz="4" w:space="0" w:color="000000"/>
            </w:tcBorders>
            <w:shd w:val="clear" w:color="auto" w:fill="D3D3D3"/>
          </w:tcPr>
          <w:p>
            <w:pPr/>
          </w:p>
        </w:tc>
        <w:tc>
          <w:tcPr>
            <w:tcW w:w="622" w:type="dxa"/>
            <w:tcBorders>
              <w:top w:val="nil" w:sz="6" w:space="0" w:color="auto"/>
              <w:left w:val="single" w:sz="4" w:space="0" w:color="000000"/>
              <w:bottom w:val="nil" w:sz="6" w:space="0" w:color="auto"/>
              <w:right w:val="single" w:sz="4" w:space="0" w:color="000000"/>
            </w:tcBorders>
            <w:shd w:val="clear" w:color="auto" w:fill="D3D3D3"/>
          </w:tcPr>
          <w:p>
            <w:pPr/>
          </w:p>
        </w:tc>
        <w:tc>
          <w:tcPr>
            <w:tcW w:w="622" w:type="dxa"/>
            <w:tcBorders>
              <w:top w:val="nil" w:sz="6" w:space="0" w:color="auto"/>
              <w:left w:val="single" w:sz="4" w:space="0" w:color="000000"/>
              <w:bottom w:val="nil" w:sz="6" w:space="0" w:color="auto"/>
              <w:right w:val="single" w:sz="4" w:space="0" w:color="000000"/>
            </w:tcBorders>
            <w:shd w:val="clear" w:color="auto" w:fill="D3D3D3"/>
          </w:tcPr>
          <w:p>
            <w:pPr/>
          </w:p>
        </w:tc>
        <w:tc>
          <w:tcPr>
            <w:tcW w:w="623" w:type="dxa"/>
            <w:tcBorders>
              <w:top w:val="nil" w:sz="6" w:space="0" w:color="auto"/>
              <w:left w:val="single" w:sz="4" w:space="0" w:color="000000"/>
              <w:bottom w:val="nil" w:sz="6" w:space="0" w:color="auto"/>
              <w:right w:val="single" w:sz="4" w:space="0" w:color="000000"/>
            </w:tcBorders>
            <w:shd w:val="clear" w:color="auto" w:fill="D3D3D3"/>
          </w:tcPr>
          <w:p>
            <w:pPr/>
          </w:p>
        </w:tc>
        <w:tc>
          <w:tcPr>
            <w:tcW w:w="618" w:type="dxa"/>
            <w:tcBorders>
              <w:top w:val="nil" w:sz="6" w:space="0" w:color="auto"/>
              <w:left w:val="single" w:sz="4" w:space="0" w:color="000000"/>
              <w:bottom w:val="nil" w:sz="6" w:space="0" w:color="auto"/>
              <w:right w:val="single" w:sz="4" w:space="0" w:color="000000"/>
            </w:tcBorders>
            <w:shd w:val="clear" w:color="auto" w:fill="D3D3D3"/>
          </w:tcPr>
          <w:p>
            <w:pPr/>
          </w:p>
        </w:tc>
        <w:tc>
          <w:tcPr>
            <w:tcW w:w="616" w:type="dxa"/>
            <w:tcBorders>
              <w:top w:val="nil" w:sz="6" w:space="0" w:color="auto"/>
              <w:left w:val="single" w:sz="4" w:space="0" w:color="000000"/>
              <w:bottom w:val="nil" w:sz="6" w:space="0" w:color="auto"/>
              <w:right w:val="single" w:sz="4" w:space="0" w:color="000000"/>
            </w:tcBorders>
            <w:shd w:val="clear" w:color="auto" w:fill="D3D3D3"/>
          </w:tcPr>
          <w:p>
            <w:pPr/>
          </w:p>
        </w:tc>
        <w:tc>
          <w:tcPr>
            <w:tcW w:w="618" w:type="dxa"/>
            <w:tcBorders>
              <w:top w:val="nil" w:sz="6" w:space="0" w:color="auto"/>
              <w:left w:val="single" w:sz="4" w:space="0" w:color="000000"/>
              <w:bottom w:val="nil" w:sz="6" w:space="0" w:color="auto"/>
              <w:right w:val="single" w:sz="4" w:space="0" w:color="000000"/>
            </w:tcBorders>
            <w:shd w:val="clear" w:color="auto" w:fill="D3D3D3"/>
          </w:tcPr>
          <w:p>
            <w:pPr/>
          </w:p>
        </w:tc>
        <w:tc>
          <w:tcPr>
            <w:tcW w:w="5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资产</w:t>
            </w:r>
          </w:p>
        </w:tc>
        <w:tc>
          <w:tcPr>
            <w:tcW w:w="593" w:type="dxa"/>
            <w:tcBorders>
              <w:top w:val="nil" w:sz="6" w:space="0" w:color="auto"/>
              <w:left w:val="single" w:sz="4" w:space="0" w:color="000000"/>
              <w:bottom w:val="nil" w:sz="6" w:space="0" w:color="auto"/>
              <w:right w:val="single" w:sz="4" w:space="0" w:color="000000"/>
            </w:tcBorders>
            <w:shd w:val="clear" w:color="auto" w:fill="D3D3D3"/>
          </w:tcPr>
          <w:p>
            <w:pPr/>
          </w:p>
        </w:tc>
        <w:tc>
          <w:tcPr>
            <w:tcW w:w="692" w:type="dxa"/>
            <w:tcBorders>
              <w:top w:val="nil" w:sz="6" w:space="0" w:color="auto"/>
              <w:left w:val="single" w:sz="4" w:space="0" w:color="000000"/>
              <w:bottom w:val="nil" w:sz="6" w:space="0" w:color="auto"/>
              <w:right w:val="single" w:sz="4" w:space="0" w:color="000000"/>
            </w:tcBorders>
            <w:shd w:val="clear" w:color="auto" w:fill="D3D3D3"/>
          </w:tcPr>
          <w:p>
            <w:pPr/>
          </w:p>
        </w:tc>
        <w:tc>
          <w:tcPr>
            <w:tcW w:w="690" w:type="dxa"/>
            <w:tcBorders>
              <w:top w:val="nil" w:sz="6" w:space="0" w:color="auto"/>
              <w:left w:val="single" w:sz="4" w:space="0" w:color="000000"/>
              <w:bottom w:val="nil" w:sz="6" w:space="0" w:color="auto"/>
              <w:right w:val="single" w:sz="4" w:space="0" w:color="000000"/>
            </w:tcBorders>
            <w:shd w:val="clear" w:color="auto" w:fill="D3D3D3"/>
          </w:tcPr>
          <w:p>
            <w:pPr/>
          </w:p>
        </w:tc>
        <w:tc>
          <w:tcPr>
            <w:tcW w:w="690" w:type="dxa"/>
            <w:tcBorders>
              <w:top w:val="nil" w:sz="6" w:space="0" w:color="auto"/>
              <w:left w:val="single" w:sz="4" w:space="0" w:color="000000"/>
              <w:bottom w:val="nil" w:sz="6" w:space="0" w:color="auto"/>
              <w:right w:val="single" w:sz="4" w:space="0" w:color="000000"/>
            </w:tcBorders>
            <w:shd w:val="clear" w:color="auto" w:fill="D3D3D3"/>
          </w:tcPr>
          <w:p>
            <w:pPr/>
          </w:p>
        </w:tc>
        <w:tc>
          <w:tcPr>
            <w:tcW w:w="668"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937" w:hRule="exact"/>
        </w:trPr>
        <w:tc>
          <w:tcPr>
            <w:tcW w:w="6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51" w:right="50"/>
              <w:jc w:val="center"/>
              <w:rPr>
                <w:rFonts w:ascii="宋体" w:hAnsi="宋体" w:cs="宋体" w:eastAsia="宋体" w:hint="default"/>
                <w:sz w:val="18"/>
                <w:szCs w:val="18"/>
              </w:rPr>
            </w:pPr>
            <w:r>
              <w:rPr>
                <w:rFonts w:ascii="宋体" w:hAnsi="宋体" w:cs="宋体" w:eastAsia="宋体" w:hint="default"/>
                <w:sz w:val="18"/>
                <w:szCs w:val="18"/>
              </w:rPr>
              <w:t>被投资 公司名 称</w:t>
            </w:r>
          </w:p>
        </w:tc>
        <w:tc>
          <w:tcPr>
            <w:tcW w:w="65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30" w:right="49" w:hanging="180"/>
              <w:jc w:val="left"/>
              <w:rPr>
                <w:rFonts w:ascii="宋体" w:hAnsi="宋体" w:cs="宋体" w:eastAsia="宋体" w:hint="default"/>
                <w:sz w:val="18"/>
                <w:szCs w:val="18"/>
              </w:rPr>
            </w:pPr>
            <w:r>
              <w:rPr>
                <w:rFonts w:ascii="宋体" w:hAnsi="宋体" w:cs="宋体" w:eastAsia="宋体" w:hint="default"/>
                <w:sz w:val="18"/>
                <w:szCs w:val="18"/>
              </w:rPr>
              <w:t>主要业 务</w:t>
            </w:r>
          </w:p>
        </w:tc>
        <w:tc>
          <w:tcPr>
            <w:tcW w:w="62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17" w:right="35" w:hanging="180"/>
              <w:jc w:val="left"/>
              <w:rPr>
                <w:rFonts w:ascii="宋体" w:hAnsi="宋体" w:cs="宋体" w:eastAsia="宋体" w:hint="default"/>
                <w:sz w:val="18"/>
                <w:szCs w:val="18"/>
              </w:rPr>
            </w:pPr>
            <w:r>
              <w:rPr>
                <w:rFonts w:ascii="宋体" w:hAnsi="宋体" w:cs="宋体" w:eastAsia="宋体" w:hint="default"/>
                <w:sz w:val="18"/>
                <w:szCs w:val="18"/>
              </w:rPr>
              <w:t>投资方 式</w:t>
            </w:r>
          </w:p>
        </w:tc>
        <w:tc>
          <w:tcPr>
            <w:tcW w:w="6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15" w:right="35" w:hanging="180"/>
              <w:jc w:val="left"/>
              <w:rPr>
                <w:rFonts w:ascii="宋体" w:hAnsi="宋体" w:cs="宋体" w:eastAsia="宋体" w:hint="default"/>
                <w:sz w:val="18"/>
                <w:szCs w:val="18"/>
              </w:rPr>
            </w:pPr>
            <w:r>
              <w:rPr>
                <w:rFonts w:ascii="宋体" w:hAnsi="宋体" w:cs="宋体" w:eastAsia="宋体" w:hint="default"/>
                <w:sz w:val="18"/>
                <w:szCs w:val="18"/>
              </w:rPr>
              <w:t>投资金 额</w:t>
            </w:r>
          </w:p>
        </w:tc>
        <w:tc>
          <w:tcPr>
            <w:tcW w:w="62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16" w:right="35"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62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17" w:right="35"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6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6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12" w:right="31" w:hanging="180"/>
              <w:jc w:val="left"/>
              <w:rPr>
                <w:rFonts w:ascii="宋体" w:hAnsi="宋体" w:cs="宋体" w:eastAsia="宋体" w:hint="default"/>
                <w:sz w:val="18"/>
                <w:szCs w:val="18"/>
              </w:rPr>
            </w:pPr>
            <w:r>
              <w:rPr>
                <w:rFonts w:ascii="宋体" w:hAnsi="宋体" w:cs="宋体" w:eastAsia="宋体" w:hint="default"/>
                <w:sz w:val="18"/>
                <w:szCs w:val="18"/>
              </w:rPr>
              <w:t>投资期 限</w:t>
            </w:r>
          </w:p>
        </w:tc>
        <w:tc>
          <w:tcPr>
            <w:tcW w:w="6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110" w:right="109"/>
              <w:jc w:val="both"/>
              <w:rPr>
                <w:rFonts w:ascii="宋体" w:hAnsi="宋体" w:cs="宋体" w:eastAsia="宋体" w:hint="default"/>
                <w:sz w:val="18"/>
                <w:szCs w:val="18"/>
              </w:rPr>
            </w:pPr>
            <w:r>
              <w:rPr>
                <w:rFonts w:ascii="宋体" w:hAnsi="宋体" w:cs="宋体" w:eastAsia="宋体" w:hint="default"/>
                <w:sz w:val="18"/>
                <w:szCs w:val="18"/>
              </w:rPr>
              <w:t>负债 表日 的进</w:t>
            </w:r>
          </w:p>
        </w:tc>
        <w:tc>
          <w:tcPr>
            <w:tcW w:w="5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111" w:right="109"/>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6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70" w:right="71"/>
              <w:jc w:val="left"/>
              <w:rPr>
                <w:rFonts w:ascii="宋体" w:hAnsi="宋体" w:cs="宋体" w:eastAsia="宋体" w:hint="default"/>
                <w:sz w:val="18"/>
                <w:szCs w:val="18"/>
              </w:rPr>
            </w:pPr>
            <w:r>
              <w:rPr>
                <w:rFonts w:ascii="宋体" w:hAnsi="宋体" w:cs="宋体" w:eastAsia="宋体" w:hint="default"/>
                <w:sz w:val="18"/>
                <w:szCs w:val="18"/>
              </w:rPr>
              <w:t>本期投 资盈亏</w:t>
            </w:r>
          </w:p>
        </w:tc>
        <w:tc>
          <w:tcPr>
            <w:tcW w:w="6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是否涉 诉</w:t>
            </w:r>
          </w:p>
        </w:tc>
        <w:tc>
          <w:tcPr>
            <w:tcW w:w="6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69" w:right="68"/>
              <w:jc w:val="both"/>
              <w:rPr>
                <w:rFonts w:ascii="宋体" w:hAnsi="宋体" w:cs="宋体" w:eastAsia="宋体" w:hint="default"/>
                <w:sz w:val="18"/>
                <w:szCs w:val="18"/>
              </w:rPr>
            </w:pPr>
            <w:r>
              <w:rPr>
                <w:rFonts w:ascii="宋体" w:hAnsi="宋体" w:cs="宋体" w:eastAsia="宋体" w:hint="default"/>
                <w:sz w:val="18"/>
                <w:szCs w:val="18"/>
              </w:rPr>
              <w:t>披露日 期（如 有）</w:t>
            </w:r>
          </w:p>
        </w:tc>
        <w:tc>
          <w:tcPr>
            <w:tcW w:w="6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58" w:right="59"/>
              <w:jc w:val="both"/>
              <w:rPr>
                <w:rFonts w:ascii="宋体" w:hAnsi="宋体" w:cs="宋体" w:eastAsia="宋体" w:hint="default"/>
                <w:sz w:val="18"/>
                <w:szCs w:val="18"/>
              </w:rPr>
            </w:pPr>
            <w:r>
              <w:rPr>
                <w:rFonts w:ascii="宋体" w:hAnsi="宋体" w:cs="宋体" w:eastAsia="宋体" w:hint="default"/>
                <w:sz w:val="18"/>
                <w:szCs w:val="18"/>
              </w:rPr>
              <w:t>披露索 引（如 有）</w:t>
            </w:r>
          </w:p>
        </w:tc>
      </w:tr>
      <w:tr>
        <w:trPr>
          <w:trHeight w:val="312" w:hRule="exact"/>
        </w:trPr>
        <w:tc>
          <w:tcPr>
            <w:tcW w:w="654" w:type="dxa"/>
            <w:tcBorders>
              <w:top w:val="nil" w:sz="6" w:space="0" w:color="auto"/>
              <w:left w:val="single" w:sz="4" w:space="0" w:color="000000"/>
              <w:bottom w:val="nil" w:sz="6" w:space="0" w:color="auto"/>
              <w:right w:val="single" w:sz="4" w:space="0" w:color="000000"/>
            </w:tcBorders>
            <w:shd w:val="clear" w:color="auto" w:fill="D3D3D3"/>
          </w:tcPr>
          <w:p>
            <w:pPr/>
          </w:p>
        </w:tc>
        <w:tc>
          <w:tcPr>
            <w:tcW w:w="652" w:type="dxa"/>
            <w:tcBorders>
              <w:top w:val="nil" w:sz="6" w:space="0" w:color="auto"/>
              <w:left w:val="single" w:sz="4" w:space="0" w:color="000000"/>
              <w:bottom w:val="nil" w:sz="6" w:space="0" w:color="auto"/>
              <w:right w:val="single" w:sz="4" w:space="0" w:color="000000"/>
            </w:tcBorders>
            <w:shd w:val="clear" w:color="auto" w:fill="D3D3D3"/>
          </w:tcPr>
          <w:p>
            <w:pPr/>
          </w:p>
        </w:tc>
        <w:tc>
          <w:tcPr>
            <w:tcW w:w="623" w:type="dxa"/>
            <w:tcBorders>
              <w:top w:val="nil" w:sz="6" w:space="0" w:color="auto"/>
              <w:left w:val="single" w:sz="4" w:space="0" w:color="000000"/>
              <w:bottom w:val="nil" w:sz="6" w:space="0" w:color="auto"/>
              <w:right w:val="single" w:sz="4" w:space="0" w:color="000000"/>
            </w:tcBorders>
            <w:shd w:val="clear" w:color="auto" w:fill="D3D3D3"/>
          </w:tcPr>
          <w:p>
            <w:pPr/>
          </w:p>
        </w:tc>
        <w:tc>
          <w:tcPr>
            <w:tcW w:w="622" w:type="dxa"/>
            <w:tcBorders>
              <w:top w:val="nil" w:sz="6" w:space="0" w:color="auto"/>
              <w:left w:val="single" w:sz="4" w:space="0" w:color="000000"/>
              <w:bottom w:val="nil" w:sz="6" w:space="0" w:color="auto"/>
              <w:right w:val="single" w:sz="4" w:space="0" w:color="000000"/>
            </w:tcBorders>
            <w:shd w:val="clear" w:color="auto" w:fill="D3D3D3"/>
          </w:tcPr>
          <w:p>
            <w:pPr/>
          </w:p>
        </w:tc>
        <w:tc>
          <w:tcPr>
            <w:tcW w:w="622" w:type="dxa"/>
            <w:tcBorders>
              <w:top w:val="nil" w:sz="6" w:space="0" w:color="auto"/>
              <w:left w:val="single" w:sz="4" w:space="0" w:color="000000"/>
              <w:bottom w:val="nil" w:sz="6" w:space="0" w:color="auto"/>
              <w:right w:val="single" w:sz="4" w:space="0" w:color="000000"/>
            </w:tcBorders>
            <w:shd w:val="clear" w:color="auto" w:fill="D3D3D3"/>
          </w:tcPr>
          <w:p>
            <w:pPr/>
          </w:p>
        </w:tc>
        <w:tc>
          <w:tcPr>
            <w:tcW w:w="623" w:type="dxa"/>
            <w:tcBorders>
              <w:top w:val="nil" w:sz="6" w:space="0" w:color="auto"/>
              <w:left w:val="single" w:sz="4" w:space="0" w:color="000000"/>
              <w:bottom w:val="nil" w:sz="6" w:space="0" w:color="auto"/>
              <w:right w:val="single" w:sz="4" w:space="0" w:color="000000"/>
            </w:tcBorders>
            <w:shd w:val="clear" w:color="auto" w:fill="D3D3D3"/>
          </w:tcPr>
          <w:p>
            <w:pPr/>
          </w:p>
        </w:tc>
        <w:tc>
          <w:tcPr>
            <w:tcW w:w="618" w:type="dxa"/>
            <w:tcBorders>
              <w:top w:val="nil" w:sz="6" w:space="0" w:color="auto"/>
              <w:left w:val="single" w:sz="4" w:space="0" w:color="000000"/>
              <w:bottom w:val="nil" w:sz="6" w:space="0" w:color="auto"/>
              <w:right w:val="single" w:sz="4" w:space="0" w:color="000000"/>
            </w:tcBorders>
            <w:shd w:val="clear" w:color="auto" w:fill="D3D3D3"/>
          </w:tcPr>
          <w:p>
            <w:pPr/>
          </w:p>
        </w:tc>
        <w:tc>
          <w:tcPr>
            <w:tcW w:w="616" w:type="dxa"/>
            <w:tcBorders>
              <w:top w:val="nil" w:sz="6" w:space="0" w:color="auto"/>
              <w:left w:val="single" w:sz="4" w:space="0" w:color="000000"/>
              <w:bottom w:val="nil" w:sz="6" w:space="0" w:color="auto"/>
              <w:right w:val="single" w:sz="4" w:space="0" w:color="000000"/>
            </w:tcBorders>
            <w:shd w:val="clear" w:color="auto" w:fill="D3D3D3"/>
          </w:tcPr>
          <w:p>
            <w:pPr/>
          </w:p>
        </w:tc>
        <w:tc>
          <w:tcPr>
            <w:tcW w:w="618" w:type="dxa"/>
            <w:tcBorders>
              <w:top w:val="nil" w:sz="6" w:space="0" w:color="auto"/>
              <w:left w:val="single" w:sz="4" w:space="0" w:color="000000"/>
              <w:bottom w:val="nil" w:sz="6" w:space="0" w:color="auto"/>
              <w:right w:val="single" w:sz="4" w:space="0" w:color="000000"/>
            </w:tcBorders>
            <w:shd w:val="clear" w:color="auto" w:fill="D3D3D3"/>
          </w:tcPr>
          <w:p>
            <w:pPr/>
          </w:p>
        </w:tc>
        <w:tc>
          <w:tcPr>
            <w:tcW w:w="5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展情</w:t>
            </w:r>
          </w:p>
        </w:tc>
        <w:tc>
          <w:tcPr>
            <w:tcW w:w="593" w:type="dxa"/>
            <w:tcBorders>
              <w:top w:val="nil" w:sz="6" w:space="0" w:color="auto"/>
              <w:left w:val="single" w:sz="4" w:space="0" w:color="000000"/>
              <w:bottom w:val="nil" w:sz="6" w:space="0" w:color="auto"/>
              <w:right w:val="single" w:sz="4" w:space="0" w:color="000000"/>
            </w:tcBorders>
            <w:shd w:val="clear" w:color="auto" w:fill="D3D3D3"/>
          </w:tcPr>
          <w:p>
            <w:pPr/>
          </w:p>
        </w:tc>
        <w:tc>
          <w:tcPr>
            <w:tcW w:w="692" w:type="dxa"/>
            <w:tcBorders>
              <w:top w:val="nil" w:sz="6" w:space="0" w:color="auto"/>
              <w:left w:val="single" w:sz="4" w:space="0" w:color="000000"/>
              <w:bottom w:val="nil" w:sz="6" w:space="0" w:color="auto"/>
              <w:right w:val="single" w:sz="4" w:space="0" w:color="000000"/>
            </w:tcBorders>
            <w:shd w:val="clear" w:color="auto" w:fill="D3D3D3"/>
          </w:tcPr>
          <w:p>
            <w:pPr/>
          </w:p>
        </w:tc>
        <w:tc>
          <w:tcPr>
            <w:tcW w:w="690" w:type="dxa"/>
            <w:tcBorders>
              <w:top w:val="nil" w:sz="6" w:space="0" w:color="auto"/>
              <w:left w:val="single" w:sz="4" w:space="0" w:color="000000"/>
              <w:bottom w:val="nil" w:sz="6" w:space="0" w:color="auto"/>
              <w:right w:val="single" w:sz="4" w:space="0" w:color="000000"/>
            </w:tcBorders>
            <w:shd w:val="clear" w:color="auto" w:fill="D3D3D3"/>
          </w:tcPr>
          <w:p>
            <w:pPr/>
          </w:p>
        </w:tc>
        <w:tc>
          <w:tcPr>
            <w:tcW w:w="690" w:type="dxa"/>
            <w:tcBorders>
              <w:top w:val="nil" w:sz="6" w:space="0" w:color="auto"/>
              <w:left w:val="single" w:sz="4" w:space="0" w:color="000000"/>
              <w:bottom w:val="nil" w:sz="6" w:space="0" w:color="auto"/>
              <w:right w:val="single" w:sz="4" w:space="0" w:color="000000"/>
            </w:tcBorders>
            <w:shd w:val="clear" w:color="auto" w:fill="D3D3D3"/>
          </w:tcPr>
          <w:p>
            <w:pPr/>
          </w:p>
        </w:tc>
        <w:tc>
          <w:tcPr>
            <w:tcW w:w="668"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357" w:hRule="exact"/>
        </w:trPr>
        <w:tc>
          <w:tcPr>
            <w:tcW w:w="654" w:type="dxa"/>
            <w:tcBorders>
              <w:top w:val="nil" w:sz="6" w:space="0" w:color="auto"/>
              <w:left w:val="single" w:sz="4" w:space="0" w:color="000000"/>
              <w:bottom w:val="single" w:sz="4" w:space="0" w:color="000000"/>
              <w:right w:val="single" w:sz="4" w:space="0" w:color="000000"/>
            </w:tcBorders>
            <w:shd w:val="clear" w:color="auto" w:fill="D3D3D3"/>
          </w:tcPr>
          <w:p>
            <w:pPr/>
          </w:p>
        </w:tc>
        <w:tc>
          <w:tcPr>
            <w:tcW w:w="652" w:type="dxa"/>
            <w:tcBorders>
              <w:top w:val="nil" w:sz="6" w:space="0" w:color="auto"/>
              <w:left w:val="single" w:sz="4" w:space="0" w:color="000000"/>
              <w:bottom w:val="single" w:sz="4" w:space="0" w:color="000000"/>
              <w:right w:val="single" w:sz="4" w:space="0" w:color="000000"/>
            </w:tcBorders>
            <w:shd w:val="clear" w:color="auto" w:fill="D3D3D3"/>
          </w:tcPr>
          <w:p>
            <w:pPr/>
          </w:p>
        </w:tc>
        <w:tc>
          <w:tcPr>
            <w:tcW w:w="623" w:type="dxa"/>
            <w:tcBorders>
              <w:top w:val="nil" w:sz="6" w:space="0" w:color="auto"/>
              <w:left w:val="single" w:sz="4" w:space="0" w:color="000000"/>
              <w:bottom w:val="single" w:sz="4" w:space="0" w:color="000000"/>
              <w:right w:val="single" w:sz="4" w:space="0" w:color="000000"/>
            </w:tcBorders>
            <w:shd w:val="clear" w:color="auto" w:fill="D3D3D3"/>
          </w:tcPr>
          <w:p>
            <w:pPr/>
          </w:p>
        </w:tc>
        <w:tc>
          <w:tcPr>
            <w:tcW w:w="622" w:type="dxa"/>
            <w:tcBorders>
              <w:top w:val="nil" w:sz="6" w:space="0" w:color="auto"/>
              <w:left w:val="single" w:sz="4" w:space="0" w:color="000000"/>
              <w:bottom w:val="single" w:sz="4" w:space="0" w:color="000000"/>
              <w:right w:val="single" w:sz="4" w:space="0" w:color="000000"/>
            </w:tcBorders>
            <w:shd w:val="clear" w:color="auto" w:fill="D3D3D3"/>
          </w:tcPr>
          <w:p>
            <w:pPr/>
          </w:p>
        </w:tc>
        <w:tc>
          <w:tcPr>
            <w:tcW w:w="622" w:type="dxa"/>
            <w:tcBorders>
              <w:top w:val="nil" w:sz="6" w:space="0" w:color="auto"/>
              <w:left w:val="single" w:sz="4" w:space="0" w:color="000000"/>
              <w:bottom w:val="single" w:sz="4" w:space="0" w:color="000000"/>
              <w:right w:val="single" w:sz="4" w:space="0" w:color="000000"/>
            </w:tcBorders>
            <w:shd w:val="clear" w:color="auto" w:fill="D3D3D3"/>
          </w:tcPr>
          <w:p>
            <w:pPr/>
          </w:p>
        </w:tc>
        <w:tc>
          <w:tcPr>
            <w:tcW w:w="623" w:type="dxa"/>
            <w:tcBorders>
              <w:top w:val="nil" w:sz="6" w:space="0" w:color="auto"/>
              <w:left w:val="single" w:sz="4" w:space="0" w:color="000000"/>
              <w:bottom w:val="single" w:sz="4" w:space="0" w:color="000000"/>
              <w:right w:val="single" w:sz="4" w:space="0" w:color="000000"/>
            </w:tcBorders>
            <w:shd w:val="clear" w:color="auto" w:fill="D3D3D3"/>
          </w:tcPr>
          <w:p>
            <w:pPr/>
          </w:p>
        </w:tc>
        <w:tc>
          <w:tcPr>
            <w:tcW w:w="618" w:type="dxa"/>
            <w:tcBorders>
              <w:top w:val="nil" w:sz="6" w:space="0" w:color="auto"/>
              <w:left w:val="single" w:sz="4" w:space="0" w:color="000000"/>
              <w:bottom w:val="single" w:sz="4" w:space="0" w:color="000000"/>
              <w:right w:val="single" w:sz="4" w:space="0" w:color="000000"/>
            </w:tcBorders>
            <w:shd w:val="clear" w:color="auto" w:fill="D3D3D3"/>
          </w:tcPr>
          <w:p>
            <w:pPr/>
          </w:p>
        </w:tc>
        <w:tc>
          <w:tcPr>
            <w:tcW w:w="616" w:type="dxa"/>
            <w:tcBorders>
              <w:top w:val="nil" w:sz="6" w:space="0" w:color="auto"/>
              <w:left w:val="single" w:sz="4" w:space="0" w:color="000000"/>
              <w:bottom w:val="single" w:sz="4" w:space="0" w:color="000000"/>
              <w:right w:val="single" w:sz="4" w:space="0" w:color="000000"/>
            </w:tcBorders>
            <w:shd w:val="clear" w:color="auto" w:fill="D3D3D3"/>
          </w:tcPr>
          <w:p>
            <w:pPr/>
          </w:p>
        </w:tc>
        <w:tc>
          <w:tcPr>
            <w:tcW w:w="618" w:type="dxa"/>
            <w:tcBorders>
              <w:top w:val="nil" w:sz="6" w:space="0" w:color="auto"/>
              <w:left w:val="single" w:sz="4" w:space="0" w:color="000000"/>
              <w:bottom w:val="single" w:sz="4" w:space="0" w:color="000000"/>
              <w:right w:val="single" w:sz="4" w:space="0" w:color="000000"/>
            </w:tcBorders>
            <w:shd w:val="clear" w:color="auto" w:fill="D3D3D3"/>
          </w:tcPr>
          <w:p>
            <w:pPr/>
          </w:p>
        </w:tc>
        <w:tc>
          <w:tcPr>
            <w:tcW w:w="592"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况</w:t>
            </w:r>
          </w:p>
        </w:tc>
        <w:tc>
          <w:tcPr>
            <w:tcW w:w="593" w:type="dxa"/>
            <w:tcBorders>
              <w:top w:val="nil" w:sz="6" w:space="0" w:color="auto"/>
              <w:left w:val="single" w:sz="4" w:space="0" w:color="000000"/>
              <w:bottom w:val="single" w:sz="4" w:space="0" w:color="000000"/>
              <w:right w:val="single" w:sz="4" w:space="0" w:color="000000"/>
            </w:tcBorders>
            <w:shd w:val="clear" w:color="auto" w:fill="D3D3D3"/>
          </w:tcPr>
          <w:p>
            <w:pPr/>
          </w:p>
        </w:tc>
        <w:tc>
          <w:tcPr>
            <w:tcW w:w="692" w:type="dxa"/>
            <w:tcBorders>
              <w:top w:val="nil" w:sz="6" w:space="0" w:color="auto"/>
              <w:left w:val="single" w:sz="4" w:space="0" w:color="000000"/>
              <w:bottom w:val="single" w:sz="4" w:space="0" w:color="000000"/>
              <w:right w:val="single" w:sz="4" w:space="0" w:color="000000"/>
            </w:tcBorders>
            <w:shd w:val="clear" w:color="auto" w:fill="D3D3D3"/>
          </w:tcPr>
          <w:p>
            <w:pPr/>
          </w:p>
        </w:tc>
        <w:tc>
          <w:tcPr>
            <w:tcW w:w="690" w:type="dxa"/>
            <w:tcBorders>
              <w:top w:val="nil" w:sz="6" w:space="0" w:color="auto"/>
              <w:left w:val="single" w:sz="4" w:space="0" w:color="000000"/>
              <w:bottom w:val="single" w:sz="4" w:space="0" w:color="000000"/>
              <w:right w:val="single" w:sz="4" w:space="0" w:color="000000"/>
            </w:tcBorders>
            <w:shd w:val="clear" w:color="auto" w:fill="D3D3D3"/>
          </w:tcPr>
          <w:p>
            <w:pPr/>
          </w:p>
        </w:tc>
        <w:tc>
          <w:tcPr>
            <w:tcW w:w="690" w:type="dxa"/>
            <w:tcBorders>
              <w:top w:val="nil" w:sz="6" w:space="0" w:color="auto"/>
              <w:left w:val="single" w:sz="4" w:space="0" w:color="000000"/>
              <w:bottom w:val="single" w:sz="4" w:space="0" w:color="000000"/>
              <w:right w:val="single" w:sz="4" w:space="0" w:color="000000"/>
            </w:tcBorders>
            <w:shd w:val="clear" w:color="auto" w:fill="D3D3D3"/>
          </w:tcPr>
          <w:p>
            <w:pPr/>
          </w:p>
        </w:tc>
        <w:tc>
          <w:tcPr>
            <w:tcW w:w="66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57" w:hRule="exact"/>
        </w:trPr>
        <w:tc>
          <w:tcPr>
            <w:tcW w:w="654" w:type="dxa"/>
            <w:tcBorders>
              <w:top w:val="single" w:sz="4" w:space="0" w:color="000000"/>
              <w:left w:val="single" w:sz="4" w:space="0" w:color="000000"/>
              <w:bottom w:val="nil" w:sz="6" w:space="0" w:color="auto"/>
              <w:right w:val="single" w:sz="4" w:space="0" w:color="000000"/>
            </w:tcBorders>
          </w:tcPr>
          <w:p>
            <w:pPr/>
          </w:p>
        </w:tc>
        <w:tc>
          <w:tcPr>
            <w:tcW w:w="652" w:type="dxa"/>
            <w:tcBorders>
              <w:top w:val="single" w:sz="4" w:space="0" w:color="000000"/>
              <w:left w:val="single" w:sz="4" w:space="0" w:color="000000"/>
              <w:bottom w:val="nil" w:sz="6" w:space="0" w:color="auto"/>
              <w:right w:val="single" w:sz="4" w:space="0" w:color="000000"/>
            </w:tcBorders>
          </w:tcPr>
          <w:p>
            <w:pPr/>
          </w:p>
        </w:tc>
        <w:tc>
          <w:tcPr>
            <w:tcW w:w="623" w:type="dxa"/>
            <w:tcBorders>
              <w:top w:val="single" w:sz="4" w:space="0" w:color="000000"/>
              <w:left w:val="single" w:sz="4" w:space="0" w:color="000000"/>
              <w:bottom w:val="nil" w:sz="6" w:space="0" w:color="auto"/>
              <w:right w:val="single" w:sz="4" w:space="0" w:color="000000"/>
            </w:tcBorders>
          </w:tcPr>
          <w:p>
            <w:pPr/>
          </w:p>
        </w:tc>
        <w:tc>
          <w:tcPr>
            <w:tcW w:w="622" w:type="dxa"/>
            <w:tcBorders>
              <w:top w:val="single" w:sz="4" w:space="0" w:color="000000"/>
              <w:left w:val="single" w:sz="4" w:space="0" w:color="000000"/>
              <w:bottom w:val="nil" w:sz="6" w:space="0" w:color="auto"/>
              <w:right w:val="single" w:sz="4" w:space="0" w:color="000000"/>
            </w:tcBorders>
          </w:tcPr>
          <w:p>
            <w:pPr/>
          </w:p>
        </w:tc>
        <w:tc>
          <w:tcPr>
            <w:tcW w:w="622" w:type="dxa"/>
            <w:tcBorders>
              <w:top w:val="single" w:sz="4" w:space="0" w:color="000000"/>
              <w:left w:val="single" w:sz="4" w:space="0" w:color="000000"/>
              <w:bottom w:val="nil" w:sz="6" w:space="0" w:color="auto"/>
              <w:right w:val="single" w:sz="4" w:space="0" w:color="000000"/>
            </w:tcBorders>
          </w:tcPr>
          <w:p>
            <w:pPr/>
          </w:p>
        </w:tc>
        <w:tc>
          <w:tcPr>
            <w:tcW w:w="623" w:type="dxa"/>
            <w:tcBorders>
              <w:top w:val="single" w:sz="4" w:space="0" w:color="000000"/>
              <w:left w:val="single" w:sz="4" w:space="0" w:color="000000"/>
              <w:bottom w:val="nil" w:sz="6" w:space="0" w:color="auto"/>
              <w:right w:val="single" w:sz="4" w:space="0" w:color="000000"/>
            </w:tcBorders>
          </w:tcPr>
          <w:p>
            <w:pPr/>
          </w:p>
        </w:tc>
        <w:tc>
          <w:tcPr>
            <w:tcW w:w="618" w:type="dxa"/>
            <w:tcBorders>
              <w:top w:val="single" w:sz="4" w:space="0" w:color="000000"/>
              <w:left w:val="single" w:sz="4" w:space="0" w:color="000000"/>
              <w:bottom w:val="nil" w:sz="6" w:space="0" w:color="auto"/>
              <w:right w:val="single" w:sz="4" w:space="0" w:color="000000"/>
            </w:tcBorders>
          </w:tcPr>
          <w:p>
            <w:pPr/>
          </w:p>
        </w:tc>
        <w:tc>
          <w:tcPr>
            <w:tcW w:w="616" w:type="dxa"/>
            <w:tcBorders>
              <w:top w:val="single" w:sz="4" w:space="0" w:color="000000"/>
              <w:left w:val="single" w:sz="4" w:space="0" w:color="000000"/>
              <w:bottom w:val="nil" w:sz="6" w:space="0" w:color="auto"/>
              <w:right w:val="single" w:sz="4" w:space="0" w:color="000000"/>
            </w:tcBorders>
          </w:tcPr>
          <w:p>
            <w:pPr/>
          </w:p>
        </w:tc>
        <w:tc>
          <w:tcPr>
            <w:tcW w:w="618" w:type="dxa"/>
            <w:tcBorders>
              <w:top w:val="single" w:sz="4" w:space="0" w:color="000000"/>
              <w:left w:val="single" w:sz="4" w:space="0" w:color="000000"/>
              <w:bottom w:val="nil" w:sz="6" w:space="0" w:color="auto"/>
              <w:right w:val="single" w:sz="4" w:space="0" w:color="000000"/>
            </w:tcBorders>
          </w:tcPr>
          <w:p>
            <w:pPr/>
          </w:p>
        </w:tc>
        <w:tc>
          <w:tcPr>
            <w:tcW w:w="592" w:type="dxa"/>
            <w:tcBorders>
              <w:top w:val="single" w:sz="4" w:space="0" w:color="000000"/>
              <w:left w:val="single" w:sz="4" w:space="0" w:color="000000"/>
              <w:bottom w:val="nil" w:sz="6" w:space="0" w:color="auto"/>
              <w:right w:val="single" w:sz="4" w:space="0" w:color="000000"/>
            </w:tcBorders>
          </w:tcPr>
          <w:p>
            <w:pPr/>
          </w:p>
        </w:tc>
        <w:tc>
          <w:tcPr>
            <w:tcW w:w="593" w:type="dxa"/>
            <w:tcBorders>
              <w:top w:val="single" w:sz="4" w:space="0" w:color="000000"/>
              <w:left w:val="single" w:sz="4" w:space="0" w:color="000000"/>
              <w:bottom w:val="nil" w:sz="6" w:space="0" w:color="auto"/>
              <w:right w:val="single" w:sz="4" w:space="0" w:color="000000"/>
            </w:tcBorders>
          </w:tcPr>
          <w:p>
            <w:pPr/>
          </w:p>
        </w:tc>
        <w:tc>
          <w:tcPr>
            <w:tcW w:w="692" w:type="dxa"/>
            <w:tcBorders>
              <w:top w:val="single" w:sz="4" w:space="0" w:color="000000"/>
              <w:left w:val="single" w:sz="4" w:space="0" w:color="000000"/>
              <w:bottom w:val="nil" w:sz="6" w:space="0" w:color="auto"/>
              <w:right w:val="single" w:sz="4" w:space="0" w:color="000000"/>
            </w:tcBorders>
          </w:tcPr>
          <w:p>
            <w:pPr/>
          </w:p>
        </w:tc>
        <w:tc>
          <w:tcPr>
            <w:tcW w:w="690" w:type="dxa"/>
            <w:tcBorders>
              <w:top w:val="single" w:sz="4" w:space="0" w:color="000000"/>
              <w:left w:val="single" w:sz="4" w:space="0" w:color="000000"/>
              <w:bottom w:val="nil" w:sz="6" w:space="0" w:color="auto"/>
              <w:right w:val="single" w:sz="4" w:space="0" w:color="000000"/>
            </w:tcBorders>
          </w:tcPr>
          <w:p>
            <w:pPr/>
          </w:p>
        </w:tc>
        <w:tc>
          <w:tcPr>
            <w:tcW w:w="690" w:type="dxa"/>
            <w:tcBorders>
              <w:top w:val="single" w:sz="4" w:space="0" w:color="000000"/>
              <w:left w:val="single" w:sz="4" w:space="0" w:color="000000"/>
              <w:bottom w:val="nil" w:sz="6" w:space="0" w:color="auto"/>
              <w:right w:val="single" w:sz="4" w:space="0" w:color="000000"/>
            </w:tcBorders>
          </w:tcPr>
          <w:p>
            <w:pPr/>
          </w:p>
        </w:tc>
        <w:tc>
          <w:tcPr>
            <w:tcW w:w="6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w:t>
            </w:r>
          </w:p>
        </w:tc>
      </w:tr>
      <w:tr>
        <w:trPr>
          <w:trHeight w:val="311" w:hRule="exact"/>
        </w:trPr>
        <w:tc>
          <w:tcPr>
            <w:tcW w:w="654" w:type="dxa"/>
            <w:tcBorders>
              <w:top w:val="nil" w:sz="6" w:space="0" w:color="auto"/>
              <w:left w:val="single" w:sz="4" w:space="0" w:color="000000"/>
              <w:bottom w:val="nil" w:sz="6" w:space="0" w:color="auto"/>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
        </w:tc>
        <w:tc>
          <w:tcPr>
            <w:tcW w:w="616"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
        </w:tc>
        <w:tc>
          <w:tcPr>
            <w:tcW w:w="592" w:type="dxa"/>
            <w:tcBorders>
              <w:top w:val="nil" w:sz="6" w:space="0" w:color="auto"/>
              <w:left w:val="single" w:sz="4" w:space="0" w:color="000000"/>
              <w:bottom w:val="nil" w:sz="6" w:space="0" w:color="auto"/>
              <w:right w:val="single" w:sz="4" w:space="0" w:color="000000"/>
            </w:tcBorders>
          </w:tcPr>
          <w:p>
            <w:pPr/>
          </w:p>
        </w:tc>
        <w:tc>
          <w:tcPr>
            <w:tcW w:w="593" w:type="dxa"/>
            <w:tcBorders>
              <w:top w:val="nil" w:sz="6" w:space="0" w:color="auto"/>
              <w:left w:val="single" w:sz="4" w:space="0" w:color="000000"/>
              <w:bottom w:val="nil" w:sz="6" w:space="0" w:color="auto"/>
              <w:right w:val="single" w:sz="4" w:space="0" w:color="000000"/>
            </w:tcBorders>
          </w:tcPr>
          <w:p>
            <w:pPr/>
          </w:p>
        </w:tc>
        <w:tc>
          <w:tcPr>
            <w:tcW w:w="692"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讯网荣</w:t>
            </w:r>
          </w:p>
        </w:tc>
      </w:tr>
      <w:tr>
        <w:trPr>
          <w:trHeight w:val="312" w:hRule="exact"/>
        </w:trPr>
        <w:tc>
          <w:tcPr>
            <w:tcW w:w="654" w:type="dxa"/>
            <w:tcBorders>
              <w:top w:val="nil" w:sz="6" w:space="0" w:color="auto"/>
              <w:left w:val="single" w:sz="4" w:space="0" w:color="000000"/>
              <w:bottom w:val="nil" w:sz="6" w:space="0" w:color="auto"/>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
        </w:tc>
        <w:tc>
          <w:tcPr>
            <w:tcW w:w="616"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
        </w:tc>
        <w:tc>
          <w:tcPr>
            <w:tcW w:w="592" w:type="dxa"/>
            <w:tcBorders>
              <w:top w:val="nil" w:sz="6" w:space="0" w:color="auto"/>
              <w:left w:val="single" w:sz="4" w:space="0" w:color="000000"/>
              <w:bottom w:val="nil" w:sz="6" w:space="0" w:color="auto"/>
              <w:right w:val="single" w:sz="4" w:space="0" w:color="000000"/>
            </w:tcBorders>
          </w:tcPr>
          <w:p>
            <w:pPr/>
          </w:p>
        </w:tc>
        <w:tc>
          <w:tcPr>
            <w:tcW w:w="593" w:type="dxa"/>
            <w:tcBorders>
              <w:top w:val="nil" w:sz="6" w:space="0" w:color="auto"/>
              <w:left w:val="single" w:sz="4" w:space="0" w:color="000000"/>
              <w:bottom w:val="nil" w:sz="6" w:space="0" w:color="auto"/>
              <w:right w:val="single" w:sz="4" w:space="0" w:color="000000"/>
            </w:tcBorders>
          </w:tcPr>
          <w:p>
            <w:pPr/>
          </w:p>
        </w:tc>
        <w:tc>
          <w:tcPr>
            <w:tcW w:w="692"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信电力</w:t>
            </w:r>
          </w:p>
        </w:tc>
      </w:tr>
      <w:tr>
        <w:trPr>
          <w:trHeight w:val="312" w:hRule="exact"/>
        </w:trPr>
        <w:tc>
          <w:tcPr>
            <w:tcW w:w="654" w:type="dxa"/>
            <w:tcBorders>
              <w:top w:val="nil" w:sz="6" w:space="0" w:color="auto"/>
              <w:left w:val="single" w:sz="4" w:space="0" w:color="000000"/>
              <w:bottom w:val="nil" w:sz="6" w:space="0" w:color="auto"/>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
        </w:tc>
        <w:tc>
          <w:tcPr>
            <w:tcW w:w="616"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
        </w:tc>
        <w:tc>
          <w:tcPr>
            <w:tcW w:w="592" w:type="dxa"/>
            <w:tcBorders>
              <w:top w:val="nil" w:sz="6" w:space="0" w:color="auto"/>
              <w:left w:val="single" w:sz="4" w:space="0" w:color="000000"/>
              <w:bottom w:val="nil" w:sz="6" w:space="0" w:color="auto"/>
              <w:right w:val="single" w:sz="4" w:space="0" w:color="000000"/>
            </w:tcBorders>
          </w:tcPr>
          <w:p>
            <w:pPr/>
          </w:p>
        </w:tc>
        <w:tc>
          <w:tcPr>
            <w:tcW w:w="593" w:type="dxa"/>
            <w:tcBorders>
              <w:top w:val="nil" w:sz="6" w:space="0" w:color="auto"/>
              <w:left w:val="single" w:sz="4" w:space="0" w:color="000000"/>
              <w:bottom w:val="nil" w:sz="6" w:space="0" w:color="auto"/>
              <w:right w:val="single" w:sz="4" w:space="0" w:color="000000"/>
            </w:tcBorders>
          </w:tcPr>
          <w:p>
            <w:pPr/>
          </w:p>
        </w:tc>
        <w:tc>
          <w:tcPr>
            <w:tcW w:w="692"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电子股</w:t>
            </w:r>
          </w:p>
        </w:tc>
      </w:tr>
      <w:tr>
        <w:trPr>
          <w:trHeight w:val="312" w:hRule="exact"/>
        </w:trPr>
        <w:tc>
          <w:tcPr>
            <w:tcW w:w="654" w:type="dxa"/>
            <w:tcBorders>
              <w:top w:val="nil" w:sz="6" w:space="0" w:color="auto"/>
              <w:left w:val="single" w:sz="4" w:space="0" w:color="000000"/>
              <w:bottom w:val="nil" w:sz="6" w:space="0" w:color="auto"/>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
        </w:tc>
        <w:tc>
          <w:tcPr>
            <w:tcW w:w="616"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
        </w:tc>
        <w:tc>
          <w:tcPr>
            <w:tcW w:w="592" w:type="dxa"/>
            <w:tcBorders>
              <w:top w:val="nil" w:sz="6" w:space="0" w:color="auto"/>
              <w:left w:val="single" w:sz="4" w:space="0" w:color="000000"/>
              <w:bottom w:val="nil" w:sz="6" w:space="0" w:color="auto"/>
              <w:right w:val="single" w:sz="4" w:space="0" w:color="000000"/>
            </w:tcBorders>
          </w:tcPr>
          <w:p>
            <w:pPr/>
          </w:p>
        </w:tc>
        <w:tc>
          <w:tcPr>
            <w:tcW w:w="593" w:type="dxa"/>
            <w:tcBorders>
              <w:top w:val="nil" w:sz="6" w:space="0" w:color="auto"/>
              <w:left w:val="single" w:sz="4" w:space="0" w:color="000000"/>
              <w:bottom w:val="nil" w:sz="6" w:space="0" w:color="auto"/>
              <w:right w:val="single" w:sz="4" w:space="0" w:color="000000"/>
            </w:tcBorders>
          </w:tcPr>
          <w:p>
            <w:pPr/>
          </w:p>
        </w:tc>
        <w:tc>
          <w:tcPr>
            <w:tcW w:w="692"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份有限</w:t>
            </w:r>
          </w:p>
        </w:tc>
      </w:tr>
      <w:tr>
        <w:trPr>
          <w:trHeight w:val="1872" w:hRule="exact"/>
        </w:trPr>
        <w:tc>
          <w:tcPr>
            <w:tcW w:w="654"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79"/>
              <w:jc w:val="both"/>
              <w:rPr>
                <w:rFonts w:ascii="宋体" w:hAnsi="宋体" w:cs="宋体" w:eastAsia="宋体" w:hint="default"/>
                <w:sz w:val="18"/>
                <w:szCs w:val="18"/>
              </w:rPr>
            </w:pPr>
            <w:r>
              <w:rPr>
                <w:rFonts w:ascii="宋体" w:hAnsi="宋体" w:cs="宋体" w:eastAsia="宋体" w:hint="default"/>
                <w:sz w:val="18"/>
                <w:szCs w:val="18"/>
              </w:rPr>
              <w:t>深圳市 梦网科 技发展 有限公 司</w:t>
            </w:r>
          </w:p>
        </w:tc>
        <w:tc>
          <w:tcPr>
            <w:tcW w:w="652"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77"/>
              <w:jc w:val="both"/>
              <w:rPr>
                <w:rFonts w:ascii="宋体" w:hAnsi="宋体" w:cs="宋体" w:eastAsia="宋体" w:hint="default"/>
                <w:sz w:val="18"/>
                <w:szCs w:val="18"/>
              </w:rPr>
            </w:pPr>
            <w:r>
              <w:rPr>
                <w:rFonts w:ascii="宋体" w:hAnsi="宋体" w:cs="宋体" w:eastAsia="宋体" w:hint="default"/>
                <w:sz w:val="18"/>
                <w:szCs w:val="18"/>
              </w:rPr>
              <w:t>移动互 联网运 营支撑 服务业 务</w:t>
            </w:r>
          </w:p>
        </w:tc>
        <w:tc>
          <w:tcPr>
            <w:tcW w:w="62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收购</w:t>
            </w:r>
          </w:p>
        </w:tc>
        <w:tc>
          <w:tcPr>
            <w:tcW w:w="62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2,905,0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2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w:t>
            </w:r>
          </w:p>
        </w:tc>
        <w:tc>
          <w:tcPr>
            <w:tcW w:w="623"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3" w:right="47"/>
              <w:jc w:val="both"/>
              <w:rPr>
                <w:rFonts w:ascii="宋体" w:hAnsi="宋体" w:cs="宋体" w:eastAsia="宋体" w:hint="default"/>
                <w:sz w:val="18"/>
                <w:szCs w:val="18"/>
              </w:rPr>
            </w:pPr>
            <w:r>
              <w:rPr>
                <w:rFonts w:ascii="宋体" w:hAnsi="宋体" w:cs="宋体" w:eastAsia="宋体" w:hint="default"/>
                <w:sz w:val="18"/>
                <w:szCs w:val="18"/>
              </w:rPr>
              <w:t>发行股 份及支 付现金 购买资 产</w:t>
            </w: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618"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43"/>
              <w:jc w:val="both"/>
              <w:rPr>
                <w:rFonts w:ascii="宋体" w:hAnsi="宋体" w:cs="宋体" w:eastAsia="宋体" w:hint="default"/>
                <w:sz w:val="18"/>
                <w:szCs w:val="18"/>
              </w:rPr>
            </w:pPr>
            <w:r>
              <w:rPr>
                <w:rFonts w:ascii="宋体" w:hAnsi="宋体" w:cs="宋体" w:eastAsia="宋体" w:hint="default"/>
                <w:sz w:val="18"/>
                <w:szCs w:val="18"/>
              </w:rPr>
              <w:t>移动互 联网运 营支撑 服务业 务</w:t>
            </w:r>
          </w:p>
        </w:tc>
        <w:tc>
          <w:tcPr>
            <w:tcW w:w="5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319" w:lineRule="auto"/>
              <w:ind w:left="22" w:right="197"/>
              <w:jc w:val="both"/>
              <w:rPr>
                <w:rFonts w:ascii="宋体" w:hAnsi="宋体" w:cs="宋体" w:eastAsia="宋体" w:hint="default"/>
                <w:sz w:val="18"/>
                <w:szCs w:val="18"/>
              </w:rPr>
            </w:pPr>
            <w:r>
              <w:rPr>
                <w:rFonts w:ascii="宋体" w:hAnsi="宋体" w:cs="宋体" w:eastAsia="宋体" w:hint="default"/>
                <w:sz w:val="18"/>
                <w:szCs w:val="18"/>
              </w:rPr>
              <w:t>股权 已过 户</w:t>
            </w:r>
          </w:p>
        </w:tc>
        <w:tc>
          <w:tcPr>
            <w:tcW w:w="59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245" w:right="0"/>
              <w:jc w:val="left"/>
              <w:rPr>
                <w:rFonts w:ascii="Times New Roman" w:hAnsi="Times New Roman" w:cs="Times New Roman" w:eastAsia="Times New Roman" w:hint="default"/>
                <w:sz w:val="18"/>
                <w:szCs w:val="18"/>
              </w:rPr>
            </w:pPr>
            <w:r>
              <w:rPr>
                <w:rFonts w:ascii="Times New Roman"/>
                <w:sz w:val="18"/>
              </w:rPr>
              <w:t>0.00</w:t>
            </w:r>
          </w:p>
        </w:tc>
        <w:tc>
          <w:tcPr>
            <w:tcW w:w="6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78,426,4</w:t>
            </w:r>
          </w:p>
          <w:p>
            <w:pPr>
              <w:pStyle w:val="TableParagraph"/>
              <w:spacing w:line="240" w:lineRule="auto" w:before="106"/>
              <w:ind w:left="255" w:right="0"/>
              <w:jc w:val="left"/>
              <w:rPr>
                <w:rFonts w:ascii="Times New Roman" w:hAnsi="Times New Roman" w:cs="Times New Roman" w:eastAsia="Times New Roman" w:hint="default"/>
                <w:sz w:val="18"/>
                <w:szCs w:val="18"/>
              </w:rPr>
            </w:pPr>
            <w:r>
              <w:rPr>
                <w:rFonts w:ascii="Times New Roman"/>
                <w:sz w:val="18"/>
              </w:rPr>
              <w:t>65.96</w:t>
            </w:r>
          </w:p>
        </w:tc>
        <w:tc>
          <w:tcPr>
            <w:tcW w:w="6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95"/>
              <w:jc w:val="both"/>
              <w:rPr>
                <w:rFonts w:ascii="宋体" w:hAnsi="宋体" w:cs="宋体" w:eastAsia="宋体" w:hint="default"/>
                <w:sz w:val="18"/>
                <w:szCs w:val="18"/>
              </w:rPr>
            </w:pPr>
            <w:r>
              <w:rPr>
                <w:rFonts w:ascii="宋体" w:hAnsi="宋体" w:cs="宋体" w:eastAsia="宋体" w:hint="default"/>
                <w:sz w:val="18"/>
                <w:szCs w:val="18"/>
              </w:rPr>
              <w:t>公司发 行股份 及支付 现金购 买资产 并募集</w:t>
            </w:r>
          </w:p>
        </w:tc>
      </w:tr>
      <w:tr>
        <w:trPr>
          <w:trHeight w:val="312" w:hRule="exact"/>
        </w:trPr>
        <w:tc>
          <w:tcPr>
            <w:tcW w:w="654" w:type="dxa"/>
            <w:tcBorders>
              <w:top w:val="nil" w:sz="6" w:space="0" w:color="auto"/>
              <w:left w:val="single" w:sz="4" w:space="0" w:color="000000"/>
              <w:bottom w:val="nil" w:sz="6" w:space="0" w:color="auto"/>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
        </w:tc>
        <w:tc>
          <w:tcPr>
            <w:tcW w:w="616"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
        </w:tc>
        <w:tc>
          <w:tcPr>
            <w:tcW w:w="592" w:type="dxa"/>
            <w:tcBorders>
              <w:top w:val="nil" w:sz="6" w:space="0" w:color="auto"/>
              <w:left w:val="single" w:sz="4" w:space="0" w:color="000000"/>
              <w:bottom w:val="nil" w:sz="6" w:space="0" w:color="auto"/>
              <w:right w:val="single" w:sz="4" w:space="0" w:color="000000"/>
            </w:tcBorders>
          </w:tcPr>
          <w:p>
            <w:pPr/>
          </w:p>
        </w:tc>
        <w:tc>
          <w:tcPr>
            <w:tcW w:w="593" w:type="dxa"/>
            <w:tcBorders>
              <w:top w:val="nil" w:sz="6" w:space="0" w:color="auto"/>
              <w:left w:val="single" w:sz="4" w:space="0" w:color="000000"/>
              <w:bottom w:val="nil" w:sz="6" w:space="0" w:color="auto"/>
              <w:right w:val="single" w:sz="4" w:space="0" w:color="000000"/>
            </w:tcBorders>
          </w:tcPr>
          <w:p>
            <w:pPr/>
          </w:p>
        </w:tc>
        <w:tc>
          <w:tcPr>
            <w:tcW w:w="692"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配套资</w:t>
            </w:r>
          </w:p>
        </w:tc>
      </w:tr>
      <w:tr>
        <w:trPr>
          <w:trHeight w:val="312" w:hRule="exact"/>
        </w:trPr>
        <w:tc>
          <w:tcPr>
            <w:tcW w:w="654" w:type="dxa"/>
            <w:tcBorders>
              <w:top w:val="nil" w:sz="6" w:space="0" w:color="auto"/>
              <w:left w:val="single" w:sz="4" w:space="0" w:color="000000"/>
              <w:bottom w:val="nil" w:sz="6" w:space="0" w:color="auto"/>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
        </w:tc>
        <w:tc>
          <w:tcPr>
            <w:tcW w:w="616"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
        </w:tc>
        <w:tc>
          <w:tcPr>
            <w:tcW w:w="592" w:type="dxa"/>
            <w:tcBorders>
              <w:top w:val="nil" w:sz="6" w:space="0" w:color="auto"/>
              <w:left w:val="single" w:sz="4" w:space="0" w:color="000000"/>
              <w:bottom w:val="nil" w:sz="6" w:space="0" w:color="auto"/>
              <w:right w:val="single" w:sz="4" w:space="0" w:color="000000"/>
            </w:tcBorders>
          </w:tcPr>
          <w:p>
            <w:pPr/>
          </w:p>
        </w:tc>
        <w:tc>
          <w:tcPr>
            <w:tcW w:w="593" w:type="dxa"/>
            <w:tcBorders>
              <w:top w:val="nil" w:sz="6" w:space="0" w:color="auto"/>
              <w:left w:val="single" w:sz="4" w:space="0" w:color="000000"/>
              <w:bottom w:val="nil" w:sz="6" w:space="0" w:color="auto"/>
              <w:right w:val="single" w:sz="4" w:space="0" w:color="000000"/>
            </w:tcBorders>
          </w:tcPr>
          <w:p>
            <w:pPr/>
          </w:p>
        </w:tc>
        <w:tc>
          <w:tcPr>
            <w:tcW w:w="692"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金暨关</w:t>
            </w:r>
          </w:p>
        </w:tc>
      </w:tr>
      <w:tr>
        <w:trPr>
          <w:trHeight w:val="312" w:hRule="exact"/>
        </w:trPr>
        <w:tc>
          <w:tcPr>
            <w:tcW w:w="654" w:type="dxa"/>
            <w:tcBorders>
              <w:top w:val="nil" w:sz="6" w:space="0" w:color="auto"/>
              <w:left w:val="single" w:sz="4" w:space="0" w:color="000000"/>
              <w:bottom w:val="nil" w:sz="6" w:space="0" w:color="auto"/>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
        </w:tc>
        <w:tc>
          <w:tcPr>
            <w:tcW w:w="616"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
        </w:tc>
        <w:tc>
          <w:tcPr>
            <w:tcW w:w="592" w:type="dxa"/>
            <w:tcBorders>
              <w:top w:val="nil" w:sz="6" w:space="0" w:color="auto"/>
              <w:left w:val="single" w:sz="4" w:space="0" w:color="000000"/>
              <w:bottom w:val="nil" w:sz="6" w:space="0" w:color="auto"/>
              <w:right w:val="single" w:sz="4" w:space="0" w:color="000000"/>
            </w:tcBorders>
          </w:tcPr>
          <w:p>
            <w:pPr/>
          </w:p>
        </w:tc>
        <w:tc>
          <w:tcPr>
            <w:tcW w:w="593" w:type="dxa"/>
            <w:tcBorders>
              <w:top w:val="nil" w:sz="6" w:space="0" w:color="auto"/>
              <w:left w:val="single" w:sz="4" w:space="0" w:color="000000"/>
              <w:bottom w:val="nil" w:sz="6" w:space="0" w:color="auto"/>
              <w:right w:val="single" w:sz="4" w:space="0" w:color="000000"/>
            </w:tcBorders>
          </w:tcPr>
          <w:p>
            <w:pPr/>
          </w:p>
        </w:tc>
        <w:tc>
          <w:tcPr>
            <w:tcW w:w="692"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w:t>
            </w:r>
          </w:p>
        </w:tc>
      </w:tr>
      <w:tr>
        <w:trPr>
          <w:trHeight w:val="312" w:hRule="exact"/>
        </w:trPr>
        <w:tc>
          <w:tcPr>
            <w:tcW w:w="654" w:type="dxa"/>
            <w:tcBorders>
              <w:top w:val="nil" w:sz="6" w:space="0" w:color="auto"/>
              <w:left w:val="single" w:sz="4" w:space="0" w:color="000000"/>
              <w:bottom w:val="nil" w:sz="6" w:space="0" w:color="auto"/>
              <w:right w:val="single" w:sz="4" w:space="0" w:color="000000"/>
            </w:tcBorders>
          </w:tcPr>
          <w:p>
            <w:pPr/>
          </w:p>
        </w:tc>
        <w:tc>
          <w:tcPr>
            <w:tcW w:w="652"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2" w:type="dxa"/>
            <w:tcBorders>
              <w:top w:val="nil" w:sz="6" w:space="0" w:color="auto"/>
              <w:left w:val="single" w:sz="4" w:space="0" w:color="000000"/>
              <w:bottom w:val="nil" w:sz="6" w:space="0" w:color="auto"/>
              <w:right w:val="single" w:sz="4" w:space="0" w:color="000000"/>
            </w:tcBorders>
          </w:tcPr>
          <w:p>
            <w:pPr/>
          </w:p>
        </w:tc>
        <w:tc>
          <w:tcPr>
            <w:tcW w:w="623"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
        </w:tc>
        <w:tc>
          <w:tcPr>
            <w:tcW w:w="616" w:type="dxa"/>
            <w:tcBorders>
              <w:top w:val="nil" w:sz="6" w:space="0" w:color="auto"/>
              <w:left w:val="single" w:sz="4" w:space="0" w:color="000000"/>
              <w:bottom w:val="nil" w:sz="6" w:space="0" w:color="auto"/>
              <w:right w:val="single" w:sz="4" w:space="0" w:color="000000"/>
            </w:tcBorders>
          </w:tcPr>
          <w:p>
            <w:pPr/>
          </w:p>
        </w:tc>
        <w:tc>
          <w:tcPr>
            <w:tcW w:w="618" w:type="dxa"/>
            <w:tcBorders>
              <w:top w:val="nil" w:sz="6" w:space="0" w:color="auto"/>
              <w:left w:val="single" w:sz="4" w:space="0" w:color="000000"/>
              <w:bottom w:val="nil" w:sz="6" w:space="0" w:color="auto"/>
              <w:right w:val="single" w:sz="4" w:space="0" w:color="000000"/>
            </w:tcBorders>
          </w:tcPr>
          <w:p>
            <w:pPr/>
          </w:p>
        </w:tc>
        <w:tc>
          <w:tcPr>
            <w:tcW w:w="592" w:type="dxa"/>
            <w:tcBorders>
              <w:top w:val="nil" w:sz="6" w:space="0" w:color="auto"/>
              <w:left w:val="single" w:sz="4" w:space="0" w:color="000000"/>
              <w:bottom w:val="nil" w:sz="6" w:space="0" w:color="auto"/>
              <w:right w:val="single" w:sz="4" w:space="0" w:color="000000"/>
            </w:tcBorders>
          </w:tcPr>
          <w:p>
            <w:pPr/>
          </w:p>
        </w:tc>
        <w:tc>
          <w:tcPr>
            <w:tcW w:w="593" w:type="dxa"/>
            <w:tcBorders>
              <w:top w:val="nil" w:sz="6" w:space="0" w:color="auto"/>
              <w:left w:val="single" w:sz="4" w:space="0" w:color="000000"/>
              <w:bottom w:val="nil" w:sz="6" w:space="0" w:color="auto"/>
              <w:right w:val="single" w:sz="4" w:space="0" w:color="000000"/>
            </w:tcBorders>
          </w:tcPr>
          <w:p>
            <w:pPr/>
          </w:p>
        </w:tc>
        <w:tc>
          <w:tcPr>
            <w:tcW w:w="692"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90" w:type="dxa"/>
            <w:tcBorders>
              <w:top w:val="nil" w:sz="6" w:space="0" w:color="auto"/>
              <w:left w:val="single" w:sz="4" w:space="0" w:color="000000"/>
              <w:bottom w:val="nil" w:sz="6" w:space="0" w:color="auto"/>
              <w:right w:val="single" w:sz="4" w:space="0" w:color="000000"/>
            </w:tcBorders>
          </w:tcPr>
          <w:p>
            <w:pPr/>
          </w:p>
        </w:tc>
        <w:tc>
          <w:tcPr>
            <w:tcW w:w="6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报告书</w:t>
            </w:r>
          </w:p>
        </w:tc>
      </w:tr>
      <w:tr>
        <w:trPr>
          <w:trHeight w:val="318" w:hRule="exact"/>
        </w:trPr>
        <w:tc>
          <w:tcPr>
            <w:tcW w:w="654" w:type="dxa"/>
            <w:tcBorders>
              <w:top w:val="nil" w:sz="6" w:space="0" w:color="auto"/>
              <w:left w:val="single" w:sz="4" w:space="0" w:color="000000"/>
              <w:bottom w:val="single" w:sz="4" w:space="0" w:color="000000"/>
              <w:right w:val="single" w:sz="4" w:space="0" w:color="000000"/>
            </w:tcBorders>
          </w:tcPr>
          <w:p>
            <w:pPr/>
          </w:p>
        </w:tc>
        <w:tc>
          <w:tcPr>
            <w:tcW w:w="652" w:type="dxa"/>
            <w:tcBorders>
              <w:top w:val="nil" w:sz="6" w:space="0" w:color="auto"/>
              <w:left w:val="single" w:sz="4" w:space="0" w:color="000000"/>
              <w:bottom w:val="single" w:sz="4" w:space="0" w:color="000000"/>
              <w:right w:val="single" w:sz="4" w:space="0" w:color="000000"/>
            </w:tcBorders>
          </w:tcPr>
          <w:p>
            <w:pPr/>
          </w:p>
        </w:tc>
        <w:tc>
          <w:tcPr>
            <w:tcW w:w="623" w:type="dxa"/>
            <w:tcBorders>
              <w:top w:val="nil" w:sz="6" w:space="0" w:color="auto"/>
              <w:left w:val="single" w:sz="4" w:space="0" w:color="000000"/>
              <w:bottom w:val="single" w:sz="4" w:space="0" w:color="000000"/>
              <w:right w:val="single" w:sz="4" w:space="0" w:color="000000"/>
            </w:tcBorders>
          </w:tcPr>
          <w:p>
            <w:pPr/>
          </w:p>
        </w:tc>
        <w:tc>
          <w:tcPr>
            <w:tcW w:w="622" w:type="dxa"/>
            <w:tcBorders>
              <w:top w:val="nil" w:sz="6" w:space="0" w:color="auto"/>
              <w:left w:val="single" w:sz="4" w:space="0" w:color="000000"/>
              <w:bottom w:val="single" w:sz="4" w:space="0" w:color="000000"/>
              <w:right w:val="single" w:sz="4" w:space="0" w:color="000000"/>
            </w:tcBorders>
          </w:tcPr>
          <w:p>
            <w:pPr/>
          </w:p>
        </w:tc>
        <w:tc>
          <w:tcPr>
            <w:tcW w:w="622" w:type="dxa"/>
            <w:tcBorders>
              <w:top w:val="nil" w:sz="6" w:space="0" w:color="auto"/>
              <w:left w:val="single" w:sz="4" w:space="0" w:color="000000"/>
              <w:bottom w:val="single" w:sz="4" w:space="0" w:color="000000"/>
              <w:right w:val="single" w:sz="4" w:space="0" w:color="000000"/>
            </w:tcBorders>
          </w:tcPr>
          <w:p>
            <w:pPr/>
          </w:p>
        </w:tc>
        <w:tc>
          <w:tcPr>
            <w:tcW w:w="623" w:type="dxa"/>
            <w:tcBorders>
              <w:top w:val="nil" w:sz="6" w:space="0" w:color="auto"/>
              <w:left w:val="single" w:sz="4" w:space="0" w:color="000000"/>
              <w:bottom w:val="single" w:sz="4" w:space="0" w:color="000000"/>
              <w:right w:val="single" w:sz="4" w:space="0" w:color="000000"/>
            </w:tcBorders>
          </w:tcPr>
          <w:p>
            <w:pPr/>
          </w:p>
        </w:tc>
        <w:tc>
          <w:tcPr>
            <w:tcW w:w="618" w:type="dxa"/>
            <w:tcBorders>
              <w:top w:val="nil" w:sz="6" w:space="0" w:color="auto"/>
              <w:left w:val="single" w:sz="4" w:space="0" w:color="000000"/>
              <w:bottom w:val="single" w:sz="4" w:space="0" w:color="000000"/>
              <w:right w:val="single" w:sz="4" w:space="0" w:color="000000"/>
            </w:tcBorders>
          </w:tcPr>
          <w:p>
            <w:pPr/>
          </w:p>
        </w:tc>
        <w:tc>
          <w:tcPr>
            <w:tcW w:w="616" w:type="dxa"/>
            <w:tcBorders>
              <w:top w:val="nil" w:sz="6" w:space="0" w:color="auto"/>
              <w:left w:val="single" w:sz="4" w:space="0" w:color="000000"/>
              <w:bottom w:val="single" w:sz="4" w:space="0" w:color="000000"/>
              <w:right w:val="single" w:sz="4" w:space="0" w:color="000000"/>
            </w:tcBorders>
          </w:tcPr>
          <w:p>
            <w:pPr/>
          </w:p>
        </w:tc>
        <w:tc>
          <w:tcPr>
            <w:tcW w:w="618" w:type="dxa"/>
            <w:tcBorders>
              <w:top w:val="nil" w:sz="6" w:space="0" w:color="auto"/>
              <w:left w:val="single" w:sz="4" w:space="0" w:color="000000"/>
              <w:bottom w:val="single" w:sz="4" w:space="0" w:color="000000"/>
              <w:right w:val="single" w:sz="4" w:space="0" w:color="000000"/>
            </w:tcBorders>
          </w:tcPr>
          <w:p>
            <w:pPr/>
          </w:p>
        </w:tc>
        <w:tc>
          <w:tcPr>
            <w:tcW w:w="592" w:type="dxa"/>
            <w:tcBorders>
              <w:top w:val="nil" w:sz="6" w:space="0" w:color="auto"/>
              <w:left w:val="single" w:sz="4" w:space="0" w:color="000000"/>
              <w:bottom w:val="single" w:sz="4" w:space="0" w:color="000000"/>
              <w:right w:val="single" w:sz="4" w:space="0" w:color="000000"/>
            </w:tcBorders>
          </w:tcPr>
          <w:p>
            <w:pPr/>
          </w:p>
        </w:tc>
        <w:tc>
          <w:tcPr>
            <w:tcW w:w="593" w:type="dxa"/>
            <w:tcBorders>
              <w:top w:val="nil" w:sz="6" w:space="0" w:color="auto"/>
              <w:left w:val="single" w:sz="4" w:space="0" w:color="000000"/>
              <w:bottom w:val="single" w:sz="4" w:space="0" w:color="000000"/>
              <w:right w:val="single" w:sz="4" w:space="0" w:color="000000"/>
            </w:tcBorders>
          </w:tcPr>
          <w:p>
            <w:pPr/>
          </w:p>
        </w:tc>
        <w:tc>
          <w:tcPr>
            <w:tcW w:w="692" w:type="dxa"/>
            <w:tcBorders>
              <w:top w:val="nil" w:sz="6" w:space="0" w:color="auto"/>
              <w:left w:val="single" w:sz="4" w:space="0" w:color="000000"/>
              <w:bottom w:val="single" w:sz="4" w:space="0" w:color="000000"/>
              <w:right w:val="single" w:sz="4" w:space="0" w:color="000000"/>
            </w:tcBorders>
          </w:tcPr>
          <w:p>
            <w:pPr/>
          </w:p>
        </w:tc>
        <w:tc>
          <w:tcPr>
            <w:tcW w:w="690" w:type="dxa"/>
            <w:tcBorders>
              <w:top w:val="nil" w:sz="6" w:space="0" w:color="auto"/>
              <w:left w:val="single" w:sz="4" w:space="0" w:color="000000"/>
              <w:bottom w:val="single" w:sz="4" w:space="0" w:color="000000"/>
              <w:right w:val="single" w:sz="4" w:space="0" w:color="000000"/>
            </w:tcBorders>
          </w:tcPr>
          <w:p>
            <w:pPr/>
          </w:p>
        </w:tc>
        <w:tc>
          <w:tcPr>
            <w:tcW w:w="690" w:type="dxa"/>
            <w:tcBorders>
              <w:top w:val="nil" w:sz="6" w:space="0" w:color="auto"/>
              <w:left w:val="single" w:sz="4" w:space="0" w:color="000000"/>
              <w:bottom w:val="single" w:sz="4" w:space="0" w:color="000000"/>
              <w:right w:val="single" w:sz="4" w:space="0" w:color="000000"/>
            </w:tcBorders>
          </w:tcPr>
          <w:p>
            <w:pPr/>
          </w:p>
        </w:tc>
        <w:tc>
          <w:tcPr>
            <w:tcW w:w="6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（草</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54"/>
        <w:gridCol w:w="652"/>
        <w:gridCol w:w="623"/>
        <w:gridCol w:w="622"/>
        <w:gridCol w:w="622"/>
        <w:gridCol w:w="623"/>
        <w:gridCol w:w="618"/>
        <w:gridCol w:w="616"/>
        <w:gridCol w:w="618"/>
        <w:gridCol w:w="592"/>
        <w:gridCol w:w="593"/>
        <w:gridCol w:w="692"/>
        <w:gridCol w:w="690"/>
        <w:gridCol w:w="690"/>
        <w:gridCol w:w="668"/>
      </w:tblGrid>
      <w:tr>
        <w:trPr>
          <w:trHeight w:val="362" w:hRule="exact"/>
        </w:trPr>
        <w:tc>
          <w:tcPr>
            <w:tcW w:w="654"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2" w:type="dxa"/>
            <w:tcBorders>
              <w:top w:val="single" w:sz="4" w:space="0" w:color="000000"/>
              <w:left w:val="single" w:sz="4" w:space="0" w:color="000000"/>
              <w:bottom w:val="single" w:sz="4" w:space="0" w:color="000000"/>
              <w:right w:val="single" w:sz="4" w:space="0" w:color="000000"/>
            </w:tcBorders>
          </w:tcPr>
          <w:p>
            <w:pPr/>
          </w:p>
        </w:tc>
        <w:tc>
          <w:tcPr>
            <w:tcW w:w="623"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618" w:type="dxa"/>
            <w:tcBorders>
              <w:top w:val="single" w:sz="4" w:space="0" w:color="000000"/>
              <w:left w:val="single" w:sz="4" w:space="0" w:color="000000"/>
              <w:bottom w:val="single" w:sz="4" w:space="0" w:color="000000"/>
              <w:right w:val="single" w:sz="4" w:space="0" w:color="000000"/>
            </w:tcBorders>
          </w:tcPr>
          <w:p>
            <w:pPr/>
          </w:p>
        </w:tc>
        <w:tc>
          <w:tcPr>
            <w:tcW w:w="592"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90"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75"/>
              <w:jc w:val="right"/>
              <w:rPr>
                <w:rFonts w:ascii="宋体" w:hAnsi="宋体" w:cs="宋体" w:eastAsia="宋体" w:hint="default"/>
                <w:sz w:val="18"/>
                <w:szCs w:val="18"/>
              </w:rPr>
            </w:pPr>
            <w:r>
              <w:rPr>
                <w:rFonts w:ascii="宋体" w:hAnsi="宋体" w:cs="宋体" w:eastAsia="宋体" w:hint="default"/>
                <w:sz w:val="18"/>
                <w:szCs w:val="18"/>
              </w:rPr>
              <w:t>案）</w:t>
            </w:r>
          </w:p>
        </w:tc>
      </w:tr>
      <w:tr>
        <w:trPr>
          <w:trHeight w:val="1026" w:hRule="exact"/>
        </w:trPr>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2,905,0</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5" w:right="0"/>
              <w:jc w:val="left"/>
              <w:rPr>
                <w:rFonts w:ascii="Times New Roman" w:hAnsi="Times New Roman" w:cs="Times New Roman" w:eastAsia="Times New Roman" w:hint="default"/>
                <w:sz w:val="18"/>
                <w:szCs w:val="18"/>
              </w:rPr>
            </w:pPr>
            <w:r>
              <w:rPr>
                <w:rFonts w:ascii="Times New Roman"/>
                <w:sz w:val="18"/>
              </w:rPr>
              <w:t>0.00</w:t>
            </w:r>
          </w:p>
        </w:tc>
        <w:tc>
          <w:tcPr>
            <w:tcW w:w="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 w:right="0"/>
              <w:jc w:val="left"/>
              <w:rPr>
                <w:rFonts w:ascii="Times New Roman" w:hAnsi="Times New Roman" w:cs="Times New Roman" w:eastAsia="Times New Roman" w:hint="default"/>
                <w:sz w:val="18"/>
                <w:szCs w:val="18"/>
              </w:rPr>
            </w:pPr>
            <w:r>
              <w:rPr>
                <w:rFonts w:ascii="Times New Roman"/>
                <w:sz w:val="18"/>
              </w:rPr>
              <w:t>78,426,4</w:t>
            </w:r>
          </w:p>
          <w:p>
            <w:pPr>
              <w:pStyle w:val="TableParagraph"/>
              <w:spacing w:line="240" w:lineRule="auto" w:before="105"/>
              <w:ind w:left="255" w:right="0"/>
              <w:jc w:val="left"/>
              <w:rPr>
                <w:rFonts w:ascii="Times New Roman" w:hAnsi="Times New Roman" w:cs="Times New Roman" w:eastAsia="Times New Roman" w:hint="default"/>
                <w:sz w:val="18"/>
                <w:szCs w:val="18"/>
              </w:rPr>
            </w:pPr>
            <w:r>
              <w:rPr>
                <w:rFonts w:ascii="Times New Roman"/>
                <w:sz w:val="18"/>
              </w:rPr>
              <w:t>65.96</w:t>
            </w:r>
          </w:p>
        </w:tc>
        <w:tc>
          <w:tcPr>
            <w:tcW w:w="6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68"/>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before="0"/>
        <w:ind w:right="0"/>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before="0"/>
        <w:ind w:right="0"/>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5"/>
          <w:szCs w:val="25"/>
        </w:rPr>
      </w:pPr>
    </w:p>
    <w:p>
      <w:pPr>
        <w:spacing w:before="44"/>
        <w:ind w:left="0" w:right="163" w:firstLine="0"/>
        <w:jc w:val="right"/>
        <w:rPr>
          <w:rFonts w:ascii="宋体" w:hAnsi="宋体" w:cs="宋体" w:eastAsia="宋体" w:hint="default"/>
          <w:sz w:val="18"/>
          <w:szCs w:val="18"/>
        </w:rPr>
      </w:pPr>
      <w:r>
        <w:rPr/>
        <w:pict>
          <v:shape style="position:absolute;margin-left:56.459999pt;margin-top:-286.027954pt;width:478.95pt;height:321.4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66"/>
                    <w:gridCol w:w="863"/>
                    <w:gridCol w:w="877"/>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购买资产 募集配套 资金</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69,850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69,290.94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69,290.94</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566.65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永久补充 流动资金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69,850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69,290.94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center"/>
                          <w:rPr>
                            <w:rFonts w:ascii="Times New Roman" w:hAnsi="Times New Roman" w:cs="Times New Roman" w:eastAsia="Times New Roman" w:hint="default"/>
                            <w:sz w:val="18"/>
                            <w:szCs w:val="18"/>
                          </w:rPr>
                        </w:pPr>
                        <w:r>
                          <w:rPr>
                            <w:rFonts w:ascii="Times New Roman"/>
                            <w:sz w:val="18"/>
                          </w:rPr>
                          <w:t>69,290.94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566.65</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3251"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firstLine="360"/>
                          <w:jc w:val="left"/>
                          <w:rPr>
                            <w:rFonts w:ascii="宋体" w:hAnsi="宋体" w:cs="宋体" w:eastAsia="宋体" w:hint="default"/>
                            <w:sz w:val="18"/>
                            <w:szCs w:val="18"/>
                          </w:rPr>
                        </w:pPr>
                        <w:r>
                          <w:rPr>
                            <w:rFonts w:ascii="宋体" w:hAnsi="宋体" w:cs="宋体" w:eastAsia="宋体" w:hint="default"/>
                            <w:spacing w:val="-1"/>
                            <w:sz w:val="18"/>
                            <w:szCs w:val="18"/>
                          </w:rPr>
                          <w:t>经中国证券监督管理委员会《关于核准荣信电力电子股份有限公司向余文胜等发行股份购买资产并募集配套资金的批</w:t>
                        </w:r>
                        <w:r>
                          <w:rPr>
                            <w:rFonts w:ascii="宋体" w:hAnsi="宋体" w:cs="宋体" w:eastAsia="宋体" w:hint="default"/>
                            <w:sz w:val="18"/>
                            <w:szCs w:val="18"/>
                          </w:rPr>
                          <w:t> 复》</w:t>
                        </w:r>
                        <w:r>
                          <w:rPr>
                            <w:rFonts w:ascii="Times New Roman" w:hAnsi="Times New Roman" w:cs="Times New Roman" w:eastAsia="Times New Roman" w:hint="default"/>
                            <w:sz w:val="18"/>
                            <w:szCs w:val="18"/>
                          </w:rPr>
                          <w:t>(</w:t>
                        </w:r>
                        <w:r>
                          <w:rPr>
                            <w:rFonts w:ascii="宋体" w:hAnsi="宋体" w:cs="宋体" w:eastAsia="宋体" w:hint="default"/>
                            <w:sz w:val="18"/>
                            <w:szCs w:val="18"/>
                          </w:rPr>
                          <w:t>证监许可〔</w:t>
                        </w:r>
                        <w:r>
                          <w:rPr>
                            <w:rFonts w:ascii="Times New Roman" w:hAnsi="Times New Roman" w:cs="Times New Roman" w:eastAsia="Times New Roman" w:hint="default"/>
                            <w:sz w:val="18"/>
                            <w:szCs w:val="18"/>
                          </w:rPr>
                          <w:t>2015</w:t>
                        </w:r>
                        <w:r>
                          <w:rPr>
                            <w:rFonts w:ascii="宋体" w:hAnsi="宋体" w:cs="宋体" w:eastAsia="宋体" w:hint="default"/>
                            <w:sz w:val="18"/>
                            <w:szCs w:val="18"/>
                          </w:rPr>
                          <w:t>〕</w:t>
                        </w:r>
                        <w:r>
                          <w:rPr>
                            <w:rFonts w:ascii="Times New Roman" w:hAnsi="Times New Roman" w:cs="Times New Roman" w:eastAsia="Times New Roman" w:hint="default"/>
                            <w:sz w:val="18"/>
                            <w:szCs w:val="18"/>
                          </w:rPr>
                          <w:t>1717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核准，并经深圳证券交易所同意，采用非公开发行的方式向孙慧、上海域鸿投资管理中心</w:t>
                        </w:r>
                      </w:p>
                      <w:p>
                        <w:pPr>
                          <w:pStyle w:val="TableParagraph"/>
                          <w:spacing w:line="300" w:lineRule="auto"/>
                          <w:ind w:left="22" w:right="22"/>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（有限合伙）</w:t>
                        </w:r>
                        <w:r>
                          <w:rPr>
                            <w:rFonts w:ascii="Times New Roman" w:hAnsi="Times New Roman" w:cs="Times New Roman" w:eastAsia="Times New Roman" w:hint="default"/>
                            <w:spacing w:val="-3"/>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名特定投资者非公开发行人民币普通股（</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5"/>
                            <w:sz w:val="18"/>
                            <w:szCs w:val="18"/>
                          </w:rPr>
                          <w:t> </w:t>
                        </w:r>
                        <w:r>
                          <w:rPr>
                            <w:rFonts w:ascii="宋体" w:hAnsi="宋体" w:cs="宋体" w:eastAsia="宋体" w:hint="default"/>
                            <w:spacing w:val="-4"/>
                            <w:sz w:val="18"/>
                            <w:szCs w:val="18"/>
                          </w:rPr>
                          <w:t>股）股票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78,438,864</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股，发行价格为</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9.16</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股，募集资金总额 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718,499,994.24</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元，减除财务顾问及承销费</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20,000,000.00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元，募集资金净额为人民币</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698,499,994.24</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元，已于</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2015</w:t>
                        </w:r>
                      </w:p>
                      <w:p>
                        <w:pPr>
                          <w:pStyle w:val="TableParagraph"/>
                          <w:spacing w:line="302" w:lineRule="auto" w:before="13"/>
                          <w:ind w:left="22" w:right="177"/>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日汇入本公司募集资金监管账户。经天健会计师事务所（特殊普通合伙）审验，并出具了（天健验</w:t>
                        </w:r>
                        <w:r>
                          <w:rPr>
                            <w:rFonts w:ascii="Times New Roman" w:hAnsi="Times New Roman" w:cs="Times New Roman" w:eastAsia="Times New Roman" w:hint="default"/>
                            <w:sz w:val="18"/>
                            <w:szCs w:val="18"/>
                          </w:rPr>
                          <w:t>[2015]3-110 </w:t>
                        </w:r>
                        <w:r>
                          <w:rPr>
                            <w:rFonts w:ascii="宋体" w:hAnsi="宋体" w:cs="宋体" w:eastAsia="宋体" w:hint="default"/>
                            <w:spacing w:val="-20"/>
                            <w:sz w:val="18"/>
                            <w:szCs w:val="18"/>
                          </w:rPr>
                          <w:t>号）《验资报告》。</w:t>
                        </w:r>
                      </w:p>
                      <w:p>
                        <w:pPr>
                          <w:pStyle w:val="TableParagraph"/>
                          <w:spacing w:line="240" w:lineRule="auto" w:before="68"/>
                          <w:ind w:left="382"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年度使用募集资金共计人民币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692,909,389.43</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元，其中：支付深圳市梦网科技发展有限公司股东股权转让款</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688,500,000.00 </w:t>
                        </w:r>
                        <w:r>
                          <w:rPr>
                            <w:rFonts w:ascii="宋体" w:hAnsi="宋体" w:cs="宋体" w:eastAsia="宋体" w:hint="default"/>
                            <w:spacing w:val="-5"/>
                            <w:sz w:val="18"/>
                            <w:szCs w:val="18"/>
                          </w:rPr>
                          <w:t>元；支付审计费、评估费、律师费等中介机构费用及其他手续费 </w:t>
                        </w:r>
                        <w:r>
                          <w:rPr>
                            <w:rFonts w:ascii="Times New Roman" w:hAnsi="Times New Roman" w:cs="Times New Roman" w:eastAsia="Times New Roman" w:hint="default"/>
                            <w:sz w:val="18"/>
                            <w:szCs w:val="18"/>
                          </w:rPr>
                          <w:t>4,409,389.43 </w:t>
                        </w:r>
                        <w:r>
                          <w:rPr>
                            <w:rFonts w:ascii="宋体" w:hAnsi="宋体" w:cs="宋体" w:eastAsia="宋体" w:hint="default"/>
                            <w:spacing w:val="-6"/>
                            <w:sz w:val="18"/>
                            <w:szCs w:val="18"/>
                          </w:rPr>
                          <w:t>元，节余募集资金</w:t>
                        </w:r>
                        <w:r>
                          <w:rPr>
                            <w:rFonts w:ascii="宋体" w:hAnsi="宋体" w:cs="宋体" w:eastAsia="宋体" w:hint="default"/>
                            <w:spacing w:val="-72"/>
                            <w:sz w:val="18"/>
                            <w:szCs w:val="18"/>
                          </w:rPr>
                          <w:t> </w:t>
                        </w:r>
                        <w:r>
                          <w:rPr>
                            <w:rFonts w:ascii="Times New Roman" w:hAnsi="Times New Roman" w:cs="Times New Roman" w:eastAsia="Times New Roman" w:hint="default"/>
                            <w:sz w:val="18"/>
                            <w:szCs w:val="18"/>
                          </w:rPr>
                          <w:t>5,666,517.84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pacing w:val="-6"/>
                            <w:sz w:val="18"/>
                            <w:szCs w:val="18"/>
                          </w:rPr>
                          <w:t>元</w:t>
                        </w:r>
                        <w:r>
                          <w:rPr>
                            <w:rFonts w:ascii="宋体" w:hAnsi="宋体" w:cs="宋体" w:eastAsia="宋体" w:hint="default"/>
                            <w:sz w:val="18"/>
                            <w:szCs w:val="18"/>
                          </w:rPr>
                          <w:t>（含利息收入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75,913.03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pacing w:val="-6"/>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6"/>
                            <w:sz w:val="18"/>
                            <w:szCs w:val="18"/>
                          </w:rPr>
                          <w:t>，</w:t>
                        </w:r>
                        <w:r>
                          <w:rPr>
                            <w:rFonts w:ascii="宋体" w:hAnsi="宋体" w:cs="宋体" w:eastAsia="宋体" w:hint="default"/>
                            <w:sz w:val="18"/>
                            <w:szCs w:val="18"/>
                          </w:rPr>
                          <w:t>公司已将节余募集资金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5,666,51</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.84</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元</w:t>
                        </w:r>
                        <w:r>
                          <w:rPr>
                            <w:rFonts w:ascii="宋体" w:hAnsi="宋体" w:cs="宋体" w:eastAsia="宋体" w:hint="default"/>
                            <w:sz w:val="18"/>
                            <w:szCs w:val="18"/>
                          </w:rPr>
                          <w:t>（含利息收入</w:t>
                        </w:r>
                        <w:r>
                          <w:rPr>
                            <w:rFonts w:ascii="宋体" w:hAnsi="宋体" w:cs="宋体" w:eastAsia="宋体" w:hint="default"/>
                            <w:spacing w:val="-6"/>
                            <w:sz w:val="18"/>
                            <w:szCs w:val="18"/>
                          </w:rPr>
                          <w:t>）</w:t>
                        </w:r>
                        <w:r>
                          <w:rPr>
                            <w:rFonts w:ascii="宋体" w:hAnsi="宋体" w:cs="宋体" w:eastAsia="宋体" w:hint="default"/>
                            <w:sz w:val="18"/>
                            <w:szCs w:val="18"/>
                          </w:rPr>
                          <w:t>永久补充流动资金</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月末，公司本次募集资金已使用完毕。</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19" w:right="68" w:hanging="450"/>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1"/>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购买资产募集配套资 金</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69,850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69,290.94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69,290.94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69,290.94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1" w:right="0"/>
              <w:jc w:val="center"/>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7,842.65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69,290.94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69,290.94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69,290.94</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7,842.65</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69,290.94</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69,290.94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69,290.94</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325" w:right="0"/>
              <w:jc w:val="lef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7,842.65</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2" w:right="23"/>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2" w:right="115"/>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319" w:lineRule="auto"/>
              <w:ind w:left="22" w:right="115"/>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4" w:hRule="exact"/>
        </w:trPr>
        <w:tc>
          <w:tcPr>
            <w:tcW w:w="1770" w:type="dxa"/>
            <w:vMerge/>
            <w:tcBorders>
              <w:left w:val="single" w:sz="4" w:space="0" w:color="000000"/>
              <w:bottom w:val="single" w:sz="4" w:space="0" w:color="000000"/>
              <w:right w:val="single" w:sz="4" w:space="0" w:color="000000"/>
            </w:tcBorders>
            <w:shd w:val="clear" w:color="auto" w:fill="D3D3D3"/>
          </w:tcPr>
          <w:p>
            <w:pP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本次购买资产募集配套资金结余</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566.65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万元，主要是实际支付的中介机构费用比预计有所减少，另</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外募集资金账户累计收到银行存款利息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714"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月，公司已将节余募集资金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566.65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万元（含利息收入）永久补充流动资金。</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63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公司报告期不存在募集资金变更项目情况。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before="0"/>
        <w:ind w:right="0"/>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pict>
          <v:shape style="position:absolute;margin-left:241.979706pt;margin-top:17.532036pt;width:37.6pt;height:191.2pt;mso-position-horizontal-relative:page;mso-position-vertical-relative:paragraph;z-index:-1027984"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6"/>
                      <w:szCs w:val="26"/>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635"/>
        <w:gridCol w:w="636"/>
        <w:gridCol w:w="640"/>
        <w:gridCol w:w="636"/>
        <w:gridCol w:w="640"/>
        <w:gridCol w:w="638"/>
        <w:gridCol w:w="637"/>
        <w:gridCol w:w="641"/>
        <w:gridCol w:w="637"/>
        <w:gridCol w:w="641"/>
        <w:gridCol w:w="637"/>
        <w:gridCol w:w="638"/>
        <w:gridCol w:w="640"/>
        <w:gridCol w:w="638"/>
        <w:gridCol w:w="638"/>
      </w:tblGrid>
      <w:tr>
        <w:trPr>
          <w:trHeight w:val="358" w:hRule="exact"/>
        </w:trPr>
        <w:tc>
          <w:tcPr>
            <w:tcW w:w="635" w:type="dxa"/>
            <w:tcBorders>
              <w:top w:val="single" w:sz="4" w:space="0" w:color="000000"/>
              <w:left w:val="single" w:sz="4" w:space="0" w:color="000000"/>
              <w:bottom w:val="nil" w:sz="6" w:space="0" w:color="auto"/>
              <w:right w:val="single" w:sz="4" w:space="0" w:color="000000"/>
            </w:tcBorders>
            <w:shd w:val="clear" w:color="auto" w:fill="D3D3D3"/>
          </w:tcPr>
          <w:p>
            <w:pPr/>
          </w:p>
        </w:tc>
        <w:tc>
          <w:tcPr>
            <w:tcW w:w="636" w:type="dxa"/>
            <w:tcBorders>
              <w:top w:val="single" w:sz="4" w:space="0" w:color="000000"/>
              <w:left w:val="single" w:sz="4" w:space="0" w:color="000000"/>
              <w:bottom w:val="nil" w:sz="6" w:space="0" w:color="auto"/>
              <w:right w:val="single" w:sz="4" w:space="0" w:color="000000"/>
            </w:tcBorders>
            <w:shd w:val="clear" w:color="auto" w:fill="D3D3D3"/>
          </w:tcPr>
          <w:p>
            <w:pPr/>
          </w:p>
        </w:tc>
        <w:tc>
          <w:tcPr>
            <w:tcW w:w="640" w:type="dxa"/>
            <w:tcBorders>
              <w:top w:val="single" w:sz="4" w:space="0" w:color="000000"/>
              <w:left w:val="single" w:sz="4" w:space="0" w:color="000000"/>
              <w:bottom w:val="nil" w:sz="6" w:space="0" w:color="auto"/>
              <w:right w:val="single" w:sz="4" w:space="0" w:color="000000"/>
            </w:tcBorders>
            <w:shd w:val="clear" w:color="auto" w:fill="D3D3D3"/>
          </w:tcPr>
          <w:p>
            <w:pPr/>
          </w:p>
        </w:tc>
        <w:tc>
          <w:tcPr>
            <w:tcW w:w="636" w:type="dxa"/>
            <w:tcBorders>
              <w:top w:val="single" w:sz="4" w:space="0" w:color="000000"/>
              <w:left w:val="single" w:sz="4" w:space="0" w:color="000000"/>
              <w:bottom w:val="nil" w:sz="6" w:space="0" w:color="auto"/>
              <w:right w:val="single" w:sz="4" w:space="0" w:color="000000"/>
            </w:tcBorders>
            <w:shd w:val="clear" w:color="auto" w:fill="D3D3D3"/>
          </w:tcPr>
          <w:p>
            <w:pPr/>
          </w:p>
        </w:tc>
        <w:tc>
          <w:tcPr>
            <w:tcW w:w="640"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7" w:type="dxa"/>
            <w:tcBorders>
              <w:top w:val="single" w:sz="4" w:space="0" w:color="000000"/>
              <w:left w:val="single" w:sz="4" w:space="0" w:color="000000"/>
              <w:bottom w:val="nil" w:sz="6" w:space="0" w:color="auto"/>
              <w:right w:val="single" w:sz="4" w:space="0" w:color="000000"/>
            </w:tcBorders>
            <w:shd w:val="clear" w:color="auto" w:fill="D3D3D3"/>
          </w:tcPr>
          <w:p>
            <w:pPr/>
          </w:p>
        </w:tc>
        <w:tc>
          <w:tcPr>
            <w:tcW w:w="641" w:type="dxa"/>
            <w:tcBorders>
              <w:top w:val="single" w:sz="4" w:space="0" w:color="000000"/>
              <w:left w:val="single" w:sz="4" w:space="0" w:color="000000"/>
              <w:bottom w:val="nil" w:sz="6" w:space="0" w:color="auto"/>
              <w:right w:val="single" w:sz="4" w:space="0" w:color="000000"/>
            </w:tcBorders>
            <w:shd w:val="clear" w:color="auto" w:fill="D3D3D3"/>
          </w:tcPr>
          <w:p>
            <w:pPr/>
          </w:p>
        </w:tc>
        <w:tc>
          <w:tcPr>
            <w:tcW w:w="637" w:type="dxa"/>
            <w:tcBorders>
              <w:top w:val="single" w:sz="4" w:space="0" w:color="000000"/>
              <w:left w:val="single" w:sz="4" w:space="0" w:color="000000"/>
              <w:bottom w:val="nil" w:sz="6" w:space="0" w:color="auto"/>
              <w:right w:val="single" w:sz="4" w:space="0" w:color="000000"/>
            </w:tcBorders>
            <w:shd w:val="clear" w:color="auto" w:fill="D3D3D3"/>
          </w:tcPr>
          <w:p>
            <w:pPr/>
          </w:p>
        </w:tc>
        <w:tc>
          <w:tcPr>
            <w:tcW w:w="641" w:type="dxa"/>
            <w:tcBorders>
              <w:top w:val="single" w:sz="4" w:space="0" w:color="000000"/>
              <w:left w:val="single" w:sz="4" w:space="0" w:color="000000"/>
              <w:bottom w:val="nil" w:sz="6" w:space="0" w:color="auto"/>
              <w:right w:val="single" w:sz="4" w:space="0" w:color="000000"/>
            </w:tcBorders>
            <w:shd w:val="clear" w:color="auto" w:fill="D3D3D3"/>
          </w:tcPr>
          <w:p>
            <w:pPr/>
          </w:p>
        </w:tc>
        <w:tc>
          <w:tcPr>
            <w:tcW w:w="637"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4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left="44" w:right="0"/>
              <w:jc w:val="left"/>
              <w:rPr>
                <w:rFonts w:ascii="宋体" w:hAnsi="宋体" w:cs="宋体" w:eastAsia="宋体" w:hint="default"/>
                <w:sz w:val="18"/>
                <w:szCs w:val="18"/>
              </w:rPr>
            </w:pPr>
            <w:r>
              <w:rPr>
                <w:rFonts w:ascii="宋体" w:hAnsi="宋体" w:cs="宋体" w:eastAsia="宋体" w:hint="default"/>
                <w:sz w:val="18"/>
                <w:szCs w:val="18"/>
              </w:rPr>
              <w:t>是否按</w:t>
            </w: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c>
          <w:tcPr>
            <w:tcW w:w="63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120" w:hRule="exact"/>
        </w:trPr>
        <w:tc>
          <w:tcPr>
            <w:tcW w:w="63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221" w:right="41"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131" w:right="42" w:hanging="90"/>
              <w:jc w:val="left"/>
              <w:rPr>
                <w:rFonts w:ascii="宋体" w:hAnsi="宋体" w:cs="宋体" w:eastAsia="宋体" w:hint="default"/>
                <w:sz w:val="18"/>
                <w:szCs w:val="18"/>
              </w:rPr>
            </w:pPr>
            <w:r>
              <w:rPr>
                <w:rFonts w:ascii="宋体" w:hAnsi="宋体" w:cs="宋体" w:eastAsia="宋体" w:hint="default"/>
                <w:sz w:val="18"/>
                <w:szCs w:val="18"/>
              </w:rPr>
              <w:t>被出售 资产</w:t>
            </w:r>
          </w:p>
        </w:tc>
        <w:tc>
          <w:tcPr>
            <w:tcW w:w="6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41" w:right="42"/>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44" w:right="43"/>
              <w:jc w:val="both"/>
              <w:rPr>
                <w:rFonts w:ascii="宋体" w:hAnsi="宋体" w:cs="宋体" w:eastAsia="宋体" w:hint="default"/>
                <w:sz w:val="18"/>
                <w:szCs w:val="18"/>
              </w:rPr>
            </w:pPr>
            <w:r>
              <w:rPr>
                <w:rFonts w:ascii="宋体" w:hAnsi="宋体" w:cs="宋体" w:eastAsia="宋体" w:hint="default"/>
                <w:sz w:val="18"/>
                <w:szCs w:val="18"/>
              </w:rPr>
              <w:t>本期初 起至出 售日该 资产为 上市公 司贡献 的净利 润（万 元）</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43" w:right="43"/>
              <w:jc w:val="both"/>
              <w:rPr>
                <w:rFonts w:ascii="宋体" w:hAnsi="宋体" w:cs="宋体" w:eastAsia="宋体" w:hint="default"/>
                <w:sz w:val="18"/>
                <w:szCs w:val="18"/>
              </w:rPr>
            </w:pPr>
            <w:r>
              <w:rPr>
                <w:rFonts w:ascii="宋体" w:hAnsi="宋体" w:cs="宋体" w:eastAsia="宋体" w:hint="default"/>
                <w:sz w:val="18"/>
                <w:szCs w:val="18"/>
              </w:rPr>
              <w:t>出售对 公司的 影响</w:t>
            </w:r>
          </w:p>
          <w:p>
            <w:pPr>
              <w:pStyle w:val="TableParagraph"/>
              <w:spacing w:line="240" w:lineRule="auto" w:before="20"/>
              <w:ind w:left="22"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w:t>
            </w:r>
          </w:p>
        </w:tc>
        <w:tc>
          <w:tcPr>
            <w:tcW w:w="6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43" w:right="42"/>
              <w:jc w:val="both"/>
              <w:rPr>
                <w:rFonts w:ascii="宋体" w:hAnsi="宋体" w:cs="宋体" w:eastAsia="宋体" w:hint="default"/>
                <w:sz w:val="18"/>
                <w:szCs w:val="18"/>
              </w:rPr>
            </w:pPr>
            <w:r>
              <w:rPr>
                <w:rFonts w:ascii="宋体" w:hAnsi="宋体" w:cs="宋体" w:eastAsia="宋体" w:hint="default"/>
                <w:sz w:val="18"/>
                <w:szCs w:val="18"/>
              </w:rPr>
              <w:t>资产出 售为上 市公司 贡献的 净利润 占净利 润总额 的比例</w:t>
            </w:r>
          </w:p>
        </w:tc>
        <w:tc>
          <w:tcPr>
            <w:tcW w:w="64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45" w:right="43"/>
              <w:jc w:val="both"/>
              <w:rPr>
                <w:rFonts w:ascii="宋体" w:hAnsi="宋体" w:cs="宋体" w:eastAsia="宋体" w:hint="default"/>
                <w:sz w:val="18"/>
                <w:szCs w:val="18"/>
              </w:rPr>
            </w:pPr>
            <w:r>
              <w:rPr>
                <w:rFonts w:ascii="宋体" w:hAnsi="宋体" w:cs="宋体" w:eastAsia="宋体" w:hint="default"/>
                <w:sz w:val="18"/>
                <w:szCs w:val="18"/>
              </w:rPr>
              <w:t>资产出 售定价 原则</w:t>
            </w:r>
          </w:p>
        </w:tc>
        <w:tc>
          <w:tcPr>
            <w:tcW w:w="6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43" w:right="42"/>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4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316" w:lineRule="auto"/>
              <w:ind w:left="45" w:right="43"/>
              <w:jc w:val="both"/>
              <w:rPr>
                <w:rFonts w:ascii="宋体" w:hAnsi="宋体" w:cs="宋体" w:eastAsia="宋体" w:hint="default"/>
                <w:sz w:val="18"/>
                <w:szCs w:val="18"/>
              </w:rPr>
            </w:pPr>
            <w:r>
              <w:rPr>
                <w:rFonts w:ascii="宋体" w:hAnsi="宋体" w:cs="宋体" w:eastAsia="宋体" w:hint="default"/>
                <w:sz w:val="18"/>
                <w:szCs w:val="18"/>
              </w:rPr>
              <w:t>与交易 对方的 关联关 系（适 用关联 交易情 形）</w:t>
            </w:r>
          </w:p>
        </w:tc>
        <w:tc>
          <w:tcPr>
            <w:tcW w:w="6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43" w:right="42"/>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44" w:right="42"/>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6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44" w:right="43"/>
              <w:jc w:val="center"/>
              <w:rPr>
                <w:rFonts w:ascii="宋体" w:hAnsi="宋体" w:cs="宋体" w:eastAsia="宋体" w:hint="default"/>
                <w:sz w:val="18"/>
                <w:szCs w:val="18"/>
              </w:rPr>
            </w:pPr>
            <w:r>
              <w:rPr>
                <w:rFonts w:ascii="宋体" w:hAnsi="宋体" w:cs="宋体" w:eastAsia="宋体" w:hint="default"/>
                <w:sz w:val="18"/>
                <w:szCs w:val="18"/>
              </w:rPr>
              <w:t>计划如 期实 施，如 未按计 划实 施，应 当说明 原因及 公司已 采取的</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224" w:right="42"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3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223" w:right="43"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56" w:hRule="exact"/>
        </w:trPr>
        <w:tc>
          <w:tcPr>
            <w:tcW w:w="635" w:type="dxa"/>
            <w:tcBorders>
              <w:top w:val="nil" w:sz="6" w:space="0" w:color="auto"/>
              <w:left w:val="single" w:sz="4" w:space="0" w:color="000000"/>
              <w:bottom w:val="single" w:sz="4" w:space="0" w:color="000000"/>
              <w:right w:val="single" w:sz="4" w:space="0" w:color="000000"/>
            </w:tcBorders>
            <w:shd w:val="clear" w:color="auto" w:fill="D3D3D3"/>
          </w:tcPr>
          <w:p>
            <w:pPr/>
          </w:p>
        </w:tc>
        <w:tc>
          <w:tcPr>
            <w:tcW w:w="636" w:type="dxa"/>
            <w:tcBorders>
              <w:top w:val="nil" w:sz="6" w:space="0" w:color="auto"/>
              <w:left w:val="single" w:sz="4" w:space="0" w:color="000000"/>
              <w:bottom w:val="single" w:sz="4" w:space="0" w:color="000000"/>
              <w:right w:val="single" w:sz="4" w:space="0" w:color="000000"/>
            </w:tcBorders>
            <w:shd w:val="clear" w:color="auto" w:fill="D3D3D3"/>
          </w:tcPr>
          <w:p>
            <w:pPr/>
          </w:p>
        </w:tc>
        <w:tc>
          <w:tcPr>
            <w:tcW w:w="640" w:type="dxa"/>
            <w:tcBorders>
              <w:top w:val="nil" w:sz="6" w:space="0" w:color="auto"/>
              <w:left w:val="single" w:sz="4" w:space="0" w:color="000000"/>
              <w:bottom w:val="single" w:sz="4" w:space="0" w:color="000000"/>
              <w:right w:val="single" w:sz="4" w:space="0" w:color="000000"/>
            </w:tcBorders>
            <w:shd w:val="clear" w:color="auto" w:fill="D3D3D3"/>
          </w:tcPr>
          <w:p>
            <w:pPr/>
          </w:p>
        </w:tc>
        <w:tc>
          <w:tcPr>
            <w:tcW w:w="636" w:type="dxa"/>
            <w:tcBorders>
              <w:top w:val="nil" w:sz="6" w:space="0" w:color="auto"/>
              <w:left w:val="single" w:sz="4" w:space="0" w:color="000000"/>
              <w:bottom w:val="single" w:sz="4" w:space="0" w:color="000000"/>
              <w:right w:val="single" w:sz="4" w:space="0" w:color="000000"/>
            </w:tcBorders>
            <w:shd w:val="clear" w:color="auto" w:fill="D3D3D3"/>
          </w:tcPr>
          <w:p>
            <w:pPr/>
          </w:p>
        </w:tc>
        <w:tc>
          <w:tcPr>
            <w:tcW w:w="640"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7" w:type="dxa"/>
            <w:tcBorders>
              <w:top w:val="nil" w:sz="6" w:space="0" w:color="auto"/>
              <w:left w:val="single" w:sz="4" w:space="0" w:color="000000"/>
              <w:bottom w:val="single" w:sz="4" w:space="0" w:color="000000"/>
              <w:right w:val="single" w:sz="4" w:space="0" w:color="000000"/>
            </w:tcBorders>
            <w:shd w:val="clear" w:color="auto" w:fill="D3D3D3"/>
          </w:tcPr>
          <w:p>
            <w:pPr/>
          </w:p>
        </w:tc>
        <w:tc>
          <w:tcPr>
            <w:tcW w:w="641" w:type="dxa"/>
            <w:tcBorders>
              <w:top w:val="nil" w:sz="6" w:space="0" w:color="auto"/>
              <w:left w:val="single" w:sz="4" w:space="0" w:color="000000"/>
              <w:bottom w:val="single" w:sz="4" w:space="0" w:color="000000"/>
              <w:right w:val="single" w:sz="4" w:space="0" w:color="000000"/>
            </w:tcBorders>
            <w:shd w:val="clear" w:color="auto" w:fill="D3D3D3"/>
          </w:tcPr>
          <w:p>
            <w:pPr/>
          </w:p>
        </w:tc>
        <w:tc>
          <w:tcPr>
            <w:tcW w:w="637" w:type="dxa"/>
            <w:tcBorders>
              <w:top w:val="nil" w:sz="6" w:space="0" w:color="auto"/>
              <w:left w:val="single" w:sz="4" w:space="0" w:color="000000"/>
              <w:bottom w:val="single" w:sz="4" w:space="0" w:color="000000"/>
              <w:right w:val="single" w:sz="4" w:space="0" w:color="000000"/>
            </w:tcBorders>
            <w:shd w:val="clear" w:color="auto" w:fill="D3D3D3"/>
          </w:tcPr>
          <w:p>
            <w:pPr/>
          </w:p>
        </w:tc>
        <w:tc>
          <w:tcPr>
            <w:tcW w:w="641" w:type="dxa"/>
            <w:tcBorders>
              <w:top w:val="nil" w:sz="6" w:space="0" w:color="auto"/>
              <w:left w:val="single" w:sz="4" w:space="0" w:color="000000"/>
              <w:bottom w:val="single" w:sz="4" w:space="0" w:color="000000"/>
              <w:right w:val="single" w:sz="4" w:space="0" w:color="000000"/>
            </w:tcBorders>
            <w:shd w:val="clear" w:color="auto" w:fill="D3D3D3"/>
          </w:tcPr>
          <w:p>
            <w:pPr/>
          </w:p>
        </w:tc>
        <w:tc>
          <w:tcPr>
            <w:tcW w:w="637"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4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134" w:right="0"/>
              <w:jc w:val="left"/>
              <w:rPr>
                <w:rFonts w:ascii="宋体" w:hAnsi="宋体" w:cs="宋体" w:eastAsia="宋体" w:hint="default"/>
                <w:sz w:val="18"/>
                <w:szCs w:val="18"/>
              </w:rPr>
            </w:pPr>
            <w:r>
              <w:rPr>
                <w:rFonts w:ascii="宋体" w:hAnsi="宋体" w:cs="宋体" w:eastAsia="宋体" w:hint="default"/>
                <w:sz w:val="18"/>
                <w:szCs w:val="18"/>
              </w:rPr>
              <w:t>措施</w:t>
            </w: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c>
          <w:tcPr>
            <w:tcW w:w="63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58" w:hRule="exact"/>
        </w:trPr>
        <w:tc>
          <w:tcPr>
            <w:tcW w:w="635"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6"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本次出</w:t>
            </w:r>
          </w:p>
        </w:tc>
        <w:tc>
          <w:tcPr>
            <w:tcW w:w="637"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41"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售资产</w:t>
            </w: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所得款</w:t>
            </w: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项将用</w:t>
            </w: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2194" w:hRule="exact"/>
        </w:trPr>
        <w:tc>
          <w:tcPr>
            <w:tcW w:w="63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316" w:lineRule="auto"/>
              <w:ind w:left="22" w:right="60"/>
              <w:jc w:val="both"/>
              <w:rPr>
                <w:rFonts w:ascii="宋体" w:hAnsi="宋体" w:cs="宋体" w:eastAsia="宋体" w:hint="default"/>
                <w:sz w:val="18"/>
                <w:szCs w:val="18"/>
              </w:rPr>
            </w:pPr>
            <w:r>
              <w:rPr>
                <w:rFonts w:ascii="宋体" w:hAnsi="宋体" w:cs="宋体" w:eastAsia="宋体" w:hint="default"/>
                <w:sz w:val="18"/>
                <w:szCs w:val="18"/>
              </w:rPr>
              <w:t>北京柏 山鼎科 技有限 公司</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316" w:lineRule="auto" w:before="157"/>
              <w:ind w:left="22" w:right="61"/>
              <w:jc w:val="both"/>
              <w:rPr>
                <w:rFonts w:ascii="宋体" w:hAnsi="宋体" w:cs="宋体" w:eastAsia="宋体" w:hint="default"/>
                <w:sz w:val="18"/>
                <w:szCs w:val="18"/>
              </w:rPr>
            </w:pPr>
            <w:r>
              <w:rPr>
                <w:rFonts w:ascii="宋体" w:hAnsi="宋体" w:cs="宋体" w:eastAsia="宋体" w:hint="default"/>
                <w:sz w:val="18"/>
                <w:szCs w:val="18"/>
              </w:rPr>
              <w:t>北京市 海淀区 农大南 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p>
            <w:pPr>
              <w:pStyle w:val="TableParagraph"/>
              <w:spacing w:line="302" w:lineRule="auto"/>
              <w:ind w:left="22" w:right="61"/>
              <w:jc w:val="both"/>
              <w:rPr>
                <w:rFonts w:ascii="宋体" w:hAnsi="宋体" w:cs="宋体" w:eastAsia="宋体" w:hint="default"/>
                <w:sz w:val="18"/>
                <w:szCs w:val="18"/>
              </w:rPr>
            </w:pPr>
            <w:r>
              <w:rPr>
                <w:rFonts w:ascii="宋体" w:hAnsi="宋体" w:cs="宋体" w:eastAsia="宋体" w:hint="default"/>
                <w:sz w:val="18"/>
                <w:szCs w:val="18"/>
              </w:rPr>
              <w:t>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 楼房产</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14,000</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65"/>
              <w:jc w:val="left"/>
              <w:rPr>
                <w:rFonts w:ascii="宋体" w:hAnsi="宋体" w:cs="宋体" w:eastAsia="宋体" w:hint="default"/>
                <w:sz w:val="18"/>
                <w:szCs w:val="18"/>
              </w:rPr>
            </w:pPr>
            <w:r>
              <w:rPr>
                <w:rFonts w:ascii="宋体" w:hAnsi="宋体" w:cs="宋体" w:eastAsia="宋体" w:hint="default"/>
                <w:sz w:val="18"/>
                <w:szCs w:val="18"/>
              </w:rPr>
              <w:t>于补充 公司日 常生产 经营所 需的流 动资 金，对</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55.03%</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协议</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4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p>
            <w:pPr>
              <w:pStyle w:val="TableParagraph"/>
              <w:spacing w:line="240" w:lineRule="auto" w:before="6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65"/>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19" w:lineRule="auto" w:before="19"/>
              <w:ind w:left="22" w:right="65"/>
              <w:jc w:val="left"/>
              <w:rPr>
                <w:rFonts w:ascii="宋体" w:hAnsi="宋体" w:cs="宋体" w:eastAsia="宋体" w:hint="default"/>
                <w:sz w:val="18"/>
                <w:szCs w:val="18"/>
              </w:rPr>
            </w:pPr>
            <w:r>
              <w:rPr>
                <w:rFonts w:ascii="宋体" w:hAnsi="宋体" w:cs="宋体" w:eastAsia="宋体" w:hint="default"/>
                <w:sz w:val="18"/>
                <w:szCs w:val="18"/>
              </w:rPr>
              <w:t>《关于 公司出 售资产 的公 告》</w:t>
            </w: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公司的</w:t>
            </w: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财务状</w:t>
            </w: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635"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况和经</w:t>
            </w: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41" w:type="dxa"/>
            <w:tcBorders>
              <w:top w:val="nil" w:sz="6" w:space="0" w:color="auto"/>
              <w:left w:val="single" w:sz="4" w:space="0" w:color="000000"/>
              <w:bottom w:val="nil" w:sz="6" w:space="0" w:color="auto"/>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635"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营成果</w:t>
            </w:r>
          </w:p>
        </w:tc>
        <w:tc>
          <w:tcPr>
            <w:tcW w:w="637"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41"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35"/>
        <w:gridCol w:w="636"/>
        <w:gridCol w:w="640"/>
        <w:gridCol w:w="636"/>
        <w:gridCol w:w="640"/>
        <w:gridCol w:w="638"/>
        <w:gridCol w:w="637"/>
        <w:gridCol w:w="641"/>
        <w:gridCol w:w="637"/>
        <w:gridCol w:w="641"/>
        <w:gridCol w:w="637"/>
        <w:gridCol w:w="638"/>
        <w:gridCol w:w="640"/>
        <w:gridCol w:w="638"/>
        <w:gridCol w:w="638"/>
      </w:tblGrid>
      <w:tr>
        <w:trPr>
          <w:trHeight w:val="317" w:hRule="exact"/>
        </w:trPr>
        <w:tc>
          <w:tcPr>
            <w:tcW w:w="635" w:type="dxa"/>
            <w:vMerge w:val="restart"/>
            <w:tcBorders>
              <w:top w:val="single" w:sz="4" w:space="0" w:color="000000"/>
              <w:left w:val="single" w:sz="4" w:space="0" w:color="000000"/>
              <w:right w:val="single" w:sz="4" w:space="0" w:color="000000"/>
            </w:tcBorders>
          </w:tcPr>
          <w:p>
            <w:pPr/>
          </w:p>
        </w:tc>
        <w:tc>
          <w:tcPr>
            <w:tcW w:w="636" w:type="dxa"/>
            <w:vMerge w:val="restart"/>
            <w:tcBorders>
              <w:top w:val="single" w:sz="4" w:space="0" w:color="000000"/>
              <w:left w:val="single" w:sz="4" w:space="0" w:color="000000"/>
              <w:right w:val="single" w:sz="4" w:space="0" w:color="000000"/>
            </w:tcBorders>
          </w:tcPr>
          <w:p>
            <w:pPr/>
          </w:p>
        </w:tc>
        <w:tc>
          <w:tcPr>
            <w:tcW w:w="640" w:type="dxa"/>
            <w:vMerge w:val="restart"/>
            <w:tcBorders>
              <w:top w:val="single" w:sz="4" w:space="0" w:color="000000"/>
              <w:left w:val="single" w:sz="4" w:space="0" w:color="000000"/>
              <w:right w:val="single" w:sz="4" w:space="0" w:color="000000"/>
            </w:tcBorders>
          </w:tcPr>
          <w:p>
            <w:pPr/>
          </w:p>
        </w:tc>
        <w:tc>
          <w:tcPr>
            <w:tcW w:w="636" w:type="dxa"/>
            <w:vMerge w:val="restart"/>
            <w:tcBorders>
              <w:top w:val="single" w:sz="4" w:space="0" w:color="000000"/>
              <w:left w:val="single" w:sz="4" w:space="0" w:color="000000"/>
              <w:right w:val="single" w:sz="4" w:space="0" w:color="000000"/>
            </w:tcBorders>
          </w:tcPr>
          <w:p>
            <w:pPr/>
          </w:p>
        </w:tc>
        <w:tc>
          <w:tcPr>
            <w:tcW w:w="640" w:type="dxa"/>
            <w:vMerge w:val="restart"/>
            <w:tcBorders>
              <w:top w:val="single" w:sz="4" w:space="0" w:color="000000"/>
              <w:left w:val="single" w:sz="4" w:space="0" w:color="000000"/>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将产生</w:t>
            </w:r>
          </w:p>
        </w:tc>
        <w:tc>
          <w:tcPr>
            <w:tcW w:w="637" w:type="dxa"/>
            <w:vMerge w:val="restart"/>
            <w:tcBorders>
              <w:top w:val="single" w:sz="4" w:space="0" w:color="000000"/>
              <w:left w:val="single" w:sz="4" w:space="0" w:color="000000"/>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
        </w:tc>
        <w:tc>
          <w:tcPr>
            <w:tcW w:w="637" w:type="dxa"/>
            <w:vMerge w:val="restart"/>
            <w:tcBorders>
              <w:top w:val="single" w:sz="4" w:space="0" w:color="000000"/>
              <w:left w:val="single" w:sz="4" w:space="0" w:color="000000"/>
              <w:right w:val="single" w:sz="4" w:space="0" w:color="000000"/>
            </w:tcBorders>
          </w:tcPr>
          <w:p>
            <w:pPr/>
          </w:p>
        </w:tc>
        <w:tc>
          <w:tcPr>
            <w:tcW w:w="641" w:type="dxa"/>
            <w:vMerge w:val="restart"/>
            <w:tcBorders>
              <w:top w:val="single" w:sz="4" w:space="0" w:color="000000"/>
              <w:left w:val="single" w:sz="4" w:space="0" w:color="000000"/>
              <w:right w:val="single" w:sz="4" w:space="0" w:color="000000"/>
            </w:tcBorders>
          </w:tcPr>
          <w:p>
            <w:pPr/>
          </w:p>
        </w:tc>
        <w:tc>
          <w:tcPr>
            <w:tcW w:w="637"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40"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r>
      <w:tr>
        <w:trPr>
          <w:trHeight w:val="312" w:hRule="exact"/>
        </w:trPr>
        <w:tc>
          <w:tcPr>
            <w:tcW w:w="635"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正面影</w:t>
            </w:r>
          </w:p>
        </w:tc>
        <w:tc>
          <w:tcPr>
            <w:tcW w:w="637"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r>
      <w:tr>
        <w:trPr>
          <w:trHeight w:val="312" w:hRule="exact"/>
        </w:trPr>
        <w:tc>
          <w:tcPr>
            <w:tcW w:w="635"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响。本</w:t>
            </w:r>
          </w:p>
        </w:tc>
        <w:tc>
          <w:tcPr>
            <w:tcW w:w="637"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r>
      <w:tr>
        <w:trPr>
          <w:trHeight w:val="312" w:hRule="exact"/>
        </w:trPr>
        <w:tc>
          <w:tcPr>
            <w:tcW w:w="635"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次出售</w:t>
            </w:r>
          </w:p>
        </w:tc>
        <w:tc>
          <w:tcPr>
            <w:tcW w:w="637"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r>
      <w:tr>
        <w:trPr>
          <w:trHeight w:val="312" w:hRule="exact"/>
        </w:trPr>
        <w:tc>
          <w:tcPr>
            <w:tcW w:w="635"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637"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r>
      <w:tr>
        <w:trPr>
          <w:trHeight w:val="312" w:hRule="exact"/>
        </w:trPr>
        <w:tc>
          <w:tcPr>
            <w:tcW w:w="635"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增加本</w:t>
            </w:r>
          </w:p>
        </w:tc>
        <w:tc>
          <w:tcPr>
            <w:tcW w:w="637"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r>
      <w:tr>
        <w:trPr>
          <w:trHeight w:val="312" w:hRule="exact"/>
        </w:trPr>
        <w:tc>
          <w:tcPr>
            <w:tcW w:w="635"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年净利</w:t>
            </w:r>
          </w:p>
        </w:tc>
        <w:tc>
          <w:tcPr>
            <w:tcW w:w="637"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r>
      <w:tr>
        <w:trPr>
          <w:trHeight w:val="316" w:hRule="exact"/>
        </w:trPr>
        <w:tc>
          <w:tcPr>
            <w:tcW w:w="635"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w:t>
            </w:r>
          </w:p>
        </w:tc>
        <w:tc>
          <w:tcPr>
            <w:tcW w:w="637"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r>
      <w:tr>
        <w:trPr>
          <w:trHeight w:val="313" w:hRule="exact"/>
        </w:trPr>
        <w:tc>
          <w:tcPr>
            <w:tcW w:w="635"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6"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Times New Roman" w:hAnsi="Times New Roman" w:cs="Times New Roman" w:eastAsia="Times New Roman" w:hint="default"/>
                <w:sz w:val="18"/>
                <w:szCs w:val="18"/>
              </w:rPr>
            </w:pPr>
            <w:r>
              <w:rPr>
                <w:rFonts w:ascii="Times New Roman"/>
                <w:sz w:val="18"/>
              </w:rPr>
              <w:t>5,423.6</w:t>
            </w:r>
          </w:p>
        </w:tc>
        <w:tc>
          <w:tcPr>
            <w:tcW w:w="637"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41"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r>
      <w:tr>
        <w:trPr>
          <w:trHeight w:val="353" w:hRule="exact"/>
        </w:trPr>
        <w:tc>
          <w:tcPr>
            <w:tcW w:w="635"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637"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37" w:type="dxa"/>
            <w:vMerge/>
            <w:tcBorders>
              <w:left w:val="single" w:sz="4" w:space="0" w:color="000000"/>
              <w:bottom w:val="single" w:sz="4" w:space="0" w:color="000000"/>
              <w:right w:val="single" w:sz="4" w:space="0" w:color="000000"/>
            </w:tcBorders>
          </w:tcPr>
          <w:p>
            <w:pPr/>
          </w:p>
        </w:tc>
        <w:tc>
          <w:tcPr>
            <w:tcW w:w="641" w:type="dxa"/>
            <w:vMerge/>
            <w:tcBorders>
              <w:left w:val="single" w:sz="4" w:space="0" w:color="000000"/>
              <w:bottom w:val="single" w:sz="4" w:space="0" w:color="000000"/>
              <w:right w:val="single" w:sz="4" w:space="0" w:color="000000"/>
            </w:tcBorders>
          </w:tcPr>
          <w:p>
            <w:pPr/>
          </w:p>
        </w:tc>
        <w:tc>
          <w:tcPr>
            <w:tcW w:w="637"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七、主要控股参股公司分析</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spacing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20"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pict>
          <v:shape style="position:absolute;margin-left:197.519699pt;margin-top:88.872307pt;width:75.9pt;height:66.45pt;mso-position-horizontal-relative:page;mso-position-vertical-relative:paragraph;z-index:-102796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开发、</w:t>
                  </w:r>
                </w:p>
              </w:txbxContent>
            </v:textbox>
            <w10:wrap type="none"/>
          </v:shape>
        </w:pict>
      </w:r>
      <w:r>
        <w:rPr/>
        <w:pict>
          <v:group style="position:absolute;margin-left:221.699997pt;margin-top:88.872307pt;width:51.75pt;height:66.45pt;mso-position-horizontal-relative:page;mso-position-vertical-relative:paragraph;z-index:-1027936" coordorigin="4434,1777" coordsize="1035,1329">
            <v:group style="position:absolute;left:4434;top:1777;width:1035;height:1329" coordorigin="4434,1777" coordsize="1035,1329">
              <v:shape style="position:absolute;left:4434;top:1777;width:1035;height:1329" coordorigin="4434,1777" coordsize="1035,1329" path="m4434,3106l5468,3106,5468,1777,4434,1777,4434,3106xe" filled="true" fillcolor="#ffffff" stroked="false">
                <v:path arrowok="t"/>
                <v:fill type="solid"/>
              </v:shape>
            </v:group>
            <v:group style="position:absolute;left:4457;top:2245;width:989;height:393" coordorigin="4457,2245" coordsize="989,393">
              <v:shape style="position:absolute;left:4457;top:2245;width:989;height:393" coordorigin="4457,2245" coordsize="989,393" path="m4457,2638l5446,2638,5446,2245,4457,2245,4457,2638xe" filled="true" fillcolor="#ffffff" stroked="false">
                <v:path arrowok="t"/>
                <v:fill type="solid"/>
              </v:shape>
            </v:group>
            <w10:wrap type="none"/>
          </v:group>
        </w:pict>
      </w: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849" w:space="4070"/>
            <w:col w:w="103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5"/>
        <w:gridCol w:w="1045"/>
        <w:gridCol w:w="1045"/>
        <w:gridCol w:w="1045"/>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深圳市梦网 科技发展有 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移动信息运 营支撑服务</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669,585,914.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399,200,763.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990,515,570.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258,206,369.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230,950,611.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77</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北京荣科恒 阳整流技术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整流设备、 变流设备、 设计、</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销售</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58,669,161.6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25,182,013.7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66,905,982.9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18,407,331.0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17,091,894.4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辽宁荣信防 爆电气技术 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防爆电气设 备的研发与 制造</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89,622,897.1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74,808,681.7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31,873,637.7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2,050,752.16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4,792,102.15</w:t>
            </w:r>
          </w:p>
        </w:tc>
      </w:tr>
      <w:tr>
        <w:trPr>
          <w:trHeight w:val="358"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电机控制装</w:t>
            </w: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1249"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辽宁荣信电 机控制技术 有限公司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置、启动装 置及其他电 力电子装置 的设计、制</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pacing w:val="-1"/>
                <w:sz w:val="18"/>
              </w:rPr>
              <w:t>26,301,489.4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pacing w:val="-1"/>
                <w:sz w:val="18"/>
              </w:rPr>
              <w:t>17,050,001.0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0"/>
              <w:jc w:val="right"/>
              <w:rPr>
                <w:rFonts w:ascii="Times New Roman" w:hAnsi="Times New Roman" w:cs="Times New Roman" w:eastAsia="Times New Roman" w:hint="default"/>
                <w:sz w:val="18"/>
                <w:szCs w:val="18"/>
              </w:rPr>
            </w:pPr>
            <w:r>
              <w:rPr>
                <w:rFonts w:ascii="Times New Roman"/>
                <w:spacing w:val="-1"/>
                <w:sz w:val="18"/>
              </w:rPr>
              <w:t>46,037,170.0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2,998,391.40</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3,554,497.27</w:t>
            </w:r>
          </w:p>
        </w:tc>
      </w:tr>
      <w:tr>
        <w:trPr>
          <w:trHeight w:val="356"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造</w:t>
            </w: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辽宁荣信电 气传动技术 有限责任公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电气传动与 控制系列变 频器相关产 品的研发、 生产、销售</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247,961,880.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97,360,979.1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206,460,747.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-1,785,801.9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5,886,928.06</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5"/>
        <w:gridCol w:w="1045"/>
        <w:gridCol w:w="1045"/>
        <w:gridCol w:w="1045"/>
        <w:gridCol w:w="1045"/>
        <w:gridCol w:w="1046"/>
      </w:tblGrid>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1"/>
              <w:jc w:val="left"/>
              <w:rPr>
                <w:rFonts w:ascii="宋体" w:hAnsi="宋体" w:cs="宋体" w:eastAsia="宋体" w:hint="default"/>
                <w:sz w:val="18"/>
                <w:szCs w:val="18"/>
              </w:rPr>
            </w:pPr>
            <w:r>
              <w:rPr>
                <w:rFonts w:ascii="宋体" w:hAnsi="宋体" w:cs="宋体" w:eastAsia="宋体" w:hint="default"/>
                <w:sz w:val="18"/>
                <w:szCs w:val="18"/>
              </w:rPr>
              <w:t>荣信电力工 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DMCC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公 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0"/>
              <w:jc w:val="left"/>
              <w:rPr>
                <w:rFonts w:ascii="宋体" w:hAnsi="宋体" w:cs="宋体" w:eastAsia="宋体" w:hint="default"/>
                <w:sz w:val="18"/>
                <w:szCs w:val="18"/>
              </w:rPr>
            </w:pPr>
            <w:r>
              <w:rPr>
                <w:rFonts w:ascii="宋体" w:hAnsi="宋体" w:cs="宋体" w:eastAsia="宋体" w:hint="default"/>
                <w:sz w:val="18"/>
                <w:szCs w:val="18"/>
              </w:rPr>
              <w:t>电气设备销 售</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83,858,750.8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10,612,549.5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7,450,931.70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-3,251,575.2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-3,476,708.2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新疆荣信节 能电气有限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电力电子装 置的设计、 销售</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144,111,443.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38,174,617.7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99,493,399.3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-6,220,393.4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-5,557,792.6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北京荣信慧 科科技有限 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技术开发、 技术服务、 技术推广</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4,085,338.59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8" w:right="0"/>
              <w:jc w:val="left"/>
              <w:rPr>
                <w:rFonts w:ascii="Times New Roman" w:hAnsi="Times New Roman" w:cs="Times New Roman" w:eastAsia="Times New Roman" w:hint="default"/>
                <w:sz w:val="18"/>
                <w:szCs w:val="18"/>
              </w:rPr>
            </w:pPr>
            <w:r>
              <w:rPr>
                <w:rFonts w:ascii="Times New Roman"/>
                <w:sz w:val="18"/>
              </w:rPr>
              <w:t>3,365,044.85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32,371,291.5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-3,087,395.9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-3,089,083.3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both"/>
              <w:rPr>
                <w:rFonts w:ascii="宋体" w:hAnsi="宋体" w:cs="宋体" w:eastAsia="宋体" w:hint="default"/>
                <w:sz w:val="18"/>
                <w:szCs w:val="18"/>
              </w:rPr>
            </w:pPr>
            <w:r>
              <w:rPr>
                <w:rFonts w:ascii="宋体" w:hAnsi="宋体" w:cs="宋体" w:eastAsia="宋体" w:hint="default"/>
                <w:sz w:val="18"/>
                <w:szCs w:val="18"/>
              </w:rPr>
              <w:t>北京信力筑 正新能源股 份有限公司</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新能源、节 能设备、环 保设备、余 热余压发电</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371,759,435.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194,075,086.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66,329,702.1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-83,157,352.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-84,702,007.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深圳市梦网科技发展有限公司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发行股份及支付现金收购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53"/>
              <w:jc w:val="left"/>
              <w:rPr>
                <w:rFonts w:ascii="宋体" w:hAnsi="宋体" w:cs="宋体" w:eastAsia="宋体" w:hint="default"/>
                <w:sz w:val="18"/>
                <w:szCs w:val="18"/>
              </w:rPr>
            </w:pPr>
            <w:r>
              <w:rPr>
                <w:rFonts w:ascii="宋体" w:hAnsi="宋体" w:cs="宋体" w:eastAsia="宋体" w:hint="default"/>
                <w:sz w:val="18"/>
                <w:szCs w:val="18"/>
              </w:rPr>
              <w:t>实现公司双主业发展战略，</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年对公 司净利润影响为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7,842.65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荣信股份控股有限公司（香港）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新设立全资子公司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left"/>
              <w:rPr>
                <w:rFonts w:ascii="宋体" w:hAnsi="宋体" w:cs="宋体" w:eastAsia="宋体" w:hint="default"/>
                <w:sz w:val="18"/>
                <w:szCs w:val="18"/>
              </w:rPr>
            </w:pPr>
            <w:r>
              <w:rPr>
                <w:rFonts w:ascii="宋体" w:hAnsi="宋体" w:cs="宋体" w:eastAsia="宋体" w:hint="default"/>
                <w:sz w:val="18"/>
                <w:szCs w:val="18"/>
              </w:rPr>
              <w:t>为开拓海外市场，促进与国际市场的交 流合作。</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北京荣华恒信开关技术有限公司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出售所持有的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股权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left"/>
              <w:rPr>
                <w:rFonts w:ascii="宋体" w:hAnsi="宋体" w:cs="宋体" w:eastAsia="宋体" w:hint="default"/>
                <w:sz w:val="18"/>
                <w:szCs w:val="18"/>
              </w:rPr>
            </w:pPr>
            <w:r>
              <w:rPr>
                <w:rFonts w:ascii="宋体" w:hAnsi="宋体" w:cs="宋体" w:eastAsia="宋体" w:hint="default"/>
                <w:sz w:val="18"/>
                <w:szCs w:val="18"/>
              </w:rPr>
              <w:t>业务整合转让股权，本次转让子公司股 权，公司获得投资收益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838.62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西安荣信电气有限公司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出售所持有的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股权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left"/>
              <w:rPr>
                <w:rFonts w:ascii="宋体" w:hAnsi="宋体" w:cs="宋体" w:eastAsia="宋体" w:hint="default"/>
                <w:sz w:val="18"/>
                <w:szCs w:val="18"/>
              </w:rPr>
            </w:pPr>
            <w:r>
              <w:rPr>
                <w:rFonts w:ascii="宋体" w:hAnsi="宋体" w:cs="宋体" w:eastAsia="宋体" w:hint="default"/>
                <w:sz w:val="18"/>
                <w:szCs w:val="18"/>
              </w:rPr>
              <w:t>业务整合转让股权，本次转让子公司股 权，公司获得投资收益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广州邦建电力技术有限公司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出售所持有的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85%</w:t>
            </w:r>
            <w:r>
              <w:rPr>
                <w:rFonts w:ascii="宋体" w:hAnsi="宋体" w:cs="宋体" w:eastAsia="宋体" w:hint="default"/>
                <w:sz w:val="18"/>
                <w:szCs w:val="18"/>
              </w:rPr>
              <w:t>股权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7"/>
              <w:jc w:val="left"/>
              <w:rPr>
                <w:rFonts w:ascii="宋体" w:hAnsi="宋体" w:cs="宋体" w:eastAsia="宋体" w:hint="default"/>
                <w:sz w:val="18"/>
                <w:szCs w:val="18"/>
              </w:rPr>
            </w:pPr>
            <w:r>
              <w:rPr>
                <w:rFonts w:ascii="宋体" w:hAnsi="宋体" w:cs="宋体" w:eastAsia="宋体" w:hint="default"/>
                <w:sz w:val="18"/>
                <w:szCs w:val="18"/>
              </w:rPr>
              <w:t>改革销售体系转让股权，本次转让子公 司股权，公司获得投资收益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10.82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辽宁荣信光伏技术有限公司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出售所持有的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w:t>
            </w:r>
            <w:r>
              <w:rPr>
                <w:rFonts w:ascii="宋体" w:hAnsi="宋体" w:cs="宋体" w:eastAsia="宋体" w:hint="default"/>
                <w:sz w:val="18"/>
                <w:szCs w:val="18"/>
              </w:rPr>
              <w:t>股权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6"/>
              <w:jc w:val="left"/>
              <w:rPr>
                <w:rFonts w:ascii="宋体" w:hAnsi="宋体" w:cs="宋体" w:eastAsia="宋体" w:hint="default"/>
                <w:sz w:val="18"/>
                <w:szCs w:val="18"/>
              </w:rPr>
            </w:pPr>
            <w:r>
              <w:rPr>
                <w:rFonts w:ascii="宋体" w:hAnsi="宋体" w:cs="宋体" w:eastAsia="宋体" w:hint="default"/>
                <w:sz w:val="18"/>
                <w:szCs w:val="18"/>
              </w:rPr>
              <w:t>业务整合转让股权，本次转让子公司股 权，公司产生投资损失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44.36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诚和伟业（北京）科技发展有限责任公 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改革销售体系转注销销售子公司。</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荣信电力有限公司（英国）</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新设立全资子公司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开拓欧洲市场。</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山东荣信汇盛机电科技有限公司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出售所持有的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股权</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7"/>
              <w:jc w:val="left"/>
              <w:rPr>
                <w:rFonts w:ascii="宋体" w:hAnsi="宋体" w:cs="宋体" w:eastAsia="宋体" w:hint="default"/>
                <w:sz w:val="18"/>
                <w:szCs w:val="18"/>
              </w:rPr>
            </w:pPr>
            <w:r>
              <w:rPr>
                <w:rFonts w:ascii="宋体" w:hAnsi="宋体" w:cs="宋体" w:eastAsia="宋体" w:hint="default"/>
                <w:sz w:val="18"/>
                <w:szCs w:val="18"/>
              </w:rPr>
              <w:t>业务整合转让股权，本次转让合营子公 司股权，公司产生投资损失</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10"/>
        <w:rPr>
          <w:rFonts w:ascii="宋体" w:hAnsi="宋体" w:cs="宋体" w:eastAsia="宋体" w:hint="default"/>
          <w:sz w:val="12"/>
          <w:szCs w:val="12"/>
        </w:rPr>
      </w:pPr>
    </w:p>
    <w:p>
      <w:pPr>
        <w:pStyle w:val="BodyText"/>
        <w:spacing w:line="408" w:lineRule="auto"/>
        <w:ind w:left="153" w:right="147" w:firstLine="357"/>
        <w:jc w:val="both"/>
      </w:pPr>
      <w:r>
        <w:rPr/>
        <w:t>受国内冶金行业整体亏损加剧影响，公司联营企业北京信力筑正新能源股份有限公司下游冶金行业客</w:t>
      </w:r>
      <w:r>
        <w:rPr>
          <w:spacing w:val="1"/>
        </w:rPr>
        <w:t> </w:t>
      </w:r>
      <w:r>
        <w:rPr>
          <w:spacing w:val="-1"/>
        </w:rPr>
        <w:t>户发生坏账风险增加，出于谨慎原则，信力筑正计提了资产减值准备导致亏损同比大幅增加，本公司按权</w:t>
      </w:r>
      <w:r>
        <w:rPr>
          <w:spacing w:val="-83"/>
        </w:rPr>
        <w:t> </w:t>
      </w:r>
      <w:r>
        <w:rPr>
          <w:spacing w:val="-83"/>
        </w:rPr>
      </w:r>
      <w:r>
        <w:rPr/>
        <w:t>益法核算，确认投资损失，报告期影响归属于上市公司股东的净利润金额为</w:t>
      </w:r>
      <w:r>
        <w:rPr>
          <w:rFonts w:ascii="Times New Roman" w:hAnsi="Times New Roman" w:cs="Times New Roman" w:eastAsia="Times New Roman" w:hint="default"/>
        </w:rPr>
        <w:t>-3,184.80</w:t>
      </w:r>
      <w:r>
        <w:rPr/>
        <w:t>万元。</w:t>
      </w:r>
    </w:p>
    <w:p>
      <w:pPr>
        <w:spacing w:after="0" w:line="408" w:lineRule="auto"/>
        <w:jc w:val="both"/>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both"/>
        <w:rPr>
          <w:b w:val="0"/>
          <w:bCs w:val="0"/>
        </w:rPr>
      </w:pPr>
      <w:r>
        <w:rPr/>
        <w:t>八、公司控制的结构化主体情况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r>
        <w:rPr/>
        <w:t>九、公司未来发展的展望</w:t>
      </w:r>
      <w:r>
        <w:rPr>
          <w:b w:val="0"/>
          <w:bCs w:val="0"/>
        </w:rPr>
      </w:r>
    </w:p>
    <w:p>
      <w:pPr>
        <w:spacing w:line="240" w:lineRule="auto" w:before="9"/>
        <w:rPr>
          <w:rFonts w:ascii="宋体" w:hAnsi="宋体" w:cs="宋体" w:eastAsia="宋体" w:hint="default"/>
          <w:b/>
          <w:bCs/>
          <w:sz w:val="24"/>
          <w:szCs w:val="24"/>
        </w:rPr>
      </w:pPr>
    </w:p>
    <w:p>
      <w:pPr>
        <w:pStyle w:val="Heading3"/>
        <w:spacing w:line="240" w:lineRule="auto" w:before="0"/>
        <w:ind w:left="636" w:right="102"/>
        <w:jc w:val="left"/>
        <w:rPr>
          <w:b w:val="0"/>
          <w:bCs w:val="0"/>
        </w:rPr>
      </w:pPr>
      <w:r>
        <w:rPr/>
        <w:t>（一）公司所处行业的发展趋势及面临的市场竞争格局</w:t>
      </w:r>
      <w:r>
        <w:rPr>
          <w:b w:val="0"/>
          <w:bCs w:val="0"/>
        </w:rPr>
      </w:r>
    </w:p>
    <w:p>
      <w:pPr>
        <w:spacing w:line="240" w:lineRule="auto" w:before="12"/>
        <w:rPr>
          <w:rFonts w:ascii="宋体" w:hAnsi="宋体" w:cs="宋体" w:eastAsia="宋体" w:hint="default"/>
          <w:b/>
          <w:bCs/>
          <w:sz w:val="17"/>
          <w:szCs w:val="17"/>
        </w:rPr>
      </w:pPr>
    </w:p>
    <w:p>
      <w:pPr>
        <w:pStyle w:val="Heading3"/>
        <w:spacing w:line="240" w:lineRule="auto" w:before="0"/>
        <w:ind w:left="756" w:right="102"/>
        <w:jc w:val="left"/>
        <w:rPr>
          <w:b w:val="0"/>
          <w:bCs w:val="0"/>
        </w:rPr>
      </w:pPr>
      <w:r>
        <w:rPr>
          <w:rFonts w:ascii="Times New Roman" w:hAnsi="Times New Roman" w:cs="Times New Roman" w:eastAsia="Times New Roman" w:hint="default"/>
        </w:rPr>
        <w:t>1</w:t>
      </w:r>
      <w:r>
        <w:rPr/>
        <w:t>、节能大功率电力电子制造业务</w:t>
      </w:r>
      <w:r>
        <w:rPr>
          <w:b w:val="0"/>
          <w:bCs w:val="0"/>
        </w:rPr>
      </w:r>
    </w:p>
    <w:p>
      <w:pPr>
        <w:spacing w:line="240" w:lineRule="auto" w:before="11"/>
        <w:rPr>
          <w:rFonts w:ascii="宋体" w:hAnsi="宋体" w:cs="宋体" w:eastAsia="宋体" w:hint="default"/>
          <w:b/>
          <w:bCs/>
          <w:sz w:val="22"/>
          <w:szCs w:val="22"/>
        </w:rPr>
      </w:pPr>
    </w:p>
    <w:p>
      <w:pPr>
        <w:pStyle w:val="BodyText"/>
        <w:spacing w:line="417" w:lineRule="auto"/>
        <w:ind w:left="634" w:right="198" w:hanging="1"/>
        <w:jc w:val="left"/>
      </w:pPr>
      <w:r>
        <w:rPr/>
        <w:t>（</w:t>
      </w:r>
      <w:r>
        <w:rPr>
          <w:rFonts w:ascii="Times New Roman" w:hAnsi="Times New Roman" w:cs="Times New Roman" w:eastAsia="Times New Roman" w:hint="default"/>
        </w:rPr>
        <w:t>1</w:t>
      </w:r>
      <w:r>
        <w:rPr/>
        <w:t>）行业发展趋势 </w:t>
      </w:r>
      <w:r>
        <w:rPr>
          <w:spacing w:val="-2"/>
        </w:rPr>
        <w:t>节能大功率电力电子设备制造业是一个新兴行业，涉及重大节能技术，为先进制造业、国家重大装备</w:t>
      </w:r>
    </w:p>
    <w:p>
      <w:pPr>
        <w:pStyle w:val="BodyText"/>
        <w:spacing w:line="444" w:lineRule="auto" w:before="39"/>
        <w:ind w:left="634" w:right="198" w:hanging="480"/>
        <w:jc w:val="left"/>
      </w:pPr>
      <w:r>
        <w:rPr/>
        <w:t>制造业及高技术产业，受国家多项政策支持。 </w:t>
      </w:r>
      <w:r>
        <w:rPr>
          <w:spacing w:val="-2"/>
        </w:rPr>
        <w:t>节能大功率电力电子设备制造业运用的技术主要为电力电子技术。近年来，电力电子技术和相关产业</w:t>
      </w:r>
    </w:p>
    <w:p>
      <w:pPr>
        <w:pStyle w:val="BodyText"/>
        <w:spacing w:line="398" w:lineRule="auto" w:before="14"/>
        <w:ind w:right="208"/>
        <w:jc w:val="both"/>
      </w:pPr>
      <w:r>
        <w:rPr>
          <w:spacing w:val="-1"/>
        </w:rPr>
        <w:t>在国内外飞速发展，已经渗透到电能的产生、输送、分配和应用的各个环节，广泛应用到工业系统、电力</w:t>
      </w:r>
      <w:r>
        <w:rPr>
          <w:spacing w:val="-83"/>
        </w:rPr>
        <w:t> </w:t>
      </w:r>
      <w:r>
        <w:rPr>
          <w:spacing w:val="-83"/>
        </w:rPr>
      </w:r>
      <w:r>
        <w:rPr>
          <w:spacing w:val="-1"/>
        </w:rPr>
        <w:t>系统、交通系统、通信系统、计算机系统、新能源系统和日常生活中，是使用电能的其他所有产业的基础</w:t>
      </w:r>
      <w:r>
        <w:rPr>
          <w:spacing w:val="-83"/>
        </w:rPr>
        <w:t> </w:t>
      </w:r>
      <w:r>
        <w:rPr>
          <w:spacing w:val="-83"/>
        </w:rPr>
      </w:r>
      <w:r>
        <w:rPr>
          <w:spacing w:val="-2"/>
        </w:rPr>
        <w:t>技术，主要包括以</w:t>
      </w:r>
      <w:r>
        <w:rPr>
          <w:rFonts w:ascii="Times New Roman" w:hAnsi="Times New Roman" w:cs="Times New Roman" w:eastAsia="Times New Roman" w:hint="default"/>
          <w:spacing w:val="-2"/>
        </w:rPr>
        <w:t>SVC</w:t>
      </w:r>
      <w:r>
        <w:rPr>
          <w:spacing w:val="-2"/>
        </w:rPr>
        <w:t>、</w:t>
      </w:r>
      <w:r>
        <w:rPr>
          <w:rFonts w:ascii="Times New Roman" w:hAnsi="Times New Roman" w:cs="Times New Roman" w:eastAsia="Times New Roman" w:hint="default"/>
          <w:spacing w:val="-2"/>
        </w:rPr>
        <w:t>SVG</w:t>
      </w:r>
      <w:r>
        <w:rPr>
          <w:spacing w:val="-2"/>
        </w:rPr>
        <w:t>为代表的柔性交流输电系列技术（</w:t>
      </w:r>
      <w:r>
        <w:rPr>
          <w:rFonts w:ascii="Times New Roman" w:hAnsi="Times New Roman" w:cs="Times New Roman" w:eastAsia="Times New Roman" w:hint="default"/>
          <w:spacing w:val="-2"/>
        </w:rPr>
        <w:t>FACTS</w:t>
      </w:r>
      <w:r>
        <w:rPr>
          <w:spacing w:val="-2"/>
        </w:rPr>
        <w:t>），以</w:t>
      </w:r>
      <w:r>
        <w:rPr>
          <w:rFonts w:ascii="Times New Roman" w:hAnsi="Times New Roman" w:cs="Times New Roman" w:eastAsia="Times New Roman" w:hint="default"/>
          <w:spacing w:val="-2"/>
        </w:rPr>
        <w:t>HVC</w:t>
      </w:r>
      <w:r>
        <w:rPr>
          <w:spacing w:val="-2"/>
        </w:rPr>
        <w:t>为代表的电气传动系列</w:t>
      </w:r>
      <w:r>
        <w:rPr>
          <w:spacing w:val="-71"/>
        </w:rPr>
        <w:t> </w:t>
      </w:r>
      <w:r>
        <w:rPr/>
        <w:t>技术，以大功率</w:t>
      </w:r>
      <w:r>
        <w:rPr>
          <w:rFonts w:ascii="Times New Roman" w:hAnsi="Times New Roman" w:cs="Times New Roman" w:eastAsia="Times New Roman" w:hint="default"/>
        </w:rPr>
        <w:t>UPS</w:t>
      </w:r>
      <w:r>
        <w:rPr/>
        <w:t>为代表的大功率电源系列技术和以高压直流输电（</w:t>
      </w:r>
      <w:r>
        <w:rPr>
          <w:rFonts w:ascii="Times New Roman" w:hAnsi="Times New Roman" w:cs="Times New Roman" w:eastAsia="Times New Roman" w:hint="default"/>
        </w:rPr>
        <w:t>HVDC</w:t>
      </w:r>
      <w:r>
        <w:rPr/>
        <w:t>）为代表的新型超高压输电</w:t>
      </w:r>
      <w:r>
        <w:rPr>
          <w:spacing w:val="-69"/>
        </w:rPr>
        <w:t> </w:t>
      </w:r>
      <w:r>
        <w:rPr>
          <w:spacing w:val="-69"/>
        </w:rPr>
      </w:r>
      <w:r>
        <w:rPr/>
        <w:t>系列技术等，面临着巨大的市场需求。</w:t>
      </w:r>
    </w:p>
    <w:p>
      <w:pPr>
        <w:pStyle w:val="BodyText"/>
        <w:spacing w:line="386" w:lineRule="auto" w:before="93"/>
        <w:ind w:right="102" w:firstLine="480"/>
        <w:jc w:val="left"/>
      </w:pPr>
      <w:r>
        <w:rPr/>
        <w:t>国际上本行业的技术领先者主要以瑞士</w:t>
      </w:r>
      <w:r>
        <w:rPr>
          <w:rFonts w:ascii="Times New Roman" w:hAnsi="Times New Roman" w:cs="Times New Roman" w:eastAsia="Times New Roman" w:hint="default"/>
        </w:rPr>
        <w:t>ABB</w:t>
      </w:r>
      <w:r>
        <w:rPr/>
        <w:t>、德国</w:t>
      </w:r>
      <w:r>
        <w:rPr>
          <w:rFonts w:ascii="Times New Roman" w:hAnsi="Times New Roman" w:cs="Times New Roman" w:eastAsia="Times New Roman" w:hint="default"/>
        </w:rPr>
        <w:t>SIEMENS</w:t>
      </w:r>
      <w:r>
        <w:rPr/>
        <w:t>、法国</w:t>
      </w:r>
      <w:r>
        <w:rPr>
          <w:rFonts w:ascii="Times New Roman" w:hAnsi="Times New Roman" w:cs="Times New Roman" w:eastAsia="Times New Roman" w:hint="default"/>
        </w:rPr>
        <w:t>AREVA</w:t>
      </w:r>
      <w:r>
        <w:rPr/>
        <w:t>、日本</w:t>
      </w:r>
      <w:r>
        <w:rPr>
          <w:rFonts w:ascii="Times New Roman" w:hAnsi="Times New Roman" w:cs="Times New Roman" w:eastAsia="Times New Roman" w:hint="default"/>
        </w:rPr>
        <w:t>TOSHIBA</w:t>
      </w:r>
      <w:r>
        <w:rPr/>
        <w:t>等大企</w:t>
      </w:r>
      <w:r>
        <w:rPr>
          <w:spacing w:val="3"/>
        </w:rPr>
        <w:t> </w:t>
      </w:r>
      <w:r>
        <w:rPr/>
        <w:t>业为主。</w:t>
      </w:r>
    </w:p>
    <w:p>
      <w:pPr>
        <w:pStyle w:val="BodyText"/>
        <w:spacing w:line="398" w:lineRule="auto" w:before="103"/>
        <w:ind w:right="101" w:firstLine="480"/>
        <w:jc w:val="left"/>
      </w:pPr>
      <w:r>
        <w:rPr>
          <w:spacing w:val="-2"/>
        </w:rPr>
        <w:t>国内企业均是</w:t>
      </w:r>
      <w:r>
        <w:rPr>
          <w:rFonts w:ascii="Times New Roman" w:hAnsi="Times New Roman" w:cs="Times New Roman" w:eastAsia="Times New Roman" w:hint="default"/>
          <w:spacing w:val="-2"/>
        </w:rPr>
        <w:t>20</w:t>
      </w:r>
      <w:r>
        <w:rPr>
          <w:spacing w:val="-2"/>
        </w:rPr>
        <w:t>世纪</w:t>
      </w:r>
      <w:r>
        <w:rPr>
          <w:rFonts w:ascii="Times New Roman" w:hAnsi="Times New Roman" w:cs="Times New Roman" w:eastAsia="Times New Roman" w:hint="default"/>
          <w:spacing w:val="-2"/>
        </w:rPr>
        <w:t>90</w:t>
      </w:r>
      <w:r>
        <w:rPr>
          <w:spacing w:val="-2"/>
        </w:rPr>
        <w:t>年代开始，在学习消化吸收国外先进技术的基础上成长起来的，基本上都属于</w:t>
      </w:r>
      <w:r>
        <w:rPr/>
        <w:t> </w:t>
      </w:r>
      <w:r>
        <w:rPr>
          <w:spacing w:val="-3"/>
        </w:rPr>
        <w:t>中小企业。但依靠自主创新能力、本土化制造的优势以及国家政策的引导与支持，这些企业正在迅速成长，</w:t>
      </w:r>
      <w:r>
        <w:rPr>
          <w:spacing w:val="-90"/>
        </w:rPr>
        <w:t> </w:t>
      </w:r>
      <w:r>
        <w:rPr>
          <w:spacing w:val="-90"/>
        </w:rPr>
      </w:r>
      <w:r>
        <w:rPr/>
        <w:t>并已在</w:t>
      </w:r>
      <w:r>
        <w:rPr>
          <w:rFonts w:ascii="Times New Roman" w:hAnsi="Times New Roman" w:cs="Times New Roman" w:eastAsia="Times New Roman" w:hint="default"/>
        </w:rPr>
        <w:t>SVC</w:t>
      </w:r>
      <w:r>
        <w:rPr/>
        <w:t>、</w:t>
      </w:r>
      <w:r>
        <w:rPr>
          <w:rFonts w:ascii="Times New Roman" w:hAnsi="Times New Roman" w:cs="Times New Roman" w:eastAsia="Times New Roman" w:hint="default"/>
        </w:rPr>
        <w:t>SVG</w:t>
      </w:r>
      <w:r>
        <w:rPr/>
        <w:t>、</w:t>
      </w:r>
      <w:r>
        <w:rPr>
          <w:rFonts w:ascii="Times New Roman" w:hAnsi="Times New Roman" w:cs="Times New Roman" w:eastAsia="Times New Roman" w:hint="default"/>
        </w:rPr>
        <w:t>HVC</w:t>
      </w:r>
      <w:r>
        <w:rPr/>
        <w:t>、</w:t>
      </w:r>
      <w:r>
        <w:rPr>
          <w:rFonts w:ascii="Times New Roman" w:hAnsi="Times New Roman" w:cs="Times New Roman" w:eastAsia="Times New Roman" w:hint="default"/>
        </w:rPr>
        <w:t>HVDC</w:t>
      </w:r>
      <w:r>
        <w:rPr/>
        <w:t>等诸多领域完成了替代进口的任务。</w:t>
      </w:r>
    </w:p>
    <w:p>
      <w:pPr>
        <w:pStyle w:val="BodyText"/>
        <w:spacing w:line="484" w:lineRule="auto" w:before="24"/>
        <w:ind w:left="574" w:right="102" w:hanging="1"/>
        <w:jc w:val="left"/>
      </w:pPr>
      <w:r>
        <w:rPr/>
        <w:t>（</w:t>
      </w:r>
      <w:r>
        <w:rPr>
          <w:rFonts w:ascii="Times New Roman" w:hAnsi="Times New Roman" w:cs="Times New Roman" w:eastAsia="Times New Roman" w:hint="default"/>
        </w:rPr>
        <w:t>2</w:t>
      </w:r>
      <w:r>
        <w:rPr/>
        <w:t>）面临的市场竞争格局 </w:t>
      </w:r>
      <w:r>
        <w:rPr>
          <w:spacing w:val="-1"/>
        </w:rPr>
        <w:t>节能大功率电力电子设备制造业在节能减排的宏观背景下，受国家政策支持和高层的重视，成为国内</w:t>
      </w:r>
    </w:p>
    <w:p>
      <w:pPr>
        <w:pStyle w:val="BodyText"/>
        <w:spacing w:line="254" w:lineRule="exact"/>
        <w:ind w:right="0"/>
        <w:jc w:val="both"/>
      </w:pPr>
      <w:r>
        <w:rPr>
          <w:spacing w:val="3"/>
        </w:rPr>
        <w:t>外公司重点研发和投资的领域，导致包括许多上市公司在内的企业加入到电力电子高端设备生产制造中</w:t>
      </w:r>
      <w:r>
        <w:rPr/>
      </w:r>
    </w:p>
    <w:p>
      <w:pPr>
        <w:spacing w:line="240" w:lineRule="auto" w:before="10"/>
        <w:rPr>
          <w:rFonts w:ascii="宋体" w:hAnsi="宋体" w:cs="宋体" w:eastAsia="宋体" w:hint="default"/>
          <w:sz w:val="14"/>
          <w:szCs w:val="14"/>
        </w:rPr>
      </w:pPr>
    </w:p>
    <w:p>
      <w:pPr>
        <w:pStyle w:val="BodyText"/>
        <w:spacing w:line="240" w:lineRule="auto"/>
        <w:ind w:right="0"/>
        <w:jc w:val="both"/>
      </w:pPr>
      <w:r>
        <w:rPr/>
        <w:t>来，市场竞争逐渐加剧。</w:t>
      </w:r>
    </w:p>
    <w:p>
      <w:pPr>
        <w:spacing w:line="240" w:lineRule="auto" w:before="12"/>
        <w:rPr>
          <w:rFonts w:ascii="宋体" w:hAnsi="宋体" w:cs="宋体" w:eastAsia="宋体" w:hint="default"/>
          <w:sz w:val="23"/>
          <w:szCs w:val="23"/>
        </w:rPr>
      </w:pPr>
    </w:p>
    <w:p>
      <w:pPr>
        <w:pStyle w:val="Heading3"/>
        <w:spacing w:line="240" w:lineRule="auto" w:before="0"/>
        <w:ind w:left="859" w:right="102"/>
        <w:jc w:val="left"/>
        <w:rPr>
          <w:b w:val="0"/>
          <w:bCs w:val="0"/>
        </w:rPr>
      </w:pPr>
      <w:r>
        <w:rPr>
          <w:rFonts w:ascii="Times New Roman" w:hAnsi="Times New Roman" w:cs="Times New Roman" w:eastAsia="Times New Roman" w:hint="default"/>
        </w:rPr>
        <w:t>2</w:t>
      </w:r>
      <w:r>
        <w:rPr/>
        <w:t>、移动互联网运营支撑服务业务</w:t>
      </w:r>
      <w:r>
        <w:rPr>
          <w:b w:val="0"/>
          <w:bCs w:val="0"/>
        </w:rPr>
      </w:r>
    </w:p>
    <w:p>
      <w:pPr>
        <w:spacing w:line="240" w:lineRule="auto" w:before="9"/>
        <w:rPr>
          <w:rFonts w:ascii="宋体" w:hAnsi="宋体" w:cs="宋体" w:eastAsia="宋体" w:hint="default"/>
          <w:b/>
          <w:bCs/>
          <w:sz w:val="22"/>
          <w:szCs w:val="22"/>
        </w:rPr>
      </w:pPr>
    </w:p>
    <w:p>
      <w:pPr>
        <w:pStyle w:val="BodyText"/>
        <w:spacing w:line="484" w:lineRule="auto"/>
        <w:ind w:left="634" w:right="198" w:hanging="1"/>
        <w:jc w:val="left"/>
      </w:pPr>
      <w:r>
        <w:rPr/>
        <w:t>（</w:t>
      </w:r>
      <w:r>
        <w:rPr>
          <w:rFonts w:ascii="Times New Roman" w:hAnsi="Times New Roman" w:cs="Times New Roman" w:eastAsia="Times New Roman" w:hint="default"/>
        </w:rPr>
        <w:t>1</w:t>
      </w:r>
      <w:r>
        <w:rPr/>
        <w:t>）行业概况 </w:t>
      </w:r>
      <w:r>
        <w:rPr>
          <w:spacing w:val="-2"/>
        </w:rPr>
        <w:t>移动信息服务是通信技术与信息技术相结合所提供的服务，是将通信技术应用于信息化领域进而实现</w:t>
      </w:r>
    </w:p>
    <w:p>
      <w:pPr>
        <w:pStyle w:val="BodyText"/>
        <w:spacing w:line="254" w:lineRule="exact"/>
        <w:ind w:right="0"/>
        <w:jc w:val="both"/>
      </w:pPr>
      <w:r>
        <w:rPr/>
        <w:t>的基于无线网络的服务。近十年来，随着通信技术的快速发展、移动通信网络不断进步以及终端智能化水</w:t>
      </w:r>
    </w:p>
    <w:p>
      <w:pPr>
        <w:spacing w:after="0" w:line="254" w:lineRule="exact"/>
        <w:jc w:val="both"/>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408" w:lineRule="auto" w:before="174"/>
        <w:ind w:right="211"/>
        <w:jc w:val="both"/>
      </w:pPr>
      <w:r>
        <w:rPr>
          <w:spacing w:val="-1"/>
        </w:rPr>
        <w:t>平的迅速提高，移动信息服务加快了通信技术和信息技术向人类社会各领域的渗透，产生出多种新型的商</w:t>
      </w:r>
      <w:r>
        <w:rPr>
          <w:spacing w:val="-81"/>
        </w:rPr>
        <w:t> </w:t>
      </w:r>
      <w:r>
        <w:rPr>
          <w:spacing w:val="-81"/>
        </w:rPr>
      </w:r>
      <w:r>
        <w:rPr/>
        <w:t>业模式与服务形式。</w:t>
      </w:r>
    </w:p>
    <w:p>
      <w:pPr>
        <w:pStyle w:val="BodyText"/>
        <w:spacing w:line="408" w:lineRule="auto" w:before="166"/>
        <w:ind w:left="153" w:right="188" w:firstLine="480"/>
        <w:jc w:val="both"/>
      </w:pPr>
      <w:r>
        <w:rPr>
          <w:spacing w:val="-2"/>
        </w:rPr>
        <w:t>企业移动信息化服务是移动信息服务的主要应用之一，是指通过电信运营商和移动信息化服务提供商</w:t>
      </w:r>
      <w:r>
        <w:rPr/>
        <w:t> </w:t>
      </w:r>
      <w:r>
        <w:rPr>
          <w:spacing w:val="-1"/>
        </w:rPr>
        <w:t>的紧密合作，基于移动网络为各个行业的企业客户提供移动信息服务，将移动通信网络与行业集团客户的</w:t>
      </w:r>
      <w:r>
        <w:rPr>
          <w:spacing w:val="-81"/>
        </w:rPr>
        <w:t> </w:t>
      </w:r>
      <w:r>
        <w:rPr>
          <w:spacing w:val="-81"/>
        </w:rPr>
      </w:r>
      <w:r>
        <w:rPr>
          <w:spacing w:val="-1"/>
        </w:rPr>
        <w:t>信息系统相结合，进而提升行业集团客户的移动信息应用水平，协助行业集团客户通过移动信息技术的应</w:t>
      </w:r>
      <w:r>
        <w:rPr>
          <w:spacing w:val="-81"/>
        </w:rPr>
        <w:t> </w:t>
      </w:r>
      <w:r>
        <w:rPr>
          <w:spacing w:val="-81"/>
        </w:rPr>
      </w:r>
      <w:r>
        <w:rPr>
          <w:spacing w:val="-1"/>
        </w:rPr>
        <w:t>用实现移动办公、业务管理、客户关系管理以及面向终端客户的营销资讯和提醒服务。相比其他信息传播</w:t>
      </w:r>
      <w:r>
        <w:rPr>
          <w:spacing w:val="-83"/>
        </w:rPr>
        <w:t> </w:t>
      </w:r>
      <w:r>
        <w:rPr>
          <w:spacing w:val="-83"/>
        </w:rPr>
      </w:r>
      <w:r>
        <w:rPr/>
        <w:t>方式，基于移动通信网络的短信、彩信、语音等移动信息传输方式具有传播快捷、到达精准、操作方便、 成本低廉等优点，因此被各类企事业单位广泛应用于日常经营管理。</w:t>
      </w:r>
    </w:p>
    <w:p>
      <w:pPr>
        <w:pStyle w:val="BodyText"/>
        <w:spacing w:line="408" w:lineRule="auto" w:before="166"/>
        <w:ind w:left="153" w:right="102" w:firstLine="480"/>
        <w:jc w:val="left"/>
      </w:pPr>
      <w:r>
        <w:rPr>
          <w:spacing w:val="-2"/>
        </w:rPr>
        <w:t>梦网科技作为一家专注于向企业客户提供移动信息即时通讯服务的公司，通过利用电信运营商基础通</w:t>
      </w:r>
      <w:r>
        <w:rPr/>
        <w:t> </w:t>
      </w:r>
      <w:r>
        <w:rPr>
          <w:spacing w:val="-3"/>
        </w:rPr>
        <w:t>信网络，实现企业客户工作人员手持终端与自身信息系统的无缝对接，提高企业客户移动信息化应用水平、</w:t>
      </w:r>
      <w:r>
        <w:rPr>
          <w:spacing w:val="-92"/>
        </w:rPr>
        <w:t> </w:t>
      </w:r>
      <w:r>
        <w:rPr>
          <w:spacing w:val="-92"/>
        </w:rPr>
      </w:r>
      <w:r>
        <w:rPr/>
        <w:t>改善移动信息传播速度和服务效率，最终提升终端消费者用户体验，从而有利于企业客户在日益激烈的市</w:t>
      </w:r>
      <w:r>
        <w:rPr/>
        <w:t> 场竞争中抢占优势地位。</w:t>
      </w:r>
    </w:p>
    <w:p>
      <w:pPr>
        <w:pStyle w:val="BodyText"/>
        <w:spacing w:line="240" w:lineRule="auto" w:before="166"/>
        <w:ind w:left="633" w:right="102"/>
        <w:jc w:val="left"/>
      </w:pPr>
      <w:r>
        <w:rPr/>
        <w:t>（</w:t>
      </w:r>
      <w:r>
        <w:rPr>
          <w:rFonts w:ascii="Times New Roman" w:hAnsi="Times New Roman" w:cs="Times New Roman" w:eastAsia="Times New Roman" w:hint="default"/>
        </w:rPr>
        <w:t>2</w:t>
      </w:r>
      <w:r>
        <w:rPr/>
        <w:t>）市场分析及竞争格局</w:t>
      </w:r>
    </w:p>
    <w:p>
      <w:pPr>
        <w:spacing w:line="240" w:lineRule="auto" w:before="9"/>
        <w:rPr>
          <w:rFonts w:ascii="宋体" w:hAnsi="宋体" w:cs="宋体" w:eastAsia="宋体" w:hint="default"/>
          <w:sz w:val="22"/>
          <w:szCs w:val="22"/>
        </w:rPr>
      </w:pPr>
    </w:p>
    <w:p>
      <w:pPr>
        <w:pStyle w:val="BodyText"/>
        <w:spacing w:line="240" w:lineRule="auto"/>
        <w:ind w:left="636" w:right="0"/>
        <w:jc w:val="left"/>
      </w:pPr>
      <w:r>
        <w:rPr>
          <w:spacing w:val="-2"/>
        </w:rPr>
        <w:t>移动信息服务业务处于快速发展阶段，面临巨大市场需求，主要体现在以下六个方面：</w:t>
      </w:r>
      <w:r>
        <w:rPr>
          <w:rFonts w:ascii="Times New Roman" w:hAnsi="Times New Roman" w:cs="Times New Roman" w:eastAsia="Times New Roman" w:hint="default"/>
          <w:spacing w:val="-2"/>
        </w:rPr>
        <w:t>1</w:t>
      </w:r>
      <w:r>
        <w:rPr>
          <w:spacing w:val="-2"/>
        </w:rPr>
        <w:t>、移动用户、</w:t>
      </w:r>
    </w:p>
    <w:p>
      <w:pPr>
        <w:pStyle w:val="BodyText"/>
        <w:spacing w:line="240" w:lineRule="auto" w:before="177"/>
        <w:ind w:left="153" w:right="0"/>
        <w:jc w:val="both"/>
      </w:pPr>
      <w:r>
        <w:rPr>
          <w:rFonts w:ascii="Times New Roman" w:hAnsi="Times New Roman" w:cs="Times New Roman" w:eastAsia="Times New Roman" w:hint="default"/>
          <w:spacing w:val="-4"/>
        </w:rPr>
        <w:t>3G/4G</w:t>
      </w:r>
      <w:r>
        <w:rPr>
          <w:spacing w:val="-4"/>
        </w:rPr>
        <w:t>用户的发展，为移动信息服务奠定良好基础；</w:t>
      </w:r>
      <w:r>
        <w:rPr>
          <w:rFonts w:ascii="Times New Roman" w:hAnsi="Times New Roman" w:cs="Times New Roman" w:eastAsia="Times New Roman" w:hint="default"/>
          <w:spacing w:val="-4"/>
        </w:rPr>
        <w:t>2</w:t>
      </w:r>
      <w:r>
        <w:rPr>
          <w:spacing w:val="-4"/>
        </w:rPr>
        <w:t>、短彩信业务仍是移动信息服务领域重要的市场组成；</w:t>
      </w:r>
    </w:p>
    <w:p>
      <w:pPr>
        <w:pStyle w:val="BodyText"/>
        <w:spacing w:line="386" w:lineRule="auto" w:before="177"/>
        <w:ind w:right="211" w:hanging="1"/>
        <w:jc w:val="both"/>
      </w:pPr>
      <w:r>
        <w:rPr>
          <w:rFonts w:ascii="Times New Roman" w:hAnsi="Times New Roman" w:cs="Times New Roman" w:eastAsia="Times New Roman" w:hint="default"/>
          <w:spacing w:val="-1"/>
        </w:rPr>
        <w:t>3</w:t>
      </w:r>
      <w:r>
        <w:rPr>
          <w:spacing w:val="-1"/>
        </w:rPr>
        <w:t>、</w:t>
      </w:r>
      <w:r>
        <w:rPr>
          <w:rFonts w:ascii="Times New Roman" w:hAnsi="Times New Roman" w:cs="Times New Roman" w:eastAsia="Times New Roman" w:hint="default"/>
          <w:spacing w:val="-1"/>
        </w:rPr>
        <w:t>OTT</w:t>
      </w:r>
      <w:r>
        <w:rPr>
          <w:spacing w:val="-1"/>
        </w:rPr>
        <w:t>业务冲击个人短信业务，对企业短信业务影响有限；</w:t>
      </w:r>
      <w:r>
        <w:rPr>
          <w:rFonts w:ascii="Times New Roman" w:hAnsi="Times New Roman" w:cs="Times New Roman" w:eastAsia="Times New Roman" w:hint="default"/>
          <w:spacing w:val="-1"/>
        </w:rPr>
        <w:t>4</w:t>
      </w:r>
      <w:r>
        <w:rPr>
          <w:spacing w:val="-1"/>
        </w:rPr>
        <w:t>、未来新经济形态的发展，将进一步催生企</w:t>
      </w:r>
      <w:r>
        <w:rPr>
          <w:spacing w:val="-74"/>
        </w:rPr>
        <w:t> </w:t>
      </w:r>
      <w:r>
        <w:rPr>
          <w:spacing w:val="-74"/>
        </w:rPr>
      </w:r>
      <w:r>
        <w:rPr>
          <w:spacing w:val="-1"/>
        </w:rPr>
        <w:t>业移动信息服务的需求；</w:t>
      </w:r>
      <w:r>
        <w:rPr>
          <w:rFonts w:ascii="Times New Roman" w:hAnsi="Times New Roman" w:cs="Times New Roman" w:eastAsia="Times New Roman" w:hint="default"/>
          <w:spacing w:val="-1"/>
        </w:rPr>
        <w:t>5</w:t>
      </w:r>
      <w:r>
        <w:rPr>
          <w:spacing w:val="-1"/>
        </w:rPr>
        <w:t>、触发类短信传输将是企业移动信息服务的必需构成；</w:t>
      </w:r>
      <w:r>
        <w:rPr>
          <w:rFonts w:ascii="Times New Roman" w:hAnsi="Times New Roman" w:cs="Times New Roman" w:eastAsia="Times New Roman" w:hint="default"/>
          <w:spacing w:val="-1"/>
        </w:rPr>
        <w:t>6</w:t>
      </w:r>
      <w:r>
        <w:rPr>
          <w:spacing w:val="-1"/>
        </w:rPr>
        <w:t>、基于企业后向付费的</w:t>
      </w:r>
      <w:r>
        <w:rPr>
          <w:spacing w:val="-83"/>
        </w:rPr>
        <w:t> </w:t>
      </w:r>
      <w:r>
        <w:rPr>
          <w:spacing w:val="-83"/>
        </w:rPr>
      </w:r>
      <w:r>
        <w:rPr/>
        <w:t>移动智能流量业务将是未来企业移动信息服务市场的重要增长点。</w:t>
      </w:r>
    </w:p>
    <w:p>
      <w:pPr>
        <w:spacing w:line="240" w:lineRule="auto" w:before="2"/>
        <w:rPr>
          <w:rFonts w:ascii="宋体" w:hAnsi="宋体" w:cs="宋体" w:eastAsia="宋体" w:hint="default"/>
          <w:sz w:val="14"/>
          <w:szCs w:val="14"/>
        </w:rPr>
      </w:pPr>
    </w:p>
    <w:p>
      <w:pPr>
        <w:pStyle w:val="BodyText"/>
        <w:spacing w:line="400" w:lineRule="auto"/>
        <w:ind w:right="206" w:firstLine="480"/>
        <w:jc w:val="both"/>
      </w:pPr>
      <w:r>
        <w:rPr>
          <w:spacing w:val="-2"/>
        </w:rPr>
        <w:t>整个企业移动信息即时通讯服务市场规模较大、但较为分散，绝大多数移动信息即时通讯服务提供商</w:t>
      </w:r>
      <w:r>
        <w:rPr/>
        <w:t> </w:t>
      </w:r>
      <w:r>
        <w:rPr>
          <w:spacing w:val="-3"/>
        </w:rPr>
        <w:t>的年业务量规模不超过</w:t>
      </w:r>
      <w:r>
        <w:rPr>
          <w:rFonts w:ascii="Times New Roman" w:hAnsi="Times New Roman" w:cs="Times New Roman" w:eastAsia="Times New Roman" w:hint="default"/>
          <w:spacing w:val="-3"/>
        </w:rPr>
        <w:t>50</w:t>
      </w:r>
      <w:r>
        <w:rPr>
          <w:spacing w:val="-3"/>
        </w:rPr>
        <w:t>亿条、单体业务量规模市场份额低于</w:t>
      </w:r>
      <w:r>
        <w:rPr>
          <w:rFonts w:ascii="Times New Roman" w:hAnsi="Times New Roman" w:cs="Times New Roman" w:eastAsia="Times New Roman" w:hint="default"/>
          <w:spacing w:val="-3"/>
        </w:rPr>
        <w:t>1%</w:t>
      </w:r>
      <w:r>
        <w:rPr>
          <w:spacing w:val="-3"/>
        </w:rPr>
        <w:t>，即市场参与者众多且实力有限，多属于</w:t>
      </w:r>
      <w:r>
        <w:rPr>
          <w:spacing w:val="-58"/>
        </w:rPr>
        <w:t> </w:t>
      </w:r>
      <w:r>
        <w:rPr>
          <w:spacing w:val="-58"/>
        </w:rPr>
      </w:r>
      <w:r>
        <w:rPr/>
        <w:t>小规模散点式发展，真正处于市场领先地位、年业务量超过</w:t>
      </w:r>
      <w:r>
        <w:rPr>
          <w:rFonts w:ascii="Times New Roman" w:hAnsi="Times New Roman" w:cs="Times New Roman" w:eastAsia="Times New Roman" w:hint="default"/>
        </w:rPr>
        <w:t>100</w:t>
      </w:r>
      <w:r>
        <w:rPr/>
        <w:t>亿条、有细分行业客户优势的服务商仍是</w:t>
      </w:r>
      <w:r>
        <w:rPr>
          <w:spacing w:val="-35"/>
        </w:rPr>
        <w:t> </w:t>
      </w:r>
      <w:r>
        <w:rPr>
          <w:spacing w:val="-35"/>
        </w:rPr>
      </w:r>
      <w:r>
        <w:rPr>
          <w:spacing w:val="-1"/>
        </w:rPr>
        <w:t>少数。这源于虽然移动信息即时通讯服务行业的进入门槛较低，但因其服务对象企业客户的行业属性和业</w:t>
      </w:r>
      <w:r>
        <w:rPr>
          <w:spacing w:val="-81"/>
        </w:rPr>
        <w:t> </w:t>
      </w:r>
      <w:r>
        <w:rPr>
          <w:spacing w:val="-81"/>
        </w:rPr>
      </w:r>
      <w:r>
        <w:rPr>
          <w:spacing w:val="-1"/>
        </w:rPr>
        <w:t>务种类存在较大的差异，而且客户业务量规模提升后对服务商的服务质量、响应能力、系统稳定性和安全</w:t>
      </w:r>
      <w:r>
        <w:rPr>
          <w:spacing w:val="-83"/>
        </w:rPr>
        <w:t> </w:t>
      </w:r>
      <w:r>
        <w:rPr>
          <w:spacing w:val="-83"/>
        </w:rPr>
      </w:r>
      <w:r>
        <w:rPr/>
        <w:t>性等要求较高，服务商在细分领域形成客户优势、业务量规模提升的门槛较高。</w:t>
      </w:r>
    </w:p>
    <w:p>
      <w:pPr>
        <w:pStyle w:val="BodyText"/>
        <w:spacing w:line="408" w:lineRule="auto" w:before="172"/>
        <w:ind w:right="209" w:firstLine="480"/>
        <w:jc w:val="both"/>
      </w:pPr>
      <w:r>
        <w:rPr>
          <w:spacing w:val="-2"/>
        </w:rPr>
        <w:t>移动信息即时通讯服务行业的市场化程度较高。市场虽有电信运营商持股的服务商参与，但以民营的</w:t>
      </w:r>
      <w:r>
        <w:rPr/>
        <w:t> </w:t>
      </w:r>
      <w:r>
        <w:rPr>
          <w:spacing w:val="-1"/>
        </w:rPr>
        <w:t>第三方服务商为主。尤其对服务自身企业客户经营模式的服务商来说，优异的市场化运营能力才是必备的</w:t>
      </w:r>
      <w:r>
        <w:rPr>
          <w:spacing w:val="-81"/>
        </w:rPr>
        <w:t> </w:t>
      </w:r>
      <w:r>
        <w:rPr>
          <w:spacing w:val="-81"/>
        </w:rPr>
      </w:r>
      <w:r>
        <w:rPr/>
        <w:t>可持续竞争优势。</w:t>
      </w:r>
    </w:p>
    <w:p>
      <w:pPr>
        <w:pStyle w:val="Heading3"/>
        <w:spacing w:line="240" w:lineRule="auto" w:before="166"/>
        <w:ind w:left="445" w:right="102"/>
        <w:jc w:val="left"/>
        <w:rPr>
          <w:b w:val="0"/>
          <w:bCs w:val="0"/>
        </w:rPr>
      </w:pPr>
      <w:r>
        <w:rPr/>
        <w:t>（二）机遇与挑战及公司的发展战略</w:t>
      </w:r>
      <w:r>
        <w:rPr>
          <w:b w:val="0"/>
          <w:bCs w:val="0"/>
        </w:rPr>
      </w:r>
    </w:p>
    <w:p>
      <w:pPr>
        <w:spacing w:after="0" w:line="240" w:lineRule="auto"/>
        <w:jc w:val="left"/>
        <w:sectPr>
          <w:pgSz w:w="11910" w:h="16840"/>
          <w:pgMar w:header="747" w:footer="982" w:top="1060" w:bottom="1180" w:left="980" w:right="920"/>
        </w:sectPr>
      </w:pPr>
    </w:p>
    <w:p>
      <w:pPr>
        <w:spacing w:line="240" w:lineRule="auto" w:before="0"/>
        <w:rPr>
          <w:rFonts w:ascii="宋体" w:hAnsi="宋体" w:cs="宋体" w:eastAsia="宋体" w:hint="default"/>
          <w:b/>
          <w:bCs/>
          <w:sz w:val="20"/>
          <w:szCs w:val="20"/>
        </w:rPr>
      </w:pPr>
    </w:p>
    <w:p>
      <w:pPr>
        <w:pStyle w:val="Heading3"/>
        <w:spacing w:line="240" w:lineRule="auto" w:before="174"/>
        <w:ind w:left="535" w:right="102"/>
        <w:jc w:val="left"/>
        <w:rPr>
          <w:b w:val="0"/>
          <w:bCs w:val="0"/>
        </w:rPr>
      </w:pPr>
      <w:r>
        <w:rPr>
          <w:rFonts w:ascii="Times New Roman" w:hAnsi="Times New Roman" w:cs="Times New Roman" w:eastAsia="Times New Roman" w:hint="default"/>
        </w:rPr>
        <w:t>1</w:t>
      </w:r>
      <w:r>
        <w:rPr/>
        <w:t>、总体目标</w:t>
      </w:r>
      <w:r>
        <w:rPr>
          <w:b w:val="0"/>
          <w:bCs w:val="0"/>
        </w:rPr>
      </w:r>
    </w:p>
    <w:p>
      <w:pPr>
        <w:spacing w:line="240" w:lineRule="auto" w:before="9"/>
        <w:rPr>
          <w:rFonts w:ascii="宋体" w:hAnsi="宋体" w:cs="宋体" w:eastAsia="宋体" w:hint="default"/>
          <w:b/>
          <w:bCs/>
          <w:sz w:val="22"/>
          <w:szCs w:val="22"/>
        </w:rPr>
      </w:pPr>
    </w:p>
    <w:p>
      <w:pPr>
        <w:pStyle w:val="BodyText"/>
        <w:spacing w:line="386" w:lineRule="auto"/>
        <w:ind w:left="153" w:right="111" w:firstLine="480"/>
        <w:jc w:val="left"/>
      </w:pPr>
      <w:r>
        <w:rPr>
          <w:rFonts w:ascii="Times New Roman" w:hAnsi="Times New Roman" w:cs="Times New Roman" w:eastAsia="Times New Roman" w:hint="default"/>
        </w:rPr>
        <w:t>2016</w:t>
      </w:r>
      <w:r>
        <w:rPr/>
        <w:t>年及未来两年，公司将继续优化和整合传统电力电子设备制造业务，积极开拓国内、国际市场， 保持公司</w:t>
      </w:r>
      <w:r>
        <w:rPr>
          <w:rFonts w:ascii="Times New Roman" w:hAnsi="Times New Roman" w:cs="Times New Roman" w:eastAsia="Times New Roman" w:hint="default"/>
        </w:rPr>
        <w:t>SVC</w:t>
      </w:r>
      <w:r>
        <w:rPr/>
        <w:t>、</w:t>
      </w:r>
      <w:r>
        <w:rPr>
          <w:rFonts w:ascii="Times New Roman" w:hAnsi="Times New Roman" w:cs="Times New Roman" w:eastAsia="Times New Roman" w:hint="default"/>
        </w:rPr>
        <w:t>SVG</w:t>
      </w:r>
      <w:r>
        <w:rPr/>
        <w:t>、</w:t>
      </w:r>
      <w:r>
        <w:rPr>
          <w:rFonts w:ascii="Times New Roman" w:hAnsi="Times New Roman" w:cs="Times New Roman" w:eastAsia="Times New Roman" w:hint="default"/>
        </w:rPr>
        <w:t>HVC</w:t>
      </w:r>
      <w:r>
        <w:rPr/>
        <w:t>、</w:t>
      </w:r>
      <w:r>
        <w:rPr>
          <w:rFonts w:ascii="Times New Roman" w:hAnsi="Times New Roman" w:cs="Times New Roman" w:eastAsia="Times New Roman" w:hint="default"/>
        </w:rPr>
        <w:t>HVDC</w:t>
      </w:r>
      <w:r>
        <w:rPr/>
        <w:t>等主导产品优势，巩固公司在节能大功率电力电子设备制造业的领先 地位，通过降低成本费用增强传统业务的盈利水平。</w:t>
      </w:r>
    </w:p>
    <w:p>
      <w:pPr>
        <w:spacing w:line="240" w:lineRule="auto" w:before="2"/>
        <w:rPr>
          <w:rFonts w:ascii="宋体" w:hAnsi="宋体" w:cs="宋体" w:eastAsia="宋体" w:hint="default"/>
          <w:sz w:val="14"/>
          <w:szCs w:val="14"/>
        </w:rPr>
      </w:pPr>
    </w:p>
    <w:p>
      <w:pPr>
        <w:pStyle w:val="BodyText"/>
        <w:spacing w:line="408" w:lineRule="auto"/>
        <w:ind w:right="207" w:firstLine="480"/>
        <w:jc w:val="both"/>
      </w:pPr>
      <w:r>
        <w:rPr>
          <w:spacing w:val="2"/>
        </w:rPr>
        <w:t>同时公司在对梦网科技公司治理、内部管理和规范运作方面进行整合的基础上保持业务经营的独立</w:t>
      </w:r>
      <w:r>
        <w:rPr/>
        <w:t> </w:t>
      </w:r>
      <w:r>
        <w:rPr>
          <w:spacing w:val="-1"/>
        </w:rPr>
        <w:t>性、核心团队的稳定性、和行业文化独特性，积极支持梦网科技未来各项业务的发展，使梦网科技继续在</w:t>
      </w:r>
      <w:r>
        <w:rPr>
          <w:spacing w:val="-82"/>
        </w:rPr>
        <w:t> </w:t>
      </w:r>
      <w:r>
        <w:rPr>
          <w:spacing w:val="-82"/>
        </w:rPr>
      </w:r>
      <w:r>
        <w:rPr>
          <w:spacing w:val="-1"/>
        </w:rPr>
        <w:t>移动信息服务领域保持领先地位。公司未来产业结构将由以制造业为主转变为制造业和服务业并重，实现</w:t>
      </w:r>
      <w:r>
        <w:rPr>
          <w:spacing w:val="-81"/>
        </w:rPr>
        <w:t> </w:t>
      </w:r>
      <w:r>
        <w:rPr>
          <w:spacing w:val="-81"/>
        </w:rPr>
      </w:r>
      <w:r>
        <w:rPr/>
        <w:t>产业结构的转型升级，并切入移动信息服务行业，实现对战略新兴产业的布局。</w:t>
      </w:r>
    </w:p>
    <w:p>
      <w:pPr>
        <w:pStyle w:val="Heading3"/>
        <w:spacing w:line="240" w:lineRule="auto" w:before="166"/>
        <w:ind w:left="634" w:right="102"/>
        <w:jc w:val="left"/>
        <w:rPr>
          <w:b w:val="0"/>
          <w:bCs w:val="0"/>
        </w:rPr>
      </w:pPr>
      <w:r>
        <w:rPr>
          <w:rFonts w:ascii="Times New Roman" w:hAnsi="Times New Roman" w:cs="Times New Roman" w:eastAsia="Times New Roman" w:hint="default"/>
        </w:rPr>
        <w:t>2</w:t>
      </w:r>
      <w:r>
        <w:rPr/>
        <w:t>、电力电子设备制造业务发展计划</w:t>
      </w:r>
      <w:r>
        <w:rPr>
          <w:b w:val="0"/>
          <w:bCs w:val="0"/>
        </w:rPr>
      </w:r>
    </w:p>
    <w:p>
      <w:pPr>
        <w:spacing w:line="240" w:lineRule="auto" w:before="9"/>
        <w:rPr>
          <w:rFonts w:ascii="宋体" w:hAnsi="宋体" w:cs="宋体" w:eastAsia="宋体" w:hint="default"/>
          <w:b/>
          <w:bCs/>
          <w:sz w:val="22"/>
          <w:szCs w:val="22"/>
        </w:rPr>
      </w:pPr>
    </w:p>
    <w:p>
      <w:pPr>
        <w:pStyle w:val="BodyText"/>
        <w:spacing w:line="484" w:lineRule="auto"/>
        <w:ind w:left="634" w:right="198" w:hanging="1"/>
        <w:jc w:val="left"/>
      </w:pPr>
      <w:r>
        <w:rPr/>
        <w:t>（</w:t>
      </w:r>
      <w:r>
        <w:rPr>
          <w:rFonts w:ascii="Times New Roman" w:hAnsi="Times New Roman" w:cs="Times New Roman" w:eastAsia="Times New Roman" w:hint="default"/>
        </w:rPr>
        <w:t>1</w:t>
      </w:r>
      <w:r>
        <w:rPr/>
        <w:t>）电能质量与电力安全 </w:t>
      </w:r>
      <w:r>
        <w:rPr>
          <w:spacing w:val="-2"/>
        </w:rPr>
        <w:t>加快产品的优化升级，完善和严格执行工艺文件，强化工艺管理，从产品设计、材料采购到生产制造</w:t>
      </w:r>
    </w:p>
    <w:p>
      <w:pPr>
        <w:pStyle w:val="BodyText"/>
        <w:spacing w:line="254" w:lineRule="exact"/>
        <w:ind w:right="0"/>
        <w:jc w:val="both"/>
      </w:pPr>
      <w:r>
        <w:rPr/>
        <w:t>全过程降低制造成本和供应链成本；完善售后服务，坚持客户回访和客户培训制度，完善调试售后工程师</w:t>
      </w:r>
    </w:p>
    <w:p>
      <w:pPr>
        <w:spacing w:line="240" w:lineRule="auto" w:before="10"/>
        <w:rPr>
          <w:rFonts w:ascii="宋体" w:hAnsi="宋体" w:cs="宋体" w:eastAsia="宋体" w:hint="default"/>
          <w:sz w:val="14"/>
          <w:szCs w:val="14"/>
        </w:rPr>
      </w:pPr>
    </w:p>
    <w:p>
      <w:pPr>
        <w:pStyle w:val="BodyText"/>
        <w:spacing w:line="240" w:lineRule="auto"/>
        <w:ind w:right="0"/>
        <w:jc w:val="both"/>
      </w:pPr>
      <w:r>
        <w:rPr/>
        <w:t>服务标准化管理，继续实施定期售后与研发的交流会，实行以客户为中心的驻区服务制度。</w:t>
      </w:r>
    </w:p>
    <w:p>
      <w:pPr>
        <w:spacing w:line="240" w:lineRule="auto" w:before="12"/>
        <w:rPr>
          <w:rFonts w:ascii="宋体" w:hAnsi="宋体" w:cs="宋体" w:eastAsia="宋体" w:hint="default"/>
          <w:sz w:val="23"/>
          <w:szCs w:val="23"/>
        </w:rPr>
      </w:pPr>
    </w:p>
    <w:p>
      <w:pPr>
        <w:pStyle w:val="BodyText"/>
        <w:spacing w:line="484" w:lineRule="auto"/>
        <w:ind w:left="634" w:right="198" w:hanging="1"/>
        <w:jc w:val="left"/>
      </w:pPr>
      <w:r>
        <w:rPr/>
        <w:t>（</w:t>
      </w:r>
      <w:r>
        <w:rPr>
          <w:rFonts w:ascii="Times New Roman" w:hAnsi="Times New Roman" w:cs="Times New Roman" w:eastAsia="Times New Roman" w:hint="default"/>
        </w:rPr>
        <w:t>2</w:t>
      </w:r>
      <w:r>
        <w:rPr/>
        <w:t>）变频传动与新能源控制系统 </w:t>
      </w:r>
      <w:r>
        <w:rPr>
          <w:spacing w:val="-2"/>
        </w:rPr>
        <w:t>加快变频器新产品的研发和应用，整合提升现有控制系统软件，加快系列产品的相关认证速度；优化</w:t>
      </w:r>
    </w:p>
    <w:p>
      <w:pPr>
        <w:pStyle w:val="BodyText"/>
        <w:spacing w:line="254" w:lineRule="exact"/>
        <w:ind w:right="0"/>
        <w:jc w:val="both"/>
      </w:pPr>
      <w:r>
        <w:rPr/>
        <w:t>升级现有产品，降低制造成本和供应链成本。</w:t>
      </w:r>
    </w:p>
    <w:p>
      <w:pPr>
        <w:spacing w:line="240" w:lineRule="auto" w:before="12"/>
        <w:rPr>
          <w:rFonts w:ascii="宋体" w:hAnsi="宋体" w:cs="宋体" w:eastAsia="宋体" w:hint="default"/>
          <w:sz w:val="23"/>
          <w:szCs w:val="23"/>
        </w:rPr>
      </w:pPr>
    </w:p>
    <w:p>
      <w:pPr>
        <w:pStyle w:val="BodyText"/>
        <w:spacing w:line="484" w:lineRule="auto"/>
        <w:ind w:left="634" w:right="198" w:hanging="1"/>
        <w:jc w:val="left"/>
      </w:pPr>
      <w:r>
        <w:rPr/>
        <w:t>（</w:t>
      </w:r>
      <w:r>
        <w:rPr>
          <w:rFonts w:ascii="Times New Roman" w:hAnsi="Times New Roman" w:cs="Times New Roman" w:eastAsia="Times New Roman" w:hint="default"/>
        </w:rPr>
        <w:t>3</w:t>
      </w:r>
      <w:r>
        <w:rPr/>
        <w:t>）备件及售后服务 </w:t>
      </w:r>
      <w:r>
        <w:rPr>
          <w:spacing w:val="-2"/>
        </w:rPr>
        <w:t>加大售后服务市场的开拓，根据各区域设备数量及运行情况制定差异性的销售任务，实行备品销售区</w:t>
      </w:r>
    </w:p>
    <w:p>
      <w:pPr>
        <w:pStyle w:val="BodyText"/>
        <w:spacing w:line="254" w:lineRule="exact"/>
        <w:ind w:right="0"/>
        <w:jc w:val="both"/>
      </w:pPr>
      <w:r>
        <w:rPr/>
        <w:t>域分割机制，与客户签订全包式的维修保养合同，对客户定期回访及时获取现场备品备件的采购计划；提</w:t>
      </w:r>
    </w:p>
    <w:p>
      <w:pPr>
        <w:spacing w:line="240" w:lineRule="auto" w:before="10"/>
        <w:rPr>
          <w:rFonts w:ascii="宋体" w:hAnsi="宋体" w:cs="宋体" w:eastAsia="宋体" w:hint="default"/>
          <w:sz w:val="14"/>
          <w:szCs w:val="14"/>
        </w:rPr>
      </w:pPr>
    </w:p>
    <w:p>
      <w:pPr>
        <w:pStyle w:val="BodyText"/>
        <w:spacing w:line="240" w:lineRule="auto"/>
        <w:ind w:right="0"/>
        <w:jc w:val="both"/>
      </w:pPr>
      <w:r>
        <w:rPr/>
        <w:t>高软硬件升级、远程监控等增值性服务的收入比重，并实行销售奖励政策。</w:t>
      </w:r>
    </w:p>
    <w:p>
      <w:pPr>
        <w:spacing w:line="580" w:lineRule="atLeast" w:before="24"/>
        <w:ind w:left="634" w:right="102" w:hanging="68"/>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、移动信息服务业务发展规划</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梦网科技将成为企业移动互联网化刚需的</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水电气</w:t>
      </w:r>
      <w:r>
        <w:rPr>
          <w:rFonts w:ascii="Times New Roman" w:hAnsi="Times New Roman" w:cs="Times New Roman" w:eastAsia="Times New Roman" w:hint="default"/>
          <w:spacing w:val="-2"/>
          <w:sz w:val="21"/>
          <w:szCs w:val="21"/>
        </w:rPr>
        <w:t>”</w:t>
      </w:r>
      <w:r>
        <w:rPr>
          <w:rFonts w:ascii="宋体" w:hAnsi="宋体" w:cs="宋体" w:eastAsia="宋体" w:hint="default"/>
          <w:spacing w:val="-2"/>
          <w:sz w:val="21"/>
          <w:szCs w:val="21"/>
        </w:rPr>
        <w:t>供应商，成为企业未来经营中通信、数据、商务的</w:t>
      </w:r>
    </w:p>
    <w:p>
      <w:pPr>
        <w:pStyle w:val="BodyText"/>
        <w:spacing w:line="398" w:lineRule="auto" w:before="177"/>
        <w:ind w:right="209"/>
        <w:jc w:val="both"/>
      </w:pPr>
      <w:r>
        <w:rPr>
          <w:spacing w:val="-1"/>
        </w:rPr>
        <w:t>必备合作伙伴；梦网科技利用移动通信和互联网技术为企业形成移动信息化能力，提升经营能力提供强有</w:t>
      </w:r>
      <w:r>
        <w:rPr>
          <w:spacing w:val="-81"/>
        </w:rPr>
        <w:t> </w:t>
      </w:r>
      <w:r>
        <w:rPr>
          <w:spacing w:val="-81"/>
        </w:rPr>
      </w:r>
      <w:r>
        <w:rPr/>
        <w:t>力的信息平台和运营支撑平台。在移动互联网应用大潮和互联网</w:t>
      </w:r>
      <w:r>
        <w:rPr>
          <w:rFonts w:ascii="Times New Roman" w:hAnsi="Times New Roman" w:cs="Times New Roman" w:eastAsia="Times New Roman" w:hint="default"/>
        </w:rPr>
        <w:t>+</w:t>
      </w:r>
      <w:r>
        <w:rPr/>
        <w:t>的发展大潮中，梦网科技将建立起中国 最为强大的云通讯、云数据、云商务平台及能力，推进中国的企业走向高峰，助力中国经济强劲发展。</w:t>
      </w:r>
    </w:p>
    <w:p>
      <w:pPr>
        <w:pStyle w:val="BodyText"/>
        <w:spacing w:line="240" w:lineRule="auto" w:before="174"/>
        <w:ind w:left="634" w:right="0"/>
        <w:jc w:val="left"/>
      </w:pPr>
      <w:r>
        <w:rPr/>
        <w:t>梦网科技将继续以市场为导向，以创新为动力，以云通信的</w:t>
      </w:r>
      <w:r>
        <w:rPr>
          <w:rFonts w:ascii="Times New Roman" w:hAnsi="Times New Roman" w:cs="Times New Roman" w:eastAsia="Times New Roman" w:hint="default"/>
        </w:rPr>
        <w:t>“</w:t>
      </w:r>
      <w:r>
        <w:rPr/>
        <w:t>移动信息即时通讯、移动数据智能流量、</w:t>
      </w:r>
    </w:p>
    <w:p>
      <w:pPr>
        <w:spacing w:after="0" w:line="240"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398" w:lineRule="auto" w:before="174"/>
        <w:ind w:right="102"/>
        <w:jc w:val="left"/>
      </w:pPr>
      <w:r>
        <w:rPr/>
        <w:t>移动音视频</w:t>
      </w:r>
      <w:r>
        <w:rPr>
          <w:rFonts w:ascii="Times New Roman" w:hAnsi="Times New Roman" w:cs="Times New Roman" w:eastAsia="Times New Roman" w:hint="default"/>
        </w:rPr>
        <w:t>”</w:t>
      </w:r>
      <w:r>
        <w:rPr/>
        <w:t>三大平台为依托，深化移动互联网运营支撑战略核心，逐步实施</w:t>
      </w:r>
      <w:r>
        <w:rPr>
          <w:rFonts w:ascii="Times New Roman" w:hAnsi="Times New Roman" w:cs="Times New Roman" w:eastAsia="Times New Roman" w:hint="default"/>
        </w:rPr>
        <w:t>“</w:t>
      </w:r>
      <w:r>
        <w:rPr/>
        <w:t>云通信、云数据、云商务</w:t>
      </w:r>
      <w:r>
        <w:rPr>
          <w:rFonts w:ascii="Times New Roman" w:hAnsi="Times New Roman" w:cs="Times New Roman" w:eastAsia="Times New Roman" w:hint="default"/>
        </w:rPr>
        <w:t>” </w:t>
      </w:r>
      <w:r>
        <w:rPr>
          <w:spacing w:val="-1"/>
        </w:rPr>
        <w:t>三位一体化产业布局。未来，公司将做强云通信板块以形成绝对优势，逐步布局云数据板块，同时培育云</w:t>
      </w:r>
      <w:r>
        <w:rPr>
          <w:spacing w:val="-82"/>
        </w:rPr>
        <w:t> </w:t>
      </w:r>
      <w:r>
        <w:rPr>
          <w:spacing w:val="-82"/>
        </w:rPr>
      </w:r>
      <w:r>
        <w:rPr/>
        <w:t>商务板块。</w:t>
      </w:r>
    </w:p>
    <w:p>
      <w:pPr>
        <w:pStyle w:val="BodyText"/>
        <w:spacing w:line="400" w:lineRule="auto" w:before="174"/>
        <w:ind w:right="102" w:firstLine="480"/>
        <w:jc w:val="left"/>
      </w:pPr>
      <w:r>
        <w:rPr>
          <w:spacing w:val="-2"/>
        </w:rPr>
        <w:t>云通讯：目前公司的云通讯平台，基于移动通信网络的各种业务能力及融合通信技术，打通移动互联</w:t>
      </w:r>
      <w:r>
        <w:rPr/>
        <w:t> 网和基础通信网络，以分布式软件技术为核心，构建融合短信、流量、语音、视频等各类信元实时通信及 </w:t>
      </w:r>
      <w:r>
        <w:rPr>
          <w:spacing w:val="-2"/>
        </w:rPr>
        <w:t>数据能力，提供企业</w:t>
      </w:r>
      <w:r>
        <w:rPr>
          <w:rFonts w:ascii="Times New Roman" w:hAnsi="Times New Roman" w:cs="Times New Roman" w:eastAsia="Times New Roman" w:hint="default"/>
          <w:spacing w:val="-2"/>
        </w:rPr>
        <w:t>B2C</w:t>
      </w:r>
      <w:r>
        <w:rPr>
          <w:spacing w:val="-2"/>
        </w:rPr>
        <w:t>、</w:t>
      </w:r>
      <w:r>
        <w:rPr>
          <w:rFonts w:ascii="Times New Roman" w:hAnsi="Times New Roman" w:cs="Times New Roman" w:eastAsia="Times New Roman" w:hint="default"/>
          <w:spacing w:val="-2"/>
        </w:rPr>
        <w:t>C2C</w:t>
      </w:r>
      <w:r>
        <w:rPr>
          <w:spacing w:val="-2"/>
        </w:rPr>
        <w:t>等一对多、多对多的实时通信应用，满足广大企业与移动用户在任何时间、</w:t>
      </w:r>
      <w:r>
        <w:rPr>
          <w:spacing w:val="-70"/>
        </w:rPr>
        <w:t> </w:t>
      </w:r>
      <w:r>
        <w:rPr>
          <w:spacing w:val="-70"/>
        </w:rPr>
      </w:r>
      <w:r>
        <w:rPr/>
        <w:t>任何地点通过文字、数据、语音、图片、视频的综合通信应用，并整合了数据流量管理，极大地提高了企</w:t>
      </w:r>
      <w:r>
        <w:rPr/>
        <w:t> 业商务效率和客户的粘性，是企业的基本刚性需求。云平台以云</w:t>
      </w:r>
      <w:r>
        <w:rPr>
          <w:rFonts w:ascii="Times New Roman" w:hAnsi="Times New Roman" w:cs="Times New Roman" w:eastAsia="Times New Roman" w:hint="default"/>
        </w:rPr>
        <w:t>+SaaS</w:t>
      </w:r>
      <w:r>
        <w:rPr/>
        <w:t>模式，与企业现有的应用系统，如 </w:t>
      </w:r>
      <w:r>
        <w:rPr>
          <w:rFonts w:ascii="Times New Roman" w:hAnsi="Times New Roman" w:cs="Times New Roman" w:eastAsia="Times New Roman" w:hint="default"/>
        </w:rPr>
        <w:t>CRM</w:t>
      </w:r>
      <w:r>
        <w:rPr/>
        <w:t>、</w:t>
      </w:r>
      <w:r>
        <w:rPr>
          <w:rFonts w:ascii="Times New Roman" w:hAnsi="Times New Roman" w:cs="Times New Roman" w:eastAsia="Times New Roman" w:hint="default"/>
        </w:rPr>
        <w:t>ERP</w:t>
      </w:r>
      <w:r>
        <w:rPr/>
        <w:t>、</w:t>
      </w:r>
      <w:r>
        <w:rPr>
          <w:rFonts w:ascii="Times New Roman" w:hAnsi="Times New Roman" w:cs="Times New Roman" w:eastAsia="Times New Roman" w:hint="default"/>
        </w:rPr>
        <w:t>SCM</w:t>
      </w:r>
      <w:r>
        <w:rPr/>
        <w:t>等进行无缝对接适配，实现移动终端和应用的高度融合。</w:t>
      </w:r>
    </w:p>
    <w:p>
      <w:pPr>
        <w:pStyle w:val="BodyText"/>
        <w:spacing w:line="403" w:lineRule="auto" w:before="141"/>
        <w:ind w:right="110" w:firstLine="480"/>
        <w:jc w:val="left"/>
      </w:pPr>
      <w:r>
        <w:rPr/>
        <w:t>云数据：梦网科技将自主建设中国大型的互联网数据中心，将整合目前主流的通信网关、互动应用、 应用分发、数据分析，应用托管及计费服务后台等，以支持企事业单位多样化的多元多网通信和数据运算 需求，提供多网连通性的服务，在此基础上，进一步建设公有云的服务，</w:t>
      </w:r>
      <w:r>
        <w:rPr>
          <w:rFonts w:ascii="Times New Roman" w:hAnsi="Times New Roman" w:cs="Times New Roman" w:eastAsia="Times New Roman" w:hint="default"/>
        </w:rPr>
        <w:t>CDN</w:t>
      </w:r>
      <w:r>
        <w:rPr/>
        <w:t>的服务以及各类数据增值服 务，通过梦网数据业务，全面帮助到企业快速建立移动互联网应用数据运算的基础环境和条件，为中国企 业的移动互联网应用的建立和发展提供坚实的保障。</w:t>
      </w:r>
    </w:p>
    <w:p>
      <w:pPr>
        <w:pStyle w:val="BodyText"/>
        <w:spacing w:line="408" w:lineRule="auto" w:before="170"/>
        <w:ind w:right="101" w:firstLine="480"/>
        <w:jc w:val="left"/>
      </w:pPr>
      <w:r>
        <w:rPr>
          <w:spacing w:val="-2"/>
        </w:rPr>
        <w:t>云商务：梦网科技将在云通讯和云数据的基础上，构建满足客户商业智能、移动营销、移动支付、移</w:t>
      </w:r>
      <w:r>
        <w:rPr/>
        <w:t> 动分发以及商业流程外包等各类云商务平台，旨在提升企业的获客能力以及进一步交易能力，并提供全链 </w:t>
      </w:r>
      <w:r>
        <w:rPr>
          <w:spacing w:val="-3"/>
        </w:rPr>
        <w:t>条的软件、应用和咨询。通过数据仓库技术、线上分析处理技术、数据挖掘和数据展现技术进行数据分析，</w:t>
      </w:r>
      <w:r>
        <w:rPr>
          <w:spacing w:val="-96"/>
        </w:rPr>
        <w:t> </w:t>
      </w:r>
      <w:r>
        <w:rPr>
          <w:spacing w:val="-96"/>
        </w:rPr>
      </w:r>
      <w:r>
        <w:rPr/>
        <w:t>通过云通讯和支付系统建立交易、营销和售后场景，帮助客户建立完整的自动化的商务链，并形成对商业</w:t>
      </w:r>
      <w:r>
        <w:rPr/>
        <w:t> 信息的搜集、管理和分析，提升企业获得知识能力或洞察力，提高企业决策效率，云商务板块的发展将会 极大的推动企业的经营效率，是未来企业生存和发展的必备工具和生命线。</w:t>
      </w:r>
    </w:p>
    <w:p>
      <w:pPr>
        <w:pStyle w:val="Heading3"/>
        <w:spacing w:line="240" w:lineRule="auto" w:before="166"/>
        <w:ind w:left="566" w:right="102"/>
        <w:jc w:val="left"/>
        <w:rPr>
          <w:b w:val="0"/>
          <w:bCs w:val="0"/>
        </w:rPr>
      </w:pPr>
      <w:r>
        <w:rPr>
          <w:rFonts w:ascii="Times New Roman" w:hAnsi="Times New Roman" w:cs="Times New Roman" w:eastAsia="Times New Roman" w:hint="default"/>
        </w:rPr>
        <w:t>4</w:t>
      </w:r>
      <w:r>
        <w:rPr/>
        <w:t>、</w:t>
      </w:r>
      <w:r>
        <w:rPr>
          <w:rFonts w:ascii="Times New Roman" w:hAnsi="Times New Roman" w:cs="Times New Roman" w:eastAsia="Times New Roman" w:hint="default"/>
        </w:rPr>
        <w:t>2016</w:t>
      </w:r>
      <w:r>
        <w:rPr/>
        <w:t>年的经营计划和主要目标</w:t>
      </w:r>
      <w:r>
        <w:rPr>
          <w:b w:val="0"/>
          <w:bCs w:val="0"/>
        </w:rPr>
      </w:r>
    </w:p>
    <w:p>
      <w:pPr>
        <w:spacing w:line="240" w:lineRule="auto" w:before="9"/>
        <w:rPr>
          <w:rFonts w:ascii="宋体" w:hAnsi="宋体" w:cs="宋体" w:eastAsia="宋体" w:hint="default"/>
          <w:b/>
          <w:bCs/>
          <w:sz w:val="22"/>
          <w:szCs w:val="22"/>
        </w:rPr>
      </w:pPr>
    </w:p>
    <w:p>
      <w:pPr>
        <w:pStyle w:val="BodyText"/>
        <w:spacing w:line="386" w:lineRule="auto"/>
        <w:ind w:right="102" w:firstLine="480"/>
        <w:jc w:val="left"/>
      </w:pPr>
      <w:r>
        <w:rPr>
          <w:spacing w:val="-5"/>
        </w:rPr>
        <w:t>公司将在</w:t>
      </w:r>
      <w:r>
        <w:rPr>
          <w:rFonts w:ascii="Times New Roman" w:hAnsi="Times New Roman" w:cs="Times New Roman" w:eastAsia="Times New Roman" w:hint="default"/>
          <w:spacing w:val="-5"/>
        </w:rPr>
        <w:t>2016</w:t>
      </w:r>
      <w:r>
        <w:rPr>
          <w:spacing w:val="-5"/>
        </w:rPr>
        <w:t>年采取一系列措施，继续加大传统电力电子设备业务的整合力度，实现该业务稳定盈利，</w:t>
      </w:r>
      <w:r>
        <w:rPr/>
        <w:t> 具体措施如下：</w:t>
      </w:r>
    </w:p>
    <w:p>
      <w:pPr>
        <w:spacing w:line="240" w:lineRule="auto" w:before="2"/>
        <w:rPr>
          <w:rFonts w:ascii="宋体" w:hAnsi="宋体" w:cs="宋体" w:eastAsia="宋体" w:hint="default"/>
          <w:sz w:val="14"/>
          <w:szCs w:val="14"/>
        </w:rPr>
      </w:pPr>
    </w:p>
    <w:p>
      <w:pPr>
        <w:pStyle w:val="BodyText"/>
        <w:spacing w:line="386" w:lineRule="auto"/>
        <w:ind w:right="215" w:firstLine="480"/>
        <w:jc w:val="left"/>
      </w:pPr>
      <w:r>
        <w:rPr/>
        <w:t>（</w:t>
      </w:r>
      <w:r>
        <w:rPr>
          <w:rFonts w:ascii="Times New Roman" w:hAnsi="Times New Roman" w:cs="Times New Roman" w:eastAsia="Times New Roman" w:hint="default"/>
        </w:rPr>
        <w:t>1</w:t>
      </w:r>
      <w:r>
        <w:rPr/>
        <w:t>）优化产品结构和发展重点，对于不符合未来发展战略的业务和子公司，将采取转让和关停的方 式予以调整，重点发展有核心竞争力的，能够持续盈利的产品。</w:t>
      </w:r>
    </w:p>
    <w:p>
      <w:pPr>
        <w:spacing w:line="240" w:lineRule="auto" w:before="2"/>
        <w:rPr>
          <w:rFonts w:ascii="宋体" w:hAnsi="宋体" w:cs="宋体" w:eastAsia="宋体" w:hint="default"/>
          <w:sz w:val="14"/>
          <w:szCs w:val="14"/>
        </w:rPr>
      </w:pPr>
    </w:p>
    <w:p>
      <w:pPr>
        <w:pStyle w:val="BodyText"/>
        <w:spacing w:line="240" w:lineRule="auto"/>
        <w:ind w:left="634" w:right="102"/>
        <w:jc w:val="left"/>
      </w:pPr>
      <w:r>
        <w:rPr/>
        <w:t>（</w:t>
      </w:r>
      <w:r>
        <w:rPr>
          <w:rFonts w:ascii="Times New Roman" w:hAnsi="Times New Roman" w:cs="Times New Roman" w:eastAsia="Times New Roman" w:hint="default"/>
        </w:rPr>
        <w:t>2</w:t>
      </w:r>
      <w:r>
        <w:rPr/>
        <w:t>）深化销售体系改革，以保持较高高市场占有率，保证利润为主的规模化优势，降低销售费用。</w:t>
      </w:r>
    </w:p>
    <w:p>
      <w:pPr>
        <w:spacing w:line="240" w:lineRule="auto" w:before="9"/>
        <w:rPr>
          <w:rFonts w:ascii="宋体" w:hAnsi="宋体" w:cs="宋体" w:eastAsia="宋体" w:hint="default"/>
          <w:sz w:val="22"/>
          <w:szCs w:val="22"/>
        </w:rPr>
      </w:pPr>
    </w:p>
    <w:p>
      <w:pPr>
        <w:pStyle w:val="BodyText"/>
        <w:spacing w:line="240" w:lineRule="auto"/>
        <w:ind w:left="634" w:right="0"/>
        <w:jc w:val="left"/>
      </w:pPr>
      <w:r>
        <w:rPr>
          <w:spacing w:val="-2"/>
        </w:rPr>
        <w:t>（</w:t>
      </w:r>
      <w:r>
        <w:rPr>
          <w:rFonts w:ascii="Times New Roman" w:hAnsi="Times New Roman" w:cs="Times New Roman" w:eastAsia="Times New Roman" w:hint="default"/>
          <w:spacing w:val="-2"/>
        </w:rPr>
        <w:t>2</w:t>
      </w:r>
      <w:r>
        <w:rPr>
          <w:spacing w:val="-2"/>
        </w:rPr>
        <w:t>）加强回款管理，制定严格的考核奖惩措施，</w:t>
      </w:r>
      <w:r>
        <w:rPr>
          <w:rFonts w:ascii="Times New Roman" w:hAnsi="Times New Roman" w:cs="Times New Roman" w:eastAsia="Times New Roman" w:hint="default"/>
          <w:spacing w:val="-2"/>
        </w:rPr>
        <w:t>2016</w:t>
      </w:r>
      <w:r>
        <w:rPr>
          <w:spacing w:val="-2"/>
        </w:rPr>
        <w:t>年争取实现经营性现金流为正，降低财务费用。</w:t>
      </w:r>
    </w:p>
    <w:p>
      <w:pPr>
        <w:spacing w:after="0" w:line="240" w:lineRule="auto"/>
        <w:jc w:val="left"/>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pStyle w:val="BodyText"/>
        <w:spacing w:line="240" w:lineRule="auto" w:before="174"/>
        <w:ind w:left="634" w:right="90"/>
        <w:jc w:val="left"/>
      </w:pPr>
      <w:r>
        <w:rPr/>
        <w:t>（</w:t>
      </w:r>
      <w:r>
        <w:rPr>
          <w:rFonts w:ascii="Times New Roman" w:hAnsi="Times New Roman" w:cs="Times New Roman" w:eastAsia="Times New Roman" w:hint="default"/>
        </w:rPr>
        <w:t>3</w:t>
      </w:r>
      <w:r>
        <w:rPr/>
        <w:t>）继续压缩人员编制，降低管理费用。</w:t>
      </w:r>
    </w:p>
    <w:p>
      <w:pPr>
        <w:spacing w:line="240" w:lineRule="auto" w:before="9"/>
        <w:rPr>
          <w:rFonts w:ascii="宋体" w:hAnsi="宋体" w:cs="宋体" w:eastAsia="宋体" w:hint="default"/>
          <w:sz w:val="22"/>
          <w:szCs w:val="22"/>
        </w:rPr>
      </w:pPr>
    </w:p>
    <w:p>
      <w:pPr>
        <w:pStyle w:val="BodyText"/>
        <w:spacing w:line="240" w:lineRule="auto"/>
        <w:ind w:left="634" w:right="90"/>
        <w:jc w:val="left"/>
      </w:pPr>
      <w:r>
        <w:rPr/>
        <w:t>（</w:t>
      </w:r>
      <w:r>
        <w:rPr>
          <w:rFonts w:ascii="Times New Roman" w:hAnsi="Times New Roman" w:cs="Times New Roman" w:eastAsia="Times New Roman" w:hint="default"/>
        </w:rPr>
        <w:t>4</w:t>
      </w:r>
      <w:r>
        <w:rPr/>
        <w:t>）通过产品优化设计，降低采购成本，保持毛利水平。</w:t>
      </w:r>
    </w:p>
    <w:p>
      <w:pPr>
        <w:spacing w:line="240" w:lineRule="auto" w:before="9"/>
        <w:rPr>
          <w:rFonts w:ascii="宋体" w:hAnsi="宋体" w:cs="宋体" w:eastAsia="宋体" w:hint="default"/>
          <w:sz w:val="22"/>
          <w:szCs w:val="22"/>
        </w:rPr>
      </w:pPr>
    </w:p>
    <w:p>
      <w:pPr>
        <w:pStyle w:val="BodyText"/>
        <w:spacing w:line="400" w:lineRule="auto"/>
        <w:ind w:right="189" w:firstLine="480"/>
        <w:jc w:val="both"/>
      </w:pPr>
      <w:r>
        <w:rPr>
          <w:rFonts w:ascii="Times New Roman" w:hAnsi="Times New Roman" w:cs="Times New Roman" w:eastAsia="Times New Roman" w:hint="default"/>
          <w:spacing w:val="-2"/>
        </w:rPr>
        <w:t>2016</w:t>
      </w:r>
      <w:r>
        <w:rPr>
          <w:spacing w:val="-2"/>
        </w:rPr>
        <w:t>年，梦网科技将将继续以市场为导向，以创新为动力，以云通信的“移动信息即时通讯、移动数</w:t>
      </w:r>
      <w:r>
        <w:rPr/>
        <w:t> </w:t>
      </w:r>
      <w:r>
        <w:rPr>
          <w:spacing w:val="-1"/>
        </w:rPr>
        <w:t>据智能流量、移动音视频”三大平台为依托，深化移动互联网运营支撑战略核心，逐步实施“云通信、云</w:t>
      </w:r>
      <w:r>
        <w:rPr>
          <w:spacing w:val="-83"/>
        </w:rPr>
        <w:t> </w:t>
      </w:r>
      <w:r>
        <w:rPr>
          <w:spacing w:val="-83"/>
        </w:rPr>
      </w:r>
      <w:r>
        <w:rPr>
          <w:spacing w:val="-1"/>
        </w:rPr>
        <w:t>数据、云商务”三位一体化产业布局，在未来，我们要做强云通信板块以形成绝对优势，逐步布局云数据</w:t>
      </w:r>
      <w:r>
        <w:rPr>
          <w:spacing w:val="-83"/>
        </w:rPr>
        <w:t> </w:t>
      </w:r>
      <w:r>
        <w:rPr>
          <w:spacing w:val="-83"/>
        </w:rPr>
      </w:r>
      <w:r>
        <w:rPr/>
        <w:t>板块，同时培育云商务板块。</w:t>
      </w:r>
    </w:p>
    <w:p>
      <w:pPr>
        <w:spacing w:line="484" w:lineRule="auto" w:before="172"/>
        <w:ind w:left="634" w:right="90" w:firstLine="9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、为实现公司发展战略的资金使用安排</w:t>
      </w:r>
      <w:r>
        <w:rPr>
          <w:rFonts w:ascii="宋体" w:hAnsi="宋体" w:cs="宋体" w:eastAsia="宋体" w:hint="default"/>
          <w:b/>
          <w:bCs/>
          <w:spacing w:val="1"/>
          <w:w w:val="99"/>
          <w:sz w:val="21"/>
          <w:szCs w:val="21"/>
        </w:rPr>
        <w:t> </w:t>
      </w:r>
      <w:r>
        <w:rPr>
          <w:rFonts w:ascii="宋体" w:hAnsi="宋体" w:cs="宋体" w:eastAsia="宋体" w:hint="default"/>
          <w:sz w:val="21"/>
          <w:szCs w:val="21"/>
        </w:rPr>
        <w:t>实现公司的发展战略需要更多的资金支持。公司一方面加强应收账款催收力度，加快资产使用效率，</w:t>
      </w:r>
    </w:p>
    <w:p>
      <w:pPr>
        <w:pStyle w:val="BodyText"/>
        <w:spacing w:line="254" w:lineRule="exact"/>
        <w:ind w:right="90"/>
        <w:jc w:val="left"/>
      </w:pPr>
      <w:r>
        <w:rPr/>
        <w:t>努力降低资金成本。另一方面根据资金需求情况将利用自有资金、银行贷款、发行公司债等保证营运资金</w:t>
      </w:r>
    </w:p>
    <w:p>
      <w:pPr>
        <w:spacing w:line="240" w:lineRule="auto" w:before="10"/>
        <w:rPr>
          <w:rFonts w:ascii="宋体" w:hAnsi="宋体" w:cs="宋体" w:eastAsia="宋体" w:hint="default"/>
          <w:sz w:val="14"/>
          <w:szCs w:val="14"/>
        </w:rPr>
      </w:pPr>
    </w:p>
    <w:p>
      <w:pPr>
        <w:pStyle w:val="BodyText"/>
        <w:spacing w:line="240" w:lineRule="auto"/>
        <w:ind w:right="90"/>
        <w:jc w:val="left"/>
      </w:pPr>
      <w:r>
        <w:rPr/>
        <w:t>的需求。</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2"/>
        <w:spacing w:line="240" w:lineRule="auto"/>
        <w:ind w:right="90"/>
        <w:jc w:val="left"/>
        <w:rPr>
          <w:b w:val="0"/>
          <w:bCs w:val="0"/>
        </w:rPr>
      </w:pP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90"/>
        <w:jc w:val="left"/>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54" w:right="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7"/>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21"/>
              <w:jc w:val="left"/>
              <w:rPr>
                <w:rFonts w:ascii="宋体" w:hAnsi="宋体" w:cs="宋体" w:eastAsia="宋体" w:hint="default"/>
                <w:sz w:val="18"/>
                <w:szCs w:val="18"/>
              </w:rPr>
            </w:pPr>
            <w:r>
              <w:rPr>
                <w:rFonts w:ascii="宋体" w:hAnsi="宋体" w:cs="宋体" w:eastAsia="宋体" w:hint="default"/>
                <w:sz w:val="18"/>
                <w:szCs w:val="18"/>
              </w:rPr>
              <w:t>具体内容详见公司披露在深交所互动 易上的投资者活动关系记录表</w:t>
            </w: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21"/>
              <w:jc w:val="left"/>
              <w:rPr>
                <w:rFonts w:ascii="宋体" w:hAnsi="宋体" w:cs="宋体" w:eastAsia="宋体" w:hint="default"/>
                <w:sz w:val="18"/>
                <w:szCs w:val="18"/>
              </w:rPr>
            </w:pPr>
            <w:r>
              <w:rPr>
                <w:rFonts w:ascii="宋体" w:hAnsi="宋体" w:cs="宋体" w:eastAsia="宋体" w:hint="default"/>
                <w:sz w:val="18"/>
                <w:szCs w:val="18"/>
              </w:rPr>
              <w:t>具体内容详见公司披露在深交所互动 易上的投资者活动关系记录表</w:t>
            </w:r>
          </w:p>
        </w:tc>
      </w:tr>
      <w:tr>
        <w:trPr>
          <w:trHeight w:val="715"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3" w:right="121"/>
              <w:jc w:val="left"/>
              <w:rPr>
                <w:rFonts w:ascii="宋体" w:hAnsi="宋体" w:cs="宋体" w:eastAsia="宋体" w:hint="default"/>
                <w:sz w:val="18"/>
                <w:szCs w:val="18"/>
              </w:rPr>
            </w:pPr>
            <w:r>
              <w:rPr>
                <w:rFonts w:ascii="宋体" w:hAnsi="宋体" w:cs="宋体" w:eastAsia="宋体" w:hint="default"/>
                <w:sz w:val="18"/>
                <w:szCs w:val="18"/>
              </w:rPr>
              <w:t>具体内容详见公司披露在深交所互动 易上的投资者活动关系记录表</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907"/>
        <w:jc w:val="center"/>
        <w:rPr>
          <w:b w:val="0"/>
          <w:bCs w:val="0"/>
        </w:rPr>
      </w:pPr>
      <w:bookmarkStart w:name="_TOC_250006" w:id="5"/>
      <w:r>
        <w:rPr/>
        <w:t>第五节</w:t>
      </w:r>
      <w:r>
        <w:rPr>
          <w:spacing w:val="-5"/>
        </w:rPr>
        <w:t> </w:t>
      </w:r>
      <w:r>
        <w:rPr/>
        <w:t>重要事项</w:t>
      </w:r>
      <w:bookmarkEnd w:id="5"/>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308"/>
        <w:jc w:val="left"/>
        <w:rPr>
          <w:b w:val="0"/>
          <w:bCs w:val="0"/>
        </w:rPr>
      </w:pP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54" w:right="308"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3" w:right="308"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3"/>
        <w:ind w:right="308" w:firstLine="434"/>
        <w:jc w:val="left"/>
      </w:pPr>
      <w:r>
        <w:rPr>
          <w:spacing w:val="-3"/>
        </w:rPr>
        <w:t>公司根据中国证监会、深圳证券交易所和辽宁监管局的有关规定，公司</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10</w:t>
      </w:r>
      <w:r>
        <w:rPr>
          <w:spacing w:val="-3"/>
        </w:rPr>
        <w:t>日召开的公司</w:t>
      </w:r>
      <w:r>
        <w:rPr>
          <w:rFonts w:ascii="Times New Roman" w:hAnsi="Times New Roman" w:cs="Times New Roman" w:eastAsia="Times New Roman" w:hint="default"/>
          <w:spacing w:val="-3"/>
        </w:rPr>
        <w:t>2015</w:t>
      </w:r>
      <w:r>
        <w:rPr>
          <w:rFonts w:ascii="Times New Roman" w:hAnsi="Times New Roman" w:cs="Times New Roman" w:eastAsia="Times New Roman" w:hint="default"/>
        </w:rPr>
        <w:t> </w:t>
      </w:r>
      <w:r>
        <w:rPr/>
        <w:t>年第一次临时股东大会通过了《关于公司股东分红回报规划（</w:t>
      </w:r>
      <w:r>
        <w:rPr>
          <w:rFonts w:ascii="Times New Roman" w:hAnsi="Times New Roman" w:cs="Times New Roman" w:eastAsia="Times New Roman" w:hint="default"/>
        </w:rPr>
        <w:t>2015-2017</w:t>
      </w:r>
      <w:r>
        <w:rPr/>
        <w:t>年）》。</w:t>
      </w:r>
    </w:p>
    <w:p>
      <w:pPr>
        <w:pStyle w:val="BodyText"/>
        <w:spacing w:line="386" w:lineRule="auto" w:before="35"/>
        <w:ind w:right="216" w:firstLine="420"/>
        <w:jc w:val="left"/>
      </w:pPr>
      <w:r>
        <w:rPr/>
        <w:pict>
          <v:shape style="position:absolute;margin-left:56.459999pt;margin-top:45.393414pt;width:479.1pt;height:172.4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84"/>
                    <w:gridCol w:w="4783"/>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3" w:type="dxa"/>
                        <w:tcBorders>
                          <w:top w:val="single" w:sz="4" w:space="0" w:color="000000"/>
                          <w:left w:val="single" w:sz="13" w:space="0" w:color="D3D3D3"/>
                          <w:bottom w:val="single" w:sz="4" w:space="0" w:color="000000"/>
                          <w:right w:val="single" w:sz="4" w:space="0" w:color="000000"/>
                        </w:tcBorders>
                      </w:tcPr>
                      <w:p>
                        <w:pPr>
                          <w:pStyle w:val="TableParagraph"/>
                          <w:spacing w:line="319" w:lineRule="auto" w:before="51"/>
                          <w:ind w:left="10" w:right="68"/>
                          <w:jc w:val="left"/>
                          <w:rPr>
                            <w:rFonts w:ascii="宋体" w:hAnsi="宋体" w:cs="宋体" w:eastAsia="宋体" w:hint="default"/>
                            <w:sz w:val="18"/>
                            <w:szCs w:val="18"/>
                          </w:rPr>
                        </w:pPr>
                        <w:r>
                          <w:rPr>
                            <w:rFonts w:ascii="宋体" w:hAnsi="宋体" w:cs="宋体" w:eastAsia="宋体" w:hint="default"/>
                            <w:sz w:val="18"/>
                            <w:szCs w:val="18"/>
                          </w:rPr>
                          <w:t>报告期内现金分红政策未进行调整或变更，公司执行了既定 现金分红政策。</w:t>
                        </w:r>
                      </w:p>
                    </w:tc>
                  </w:tr>
                </w:tbl>
                <w:p>
                  <w:pPr/>
                </w:p>
              </w:txbxContent>
            </v:textbox>
            <w10:wrap type="none"/>
          </v:shape>
        </w:pict>
      </w:r>
      <w:r>
        <w:rPr/>
        <w:t>报告期内，公司认真执行了已制定的现金分红政策（《公司股东分红回报规划（</w:t>
      </w:r>
      <w:r>
        <w:rPr>
          <w:rFonts w:ascii="Times New Roman" w:hAnsi="Times New Roman" w:cs="Times New Roman" w:eastAsia="Times New Roman" w:hint="default"/>
        </w:rPr>
        <w:t>2015-2017</w:t>
      </w:r>
      <w:r>
        <w:rPr/>
        <w:t>年）》）， 按照《公司股东分红回报规划（</w:t>
      </w:r>
      <w:r>
        <w:rPr>
          <w:rFonts w:ascii="Times New Roman" w:hAnsi="Times New Roman" w:cs="Times New Roman" w:eastAsia="Times New Roman" w:hint="default"/>
        </w:rPr>
        <w:t>2015-2017</w:t>
      </w:r>
      <w:r>
        <w:rPr/>
        <w:t>年）》制定</w:t>
      </w:r>
      <w:r>
        <w:rPr>
          <w:rFonts w:ascii="Times New Roman" w:hAnsi="Times New Roman" w:cs="Times New Roman" w:eastAsia="Times New Roman" w:hint="default"/>
        </w:rPr>
        <w:t>2015</w:t>
      </w:r>
      <w:r>
        <w:rPr/>
        <w:t>年度利润分配方案。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spacing w:before="44"/>
        <w:ind w:left="154" w:right="308"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w:t>
      </w:r>
      <w:r>
        <w:rPr>
          <w:rFonts w:ascii="宋体" w:hAnsi="宋体" w:cs="宋体" w:eastAsia="宋体" w:hint="default"/>
          <w:sz w:val="18"/>
          <w:szCs w:val="18"/>
        </w:rPr>
        <w:t>包括本报告期）的普通股股利分配方案（预案</w:t>
      </w:r>
      <w:r>
        <w:rPr>
          <w:rFonts w:ascii="宋体" w:hAnsi="宋体" w:cs="宋体" w:eastAsia="宋体" w:hint="default"/>
          <w:spacing w:val="-90"/>
          <w:sz w:val="18"/>
          <w:szCs w:val="18"/>
        </w:rPr>
        <w:t>）</w:t>
      </w:r>
      <w:r>
        <w:rPr>
          <w:rFonts w:ascii="宋体" w:hAnsi="宋体" w:cs="宋体" w:eastAsia="宋体" w:hint="default"/>
          <w:sz w:val="18"/>
          <w:szCs w:val="18"/>
        </w:rPr>
        <w:t>、资本公积金转增股本方案（预案）情况</w:t>
      </w:r>
    </w:p>
    <w:p>
      <w:pPr>
        <w:spacing w:line="240" w:lineRule="auto" w:before="6"/>
        <w:rPr>
          <w:rFonts w:ascii="宋体" w:hAnsi="宋体" w:cs="宋体" w:eastAsia="宋体" w:hint="default"/>
          <w:sz w:val="7"/>
          <w:szCs w:val="7"/>
        </w:rPr>
      </w:pPr>
    </w:p>
    <w:tbl>
      <w:tblPr>
        <w:tblW w:w="0" w:type="auto"/>
        <w:jc w:val="left"/>
        <w:tblInd w:w="146" w:type="dxa"/>
        <w:tblLayout w:type="fixed"/>
        <w:tblCellMar>
          <w:top w:w="0" w:type="dxa"/>
          <w:left w:w="0" w:type="dxa"/>
          <w:bottom w:w="0" w:type="dxa"/>
          <w:right w:w="0" w:type="dxa"/>
        </w:tblCellMar>
        <w:tblLook w:val="01E0"/>
      </w:tblPr>
      <w:tblGrid>
        <w:gridCol w:w="1768"/>
        <w:gridCol w:w="8060"/>
      </w:tblGrid>
      <w:tr>
        <w:trPr>
          <w:trHeight w:val="416" w:hRule="exact"/>
        </w:trPr>
        <w:tc>
          <w:tcPr>
            <w:tcW w:w="1768"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分配年度</w:t>
            </w:r>
          </w:p>
        </w:tc>
        <w:tc>
          <w:tcPr>
            <w:tcW w:w="8060"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56"/>
              <w:ind w:left="2493" w:right="0"/>
              <w:jc w:val="left"/>
              <w:rPr>
                <w:rFonts w:ascii="宋体" w:hAnsi="宋体" w:cs="宋体" w:eastAsia="宋体" w:hint="default"/>
                <w:sz w:val="18"/>
                <w:szCs w:val="18"/>
              </w:rPr>
            </w:pPr>
            <w:r>
              <w:rPr>
                <w:rFonts w:ascii="宋体" w:hAnsi="宋体" w:cs="宋体" w:eastAsia="宋体" w:hint="default"/>
                <w:sz w:val="18"/>
                <w:szCs w:val="18"/>
              </w:rPr>
              <w:t>股利分配情况或资本公积转增股本情况</w:t>
            </w:r>
          </w:p>
        </w:tc>
      </w:tr>
      <w:tr>
        <w:trPr>
          <w:trHeight w:val="433" w:hRule="exact"/>
        </w:trPr>
        <w:tc>
          <w:tcPr>
            <w:tcW w:w="1768"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67"/>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p>
        </w:tc>
        <w:tc>
          <w:tcPr>
            <w:tcW w:w="8060"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62"/>
              <w:ind w:left="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年度利润分配方案为：本年利润不分配，不转增。</w:t>
            </w:r>
          </w:p>
        </w:tc>
      </w:tr>
      <w:tr>
        <w:trPr>
          <w:trHeight w:val="426" w:hRule="exact"/>
        </w:trPr>
        <w:tc>
          <w:tcPr>
            <w:tcW w:w="1768"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6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宋体" w:hAnsi="宋体" w:cs="宋体" w:eastAsia="宋体" w:hint="default"/>
                <w:sz w:val="18"/>
                <w:szCs w:val="18"/>
              </w:rPr>
              <w:t>年</w:t>
            </w:r>
          </w:p>
        </w:tc>
        <w:tc>
          <w:tcPr>
            <w:tcW w:w="80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Times New Roman" w:hAnsi="Times New Roman" w:cs="Times New Roman" w:eastAsia="Times New Roman" w:hint="default"/>
                <w:sz w:val="18"/>
                <w:szCs w:val="18"/>
              </w:rPr>
              <w:t>2014</w:t>
            </w:r>
            <w:r>
              <w:rPr>
                <w:rFonts w:ascii="宋体" w:hAnsi="宋体" w:cs="宋体" w:eastAsia="宋体" w:hint="default"/>
                <w:sz w:val="18"/>
                <w:szCs w:val="18"/>
              </w:rPr>
              <w:t>年度利润分配方案为：本年利润不分配，不转增。</w:t>
            </w:r>
          </w:p>
        </w:tc>
      </w:tr>
      <w:tr>
        <w:trPr>
          <w:trHeight w:val="740" w:hRule="exact"/>
        </w:trPr>
        <w:tc>
          <w:tcPr>
            <w:tcW w:w="1768" w:type="dxa"/>
            <w:tcBorders>
              <w:top w:val="single" w:sz="6" w:space="0" w:color="000000"/>
              <w:left w:val="single" w:sz="6" w:space="0" w:color="000000"/>
              <w:bottom w:val="single" w:sz="6" w:space="0" w:color="000000"/>
              <w:right w:val="single" w:sz="6" w:space="0" w:color="000000"/>
            </w:tcBorders>
            <w:shd w:val="clear" w:color="auto" w:fill="DCDCDC"/>
          </w:tcPr>
          <w:p>
            <w:pPr>
              <w:pStyle w:val="TableParagraph"/>
              <w:spacing w:line="240" w:lineRule="auto" w:before="6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p>
        </w:tc>
        <w:tc>
          <w:tcPr>
            <w:tcW w:w="8060"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62"/>
              <w:ind w:left="3" w:right="0"/>
              <w:jc w:val="left"/>
              <w:rPr>
                <w:rFonts w:ascii="宋体" w:hAnsi="宋体" w:cs="宋体" w:eastAsia="宋体" w:hint="default"/>
                <w:sz w:val="18"/>
                <w:szCs w:val="18"/>
              </w:rPr>
            </w:pPr>
            <w:r>
              <w:rPr>
                <w:rFonts w:ascii="宋体" w:hAnsi="宋体" w:cs="宋体" w:eastAsia="宋体" w:hint="default"/>
                <w:spacing w:val="-2"/>
                <w:sz w:val="18"/>
                <w:szCs w:val="18"/>
              </w:rPr>
              <w:t>公司</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年度利润分配方案为：以</w:t>
            </w:r>
            <w:r>
              <w:rPr>
                <w:rFonts w:ascii="Times New Roman" w:hAnsi="Times New Roman" w:cs="Times New Roman" w:eastAsia="Times New Roman" w:hint="default"/>
                <w:spacing w:val="-2"/>
                <w:sz w:val="18"/>
                <w:szCs w:val="18"/>
              </w:rPr>
              <w:t>2013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日的公司总股本为基数，向全体股东每</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股派发现金红</w:t>
            </w:r>
            <w:r>
              <w:rPr>
                <w:rFonts w:ascii="宋体" w:hAnsi="宋体" w:cs="宋体" w:eastAsia="宋体" w:hint="default"/>
                <w:spacing w:val="-46"/>
                <w:sz w:val="18"/>
                <w:szCs w:val="18"/>
              </w:rPr>
              <w:t> </w:t>
            </w:r>
            <w:r>
              <w:rPr>
                <w:rFonts w:ascii="宋体" w:hAnsi="宋体" w:cs="宋体" w:eastAsia="宋体" w:hint="default"/>
                <w:sz w:val="18"/>
                <w:szCs w:val="18"/>
              </w:rPr>
              <w:t>利</w:t>
            </w:r>
            <w:r>
              <w:rPr>
                <w:rFonts w:ascii="Times New Roman" w:hAnsi="Times New Roman" w:cs="Times New Roman" w:eastAsia="Times New Roman" w:hint="default"/>
                <w:sz w:val="18"/>
                <w:szCs w:val="18"/>
              </w:rPr>
              <w:t>0.20</w:t>
            </w:r>
            <w:r>
              <w:rPr>
                <w:rFonts w:ascii="宋体" w:hAnsi="宋体" w:cs="宋体" w:eastAsia="宋体" w:hint="default"/>
                <w:sz w:val="18"/>
                <w:szCs w:val="18"/>
              </w:rPr>
              <w:t>元（含税），送红股</w:t>
            </w:r>
            <w:r>
              <w:rPr>
                <w:rFonts w:ascii="Times New Roman" w:hAnsi="Times New Roman" w:cs="Times New Roman" w:eastAsia="Times New Roman" w:hint="default"/>
                <w:sz w:val="18"/>
                <w:szCs w:val="18"/>
              </w:rPr>
              <w:t>0</w:t>
            </w:r>
            <w:r>
              <w:rPr>
                <w:rFonts w:ascii="宋体" w:hAnsi="宋体" w:cs="宋体" w:eastAsia="宋体" w:hint="default"/>
                <w:sz w:val="18"/>
                <w:szCs w:val="18"/>
              </w:rPr>
              <w:t>股（含税），不以公积金转增股本。</w:t>
            </w:r>
          </w:p>
        </w:tc>
      </w:tr>
    </w:tbl>
    <w:p>
      <w:pPr>
        <w:spacing w:line="240" w:lineRule="auto" w:before="5"/>
        <w:rPr>
          <w:rFonts w:ascii="宋体" w:hAnsi="宋体" w:cs="宋体" w:eastAsia="宋体" w:hint="default"/>
          <w:sz w:val="24"/>
          <w:szCs w:val="24"/>
        </w:rPr>
      </w:pPr>
    </w:p>
    <w:p>
      <w:pPr>
        <w:spacing w:before="44"/>
        <w:ind w:left="154" w:right="308"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6"/>
        <w:ind w:left="0" w:right="31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57" w:hRule="exact"/>
        </w:trPr>
        <w:tc>
          <w:tcPr>
            <w:tcW w:w="15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71"/>
              <w:jc w:val="right"/>
              <w:rPr>
                <w:rFonts w:ascii="宋体" w:hAnsi="宋体" w:cs="宋体" w:eastAsia="宋体" w:hint="default"/>
                <w:sz w:val="18"/>
                <w:szCs w:val="18"/>
              </w:rPr>
            </w:pPr>
            <w:r>
              <w:rPr>
                <w:rFonts w:ascii="宋体" w:hAnsi="宋体" w:cs="宋体" w:eastAsia="宋体" w:hint="default"/>
                <w:sz w:val="18"/>
                <w:szCs w:val="18"/>
              </w:rPr>
              <w:t>分红年度合并报表</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71" w:right="0"/>
              <w:jc w:val="left"/>
              <w:rPr>
                <w:rFonts w:ascii="宋体" w:hAnsi="宋体" w:cs="宋体" w:eastAsia="宋体" w:hint="default"/>
                <w:sz w:val="18"/>
                <w:szCs w:val="18"/>
              </w:rPr>
            </w:pPr>
            <w:r>
              <w:rPr>
                <w:rFonts w:ascii="宋体" w:hAnsi="宋体" w:cs="宋体" w:eastAsia="宋体" w:hint="default"/>
                <w:sz w:val="18"/>
                <w:szCs w:val="18"/>
              </w:rPr>
              <w:t>占合并报表中归属</w:t>
            </w:r>
          </w:p>
        </w:tc>
        <w:tc>
          <w:tcPr>
            <w:tcW w:w="1594" w:type="dxa"/>
            <w:tcBorders>
              <w:top w:val="single" w:sz="4" w:space="0" w:color="000000"/>
              <w:left w:val="single" w:sz="4" w:space="0" w:color="000000"/>
              <w:bottom w:val="nil" w:sz="6" w:space="0" w:color="auto"/>
              <w:right w:val="single" w:sz="4" w:space="0" w:color="000000"/>
            </w:tcBorders>
            <w:shd w:val="clear" w:color="auto" w:fill="D3D3D3"/>
          </w:tcPr>
          <w:p>
            <w:pPr/>
          </w:p>
        </w:tc>
        <w:tc>
          <w:tcPr>
            <w:tcW w:w="1595"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625" w:hRule="exact"/>
        </w:trPr>
        <w:tc>
          <w:tcPr>
            <w:tcW w:w="15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611"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73" w:right="71"/>
              <w:jc w:val="left"/>
              <w:rPr>
                <w:rFonts w:ascii="宋体" w:hAnsi="宋体" w:cs="宋体" w:eastAsia="宋体" w:hint="default"/>
                <w:sz w:val="18"/>
                <w:szCs w:val="18"/>
              </w:rPr>
            </w:pPr>
            <w:r>
              <w:rPr>
                <w:rFonts w:ascii="宋体" w:hAnsi="宋体" w:cs="宋体" w:eastAsia="宋体" w:hint="default"/>
                <w:sz w:val="18"/>
                <w:szCs w:val="18"/>
              </w:rPr>
              <w:t>中归属于上市公司 普通股股东的净利</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71" w:right="71"/>
              <w:jc w:val="left"/>
              <w:rPr>
                <w:rFonts w:ascii="宋体" w:hAnsi="宋体" w:cs="宋体" w:eastAsia="宋体" w:hint="default"/>
                <w:sz w:val="18"/>
                <w:szCs w:val="18"/>
              </w:rPr>
            </w:pPr>
            <w:r>
              <w:rPr>
                <w:rFonts w:ascii="宋体" w:hAnsi="宋体" w:cs="宋体" w:eastAsia="宋体" w:hint="default"/>
                <w:sz w:val="18"/>
                <w:szCs w:val="18"/>
              </w:rPr>
              <w:t>于上市公司普通股 股东的净利润的比</w:t>
            </w:r>
          </w:p>
        </w:tc>
        <w:tc>
          <w:tcPr>
            <w:tcW w:w="15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432"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56" w:hRule="exact"/>
        </w:trPr>
        <w:tc>
          <w:tcPr>
            <w:tcW w:w="15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润</w:t>
            </w: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率</w:t>
            </w:r>
          </w:p>
        </w:tc>
        <w:tc>
          <w:tcPr>
            <w:tcW w:w="1594" w:type="dxa"/>
            <w:tcBorders>
              <w:top w:val="nil" w:sz="6" w:space="0" w:color="auto"/>
              <w:left w:val="single" w:sz="4" w:space="0" w:color="000000"/>
              <w:bottom w:val="single" w:sz="4" w:space="0" w:color="000000"/>
              <w:right w:val="single" w:sz="4" w:space="0" w:color="000000"/>
            </w:tcBorders>
            <w:shd w:val="clear" w:color="auto" w:fill="D3D3D3"/>
          </w:tcPr>
          <w:p>
            <w:pPr/>
          </w:p>
        </w:tc>
        <w:tc>
          <w:tcPr>
            <w:tcW w:w="1595"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98,559,203.95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-257,683,938.81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8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6" w:right="0"/>
              <w:jc w:val="left"/>
              <w:rPr>
                <w:rFonts w:ascii="Times New Roman" w:hAnsi="Times New Roman" w:cs="Times New Roman" w:eastAsia="Times New Roman" w:hint="default"/>
                <w:sz w:val="18"/>
                <w:szCs w:val="18"/>
              </w:rPr>
            </w:pPr>
            <w:r>
              <w:rPr>
                <w:rFonts w:ascii="Times New Roman"/>
                <w:sz w:val="18"/>
              </w:rPr>
              <w:t>10,080,000.00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75,843,521.47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6" w:right="0"/>
              <w:jc w:val="left"/>
              <w:rPr>
                <w:rFonts w:ascii="Times New Roman" w:hAnsi="Times New Roman" w:cs="Times New Roman" w:eastAsia="Times New Roman" w:hint="default"/>
                <w:sz w:val="18"/>
                <w:szCs w:val="18"/>
              </w:rPr>
            </w:pPr>
            <w:r>
              <w:rPr>
                <w:rFonts w:ascii="Times New Roman"/>
                <w:sz w:val="18"/>
              </w:rPr>
              <w:t>13.29%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036" w:right="47" w:hanging="990"/>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 出普通股现金红利分配预案的原因</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363" w:hRule="exact"/>
        </w:trPr>
        <w:tc>
          <w:tcPr>
            <w:tcW w:w="47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虽然公司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年度归属于上市公司股东的净利润实现扭</w:t>
            </w:r>
          </w:p>
        </w:tc>
        <w:tc>
          <w:tcPr>
            <w:tcW w:w="4783"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5"/>
                <w:sz w:val="18"/>
                <w:szCs w:val="18"/>
              </w:rPr>
              <w:t>亏，但公司</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年度母公司经营业绩仍然亏损，企业资金需</w:t>
            </w:r>
          </w:p>
        </w:tc>
        <w:tc>
          <w:tcPr>
            <w:tcW w:w="4783"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求仍然面临较大压力，根据公司运营实际情况和股利分配政</w:t>
            </w:r>
          </w:p>
        </w:tc>
        <w:tc>
          <w:tcPr>
            <w:tcW w:w="478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公司未分配利润用于补充企业日常运营所需流动资金。</w:t>
            </w:r>
          </w:p>
        </w:tc>
      </w:tr>
      <w:tr>
        <w:trPr>
          <w:trHeight w:val="317" w:hRule="exact"/>
        </w:trPr>
        <w:tc>
          <w:tcPr>
            <w:tcW w:w="478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8"/>
                <w:sz w:val="18"/>
                <w:szCs w:val="18"/>
              </w:rPr>
              <w:t>策，拟定 </w:t>
            </w:r>
            <w:r>
              <w:rPr>
                <w:rFonts w:ascii="Times New Roman" w:hAnsi="Times New Roman" w:cs="Times New Roman" w:eastAsia="Times New Roman" w:hint="default"/>
                <w:sz w:val="18"/>
                <w:szCs w:val="18"/>
              </w:rPr>
              <w:t>2015 </w:t>
            </w:r>
            <w:r>
              <w:rPr>
                <w:rFonts w:ascii="宋体" w:hAnsi="宋体" w:cs="宋体" w:eastAsia="宋体" w:hint="default"/>
                <w:spacing w:val="-3"/>
                <w:sz w:val="18"/>
                <w:szCs w:val="18"/>
              </w:rPr>
              <w:t>年度利润分配方案为：</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20"/>
                <w:sz w:val="18"/>
                <w:szCs w:val="18"/>
              </w:rPr>
              <w:t> </w:t>
            </w:r>
            <w:r>
              <w:rPr>
                <w:rFonts w:ascii="宋体" w:hAnsi="宋体" w:cs="宋体" w:eastAsia="宋体" w:hint="default"/>
                <w:spacing w:val="-4"/>
                <w:sz w:val="18"/>
                <w:szCs w:val="18"/>
              </w:rPr>
              <w:t>年度，公司计划不</w:t>
            </w:r>
          </w:p>
        </w:tc>
        <w:tc>
          <w:tcPr>
            <w:tcW w:w="4783"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47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派发现金红利，不送红股，不以公积金转增股本。</w:t>
            </w:r>
          </w:p>
        </w:tc>
        <w:tc>
          <w:tcPr>
            <w:tcW w:w="4783" w:type="dxa"/>
            <w:tcBorders>
              <w:top w:val="nil" w:sz="6" w:space="0" w:color="auto"/>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二、本报告期利润分配及资本公积金转增股本预案</w:t>
      </w:r>
      <w:r>
        <w:rPr>
          <w:b w:val="0"/>
          <w:bCs w:val="0"/>
        </w:rPr>
      </w:r>
    </w:p>
    <w:p>
      <w:pPr>
        <w:spacing w:line="240" w:lineRule="auto" w:before="7"/>
        <w:rPr>
          <w:rFonts w:ascii="宋体" w:hAnsi="宋体" w:cs="宋体" w:eastAsia="宋体" w:hint="default"/>
          <w:b/>
          <w:bCs/>
          <w:sz w:val="26"/>
          <w:szCs w:val="26"/>
        </w:rPr>
      </w:pPr>
    </w:p>
    <w:p>
      <w:pPr>
        <w:spacing w:line="338" w:lineRule="auto" w:before="0"/>
        <w:ind w:left="154" w:right="45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公司计划年度不派发现金红利，不送红股，不以公积金转增股本。</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before="0"/>
        <w:ind w:right="0"/>
        <w:jc w:val="left"/>
        <w:rPr>
          <w:b w:val="0"/>
          <w:bCs w:val="0"/>
        </w:rPr>
      </w:pPr>
      <w:r>
        <w:rPr>
          <w:rFonts w:ascii="Times New Roman" w:hAnsi="Times New Roman" w:cs="Times New Roman" w:eastAsia="Times New Roman" w:hint="default"/>
        </w:rPr>
        <w:t>1</w:t>
      </w:r>
      <w:r>
        <w:rPr/>
        <w:t>、公司、股东、实际控制人、收购人、董事、监事、高级管理人员或其他关联方在报告期内履行完毕及</w:t>
      </w:r>
      <w:r>
        <w:rPr>
          <w:spacing w:val="-74"/>
        </w:rPr>
        <w:t> </w:t>
      </w:r>
      <w:r>
        <w:rPr>
          <w:spacing w:val="-74"/>
        </w:rPr>
      </w:r>
      <w:r>
        <w:rPr/>
        <w:t>截至报告期末尚未履行完毕的承诺事项</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51"/>
        <w:gridCol w:w="709"/>
        <w:gridCol w:w="992"/>
        <w:gridCol w:w="4536"/>
        <w:gridCol w:w="850"/>
        <w:gridCol w:w="851"/>
        <w:gridCol w:w="779"/>
      </w:tblGrid>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5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85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收购报告</w:t>
            </w:r>
          </w:p>
        </w:tc>
        <w:tc>
          <w:tcPr>
            <w:tcW w:w="709"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4536"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r>
      <w:tr>
        <w:trPr>
          <w:trHeight w:val="311"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书或权益</w:t>
            </w: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变动报告</w:t>
            </w: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3"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书中所作</w:t>
            </w: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57" w:hRule="exact"/>
        </w:trPr>
        <w:tc>
          <w:tcPr>
            <w:tcW w:w="85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709"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53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r>
        <w:trPr>
          <w:trHeight w:val="357" w:hRule="exact"/>
        </w:trPr>
        <w:tc>
          <w:tcPr>
            <w:tcW w:w="851" w:type="dxa"/>
            <w:tcBorders>
              <w:top w:val="single" w:sz="4" w:space="0" w:color="000000"/>
              <w:left w:val="single" w:sz="4" w:space="0" w:color="000000"/>
              <w:bottom w:val="nil" w:sz="6" w:space="0" w:color="auto"/>
              <w:right w:val="single" w:sz="4" w:space="0" w:color="000000"/>
            </w:tcBorders>
            <w:shd w:val="clear" w:color="auto" w:fill="D3D3D3"/>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本人系上市公司的实际控制人之一，本人保证自本承诺函</w:t>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签署之日起至本次重组完成后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个月内，左强先生、厉</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97"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伟先生、崔京涛女士的上市公司实际控制人地位不发生变</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199"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53"/>
              <w:ind w:left="22" w:right="96"/>
              <w:jc w:val="both"/>
              <w:rPr>
                <w:rFonts w:ascii="宋体" w:hAnsi="宋体" w:cs="宋体" w:eastAsia="宋体" w:hint="default"/>
                <w:sz w:val="18"/>
                <w:szCs w:val="18"/>
              </w:rPr>
            </w:pPr>
            <w:r>
              <w:rPr>
                <w:rFonts w:ascii="宋体" w:hAnsi="宋体" w:cs="宋体" w:eastAsia="宋体" w:hint="default"/>
                <w:sz w:val="18"/>
                <w:szCs w:val="18"/>
              </w:rPr>
              <w:t>资产重组 时所作承 诺</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53"/>
              <w:ind w:left="22" w:right="84"/>
              <w:jc w:val="both"/>
              <w:rPr>
                <w:rFonts w:ascii="宋体" w:hAnsi="宋体" w:cs="宋体" w:eastAsia="宋体" w:hint="default"/>
                <w:sz w:val="18"/>
                <w:szCs w:val="18"/>
              </w:rPr>
            </w:pPr>
            <w:r>
              <w:rPr>
                <w:rFonts w:ascii="宋体" w:hAnsi="宋体" w:cs="宋体" w:eastAsia="宋体" w:hint="default"/>
                <w:sz w:val="18"/>
                <w:szCs w:val="18"/>
              </w:rPr>
              <w:t>崔京涛</w:t>
            </w:r>
            <w:r>
              <w:rPr>
                <w:rFonts w:ascii="Times New Roman" w:hAnsi="Times New Roman" w:cs="Times New Roman" w:eastAsia="Times New Roman" w:hint="default"/>
                <w:sz w:val="18"/>
                <w:szCs w:val="18"/>
              </w:rPr>
              <w:t>; </w:t>
            </w:r>
            <w:r>
              <w:rPr>
                <w:rFonts w:ascii="宋体" w:hAnsi="宋体" w:cs="宋体" w:eastAsia="宋体" w:hint="default"/>
                <w:sz w:val="18"/>
                <w:szCs w:val="18"/>
              </w:rPr>
              <w:t>厉伟</w:t>
            </w:r>
            <w:r>
              <w:rPr>
                <w:rFonts w:ascii="Times New Roman" w:hAnsi="Times New Roman" w:cs="Times New Roman" w:eastAsia="Times New Roman" w:hint="default"/>
                <w:sz w:val="18"/>
                <w:szCs w:val="18"/>
              </w:rPr>
              <w:t>;</w:t>
            </w:r>
            <w:r>
              <w:rPr>
                <w:rFonts w:ascii="宋体" w:hAnsi="宋体" w:cs="宋体" w:eastAsia="宋体" w:hint="default"/>
                <w:sz w:val="18"/>
                <w:szCs w:val="18"/>
              </w:rPr>
              <w:t>左 强</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312" w:lineRule="auto" w:before="20"/>
              <w:ind w:left="22" w:right="20"/>
              <w:jc w:val="left"/>
              <w:rPr>
                <w:rFonts w:ascii="宋体" w:hAnsi="宋体" w:cs="宋体" w:eastAsia="宋体" w:hint="default"/>
                <w:sz w:val="18"/>
                <w:szCs w:val="18"/>
              </w:rPr>
            </w:pPr>
            <w:r>
              <w:rPr>
                <w:rFonts w:ascii="宋体" w:hAnsi="宋体" w:cs="宋体" w:eastAsia="宋体" w:hint="default"/>
                <w:spacing w:val="-1"/>
                <w:sz w:val="18"/>
                <w:szCs w:val="18"/>
              </w:rPr>
              <w:t>化。本人系上市公司的实际控制人之一，为保证上市公司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控制权的稳定性，本人承诺，自本承诺函签署之日起至本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次重组完成后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个月内，本人不直接减持或不通过本人 </w:t>
            </w:r>
            <w:r>
              <w:rPr>
                <w:rFonts w:ascii="宋体" w:hAnsi="宋体" w:cs="宋体" w:eastAsia="宋体" w:hint="default"/>
                <w:spacing w:val="-1"/>
                <w:sz w:val="18"/>
                <w:szCs w:val="18"/>
              </w:rPr>
              <w:t>控制的企业间接减持上市公司股份；且保证在本次重组完</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成后</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个月期间内，左强先生、厉伟先生、崔 京涛女士及其一致行动人合计控制的上市公司股权比例 比余文胜持有的上市公司股权比例多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。本人进一步承</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314" w:lineRule="auto" w:before="157"/>
              <w:ind w:left="22" w:right="23"/>
              <w:jc w:val="left"/>
              <w:rPr>
                <w:rFonts w:ascii="宋体" w:hAnsi="宋体" w:cs="宋体" w:eastAsia="宋体" w:hint="default"/>
                <w:sz w:val="18"/>
                <w:szCs w:val="18"/>
              </w:rPr>
            </w:pPr>
            <w:r>
              <w:rPr>
                <w:rFonts w:ascii="宋体" w:hAnsi="宋体" w:cs="宋体" w:eastAsia="宋体" w:hint="default"/>
                <w:sz w:val="18"/>
                <w:szCs w:val="18"/>
              </w:rPr>
              <w:t>自本承诺 函签署之 日起至本 次重组完 成后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 月内</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24"/>
              <w:jc w:val="left"/>
              <w:rPr>
                <w:rFonts w:ascii="宋体" w:hAnsi="宋体" w:cs="宋体" w:eastAsia="宋体" w:hint="default"/>
                <w:sz w:val="18"/>
                <w:szCs w:val="18"/>
              </w:rPr>
            </w:pPr>
            <w:r>
              <w:rPr>
                <w:rFonts w:ascii="宋体" w:hAnsi="宋体" w:cs="宋体" w:eastAsia="宋体" w:hint="default"/>
                <w:sz w:val="18"/>
                <w:szCs w:val="18"/>
              </w:rPr>
              <w:t>截止到本 报告期 末，关于 实际控制 人地位承 诺仍在严 格履行中</w:t>
            </w:r>
          </w:p>
        </w:tc>
      </w:tr>
      <w:tr>
        <w:trPr>
          <w:trHeight w:val="307"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诺，本人在减持上市公司股份时，将严格按照中国证监会</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和深圳证券交易所届时有效的法律法规且在相关规定的</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851" w:type="dxa"/>
            <w:tcBorders>
              <w:top w:val="nil" w:sz="6" w:space="0" w:color="auto"/>
              <w:left w:val="single" w:sz="4" w:space="0" w:color="000000"/>
              <w:bottom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减持上限范围内进行减持，并及时履行相关信息披露义</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97.180298pt;margin-top:90.599998pt;width:156.2pt;height:672.8pt;mso-position-horizontal-relative:page;mso-position-vertical-relative:page;z-index:-1027888"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本人仍认可并尊重左强先生、</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16"/>
                      <w:szCs w:val="16"/>
                    </w:rPr>
                  </w:pPr>
                </w:p>
                <w:p>
                  <w:pPr>
                    <w:spacing w:before="0"/>
                    <w:ind w:left="1439" w:right="0" w:firstLine="720"/>
                    <w:jc w:val="lef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1"/>
                    <w:rPr>
                      <w:rFonts w:ascii="Times New Roman" w:hAnsi="Times New Roman" w:cs="Times New Roman" w:eastAsia="Times New Roman" w:hint="default"/>
                      <w:sz w:val="16"/>
                      <w:szCs w:val="16"/>
                    </w:rPr>
                  </w:pPr>
                </w:p>
                <w:p>
                  <w:pPr>
                    <w:spacing w:before="0"/>
                    <w:ind w:left="1261" w:right="0" w:firstLine="178"/>
                    <w:jc w:val="left"/>
                    <w:rPr>
                      <w:rFonts w:ascii="宋体" w:hAnsi="宋体" w:cs="宋体" w:eastAsia="宋体" w:hint="default"/>
                      <w:sz w:val="18"/>
                      <w:szCs w:val="18"/>
                    </w:rPr>
                  </w:pPr>
                  <w:r>
                    <w:rPr>
                      <w:rFonts w:ascii="宋体" w:hAnsi="宋体" w:cs="宋体" w:eastAsia="宋体" w:hint="default"/>
                      <w:sz w:val="18"/>
                      <w:szCs w:val="18"/>
                    </w:rPr>
                    <w:t>厉伟先生、</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5"/>
                      <w:szCs w:val="25"/>
                    </w:rPr>
                  </w:pPr>
                </w:p>
                <w:p>
                  <w:pPr>
                    <w:spacing w:before="0"/>
                    <w:ind w:left="899" w:right="0" w:firstLine="361"/>
                    <w:jc w:val="left"/>
                    <w:rPr>
                      <w:rFonts w:ascii="宋体" w:hAnsi="宋体" w:cs="宋体" w:eastAsia="宋体" w:hint="default"/>
                      <w:sz w:val="18"/>
                      <w:szCs w:val="18"/>
                    </w:rPr>
                  </w:pPr>
                  <w:r>
                    <w:rPr>
                      <w:rFonts w:ascii="宋体" w:hAnsi="宋体" w:cs="宋体" w:eastAsia="宋体" w:hint="default"/>
                      <w:sz w:val="18"/>
                      <w:szCs w:val="18"/>
                    </w:rPr>
                    <w:t>如左强先生、</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5"/>
                      <w:szCs w:val="25"/>
                    </w:rPr>
                  </w:pPr>
                </w:p>
                <w:p>
                  <w:pPr>
                    <w:spacing w:before="0"/>
                    <w:ind w:left="1259" w:right="0" w:hanging="360"/>
                    <w:jc w:val="left"/>
                    <w:rPr>
                      <w:rFonts w:ascii="宋体" w:hAnsi="宋体" w:cs="宋体" w:eastAsia="宋体" w:hint="default"/>
                      <w:sz w:val="18"/>
                      <w:szCs w:val="18"/>
                    </w:rPr>
                  </w:pPr>
                  <w:r>
                    <w:rPr>
                      <w:rFonts w:ascii="宋体" w:hAnsi="宋体" w:cs="宋体" w:eastAsia="宋体" w:hint="default"/>
                      <w:sz w:val="18"/>
                      <w:szCs w:val="18"/>
                    </w:rPr>
                    <w:t>以确保左强先生、</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4"/>
                    <w:rPr>
                      <w:rFonts w:ascii="Times New Roman" w:hAnsi="Times New Roman" w:cs="Times New Roman" w:eastAsia="Times New Roman" w:hint="default"/>
                      <w:sz w:val="16"/>
                      <w:szCs w:val="16"/>
                    </w:rPr>
                  </w:pPr>
                </w:p>
                <w:p>
                  <w:pPr>
                    <w:spacing w:before="0"/>
                    <w:ind w:left="1259" w:right="0" w:firstLine="0"/>
                    <w:jc w:val="left"/>
                    <w:rPr>
                      <w:rFonts w:ascii="宋体" w:hAnsi="宋体" w:cs="宋体" w:eastAsia="宋体" w:hint="default"/>
                      <w:sz w:val="18"/>
                      <w:szCs w:val="18"/>
                    </w:rPr>
                  </w:pPr>
                  <w:r>
                    <w:rPr>
                      <w:rFonts w:ascii="宋体" w:hAnsi="宋体" w:cs="宋体" w:eastAsia="宋体" w:hint="default"/>
                      <w:sz w:val="18"/>
                      <w:szCs w:val="18"/>
                    </w:rPr>
                    <w:t>征集投票权、</w:t>
                  </w:r>
                </w:p>
              </w:txbxContent>
            </v:textbox>
            <w10:wrap type="none"/>
          </v:shape>
        </w:pict>
      </w:r>
      <w:r>
        <w:rPr/>
        <w:pict>
          <v:group style="position:absolute;margin-left:411.359985pt;margin-top:90.599998pt;width:42pt;height:672.8pt;mso-position-horizontal-relative:page;mso-position-vertical-relative:page;z-index:-1027864" coordorigin="8227,1812" coordsize="840,13456">
            <v:group style="position:absolute;left:8227;top:1812;width:840;height:13456" coordorigin="8227,1812" coordsize="840,13456">
              <v:shape style="position:absolute;left:8227;top:1812;width:840;height:13456" coordorigin="8227,1812" coordsize="840,13456" path="m8227,15268l9067,15268,9067,1812,8227,1812,8227,15268xe" filled="true" fillcolor="#ffffff" stroked="false">
                <v:path arrowok="t"/>
                <v:fill type="solid"/>
              </v:shape>
            </v:group>
            <v:group style="position:absolute;left:8250;top:8188;width:795;height:353" coordorigin="8250,8188" coordsize="795,353">
              <v:shape style="position:absolute;left:8250;top:8188;width:795;height:353" coordorigin="8250,8188" coordsize="795,353" path="m8250,8540l9044,8540,9044,8188,8250,8188,8250,8540xe" filled="true" fillcolor="#ffffff" stroked="false">
                <v:path arrowok="t"/>
                <v:fill type="solid"/>
              </v:shape>
            </v:group>
            <v:group style="position:absolute;left:8250;top:8540;width:795;height:352" coordorigin="8250,8540" coordsize="795,352">
              <v:shape style="position:absolute;left:8250;top:8540;width:795;height:352" coordorigin="8250,8540" coordsize="795,352" path="m8250,8892l9044,8892,9044,8540,8250,8540,8250,889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51"/>
        <w:gridCol w:w="709"/>
        <w:gridCol w:w="992"/>
        <w:gridCol w:w="4536"/>
        <w:gridCol w:w="850"/>
        <w:gridCol w:w="851"/>
        <w:gridCol w:w="779"/>
      </w:tblGrid>
      <w:tr>
        <w:trPr>
          <w:trHeight w:val="362" w:hRule="exact"/>
        </w:trPr>
        <w:tc>
          <w:tcPr>
            <w:tcW w:w="851" w:type="dxa"/>
            <w:vMerge w:val="restart"/>
            <w:tcBorders>
              <w:top w:val="single" w:sz="4" w:space="0" w:color="000000"/>
              <w:left w:val="single" w:sz="4" w:space="0" w:color="000000"/>
              <w:right w:val="single" w:sz="4" w:space="0" w:color="000000"/>
            </w:tcBorders>
            <w:shd w:val="clear" w:color="auto" w:fill="D3D3D3"/>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务，保证减持股份事宜合法合规。</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851" w:type="dxa"/>
            <w:vMerge/>
            <w:tcBorders>
              <w:left w:val="single" w:sz="4" w:space="0" w:color="000000"/>
              <w:right w:val="single" w:sz="4" w:space="0" w:color="000000"/>
            </w:tcBorders>
            <w:shd w:val="clear" w:color="auto" w:fill="D3D3D3"/>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本次交易完成后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w:t>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厉伟先生、崔京涛女士的上市公司控股股东和实际控制人</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地位，不对左强先生、厉伟先生、崔京涛女士在上市公司</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经营发展中的实际控制地位提出任何形式的异议，本人不</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通过任何方式单独或与他人共同谋求上市公司实际控制</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权。本次交易完成后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个月内，本人不主动直接或通过</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本人所控制的企业间接增持上市公司股份</w:t>
            </w:r>
            <w:r>
              <w:rPr>
                <w:rFonts w:ascii="Times New Roman" w:hAnsi="Times New Roman" w:cs="Times New Roman" w:eastAsia="Times New Roman" w:hint="default"/>
                <w:sz w:val="18"/>
                <w:szCs w:val="18"/>
              </w:rPr>
              <w:t>(</w:t>
            </w:r>
            <w:r>
              <w:rPr>
                <w:rFonts w:ascii="宋体" w:hAnsi="宋体" w:cs="宋体" w:eastAsia="宋体" w:hint="default"/>
                <w:sz w:val="18"/>
                <w:szCs w:val="18"/>
              </w:rPr>
              <w:t>包括但不限于</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本人或通过本人所控制的企业在二级市场增持上市公司</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股份</w:t>
            </w:r>
            <w:r>
              <w:rPr>
                <w:rFonts w:ascii="宋体" w:hAnsi="宋体" w:cs="宋体" w:eastAsia="宋体" w:hint="default"/>
                <w:spacing w:val="-86"/>
                <w:sz w:val="18"/>
                <w:szCs w:val="18"/>
              </w:rPr>
              <w:t>、</w:t>
            </w:r>
            <w:r>
              <w:rPr>
                <w:rFonts w:ascii="宋体" w:hAnsi="宋体" w:cs="宋体" w:eastAsia="宋体" w:hint="default"/>
                <w:sz w:val="18"/>
                <w:szCs w:val="18"/>
              </w:rPr>
              <w:t>协议受让上市公司股份</w:t>
            </w:r>
            <w:r>
              <w:rPr>
                <w:rFonts w:ascii="宋体" w:hAnsi="宋体" w:cs="宋体" w:eastAsia="宋体" w:hint="default"/>
                <w:spacing w:val="-86"/>
                <w:sz w:val="18"/>
                <w:szCs w:val="18"/>
              </w:rPr>
              <w:t>、</w:t>
            </w:r>
            <w:r>
              <w:rPr>
                <w:rFonts w:ascii="宋体" w:hAnsi="宋体" w:cs="宋体" w:eastAsia="宋体" w:hint="default"/>
                <w:sz w:val="18"/>
                <w:szCs w:val="18"/>
              </w:rPr>
              <w:t>认购上市公司新增股份等</w:t>
            </w:r>
            <w:r>
              <w:rPr>
                <w:rFonts w:ascii="Times New Roman" w:hAnsi="Times New Roman" w:cs="Times New Roman" w:eastAsia="Times New Roman" w:hint="default"/>
                <w:sz w:val="18"/>
                <w:szCs w:val="18"/>
              </w:rPr>
              <w:t>)</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也不主动通过本人关联方或其他一致行动人直接或间接</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增持上市公司股份，但因上市公司以资本公积金转增股</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本、送红股等非本人单方意愿形成的被动增持除外；本次</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交易完成</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个月后至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 </w:t>
            </w:r>
            <w:r>
              <w:rPr>
                <w:rFonts w:ascii="宋体" w:hAnsi="宋体" w:cs="宋体" w:eastAsia="宋体" w:hint="default"/>
                <w:spacing w:val="-6"/>
                <w:sz w:val="18"/>
                <w:szCs w:val="18"/>
              </w:rPr>
              <w:t>个月内，如左强先生、</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崔京涛女士及其一致行动人增持上市公司股份的，则本人</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包括本人的关联方或其他一致行动人</w:t>
            </w:r>
            <w:r>
              <w:rPr>
                <w:rFonts w:ascii="Times New Roman" w:hAnsi="Times New Roman" w:cs="Times New Roman" w:eastAsia="Times New Roman" w:hint="default"/>
                <w:sz w:val="18"/>
                <w:szCs w:val="18"/>
              </w:rPr>
              <w:t>)</w:t>
            </w:r>
            <w:r>
              <w:rPr>
                <w:rFonts w:ascii="宋体" w:hAnsi="宋体" w:cs="宋体" w:eastAsia="宋体" w:hint="default"/>
                <w:sz w:val="18"/>
                <w:szCs w:val="18"/>
              </w:rPr>
              <w:t>可以相应增持股</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份，但本人</w:t>
            </w:r>
            <w:r>
              <w:rPr>
                <w:rFonts w:ascii="Times New Roman" w:hAnsi="Times New Roman" w:cs="Times New Roman" w:eastAsia="Times New Roman" w:hint="default"/>
                <w:sz w:val="18"/>
                <w:szCs w:val="18"/>
              </w:rPr>
              <w:t>(</w:t>
            </w:r>
            <w:r>
              <w:rPr>
                <w:rFonts w:ascii="宋体" w:hAnsi="宋体" w:cs="宋体" w:eastAsia="宋体" w:hint="default"/>
                <w:sz w:val="18"/>
                <w:szCs w:val="18"/>
              </w:rPr>
              <w:t>包括本人的关联方或其他一致行动人</w:t>
            </w:r>
            <w:r>
              <w:rPr>
                <w:rFonts w:ascii="Times New Roman" w:hAnsi="Times New Roman" w:cs="Times New Roman" w:eastAsia="Times New Roman" w:hint="default"/>
                <w:sz w:val="18"/>
                <w:szCs w:val="18"/>
              </w:rPr>
              <w:t>)</w:t>
            </w:r>
            <w:r>
              <w:rPr>
                <w:rFonts w:ascii="宋体" w:hAnsi="宋体" w:cs="宋体" w:eastAsia="宋体" w:hint="default"/>
                <w:sz w:val="18"/>
                <w:szCs w:val="18"/>
              </w:rPr>
              <w:t>承诺相</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应增持上市公司的股权比例不超过左强先生、厉伟先生、</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808"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309"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崔京涛女士及其一致行动人该次增持的上市公司股权比 </w:t>
            </w:r>
            <w:r>
              <w:rPr>
                <w:rFonts w:ascii="宋体" w:hAnsi="宋体" w:cs="宋体" w:eastAsia="宋体" w:hint="default"/>
                <w:spacing w:val="-1"/>
                <w:sz w:val="18"/>
                <w:szCs w:val="18"/>
              </w:rPr>
              <w:t>例，以确保左强先生、厉伟先生、崔京涛女士对上市公司</w:t>
            </w:r>
            <w:r>
              <w:rPr>
                <w:rFonts w:ascii="宋体" w:hAnsi="宋体" w:cs="宋体" w:eastAsia="宋体" w:hint="default"/>
                <w:sz w:val="18"/>
                <w:szCs w:val="18"/>
              </w:rPr>
              <w:t> 的实际控制权。本次交易完成后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 </w:t>
            </w:r>
            <w:r>
              <w:rPr>
                <w:rFonts w:ascii="宋体" w:hAnsi="宋体" w:cs="宋体" w:eastAsia="宋体" w:hint="default"/>
                <w:spacing w:val="-1"/>
                <w:sz w:val="18"/>
                <w:szCs w:val="18"/>
              </w:rPr>
              <w:t>厉伟先生、崔京涛女士及其一致行动人减持上市公司股份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的，则本人</w:t>
            </w:r>
            <w:r>
              <w:rPr>
                <w:rFonts w:ascii="Times New Roman" w:hAnsi="Times New Roman" w:cs="Times New Roman" w:eastAsia="Times New Roman" w:hint="default"/>
                <w:sz w:val="18"/>
                <w:szCs w:val="18"/>
              </w:rPr>
              <w:t>(</w:t>
            </w:r>
            <w:r>
              <w:rPr>
                <w:rFonts w:ascii="宋体" w:hAnsi="宋体" w:cs="宋体" w:eastAsia="宋体" w:hint="default"/>
                <w:sz w:val="18"/>
                <w:szCs w:val="18"/>
              </w:rPr>
              <w:t>包括本人的关联方或其他一致行动人</w:t>
            </w:r>
            <w:r>
              <w:rPr>
                <w:rFonts w:ascii="Times New Roman" w:hAnsi="Times New Roman" w:cs="Times New Roman" w:eastAsia="Times New Roman" w:hint="default"/>
                <w:sz w:val="18"/>
                <w:szCs w:val="18"/>
              </w:rPr>
              <w:t>)</w:t>
            </w:r>
            <w:r>
              <w:rPr>
                <w:rFonts w:ascii="宋体" w:hAnsi="宋体" w:cs="宋体" w:eastAsia="宋体" w:hint="default"/>
                <w:sz w:val="18"/>
                <w:szCs w:val="18"/>
              </w:rPr>
              <w:t>待持有 的上市公司股份锁定期满后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个交易日内亦减持相应股 </w:t>
            </w:r>
            <w:r>
              <w:rPr>
                <w:rFonts w:ascii="宋体" w:hAnsi="宋体" w:cs="宋体" w:eastAsia="宋体" w:hint="default"/>
                <w:spacing w:val="-1"/>
                <w:sz w:val="18"/>
                <w:szCs w:val="18"/>
              </w:rPr>
              <w:t>份，直至与左强先生、厉伟先生、崔京涛女士及其一致行</w:t>
            </w:r>
            <w:r>
              <w:rPr>
                <w:rFonts w:ascii="宋体" w:hAnsi="宋体" w:cs="宋体" w:eastAsia="宋体" w:hint="default"/>
                <w:sz w:val="18"/>
                <w:szCs w:val="18"/>
              </w:rPr>
              <w:t> 动人合计控制的上市公司股份相差</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 </w:t>
            </w:r>
            <w:r>
              <w:rPr>
                <w:rFonts w:ascii="宋体" w:hAnsi="宋体" w:cs="宋体" w:eastAsia="宋体" w:hint="default"/>
                <w:spacing w:val="-1"/>
                <w:sz w:val="18"/>
                <w:szCs w:val="18"/>
              </w:rPr>
              <w:t>厉伟先生、崔京涛女士对上市公司的实际控制权。本人进</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0"/>
              <w:ind w:left="22" w:right="96"/>
              <w:jc w:val="left"/>
              <w:rPr>
                <w:rFonts w:ascii="宋体" w:hAnsi="宋体" w:cs="宋体" w:eastAsia="宋体" w:hint="default"/>
                <w:sz w:val="18"/>
                <w:szCs w:val="18"/>
              </w:rPr>
            </w:pPr>
            <w:r>
              <w:rPr>
                <w:rFonts w:ascii="宋体" w:hAnsi="宋体" w:cs="宋体" w:eastAsia="宋体" w:hint="default"/>
                <w:sz w:val="18"/>
                <w:szCs w:val="18"/>
              </w:rPr>
              <w:t>本次交易 完成后</w:t>
            </w:r>
          </w:p>
          <w:p>
            <w:pPr>
              <w:pStyle w:val="TableParagraph"/>
              <w:spacing w:line="302" w:lineRule="auto" w:before="19"/>
              <w:ind w:left="22" w:right="186"/>
              <w:jc w:val="left"/>
              <w:rPr>
                <w:rFonts w:ascii="宋体" w:hAnsi="宋体" w:cs="宋体" w:eastAsia="宋体" w:hint="default"/>
                <w:sz w:val="18"/>
                <w:szCs w:val="18"/>
              </w:rPr>
            </w:pPr>
            <w:r>
              <w:rPr>
                <w:rFonts w:ascii="Times New Roman" w:hAnsi="Times New Roman" w:cs="Times New Roman" w:eastAsia="Times New Roman" w:hint="default"/>
                <w:sz w:val="18"/>
                <w:szCs w:val="18"/>
              </w:rPr>
              <w:t>36 </w:t>
            </w:r>
            <w:r>
              <w:rPr>
                <w:rFonts w:ascii="宋体" w:hAnsi="宋体" w:cs="宋体" w:eastAsia="宋体" w:hint="default"/>
                <w:sz w:val="18"/>
                <w:szCs w:val="18"/>
              </w:rPr>
              <w:t>个月 内</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319" w:lineRule="auto" w:before="147"/>
              <w:ind w:left="22" w:right="24"/>
              <w:jc w:val="left"/>
              <w:rPr>
                <w:rFonts w:ascii="宋体" w:hAnsi="宋体" w:cs="宋体" w:eastAsia="宋体" w:hint="default"/>
                <w:sz w:val="18"/>
                <w:szCs w:val="18"/>
              </w:rPr>
            </w:pPr>
            <w:r>
              <w:rPr>
                <w:rFonts w:ascii="宋体" w:hAnsi="宋体" w:cs="宋体" w:eastAsia="宋体" w:hint="default"/>
                <w:sz w:val="18"/>
                <w:szCs w:val="18"/>
              </w:rPr>
              <w:t>截止到本 报告期 末，关于 实际控制 地位及控 制权承诺 仍在严格 履行中</w:t>
            </w: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一步承诺，本人在减持上市公司股份时，将严格按照中国</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证监会和深圳证券交易所届时有效的法律法规且在相关</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规定的减持上限范围内进行减持，并及时履行相关信息披</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露义务，保证减持股份事宜合法合规。本次交易完成后</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36</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3"/>
                <w:sz w:val="18"/>
                <w:szCs w:val="18"/>
              </w:rPr>
              <w:t>个月内，本人不通过包括但不限于接受委托、</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协议等任何方式扩大在上市公司的股份表决权，不与上市</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公司其他任何股东，包括但不限于上海金融发展投资基金</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、深圳市创新投资集团有限公司、深圳市万达</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高创投投资有限公司、深圳市天图兴瑞创业投资有限公</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司、深圳市松禾成长创业投资合伙企业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鹏信股权投资基金企业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、安徽君悦投资有限公</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司、杭州涌源睿信创业投资企业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、杨诗晴、王</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海琳、王维珍在内的上市公司其他股东采取一致行动，或</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通过协议、其他安排与上市公司其他股东共同扩大其所能</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够支配的上市公司股份表决权。本次交易完成后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个月</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内</w:t>
            </w:r>
            <w:r>
              <w:rPr>
                <w:rFonts w:ascii="宋体" w:hAnsi="宋体" w:cs="宋体" w:eastAsia="宋体" w:hint="default"/>
                <w:spacing w:val="-81"/>
                <w:sz w:val="18"/>
                <w:szCs w:val="18"/>
              </w:rPr>
              <w:t>，</w:t>
            </w:r>
            <w:r>
              <w:rPr>
                <w:rFonts w:ascii="宋体" w:hAnsi="宋体" w:cs="宋体" w:eastAsia="宋体" w:hint="default"/>
                <w:sz w:val="18"/>
                <w:szCs w:val="18"/>
              </w:rPr>
              <w:t>本人不与其他任何投资人</w:t>
            </w:r>
            <w:r>
              <w:rPr>
                <w:rFonts w:ascii="Times New Roman" w:hAnsi="Times New Roman" w:cs="Times New Roman" w:eastAsia="Times New Roman" w:hint="default"/>
                <w:sz w:val="18"/>
                <w:szCs w:val="18"/>
              </w:rPr>
              <w:t>(</w:t>
            </w:r>
            <w:r>
              <w:rPr>
                <w:rFonts w:ascii="宋体" w:hAnsi="宋体" w:cs="宋体" w:eastAsia="宋体" w:hint="default"/>
                <w:sz w:val="18"/>
                <w:szCs w:val="18"/>
              </w:rPr>
              <w:t>不论该投资人是否为上市公</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851" w:type="dxa"/>
            <w:vMerge/>
            <w:tcBorders>
              <w:left w:val="single" w:sz="4" w:space="0" w:color="000000"/>
              <w:bottom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司股东</w:t>
            </w:r>
            <w:r>
              <w:rPr>
                <w:rFonts w:ascii="Times New Roman" w:hAnsi="Times New Roman" w:cs="Times New Roman" w:eastAsia="Times New Roman" w:hint="default"/>
                <w:sz w:val="18"/>
                <w:szCs w:val="18"/>
              </w:rPr>
              <w:t>)</w:t>
            </w:r>
            <w:r>
              <w:rPr>
                <w:rFonts w:ascii="宋体" w:hAnsi="宋体" w:cs="宋体" w:eastAsia="宋体" w:hint="default"/>
                <w:sz w:val="18"/>
                <w:szCs w:val="18"/>
              </w:rPr>
              <w:t>签订一致行动协议以谋求对上市公司的实际控制</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51"/>
        <w:gridCol w:w="709"/>
        <w:gridCol w:w="992"/>
        <w:gridCol w:w="4536"/>
        <w:gridCol w:w="850"/>
        <w:gridCol w:w="851"/>
        <w:gridCol w:w="779"/>
      </w:tblGrid>
      <w:tr>
        <w:trPr>
          <w:trHeight w:val="362" w:hRule="exact"/>
        </w:trPr>
        <w:tc>
          <w:tcPr>
            <w:tcW w:w="851" w:type="dxa"/>
            <w:vMerge w:val="restart"/>
            <w:tcBorders>
              <w:top w:val="single" w:sz="4" w:space="0" w:color="000000"/>
              <w:left w:val="single" w:sz="4" w:space="0" w:color="000000"/>
              <w:right w:val="single" w:sz="4" w:space="0" w:color="000000"/>
            </w:tcBorders>
            <w:shd w:val="clear" w:color="auto" w:fill="D3D3D3"/>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权。</w:t>
            </w: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851" w:type="dxa"/>
            <w:vMerge/>
            <w:tcBorders>
              <w:left w:val="single" w:sz="4" w:space="0" w:color="000000"/>
              <w:right w:val="single" w:sz="4" w:space="0" w:color="000000"/>
            </w:tcBorders>
            <w:shd w:val="clear" w:color="auto" w:fill="D3D3D3"/>
          </w:tcPr>
          <w:p>
            <w:pP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92" w:type="dxa"/>
            <w:tcBorders>
              <w:top w:val="single" w:sz="4" w:space="0" w:color="000000"/>
              <w:left w:val="single" w:sz="4" w:space="0" w:color="000000"/>
              <w:bottom w:val="nil" w:sz="6" w:space="0" w:color="auto"/>
              <w:right w:val="single" w:sz="4" w:space="0" w:color="000000"/>
            </w:tcBorders>
          </w:tcPr>
          <w:p>
            <w:pPr/>
          </w:p>
        </w:tc>
        <w:tc>
          <w:tcPr>
            <w:tcW w:w="4536"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创新投</w:t>
            </w: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资集团</w:t>
            </w: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金融发</w:t>
            </w: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展投资</w:t>
            </w: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7"/>
                <w:sz w:val="18"/>
                <w:szCs w:val="18"/>
              </w:rPr>
              <w:t>基金（有</w:t>
            </w: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限合</w:t>
            </w: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伙）</w:t>
            </w:r>
            <w:r>
              <w:rPr>
                <w:rFonts w:ascii="Times New Roman" w:hAnsi="Times New Roman" w:cs="Times New Roman" w:eastAsia="Times New Roman" w:hint="default"/>
                <w:sz w:val="18"/>
                <w:szCs w:val="18"/>
              </w:rPr>
              <w:t>;</w:t>
            </w:r>
            <w:r>
              <w:rPr>
                <w:rFonts w:ascii="宋体" w:hAnsi="宋体" w:cs="宋体" w:eastAsia="宋体" w:hint="default"/>
                <w:sz w:val="18"/>
                <w:szCs w:val="18"/>
              </w:rPr>
              <w:t>深</w:t>
            </w: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圳市万</w:t>
            </w: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达高创</w:t>
            </w: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投投资</w:t>
            </w: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深圳</w:t>
            </w: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491"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312" w:lineRule="auto" w:before="5"/>
              <w:ind w:left="22" w:right="84"/>
              <w:jc w:val="both"/>
              <w:rPr>
                <w:rFonts w:ascii="宋体" w:hAnsi="宋体" w:cs="宋体" w:eastAsia="宋体" w:hint="default"/>
                <w:sz w:val="18"/>
                <w:szCs w:val="18"/>
              </w:rPr>
            </w:pPr>
            <w:r>
              <w:rPr>
                <w:rFonts w:ascii="宋体" w:hAnsi="宋体" w:cs="宋体" w:eastAsia="宋体" w:hint="default"/>
                <w:sz w:val="18"/>
                <w:szCs w:val="18"/>
              </w:rPr>
              <w:t>市天图 兴瑞创 业投资 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王维 珍</w:t>
            </w:r>
            <w:r>
              <w:rPr>
                <w:rFonts w:ascii="Times New Roman" w:hAnsi="Times New Roman" w:cs="Times New Roman" w:eastAsia="Times New Roman" w:hint="default"/>
                <w:sz w:val="18"/>
                <w:szCs w:val="18"/>
              </w:rPr>
              <w:t>;</w:t>
            </w:r>
            <w:r>
              <w:rPr>
                <w:rFonts w:ascii="宋体" w:hAnsi="宋体" w:cs="宋体" w:eastAsia="宋体" w:hint="default"/>
                <w:sz w:val="18"/>
                <w:szCs w:val="18"/>
              </w:rPr>
              <w:t>深圳 鹏信股 权投资</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5"/>
              <w:ind w:left="22" w:right="59"/>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15"/>
              <w:ind w:left="22" w:right="20"/>
              <w:jc w:val="left"/>
              <w:rPr>
                <w:rFonts w:ascii="宋体" w:hAnsi="宋体" w:cs="宋体" w:eastAsia="宋体" w:hint="default"/>
                <w:sz w:val="18"/>
                <w:szCs w:val="18"/>
              </w:rPr>
            </w:pPr>
            <w:r>
              <w:rPr>
                <w:rFonts w:ascii="宋体" w:hAnsi="宋体" w:cs="宋体" w:eastAsia="宋体" w:hint="default"/>
                <w:spacing w:val="-3"/>
                <w:sz w:val="18"/>
                <w:szCs w:val="18"/>
              </w:rPr>
              <w:t>本单位</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本人通过本次交易而认购取得的荣信股份股份，自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股份发行结束之日起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个月内不得转让。</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02"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个月 内</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截止到本 报告期 末，关于 股份限售 承诺仍在 严格履行 中</w:t>
            </w: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基金企</w:t>
            </w: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7"/>
                <w:sz w:val="18"/>
                <w:szCs w:val="18"/>
              </w:rPr>
              <w:t>业（有限</w:t>
            </w: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杭州涌</w:t>
            </w: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源睿信</w:t>
            </w: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创业投</w:t>
            </w: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资企业</w:t>
            </w: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王海琳</w:t>
            </w:r>
            <w:r>
              <w:rPr>
                <w:rFonts w:ascii="Times New Roman" w:hAnsi="Times New Roman" w:cs="Times New Roman" w:eastAsia="Times New Roman" w:hint="default"/>
                <w:sz w:val="18"/>
                <w:szCs w:val="18"/>
              </w:rPr>
              <w:t>;</w:t>
            </w: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安徽君</w:t>
            </w: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悦投资</w:t>
            </w: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有限公</w:t>
            </w: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杨诗</w:t>
            </w: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晴</w:t>
            </w:r>
          </w:p>
        </w:tc>
        <w:tc>
          <w:tcPr>
            <w:tcW w:w="992" w:type="dxa"/>
            <w:tcBorders>
              <w:top w:val="nil" w:sz="6" w:space="0" w:color="auto"/>
              <w:left w:val="single" w:sz="4" w:space="0" w:color="000000"/>
              <w:bottom w:val="single" w:sz="4" w:space="0" w:color="000000"/>
              <w:right w:val="single" w:sz="4" w:space="0" w:color="000000"/>
            </w:tcBorders>
          </w:tcPr>
          <w:p>
            <w:pPr/>
          </w:p>
        </w:tc>
        <w:tc>
          <w:tcPr>
            <w:tcW w:w="4536"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r>
        <w:trPr>
          <w:trHeight w:val="1610" w:hRule="exact"/>
        </w:trPr>
        <w:tc>
          <w:tcPr>
            <w:tcW w:w="851" w:type="dxa"/>
            <w:vMerge/>
            <w:tcBorders>
              <w:left w:val="single" w:sz="4" w:space="0" w:color="000000"/>
              <w:bottom w:val="single" w:sz="4" w:space="0" w:color="000000"/>
              <w:right w:val="single" w:sz="4" w:space="0" w:color="000000"/>
            </w:tcBorders>
            <w:shd w:val="clear" w:color="auto" w:fill="D3D3D3"/>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34"/>
              <w:jc w:val="both"/>
              <w:rPr>
                <w:rFonts w:ascii="宋体" w:hAnsi="宋体" w:cs="宋体" w:eastAsia="宋体" w:hint="default"/>
                <w:sz w:val="18"/>
                <w:szCs w:val="18"/>
              </w:rPr>
            </w:pPr>
            <w:r>
              <w:rPr>
                <w:rFonts w:ascii="宋体" w:hAnsi="宋体" w:cs="宋体" w:eastAsia="宋体" w:hint="default"/>
                <w:sz w:val="18"/>
                <w:szCs w:val="18"/>
              </w:rPr>
              <w:t>深圳市 松禾资 本管理 有限公</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1"/>
                <w:sz w:val="18"/>
                <w:szCs w:val="18"/>
              </w:rPr>
              <w:t>本合伙企业通过本次交易而认购取得的荣信股份股份，自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股份发行结束之日起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个月内不得转让。</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02"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个月 内</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截止到本 报告期 末，关于 股份限售 承诺仍在</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51"/>
        <w:gridCol w:w="709"/>
        <w:gridCol w:w="992"/>
        <w:gridCol w:w="4536"/>
        <w:gridCol w:w="850"/>
        <w:gridCol w:w="851"/>
        <w:gridCol w:w="779"/>
      </w:tblGrid>
      <w:tr>
        <w:trPr>
          <w:trHeight w:val="674" w:hRule="exact"/>
        </w:trPr>
        <w:tc>
          <w:tcPr>
            <w:tcW w:w="851" w:type="dxa"/>
            <w:vMerge w:val="restart"/>
            <w:tcBorders>
              <w:top w:val="single" w:sz="4" w:space="0" w:color="000000"/>
              <w:left w:val="single" w:sz="4" w:space="0" w:color="000000"/>
              <w:right w:val="single" w:sz="4" w:space="0" w:color="000000"/>
            </w:tcBorders>
            <w:shd w:val="clear" w:color="auto" w:fill="D3D3D3"/>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92" w:type="dxa"/>
            <w:tcBorders>
              <w:top w:val="single" w:sz="4" w:space="0" w:color="000000"/>
              <w:left w:val="single" w:sz="4" w:space="0" w:color="000000"/>
              <w:bottom w:val="single" w:sz="4" w:space="0" w:color="000000"/>
              <w:right w:val="single" w:sz="4" w:space="0" w:color="000000"/>
            </w:tcBorders>
          </w:tcPr>
          <w:p>
            <w:pPr/>
          </w:p>
        </w:tc>
        <w:tc>
          <w:tcPr>
            <w:tcW w:w="45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4"/>
              <w:jc w:val="left"/>
              <w:rPr>
                <w:rFonts w:ascii="宋体" w:hAnsi="宋体" w:cs="宋体" w:eastAsia="宋体" w:hint="default"/>
                <w:sz w:val="18"/>
                <w:szCs w:val="18"/>
              </w:rPr>
            </w:pPr>
            <w:r>
              <w:rPr>
                <w:rFonts w:ascii="宋体" w:hAnsi="宋体" w:cs="宋体" w:eastAsia="宋体" w:hint="default"/>
                <w:sz w:val="18"/>
                <w:szCs w:val="18"/>
              </w:rPr>
              <w:t>严格履行 中</w:t>
            </w:r>
          </w:p>
        </w:tc>
      </w:tr>
      <w:tr>
        <w:trPr>
          <w:trHeight w:val="2274" w:hRule="exact"/>
        </w:trPr>
        <w:tc>
          <w:tcPr>
            <w:tcW w:w="851" w:type="dxa"/>
            <w:vMerge/>
            <w:tcBorders>
              <w:left w:val="single" w:sz="4" w:space="0" w:color="000000"/>
              <w:right w:val="single" w:sz="4" w:space="0" w:color="000000"/>
            </w:tcBorders>
            <w:shd w:val="clear" w:color="auto" w:fill="D3D3D3"/>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2" w:right="23"/>
              <w:jc w:val="left"/>
              <w:rPr>
                <w:rFonts w:ascii="宋体" w:hAnsi="宋体" w:cs="宋体" w:eastAsia="宋体" w:hint="default"/>
                <w:sz w:val="18"/>
                <w:szCs w:val="18"/>
              </w:rPr>
            </w:pPr>
            <w:r>
              <w:rPr>
                <w:rFonts w:ascii="宋体" w:hAnsi="宋体" w:cs="宋体" w:eastAsia="宋体" w:hint="default"/>
                <w:sz w:val="18"/>
                <w:szCs w:val="18"/>
              </w:rPr>
              <w:t>上海域 鸿投资 管理中 </w:t>
            </w:r>
            <w:r>
              <w:rPr>
                <w:rFonts w:ascii="宋体" w:hAnsi="宋体" w:cs="宋体" w:eastAsia="宋体" w:hint="default"/>
                <w:spacing w:val="-17"/>
                <w:sz w:val="18"/>
                <w:szCs w:val="18"/>
              </w:rPr>
              <w:t>心（有限</w:t>
            </w:r>
            <w:r>
              <w:rPr>
                <w:rFonts w:ascii="宋体" w:hAnsi="宋体" w:cs="宋体" w:eastAsia="宋体" w:hint="default"/>
                <w:sz w:val="18"/>
                <w:szCs w:val="18"/>
              </w:rPr>
              <w:t> 合伙）</w:t>
            </w:r>
            <w:r>
              <w:rPr>
                <w:rFonts w:ascii="Times New Roman" w:hAnsi="Times New Roman" w:cs="Times New Roman" w:eastAsia="Times New Roman" w:hint="default"/>
                <w:sz w:val="18"/>
                <w:szCs w:val="18"/>
              </w:rPr>
              <w:t>; </w:t>
            </w:r>
            <w:r>
              <w:rPr>
                <w:rFonts w:ascii="宋体" w:hAnsi="宋体" w:cs="宋体" w:eastAsia="宋体" w:hint="default"/>
                <w:sz w:val="18"/>
                <w:szCs w:val="18"/>
              </w:rPr>
              <w:t>孙慧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05"/>
              <w:ind w:left="22" w:right="20"/>
              <w:jc w:val="left"/>
              <w:rPr>
                <w:rFonts w:ascii="宋体" w:hAnsi="宋体" w:cs="宋体" w:eastAsia="宋体" w:hint="default"/>
                <w:sz w:val="18"/>
                <w:szCs w:val="18"/>
              </w:rPr>
            </w:pPr>
            <w:r>
              <w:rPr>
                <w:rFonts w:ascii="宋体" w:hAnsi="宋体" w:cs="宋体" w:eastAsia="宋体" w:hint="default"/>
                <w:spacing w:val="-1"/>
                <w:sz w:val="18"/>
                <w:szCs w:val="18"/>
              </w:rPr>
              <w:t>本人（或本合伙企业）本次以现金方式认购的荣信股份非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公开发行的股份，自股份发行结束之日起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 </w:t>
            </w:r>
            <w:r>
              <w:rPr>
                <w:rFonts w:ascii="宋体" w:hAnsi="宋体" w:cs="宋体" w:eastAsia="宋体" w:hint="default"/>
                <w:spacing w:val="-1"/>
                <w:sz w:val="18"/>
                <w:szCs w:val="18"/>
              </w:rPr>
              <w:t>让或上市交易；前述锁定期届满后其转让和交易将按照中</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国证监会和深圳证券交易所的有关规定执行。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02"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个月 内</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left"/>
              <w:rPr>
                <w:rFonts w:ascii="宋体" w:hAnsi="宋体" w:cs="宋体" w:eastAsia="宋体" w:hint="default"/>
                <w:sz w:val="18"/>
                <w:szCs w:val="18"/>
              </w:rPr>
            </w:pPr>
            <w:r>
              <w:rPr>
                <w:rFonts w:ascii="宋体" w:hAnsi="宋体" w:cs="宋体" w:eastAsia="宋体" w:hint="default"/>
                <w:sz w:val="18"/>
                <w:szCs w:val="18"/>
              </w:rPr>
              <w:t>截止到本 报告期 末，关于 股份限售 承诺仍在 严格履行 中</w:t>
            </w:r>
          </w:p>
        </w:tc>
      </w:tr>
      <w:tr>
        <w:trPr>
          <w:trHeight w:val="7890" w:hRule="exact"/>
        </w:trPr>
        <w:tc>
          <w:tcPr>
            <w:tcW w:w="851" w:type="dxa"/>
            <w:vMerge/>
            <w:tcBorders>
              <w:left w:val="single" w:sz="4" w:space="0" w:color="000000"/>
              <w:right w:val="single" w:sz="4" w:space="0" w:color="000000"/>
            </w:tcBorders>
            <w:shd w:val="clear" w:color="auto" w:fill="D3D3D3"/>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84"/>
              <w:jc w:val="both"/>
              <w:rPr>
                <w:rFonts w:ascii="宋体" w:hAnsi="宋体" w:cs="宋体" w:eastAsia="宋体" w:hint="default"/>
                <w:sz w:val="18"/>
                <w:szCs w:val="18"/>
              </w:rPr>
            </w:pPr>
            <w:r>
              <w:rPr>
                <w:rFonts w:ascii="宋体" w:hAnsi="宋体" w:cs="宋体" w:eastAsia="宋体" w:hint="default"/>
                <w:sz w:val="18"/>
                <w:szCs w:val="18"/>
              </w:rPr>
              <w:t>余文胜</w:t>
            </w:r>
            <w:r>
              <w:rPr>
                <w:rFonts w:ascii="Times New Roman" w:hAnsi="Times New Roman" w:cs="Times New Roman" w:eastAsia="Times New Roman" w:hint="default"/>
                <w:sz w:val="18"/>
                <w:szCs w:val="18"/>
              </w:rPr>
              <w:t>; </w:t>
            </w:r>
            <w:r>
              <w:rPr>
                <w:rFonts w:ascii="宋体" w:hAnsi="宋体" w:cs="宋体" w:eastAsia="宋体" w:hint="default"/>
                <w:sz w:val="18"/>
                <w:szCs w:val="18"/>
              </w:rPr>
              <w:t>陈新</w:t>
            </w:r>
            <w:r>
              <w:rPr>
                <w:rFonts w:ascii="Times New Roman" w:hAnsi="Times New Roman" w:cs="Times New Roman" w:eastAsia="Times New Roman" w:hint="default"/>
                <w:sz w:val="18"/>
                <w:szCs w:val="18"/>
              </w:rPr>
              <w:t>;</w:t>
            </w:r>
            <w:r>
              <w:rPr>
                <w:rFonts w:ascii="宋体" w:hAnsi="宋体" w:cs="宋体" w:eastAsia="宋体" w:hint="default"/>
                <w:sz w:val="18"/>
                <w:szCs w:val="18"/>
              </w:rPr>
              <w:t>黄 勇刚</w:t>
            </w:r>
            <w:r>
              <w:rPr>
                <w:rFonts w:ascii="Times New Roman" w:hAnsi="Times New Roman" w:cs="Times New Roman" w:eastAsia="Times New Roman" w:hint="default"/>
                <w:sz w:val="18"/>
                <w:szCs w:val="18"/>
              </w:rPr>
              <w:t>;</w:t>
            </w:r>
            <w:r>
              <w:rPr>
                <w:rFonts w:ascii="宋体" w:hAnsi="宋体" w:cs="宋体" w:eastAsia="宋体" w:hint="default"/>
                <w:sz w:val="18"/>
                <w:szCs w:val="18"/>
              </w:rPr>
              <w:t>深 圳市网 睿伟业 投资合 伙企业</w:t>
            </w:r>
          </w:p>
          <w:p>
            <w:pPr>
              <w:pStyle w:val="TableParagraph"/>
              <w:spacing w:line="312" w:lineRule="auto" w:before="24"/>
              <w:ind w:left="22" w:right="23"/>
              <w:jc w:val="left"/>
              <w:rPr>
                <w:rFonts w:ascii="宋体" w:hAnsi="宋体" w:cs="宋体" w:eastAsia="宋体" w:hint="default"/>
                <w:sz w:val="18"/>
                <w:szCs w:val="18"/>
              </w:rPr>
            </w:pPr>
            <w:r>
              <w:rPr>
                <w:rFonts w:ascii="宋体" w:hAnsi="宋体" w:cs="宋体" w:eastAsia="宋体" w:hint="default"/>
                <w:sz w:val="18"/>
                <w:szCs w:val="18"/>
              </w:rPr>
              <w:t>（有限 合伙）</w:t>
            </w:r>
            <w:r>
              <w:rPr>
                <w:rFonts w:ascii="Times New Roman" w:hAnsi="Times New Roman" w:cs="Times New Roman" w:eastAsia="Times New Roman" w:hint="default"/>
                <w:sz w:val="18"/>
                <w:szCs w:val="18"/>
              </w:rPr>
              <w:t>; </w:t>
            </w:r>
            <w:r>
              <w:rPr>
                <w:rFonts w:ascii="宋体" w:hAnsi="宋体" w:cs="宋体" w:eastAsia="宋体" w:hint="default"/>
                <w:sz w:val="18"/>
                <w:szCs w:val="18"/>
              </w:rPr>
              <w:t>深圳市 网兴伟 业投资 合伙企 </w:t>
            </w:r>
            <w:r>
              <w:rPr>
                <w:rFonts w:ascii="宋体" w:hAnsi="宋体" w:cs="宋体" w:eastAsia="宋体" w:hint="default"/>
                <w:spacing w:val="-17"/>
                <w:sz w:val="18"/>
                <w:szCs w:val="18"/>
              </w:rPr>
              <w:t>业（有限</w:t>
            </w:r>
            <w:r>
              <w:rPr>
                <w:rFonts w:ascii="宋体" w:hAnsi="宋体" w:cs="宋体" w:eastAsia="宋体" w:hint="default"/>
                <w:sz w:val="18"/>
                <w:szCs w:val="18"/>
              </w:rPr>
              <w:t> 合伙）</w:t>
            </w:r>
            <w:r>
              <w:rPr>
                <w:rFonts w:ascii="Times New Roman" w:hAnsi="Times New Roman" w:cs="Times New Roman" w:eastAsia="Times New Roman" w:hint="default"/>
                <w:sz w:val="18"/>
                <w:szCs w:val="18"/>
              </w:rPr>
              <w:t>; </w:t>
            </w:r>
            <w:r>
              <w:rPr>
                <w:rFonts w:ascii="宋体" w:hAnsi="宋体" w:cs="宋体" w:eastAsia="宋体" w:hint="default"/>
                <w:sz w:val="18"/>
                <w:szCs w:val="18"/>
              </w:rPr>
              <w:t>深圳市 网智伟 业投资 合伙企 </w:t>
            </w:r>
            <w:r>
              <w:rPr>
                <w:rFonts w:ascii="宋体" w:hAnsi="宋体" w:cs="宋体" w:eastAsia="宋体" w:hint="default"/>
                <w:spacing w:val="-17"/>
                <w:sz w:val="18"/>
                <w:szCs w:val="18"/>
              </w:rPr>
              <w:t>业（有限</w:t>
            </w:r>
            <w:r>
              <w:rPr>
                <w:rFonts w:ascii="宋体" w:hAnsi="宋体" w:cs="宋体" w:eastAsia="宋体" w:hint="default"/>
                <w:sz w:val="18"/>
                <w:szCs w:val="18"/>
              </w:rPr>
              <w:t> 合伙）</w:t>
            </w:r>
            <w:r>
              <w:rPr>
                <w:rFonts w:ascii="Times New Roman" w:hAnsi="Times New Roman" w:cs="Times New Roman" w:eastAsia="Times New Roman" w:hint="default"/>
                <w:sz w:val="18"/>
                <w:szCs w:val="18"/>
              </w:rPr>
              <w:t>; </w:t>
            </w:r>
            <w:r>
              <w:rPr>
                <w:rFonts w:ascii="宋体" w:hAnsi="宋体" w:cs="宋体" w:eastAsia="宋体" w:hint="default"/>
                <w:sz w:val="18"/>
                <w:szCs w:val="18"/>
              </w:rPr>
              <w:t>田飞冲</w:t>
            </w:r>
            <w:r>
              <w:rPr>
                <w:rFonts w:ascii="Times New Roman" w:hAnsi="Times New Roman" w:cs="Times New Roman" w:eastAsia="Times New Roman" w:hint="default"/>
                <w:sz w:val="18"/>
                <w:szCs w:val="18"/>
              </w:rPr>
              <w:t>; </w:t>
            </w:r>
            <w:r>
              <w:rPr>
                <w:rFonts w:ascii="宋体" w:hAnsi="宋体" w:cs="宋体" w:eastAsia="宋体" w:hint="default"/>
                <w:sz w:val="18"/>
                <w:szCs w:val="18"/>
              </w:rPr>
              <w:t>任国平</w:t>
            </w:r>
            <w:r>
              <w:rPr>
                <w:rFonts w:ascii="Times New Roman" w:hAnsi="Times New Roman" w:cs="Times New Roman" w:eastAsia="Times New Roman" w:hint="default"/>
                <w:sz w:val="18"/>
                <w:szCs w:val="18"/>
              </w:rPr>
              <w:t>; </w:t>
            </w:r>
            <w:r>
              <w:rPr>
                <w:rFonts w:ascii="宋体" w:hAnsi="宋体" w:cs="宋体" w:eastAsia="宋体" w:hint="default"/>
                <w:sz w:val="18"/>
                <w:szCs w:val="18"/>
              </w:rPr>
              <w:t>李局春</w:t>
            </w:r>
            <w:r>
              <w:rPr>
                <w:rFonts w:ascii="Times New Roman" w:hAnsi="Times New Roman" w:cs="Times New Roman" w:eastAsia="Times New Roman" w:hint="default"/>
                <w:sz w:val="18"/>
                <w:szCs w:val="18"/>
              </w:rPr>
              <w:t>; </w:t>
            </w:r>
            <w:r>
              <w:rPr>
                <w:rFonts w:ascii="宋体" w:hAnsi="宋体" w:cs="宋体" w:eastAsia="宋体" w:hint="default"/>
                <w:sz w:val="18"/>
                <w:szCs w:val="18"/>
              </w:rPr>
              <w:t>文力</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0"/>
              <w:ind w:left="22" w:right="59"/>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8"/>
                <w:szCs w:val="18"/>
              </w:rPr>
            </w:pPr>
          </w:p>
          <w:p>
            <w:pPr>
              <w:pStyle w:val="TableParagraph"/>
              <w:spacing w:line="300" w:lineRule="auto"/>
              <w:ind w:left="22" w:right="92"/>
              <w:jc w:val="left"/>
              <w:rPr>
                <w:rFonts w:ascii="宋体" w:hAnsi="宋体" w:cs="宋体" w:eastAsia="宋体" w:hint="default"/>
                <w:sz w:val="18"/>
                <w:szCs w:val="18"/>
              </w:rPr>
            </w:pP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本合伙企业通过本次交易而认购取得的荣信股份股 份，自股份发行结束之日起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个月内不得转让。为保证</w:t>
            </w:r>
          </w:p>
          <w:p>
            <w:pPr>
              <w:pStyle w:val="TableParagraph"/>
              <w:spacing w:line="312" w:lineRule="auto" w:before="13"/>
              <w:ind w:left="22" w:right="20"/>
              <w:jc w:val="left"/>
              <w:rPr>
                <w:rFonts w:ascii="宋体" w:hAnsi="宋体" w:cs="宋体" w:eastAsia="宋体" w:hint="default"/>
                <w:sz w:val="18"/>
                <w:szCs w:val="18"/>
              </w:rPr>
            </w:pPr>
            <w:r>
              <w:rPr>
                <w:rFonts w:ascii="宋体" w:hAnsi="宋体" w:cs="宋体" w:eastAsia="宋体" w:hint="default"/>
                <w:sz w:val="18"/>
                <w:szCs w:val="18"/>
              </w:rPr>
              <w:t>盈利预测业绩补偿的可行性，自股份发行结束之日起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个月后，荣信股份向本人发行的股份按以下比例分批解 锁：①自股份发行结束之日起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w:t>
            </w:r>
            <w:r>
              <w:rPr>
                <w:rFonts w:ascii="宋体" w:hAnsi="宋体" w:cs="宋体" w:eastAsia="宋体" w:hint="default"/>
                <w:sz w:val="18"/>
                <w:szCs w:val="18"/>
              </w:rPr>
              <w:t>；②自 股份发行结束之日起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w:t>
            </w:r>
            <w:r>
              <w:rPr>
                <w:rFonts w:ascii="宋体" w:hAnsi="宋体" w:cs="宋体" w:eastAsia="宋体" w:hint="default"/>
                <w:sz w:val="18"/>
                <w:szCs w:val="18"/>
              </w:rPr>
              <w:t>；③自股份发行 结束之日起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个月后解锁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34%</w:t>
            </w:r>
            <w:r>
              <w:rPr>
                <w:rFonts w:ascii="宋体" w:hAnsi="宋体" w:cs="宋体" w:eastAsia="宋体" w:hint="default"/>
                <w:sz w:val="18"/>
                <w:szCs w:val="18"/>
              </w:rPr>
              <w:t>。除前述锁定期外。如本 </w:t>
            </w:r>
            <w:r>
              <w:rPr>
                <w:rFonts w:ascii="宋体" w:hAnsi="宋体" w:cs="宋体" w:eastAsia="宋体" w:hint="default"/>
                <w:spacing w:val="-1"/>
                <w:sz w:val="18"/>
                <w:szCs w:val="18"/>
              </w:rPr>
              <w:t>人担任荣信股份的董事、监事、高级管理人员的，则在本</w:t>
            </w:r>
            <w:r>
              <w:rPr>
                <w:rFonts w:ascii="宋体" w:hAnsi="宋体" w:cs="宋体" w:eastAsia="宋体" w:hint="default"/>
                <w:sz w:val="18"/>
                <w:szCs w:val="18"/>
              </w:rPr>
              <w:t> </w:t>
            </w:r>
            <w:r>
              <w:rPr>
                <w:rFonts w:ascii="宋体" w:hAnsi="宋体" w:cs="宋体" w:eastAsia="宋体" w:hint="default"/>
                <w:spacing w:val="-1"/>
                <w:sz w:val="18"/>
                <w:szCs w:val="18"/>
              </w:rPr>
              <w:t>人担任荣信股份的董事、监事、高级管理人员期间，每年</w:t>
            </w:r>
            <w:r>
              <w:rPr>
                <w:rFonts w:ascii="宋体" w:hAnsi="宋体" w:cs="宋体" w:eastAsia="宋体" w:hint="default"/>
                <w:sz w:val="18"/>
                <w:szCs w:val="18"/>
              </w:rPr>
              <w:t> 转让的股份不超过本人所持有的荣信股份股份总数的百 </w:t>
            </w:r>
            <w:r>
              <w:rPr>
                <w:rFonts w:ascii="宋体" w:hAnsi="宋体" w:cs="宋体" w:eastAsia="宋体" w:hint="default"/>
                <w:spacing w:val="-1"/>
                <w:sz w:val="18"/>
                <w:szCs w:val="18"/>
              </w:rPr>
              <w:t>分之二十五，离职后半年内，不转让本人所持有的荣信股</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8"/>
                <w:sz w:val="18"/>
                <w:szCs w:val="18"/>
              </w:rPr>
              <w:t>份股份；并严格履行《公司法》、《上市规则》等规定的关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于股份锁定的其他义务。若上述锁定期与监管机构的最新</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监管意见不相符，将根据监管机构的最新监管意见进行相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应调整，前述锁定期届满后按中国证监会和深圳证券交易</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所的有关规定执行。</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p>
          <w:p>
            <w:pPr>
              <w:pStyle w:val="TableParagraph"/>
              <w:spacing w:line="309" w:lineRule="auto" w:before="63"/>
              <w:ind w:left="22" w:right="53"/>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 不转让；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w:t>
            </w:r>
          </w:p>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日起</w:t>
            </w:r>
          </w:p>
          <w:p>
            <w:pPr>
              <w:pStyle w:val="TableParagraph"/>
              <w:spacing w:line="309" w:lineRule="auto" w:before="63"/>
              <w:ind w:left="22" w:right="2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个月后 解锁 </w:t>
            </w:r>
            <w:r>
              <w:rPr>
                <w:rFonts w:ascii="Times New Roman" w:hAnsi="Times New Roman" w:cs="Times New Roman" w:eastAsia="Times New Roman" w:hint="default"/>
                <w:spacing w:val="-10"/>
                <w:sz w:val="18"/>
                <w:szCs w:val="18"/>
              </w:rPr>
              <w:t>33%</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2015</w:t>
            </w:r>
          </w:p>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309" w:lineRule="auto" w:before="63"/>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日起</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 月后解锁 </w:t>
            </w:r>
            <w:r>
              <w:rPr>
                <w:rFonts w:ascii="Times New Roman" w:hAnsi="Times New Roman" w:cs="Times New Roman" w:eastAsia="Times New Roman" w:hint="default"/>
                <w:spacing w:val="-10"/>
                <w:sz w:val="18"/>
                <w:szCs w:val="18"/>
              </w:rPr>
              <w:t>33%</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2015</w:t>
            </w:r>
          </w:p>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309"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日起</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个 月后解锁 </w:t>
            </w:r>
            <w:r>
              <w:rPr>
                <w:rFonts w:ascii="Times New Roman" w:hAnsi="Times New Roman" w:cs="Times New Roman" w:eastAsia="Times New Roman" w:hint="default"/>
                <w:sz w:val="18"/>
                <w:szCs w:val="18"/>
              </w:rPr>
              <w:t>34%</w:t>
            </w:r>
            <w:r>
              <w:rPr>
                <w:rFonts w:ascii="宋体" w:hAnsi="宋体" w:cs="宋体" w:eastAsia="宋体" w:hint="default"/>
                <w:sz w:val="18"/>
                <w:szCs w:val="18"/>
              </w:rPr>
              <w:t>。</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4"/>
                <w:szCs w:val="14"/>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截止到本 报告期 末，关于 股份限售 承诺仍在 严格履行 中</w:t>
            </w:r>
          </w:p>
        </w:tc>
      </w:tr>
      <w:tr>
        <w:trPr>
          <w:trHeight w:val="2898" w:hRule="exact"/>
        </w:trPr>
        <w:tc>
          <w:tcPr>
            <w:tcW w:w="851" w:type="dxa"/>
            <w:vMerge/>
            <w:tcBorders>
              <w:left w:val="single" w:sz="4" w:space="0" w:color="000000"/>
              <w:bottom w:val="single" w:sz="4" w:space="0" w:color="000000"/>
              <w:right w:val="single" w:sz="4" w:space="0" w:color="000000"/>
            </w:tcBorders>
            <w:shd w:val="clear" w:color="auto" w:fill="D3D3D3"/>
          </w:tcPr>
          <w:p>
            <w:pP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71"/>
              <w:ind w:left="22" w:right="84"/>
              <w:jc w:val="both"/>
              <w:rPr>
                <w:rFonts w:ascii="宋体" w:hAnsi="宋体" w:cs="宋体" w:eastAsia="宋体" w:hint="default"/>
                <w:sz w:val="18"/>
                <w:szCs w:val="18"/>
              </w:rPr>
            </w:pPr>
            <w:r>
              <w:rPr>
                <w:rFonts w:ascii="宋体" w:hAnsi="宋体" w:cs="宋体" w:eastAsia="宋体" w:hint="default"/>
                <w:sz w:val="18"/>
                <w:szCs w:val="18"/>
              </w:rPr>
              <w:t>余文胜</w:t>
            </w:r>
            <w:r>
              <w:rPr>
                <w:rFonts w:ascii="Times New Roman" w:hAnsi="Times New Roman" w:cs="Times New Roman" w:eastAsia="Times New Roman" w:hint="default"/>
                <w:sz w:val="18"/>
                <w:szCs w:val="18"/>
              </w:rPr>
              <w:t>; </w:t>
            </w:r>
            <w:r>
              <w:rPr>
                <w:rFonts w:ascii="宋体" w:hAnsi="宋体" w:cs="宋体" w:eastAsia="宋体" w:hint="default"/>
                <w:sz w:val="18"/>
                <w:szCs w:val="18"/>
              </w:rPr>
              <w:t>陈新</w:t>
            </w:r>
            <w:r>
              <w:rPr>
                <w:rFonts w:ascii="Times New Roman" w:hAnsi="Times New Roman" w:cs="Times New Roman" w:eastAsia="Times New Roman" w:hint="default"/>
                <w:sz w:val="18"/>
                <w:szCs w:val="18"/>
              </w:rPr>
              <w:t>;</w:t>
            </w:r>
            <w:r>
              <w:rPr>
                <w:rFonts w:ascii="宋体" w:hAnsi="宋体" w:cs="宋体" w:eastAsia="宋体" w:hint="default"/>
                <w:sz w:val="18"/>
                <w:szCs w:val="18"/>
              </w:rPr>
              <w:t>深 圳市松 禾资本 管理合 伙企业</w:t>
            </w:r>
          </w:p>
          <w:p>
            <w:pPr>
              <w:pStyle w:val="TableParagraph"/>
              <w:spacing w:line="309" w:lineRule="auto" w:before="24"/>
              <w:ind w:left="22" w:right="84"/>
              <w:jc w:val="both"/>
              <w:rPr>
                <w:rFonts w:ascii="Times New Roman" w:hAnsi="Times New Roman" w:cs="Times New Roman" w:eastAsia="Times New Roman" w:hint="default"/>
                <w:sz w:val="18"/>
                <w:szCs w:val="18"/>
              </w:rPr>
            </w:pPr>
            <w:r>
              <w:rPr>
                <w:rFonts w:ascii="宋体" w:hAnsi="宋体" w:cs="宋体" w:eastAsia="宋体" w:hint="default"/>
                <w:sz w:val="18"/>
                <w:szCs w:val="18"/>
              </w:rPr>
              <w:t>（有限 合伙）</w:t>
            </w:r>
            <w:r>
              <w:rPr>
                <w:rFonts w:ascii="Times New Roman" w:hAnsi="Times New Roman" w:cs="Times New Roman" w:eastAsia="Times New Roman" w:hint="default"/>
                <w:sz w:val="18"/>
                <w:szCs w:val="18"/>
              </w:rPr>
              <w:t>; </w:t>
            </w:r>
            <w:r>
              <w:rPr>
                <w:rFonts w:ascii="宋体" w:hAnsi="宋体" w:cs="宋体" w:eastAsia="宋体" w:hint="default"/>
                <w:sz w:val="18"/>
                <w:szCs w:val="18"/>
              </w:rPr>
              <w:t>黄勇刚</w:t>
            </w:r>
            <w:r>
              <w:rPr>
                <w:rFonts w:ascii="Times New Roman" w:hAnsi="Times New Roman" w:cs="Times New Roman" w:eastAsia="Times New Roman" w:hint="default"/>
                <w:sz w:val="18"/>
                <w:szCs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8"/>
              <w:ind w:left="22" w:right="59"/>
              <w:jc w:val="left"/>
              <w:rPr>
                <w:rFonts w:ascii="宋体" w:hAnsi="宋体" w:cs="宋体" w:eastAsia="宋体" w:hint="default"/>
                <w:sz w:val="18"/>
                <w:szCs w:val="18"/>
              </w:rPr>
            </w:pPr>
            <w:r>
              <w:rPr>
                <w:rFonts w:ascii="宋体" w:hAnsi="宋体" w:cs="宋体" w:eastAsia="宋体" w:hint="default"/>
                <w:sz w:val="18"/>
                <w:szCs w:val="18"/>
              </w:rPr>
              <w:t>业绩承诺及 补偿安排</w:t>
            </w:r>
          </w:p>
        </w:tc>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本次交易盈利预测补偿期限为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年度及</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年度，本</w:t>
            </w:r>
            <w:r>
              <w:rPr>
                <w:rFonts w:ascii="宋体" w:hAnsi="宋体" w:cs="宋体" w:eastAsia="宋体" w:hint="default"/>
                <w:sz w:val="18"/>
                <w:szCs w:val="18"/>
              </w:rPr>
              <w:t> 次发行股份及支付现金购买资产的承担补偿义务的交易 对方承诺梦网科技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年度实现的净利润（扣除非经常 </w:t>
            </w:r>
            <w:r>
              <w:rPr>
                <w:rFonts w:ascii="宋体" w:hAnsi="宋体" w:cs="宋体" w:eastAsia="宋体" w:hint="default"/>
                <w:spacing w:val="-1"/>
                <w:sz w:val="18"/>
                <w:szCs w:val="18"/>
              </w:rPr>
              <w:t>性损益后的归属于母公司所有者的净利润，下同）数额不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低于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16,430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年度合计实现的净利 润数额不低于</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40,060</w:t>
            </w:r>
            <w:r>
              <w:rPr>
                <w:rFonts w:ascii="Times New Roman" w:hAnsi="Times New Roman" w:cs="Times New Roman" w:eastAsia="Times New Roman" w:hint="default"/>
                <w:spacing w:val="5"/>
                <w:sz w:val="18"/>
                <w:szCs w:val="18"/>
              </w:rPr>
              <w:t> </w:t>
            </w:r>
            <w:r>
              <w:rPr>
                <w:rFonts w:ascii="宋体" w:hAnsi="宋体" w:cs="宋体" w:eastAsia="宋体" w:hint="default"/>
                <w:spacing w:val="-5"/>
                <w:sz w:val="18"/>
                <w:szCs w:val="18"/>
              </w:rPr>
              <w:t>万元。如果实际实现的净利润低于上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
                <w:sz w:val="18"/>
                <w:szCs w:val="18"/>
              </w:rPr>
              <w:t>述承诺净利润且触发了《盈利预测补偿协议》规定的补偿</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义务，则全体承担补偿义务的交易对方将按照与本公司签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署的《盈利预测补偿协议》的规定进行补偿。</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24"/>
              <w:jc w:val="left"/>
              <w:rPr>
                <w:rFonts w:ascii="宋体" w:hAnsi="宋体" w:cs="宋体" w:eastAsia="宋体" w:hint="default"/>
                <w:sz w:val="18"/>
                <w:szCs w:val="18"/>
              </w:rPr>
            </w:pPr>
            <w:r>
              <w:rPr>
                <w:rFonts w:ascii="宋体" w:hAnsi="宋体" w:cs="宋体" w:eastAsia="宋体" w:hint="default"/>
                <w:sz w:val="18"/>
                <w:szCs w:val="18"/>
              </w:rPr>
              <w:t>截止到本 报告期 末，业绩 承诺及补 偿安排仍 在严格履 行中</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51"/>
        <w:gridCol w:w="709"/>
        <w:gridCol w:w="992"/>
        <w:gridCol w:w="4536"/>
        <w:gridCol w:w="850"/>
        <w:gridCol w:w="851"/>
        <w:gridCol w:w="779"/>
      </w:tblGrid>
      <w:tr>
        <w:trPr>
          <w:trHeight w:val="317" w:hRule="exact"/>
        </w:trPr>
        <w:tc>
          <w:tcPr>
            <w:tcW w:w="851" w:type="dxa"/>
            <w:vMerge w:val="restart"/>
            <w:tcBorders>
              <w:top w:val="single" w:sz="4" w:space="0" w:color="000000"/>
              <w:left w:val="single" w:sz="4" w:space="0" w:color="000000"/>
              <w:right w:val="single" w:sz="4" w:space="0" w:color="000000"/>
            </w:tcBorders>
            <w:shd w:val="clear" w:color="auto" w:fill="D3D3D3"/>
          </w:tcPr>
          <w:p>
            <w:pP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92" w:type="dxa"/>
            <w:vMerge w:val="restart"/>
            <w:tcBorders>
              <w:top w:val="single" w:sz="4" w:space="0" w:color="000000"/>
              <w:left w:val="single" w:sz="4" w:space="0" w:color="000000"/>
              <w:right w:val="single" w:sz="4" w:space="0" w:color="000000"/>
            </w:tcBorders>
          </w:tcPr>
          <w:p>
            <w:pPr/>
          </w:p>
        </w:tc>
        <w:tc>
          <w:tcPr>
            <w:tcW w:w="4536"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网睿伟</w:t>
            </w:r>
          </w:p>
        </w:tc>
        <w:tc>
          <w:tcPr>
            <w:tcW w:w="992" w:type="dxa"/>
            <w:vMerge/>
            <w:tcBorders>
              <w:left w:val="single" w:sz="4" w:space="0" w:color="000000"/>
              <w:right w:val="single" w:sz="4" w:space="0" w:color="000000"/>
            </w:tcBorders>
          </w:tcPr>
          <w:p>
            <w:pPr/>
          </w:p>
        </w:tc>
        <w:tc>
          <w:tcPr>
            <w:tcW w:w="453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业投资</w:t>
            </w:r>
          </w:p>
        </w:tc>
        <w:tc>
          <w:tcPr>
            <w:tcW w:w="992" w:type="dxa"/>
            <w:vMerge/>
            <w:tcBorders>
              <w:left w:val="single" w:sz="4" w:space="0" w:color="000000"/>
              <w:right w:val="single" w:sz="4" w:space="0" w:color="000000"/>
            </w:tcBorders>
          </w:tcPr>
          <w:p>
            <w:pPr/>
          </w:p>
        </w:tc>
        <w:tc>
          <w:tcPr>
            <w:tcW w:w="453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合伙企</w:t>
            </w:r>
          </w:p>
        </w:tc>
        <w:tc>
          <w:tcPr>
            <w:tcW w:w="992" w:type="dxa"/>
            <w:vMerge/>
            <w:tcBorders>
              <w:left w:val="single" w:sz="4" w:space="0" w:color="000000"/>
              <w:right w:val="single" w:sz="4" w:space="0" w:color="000000"/>
            </w:tcBorders>
          </w:tcPr>
          <w:p>
            <w:pPr/>
          </w:p>
        </w:tc>
        <w:tc>
          <w:tcPr>
            <w:tcW w:w="453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7"/>
                <w:sz w:val="18"/>
                <w:szCs w:val="18"/>
              </w:rPr>
              <w:t>业（有限</w:t>
            </w:r>
          </w:p>
        </w:tc>
        <w:tc>
          <w:tcPr>
            <w:tcW w:w="992" w:type="dxa"/>
            <w:vMerge/>
            <w:tcBorders>
              <w:left w:val="single" w:sz="4" w:space="0" w:color="000000"/>
              <w:right w:val="single" w:sz="4" w:space="0" w:color="000000"/>
            </w:tcBorders>
          </w:tcPr>
          <w:p>
            <w:pPr/>
          </w:p>
        </w:tc>
        <w:tc>
          <w:tcPr>
            <w:tcW w:w="453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p>
        </w:tc>
        <w:tc>
          <w:tcPr>
            <w:tcW w:w="992" w:type="dxa"/>
            <w:vMerge/>
            <w:tcBorders>
              <w:left w:val="single" w:sz="4" w:space="0" w:color="000000"/>
              <w:right w:val="single" w:sz="4" w:space="0" w:color="000000"/>
            </w:tcBorders>
          </w:tcPr>
          <w:p>
            <w:pPr/>
          </w:p>
        </w:tc>
        <w:tc>
          <w:tcPr>
            <w:tcW w:w="453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92" w:type="dxa"/>
            <w:vMerge/>
            <w:tcBorders>
              <w:left w:val="single" w:sz="4" w:space="0" w:color="000000"/>
              <w:right w:val="single" w:sz="4" w:space="0" w:color="000000"/>
            </w:tcBorders>
          </w:tcPr>
          <w:p>
            <w:pPr/>
          </w:p>
        </w:tc>
        <w:tc>
          <w:tcPr>
            <w:tcW w:w="453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网兴伟</w:t>
            </w:r>
          </w:p>
        </w:tc>
        <w:tc>
          <w:tcPr>
            <w:tcW w:w="992" w:type="dxa"/>
            <w:vMerge/>
            <w:tcBorders>
              <w:left w:val="single" w:sz="4" w:space="0" w:color="000000"/>
              <w:right w:val="single" w:sz="4" w:space="0" w:color="000000"/>
            </w:tcBorders>
          </w:tcPr>
          <w:p>
            <w:pPr/>
          </w:p>
        </w:tc>
        <w:tc>
          <w:tcPr>
            <w:tcW w:w="453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业投资</w:t>
            </w:r>
          </w:p>
        </w:tc>
        <w:tc>
          <w:tcPr>
            <w:tcW w:w="992" w:type="dxa"/>
            <w:vMerge/>
            <w:tcBorders>
              <w:left w:val="single" w:sz="4" w:space="0" w:color="000000"/>
              <w:right w:val="single" w:sz="4" w:space="0" w:color="000000"/>
            </w:tcBorders>
          </w:tcPr>
          <w:p>
            <w:pPr/>
          </w:p>
        </w:tc>
        <w:tc>
          <w:tcPr>
            <w:tcW w:w="453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合伙企</w:t>
            </w:r>
          </w:p>
        </w:tc>
        <w:tc>
          <w:tcPr>
            <w:tcW w:w="992" w:type="dxa"/>
            <w:vMerge/>
            <w:tcBorders>
              <w:left w:val="single" w:sz="4" w:space="0" w:color="000000"/>
              <w:right w:val="single" w:sz="4" w:space="0" w:color="000000"/>
            </w:tcBorders>
          </w:tcPr>
          <w:p>
            <w:pPr/>
          </w:p>
        </w:tc>
        <w:tc>
          <w:tcPr>
            <w:tcW w:w="453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7"/>
                <w:sz w:val="18"/>
                <w:szCs w:val="18"/>
              </w:rPr>
              <w:t>业（有限</w:t>
            </w:r>
          </w:p>
        </w:tc>
        <w:tc>
          <w:tcPr>
            <w:tcW w:w="992" w:type="dxa"/>
            <w:vMerge/>
            <w:tcBorders>
              <w:left w:val="single" w:sz="4" w:space="0" w:color="000000"/>
              <w:right w:val="single" w:sz="4" w:space="0" w:color="000000"/>
            </w:tcBorders>
          </w:tcPr>
          <w:p>
            <w:pPr/>
          </w:p>
        </w:tc>
        <w:tc>
          <w:tcPr>
            <w:tcW w:w="453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p>
        </w:tc>
        <w:tc>
          <w:tcPr>
            <w:tcW w:w="992" w:type="dxa"/>
            <w:vMerge/>
            <w:tcBorders>
              <w:left w:val="single" w:sz="4" w:space="0" w:color="000000"/>
              <w:right w:val="single" w:sz="4" w:space="0" w:color="000000"/>
            </w:tcBorders>
          </w:tcPr>
          <w:p>
            <w:pPr/>
          </w:p>
        </w:tc>
        <w:tc>
          <w:tcPr>
            <w:tcW w:w="453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07"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92" w:type="dxa"/>
            <w:vMerge/>
            <w:tcBorders>
              <w:left w:val="single" w:sz="4" w:space="0" w:color="000000"/>
              <w:right w:val="single" w:sz="4" w:space="0" w:color="000000"/>
            </w:tcBorders>
          </w:tcPr>
          <w:p>
            <w:pPr/>
          </w:p>
        </w:tc>
        <w:tc>
          <w:tcPr>
            <w:tcW w:w="453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网智伟</w:t>
            </w:r>
          </w:p>
        </w:tc>
        <w:tc>
          <w:tcPr>
            <w:tcW w:w="992" w:type="dxa"/>
            <w:vMerge/>
            <w:tcBorders>
              <w:left w:val="single" w:sz="4" w:space="0" w:color="000000"/>
              <w:right w:val="single" w:sz="4" w:space="0" w:color="000000"/>
            </w:tcBorders>
          </w:tcPr>
          <w:p>
            <w:pPr/>
          </w:p>
        </w:tc>
        <w:tc>
          <w:tcPr>
            <w:tcW w:w="453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业投资</w:t>
            </w:r>
          </w:p>
        </w:tc>
        <w:tc>
          <w:tcPr>
            <w:tcW w:w="992" w:type="dxa"/>
            <w:vMerge/>
            <w:tcBorders>
              <w:left w:val="single" w:sz="4" w:space="0" w:color="000000"/>
              <w:right w:val="single" w:sz="4" w:space="0" w:color="000000"/>
            </w:tcBorders>
          </w:tcPr>
          <w:p>
            <w:pPr/>
          </w:p>
        </w:tc>
        <w:tc>
          <w:tcPr>
            <w:tcW w:w="453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合伙企</w:t>
            </w:r>
          </w:p>
        </w:tc>
        <w:tc>
          <w:tcPr>
            <w:tcW w:w="992" w:type="dxa"/>
            <w:vMerge/>
            <w:tcBorders>
              <w:left w:val="single" w:sz="4" w:space="0" w:color="000000"/>
              <w:right w:val="single" w:sz="4" w:space="0" w:color="000000"/>
            </w:tcBorders>
          </w:tcPr>
          <w:p>
            <w:pPr/>
          </w:p>
        </w:tc>
        <w:tc>
          <w:tcPr>
            <w:tcW w:w="453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7"/>
                <w:sz w:val="18"/>
                <w:szCs w:val="18"/>
              </w:rPr>
              <w:t>业（有限</w:t>
            </w:r>
          </w:p>
        </w:tc>
        <w:tc>
          <w:tcPr>
            <w:tcW w:w="992" w:type="dxa"/>
            <w:vMerge/>
            <w:tcBorders>
              <w:left w:val="single" w:sz="4" w:space="0" w:color="000000"/>
              <w:right w:val="single" w:sz="4" w:space="0" w:color="000000"/>
            </w:tcBorders>
          </w:tcPr>
          <w:p>
            <w:pPr/>
          </w:p>
        </w:tc>
        <w:tc>
          <w:tcPr>
            <w:tcW w:w="453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合伙）</w:t>
            </w:r>
            <w:r>
              <w:rPr>
                <w:rFonts w:ascii="Times New Roman" w:hAnsi="Times New Roman" w:cs="Times New Roman" w:eastAsia="Times New Roman" w:hint="default"/>
                <w:sz w:val="18"/>
                <w:szCs w:val="18"/>
              </w:rPr>
              <w:t>;</w:t>
            </w:r>
          </w:p>
        </w:tc>
        <w:tc>
          <w:tcPr>
            <w:tcW w:w="992" w:type="dxa"/>
            <w:vMerge/>
            <w:tcBorders>
              <w:left w:val="single" w:sz="4" w:space="0" w:color="000000"/>
              <w:right w:val="single" w:sz="4" w:space="0" w:color="000000"/>
            </w:tcBorders>
          </w:tcPr>
          <w:p>
            <w:pPr/>
          </w:p>
        </w:tc>
        <w:tc>
          <w:tcPr>
            <w:tcW w:w="453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田飞冲</w:t>
            </w:r>
            <w:r>
              <w:rPr>
                <w:rFonts w:ascii="Times New Roman" w:hAnsi="Times New Roman" w:cs="Times New Roman" w:eastAsia="Times New Roman" w:hint="default"/>
                <w:sz w:val="18"/>
                <w:szCs w:val="18"/>
              </w:rPr>
              <w:t>;</w:t>
            </w:r>
          </w:p>
        </w:tc>
        <w:tc>
          <w:tcPr>
            <w:tcW w:w="992" w:type="dxa"/>
            <w:vMerge/>
            <w:tcBorders>
              <w:left w:val="single" w:sz="4" w:space="0" w:color="000000"/>
              <w:right w:val="single" w:sz="4" w:space="0" w:color="000000"/>
            </w:tcBorders>
          </w:tcPr>
          <w:p>
            <w:pPr/>
          </w:p>
        </w:tc>
        <w:tc>
          <w:tcPr>
            <w:tcW w:w="453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任国平</w:t>
            </w:r>
            <w:r>
              <w:rPr>
                <w:rFonts w:ascii="Times New Roman" w:hAnsi="Times New Roman" w:cs="Times New Roman" w:eastAsia="Times New Roman" w:hint="default"/>
                <w:sz w:val="18"/>
                <w:szCs w:val="18"/>
              </w:rPr>
              <w:t>;</w:t>
            </w:r>
          </w:p>
        </w:tc>
        <w:tc>
          <w:tcPr>
            <w:tcW w:w="992" w:type="dxa"/>
            <w:vMerge/>
            <w:tcBorders>
              <w:left w:val="single" w:sz="4" w:space="0" w:color="000000"/>
              <w:right w:val="single" w:sz="4" w:space="0" w:color="000000"/>
            </w:tcBorders>
          </w:tcPr>
          <w:p>
            <w:pPr/>
          </w:p>
        </w:tc>
        <w:tc>
          <w:tcPr>
            <w:tcW w:w="453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3"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李局春</w:t>
            </w:r>
            <w:r>
              <w:rPr>
                <w:rFonts w:ascii="Times New Roman" w:hAnsi="Times New Roman" w:cs="Times New Roman" w:eastAsia="Times New Roman" w:hint="default"/>
                <w:sz w:val="18"/>
                <w:szCs w:val="18"/>
              </w:rPr>
              <w:t>;</w:t>
            </w:r>
          </w:p>
        </w:tc>
        <w:tc>
          <w:tcPr>
            <w:tcW w:w="992" w:type="dxa"/>
            <w:vMerge/>
            <w:tcBorders>
              <w:left w:val="single" w:sz="4" w:space="0" w:color="000000"/>
              <w:right w:val="single" w:sz="4" w:space="0" w:color="000000"/>
            </w:tcBorders>
          </w:tcPr>
          <w:p>
            <w:pPr/>
          </w:p>
        </w:tc>
        <w:tc>
          <w:tcPr>
            <w:tcW w:w="453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5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文力</w:t>
            </w:r>
          </w:p>
        </w:tc>
        <w:tc>
          <w:tcPr>
            <w:tcW w:w="992" w:type="dxa"/>
            <w:vMerge/>
            <w:tcBorders>
              <w:left w:val="single" w:sz="4" w:space="0" w:color="000000"/>
              <w:bottom w:val="single" w:sz="4" w:space="0" w:color="000000"/>
              <w:right w:val="single" w:sz="4" w:space="0" w:color="000000"/>
            </w:tcBorders>
          </w:tcPr>
          <w:p>
            <w:pPr/>
          </w:p>
        </w:tc>
        <w:tc>
          <w:tcPr>
            <w:tcW w:w="453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r>
        <w:trPr>
          <w:trHeight w:val="357" w:hRule="exact"/>
        </w:trPr>
        <w:tc>
          <w:tcPr>
            <w:tcW w:w="851" w:type="dxa"/>
            <w:vMerge/>
            <w:tcBorders>
              <w:left w:val="single" w:sz="4" w:space="0" w:color="000000"/>
              <w:right w:val="single" w:sz="4" w:space="0" w:color="000000"/>
            </w:tcBorders>
            <w:shd w:val="clear" w:color="auto" w:fill="D3D3D3"/>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除正常经营性往来外，本人及本人所控制的其他企业目前</w:t>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不存在违规占用梦网科技的资金，或采用预收款、应付款</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等形式违规变相占用梦网科技资金的情况；本次交易完成</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后，本人及本人所控制的其他企业将严格遵守国家有关法</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律、法规、规范性文件以及梦网科技、荣信股份相关规章</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制度的规定，坚决预防和杜绝本人及人所控制的其他企业</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对梦网科技的非经营性占用资金情况发生，不以任何方式</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截止到本</w:t>
            </w: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违规占用或使用梦网科技的资金或其他资产、资源，不以</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r>
      <w:tr>
        <w:trPr>
          <w:trHeight w:val="187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19" w:lineRule="auto" w:before="157"/>
              <w:ind w:left="22" w:right="59"/>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1"/>
              <w:jc w:val="both"/>
              <w:rPr>
                <w:rFonts w:ascii="宋体" w:hAnsi="宋体" w:cs="宋体" w:eastAsia="宋体" w:hint="default"/>
                <w:sz w:val="18"/>
                <w:szCs w:val="18"/>
              </w:rPr>
            </w:pPr>
            <w:r>
              <w:rPr>
                <w:rFonts w:ascii="宋体" w:hAnsi="宋体" w:cs="宋体" w:eastAsia="宋体" w:hint="default"/>
                <w:sz w:val="18"/>
                <w:szCs w:val="18"/>
              </w:rPr>
              <w:t>任何直接或者间接的方式从事损害或可能损害梦网科技、 荣信股份及其他股东利益的行为；本人将利用对所控制的 其他企业的控制权，促使该等企业按照同样的标准遵守上 述承诺。本次交易完成后，在持有荣信股份股份期间或担 任荣信股份、梦网科技董事、监事及高级管理人员期间及 离任后两年内，本人及本人控制的其他公司、企业或者其</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24"/>
              <w:jc w:val="left"/>
              <w:rPr>
                <w:rFonts w:ascii="宋体" w:hAnsi="宋体" w:cs="宋体" w:eastAsia="宋体" w:hint="default"/>
                <w:sz w:val="18"/>
                <w:szCs w:val="18"/>
              </w:rPr>
            </w:pPr>
            <w:r>
              <w:rPr>
                <w:rFonts w:ascii="宋体" w:hAnsi="宋体" w:cs="宋体" w:eastAsia="宋体" w:hint="default"/>
                <w:sz w:val="18"/>
                <w:szCs w:val="18"/>
              </w:rPr>
              <w:t>末，关于 同业竞 争、关联 交易、资 金占用方 面的承诺</w:t>
            </w:r>
          </w:p>
        </w:tc>
      </w:tr>
      <w:tr>
        <w:trPr>
          <w:trHeight w:val="313"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他经济组织将避免从事任何与荣信股份、梦网科技及其控</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仍在严格</w:t>
            </w:r>
          </w:p>
        </w:tc>
      </w:tr>
      <w:tr>
        <w:trPr>
          <w:trHeight w:val="321"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制的其他公司、企业或者其他经济组织相同或相似且构成</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或可能构成竞争关系的业务，亦不从事任何可能损害荣信</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股份、梦网科技及其控制的其他公司、企业或者其他经济</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组织利益的活动。如本人及本人控制的其他公司、企业或</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者其他经济组织遇到荣信股份、梦网科技及其控制的其他</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公司、企业或者经济组织主营业务范围内的业务机会，本</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851" w:type="dxa"/>
            <w:vMerge/>
            <w:tcBorders>
              <w:left w:val="single" w:sz="4" w:space="0" w:color="000000"/>
              <w:bottom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人及本人控制的其他公司、企业或者其他经济组织应将该</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51"/>
        <w:gridCol w:w="709"/>
        <w:gridCol w:w="992"/>
        <w:gridCol w:w="4536"/>
        <w:gridCol w:w="850"/>
        <w:gridCol w:w="851"/>
        <w:gridCol w:w="779"/>
      </w:tblGrid>
      <w:tr>
        <w:trPr>
          <w:trHeight w:val="317" w:hRule="exact"/>
        </w:trPr>
        <w:tc>
          <w:tcPr>
            <w:tcW w:w="851" w:type="dxa"/>
            <w:vMerge w:val="restart"/>
            <w:tcBorders>
              <w:top w:val="single" w:sz="4" w:space="0" w:color="000000"/>
              <w:left w:val="single" w:sz="4" w:space="0" w:color="000000"/>
              <w:right w:val="single" w:sz="4" w:space="0" w:color="000000"/>
            </w:tcBorders>
            <w:shd w:val="clear" w:color="auto" w:fill="D3D3D3"/>
          </w:tcPr>
          <w:p>
            <w:pPr/>
          </w:p>
        </w:tc>
        <w:tc>
          <w:tcPr>
            <w:tcW w:w="709"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4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等合作机会让予荣信股份、梦网科技及其控制的其他公</w:t>
            </w:r>
          </w:p>
        </w:tc>
        <w:tc>
          <w:tcPr>
            <w:tcW w:w="850"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司、企业或者其他经济组织。本次交易前，本人及本人之</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关联人与荣信股份及荣信股份关联人之间不存在亲属、投</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资、协议或其他安排等在内的一致行动和关联关系；本次</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交易完成后，本人在作为荣信股份的股东期间或担任荣信</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股份、梦网科技董事、监事及高级管理人员期间，本人及</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本人控制的其他公司、企业或者其他经济组织将减少并规</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范与荣信股份、梦网科技及其控制的其他公司、企业或者</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其他经济组织之间的关联交易。对于无法避免或有合理原</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因而发生的关联交易，本人及本人控制的其他公司、企业</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或者其他经济组织将遵循市场原则以公允、合理的市场价</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格进行，根据有关法律、法规及规范性文件的规定履行关</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联交易决策程序，依法履行信息披露义务和办理有关报批</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手续，不损害荣信股份及其他股东的合法权益。本人若违</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3" w:hRule="exact"/>
        </w:trPr>
        <w:tc>
          <w:tcPr>
            <w:tcW w:w="851" w:type="dxa"/>
            <w:vMerge/>
            <w:tcBorders>
              <w:left w:val="single" w:sz="4" w:space="0" w:color="000000"/>
              <w:right w:val="single" w:sz="4" w:space="0" w:color="000000"/>
            </w:tcBorders>
            <w:shd w:val="clear" w:color="auto" w:fill="D3D3D3"/>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反上述承诺，将承担因此而给荣信股份、梦网科技及其控</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57" w:hRule="exact"/>
        </w:trPr>
        <w:tc>
          <w:tcPr>
            <w:tcW w:w="851" w:type="dxa"/>
            <w:vMerge/>
            <w:tcBorders>
              <w:left w:val="single" w:sz="4" w:space="0" w:color="000000"/>
              <w:right w:val="single" w:sz="4" w:space="0" w:color="000000"/>
            </w:tcBorders>
            <w:shd w:val="clear" w:color="auto" w:fill="D3D3D3"/>
          </w:tcPr>
          <w:p>
            <w:pPr/>
          </w:p>
        </w:tc>
        <w:tc>
          <w:tcPr>
            <w:tcW w:w="709"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制的其他公司、企业或者其他经济组织造成的一切损失。</w:t>
            </w: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r>
        <w:trPr>
          <w:trHeight w:val="357" w:hRule="exact"/>
        </w:trPr>
        <w:tc>
          <w:tcPr>
            <w:tcW w:w="851" w:type="dxa"/>
            <w:vMerge/>
            <w:tcBorders>
              <w:left w:val="single" w:sz="4" w:space="0" w:color="000000"/>
              <w:right w:val="single" w:sz="4" w:space="0" w:color="000000"/>
            </w:tcBorders>
            <w:shd w:val="clear" w:color="auto" w:fill="D3D3D3"/>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截至本承诺函签署日，左强、厉伟和崔京涛及其控制的其</w:t>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他公司、企业或者其他经济组织未从事与荣信电力电子股</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份有限公</w:t>
            </w:r>
            <w:r>
              <w:rPr>
                <w:rFonts w:ascii="宋体" w:hAnsi="宋体" w:cs="宋体" w:eastAsia="宋体" w:hint="default"/>
                <w:spacing w:val="-45"/>
                <w:sz w:val="18"/>
                <w:szCs w:val="18"/>
              </w:rPr>
              <w:t>司</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荣信股份</w:t>
            </w:r>
            <w:r>
              <w:rPr>
                <w:rFonts w:ascii="Times New Roman" w:hAnsi="Times New Roman" w:cs="Times New Roman" w:eastAsia="Times New Roman" w:hint="default"/>
                <w:sz w:val="18"/>
                <w:szCs w:val="18"/>
              </w:rPr>
              <w:t>”</w:t>
            </w:r>
            <w:r>
              <w:rPr>
                <w:rFonts w:ascii="宋体" w:hAnsi="宋体" w:cs="宋体" w:eastAsia="宋体" w:hint="default"/>
                <w:spacing w:val="-90"/>
                <w:sz w:val="18"/>
                <w:szCs w:val="18"/>
              </w:rPr>
              <w:t>）</w:t>
            </w:r>
            <w:r>
              <w:rPr>
                <w:rFonts w:ascii="宋体" w:hAnsi="宋体" w:cs="宋体" w:eastAsia="宋体" w:hint="default"/>
                <w:spacing w:val="-45"/>
                <w:sz w:val="18"/>
                <w:szCs w:val="18"/>
              </w:rPr>
              <w:t>、</w:t>
            </w:r>
            <w:r>
              <w:rPr>
                <w:rFonts w:ascii="宋体" w:hAnsi="宋体" w:cs="宋体" w:eastAsia="宋体" w:hint="default"/>
                <w:spacing w:val="-2"/>
                <w:sz w:val="18"/>
                <w:szCs w:val="18"/>
              </w:rPr>
              <w:t>深</w:t>
            </w:r>
            <w:r>
              <w:rPr>
                <w:rFonts w:ascii="宋体" w:hAnsi="宋体" w:cs="宋体" w:eastAsia="宋体" w:hint="default"/>
                <w:sz w:val="18"/>
                <w:szCs w:val="18"/>
              </w:rPr>
              <w:t>圳市梦网科技股份有限公司</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梦网科技</w:t>
            </w:r>
            <w:r>
              <w:rPr>
                <w:rFonts w:ascii="Times New Roman" w:hAnsi="Times New Roman" w:cs="Times New Roman" w:eastAsia="Times New Roman" w:hint="default"/>
                <w:sz w:val="18"/>
                <w:szCs w:val="18"/>
              </w:rPr>
              <w:t>”</w:t>
            </w:r>
            <w:r>
              <w:rPr>
                <w:rFonts w:ascii="宋体" w:hAnsi="宋体" w:cs="宋体" w:eastAsia="宋体" w:hint="default"/>
                <w:sz w:val="18"/>
                <w:szCs w:val="18"/>
              </w:rPr>
              <w:t>）及其控制的其他公司、企业或者其他经济</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组织存在同业竞争关系的业务。在作为荣信股份的实际控</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制人期间，左强、厉伟和崔京涛及其控制的其他公司、企</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业或者其他经济组织将避免从事任何与荣信股份、梦网科</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截止到本</w:t>
            </w: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关于同业竞</w:t>
            </w: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技及其控制的其他公司、企业或者其他经济组织相同或相</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r>
      <w:tr>
        <w:trPr>
          <w:trHeight w:val="936"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300" w:lineRule="auto" w:before="11"/>
              <w:ind w:left="22" w:right="84"/>
              <w:jc w:val="both"/>
              <w:rPr>
                <w:rFonts w:ascii="宋体" w:hAnsi="宋体" w:cs="宋体" w:eastAsia="宋体" w:hint="default"/>
                <w:sz w:val="18"/>
                <w:szCs w:val="18"/>
              </w:rPr>
            </w:pPr>
            <w:r>
              <w:rPr>
                <w:rFonts w:ascii="宋体" w:hAnsi="宋体" w:cs="宋体" w:eastAsia="宋体" w:hint="default"/>
                <w:sz w:val="18"/>
                <w:szCs w:val="18"/>
              </w:rPr>
              <w:t>崔京涛</w:t>
            </w:r>
            <w:r>
              <w:rPr>
                <w:rFonts w:ascii="Times New Roman" w:hAnsi="Times New Roman" w:cs="Times New Roman" w:eastAsia="Times New Roman" w:hint="default"/>
                <w:sz w:val="18"/>
                <w:szCs w:val="18"/>
              </w:rPr>
              <w:t>; </w:t>
            </w:r>
            <w:r>
              <w:rPr>
                <w:rFonts w:ascii="宋体" w:hAnsi="宋体" w:cs="宋体" w:eastAsia="宋体" w:hint="default"/>
                <w:sz w:val="18"/>
                <w:szCs w:val="18"/>
              </w:rPr>
              <w:t>厉伟</w:t>
            </w:r>
            <w:r>
              <w:rPr>
                <w:rFonts w:ascii="Times New Roman" w:hAnsi="Times New Roman" w:cs="Times New Roman" w:eastAsia="Times New Roman" w:hint="default"/>
                <w:sz w:val="18"/>
                <w:szCs w:val="18"/>
              </w:rPr>
              <w:t>;</w:t>
            </w:r>
            <w:r>
              <w:rPr>
                <w:rFonts w:ascii="宋体" w:hAnsi="宋体" w:cs="宋体" w:eastAsia="宋体" w:hint="default"/>
                <w:sz w:val="18"/>
                <w:szCs w:val="18"/>
              </w:rPr>
              <w:t>左 强</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59"/>
              <w:jc w:val="both"/>
              <w:rPr>
                <w:rFonts w:ascii="宋体" w:hAnsi="宋体" w:cs="宋体" w:eastAsia="宋体" w:hint="default"/>
                <w:sz w:val="18"/>
                <w:szCs w:val="18"/>
              </w:rPr>
            </w:pPr>
            <w:r>
              <w:rPr>
                <w:rFonts w:ascii="宋体" w:hAnsi="宋体" w:cs="宋体" w:eastAsia="宋体" w:hint="default"/>
                <w:sz w:val="18"/>
                <w:szCs w:val="18"/>
              </w:rPr>
              <w:t>争、关联交 易、资金占 用方面的承</w:t>
            </w: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0"/>
              <w:jc w:val="both"/>
              <w:rPr>
                <w:rFonts w:ascii="宋体" w:hAnsi="宋体" w:cs="宋体" w:eastAsia="宋体" w:hint="default"/>
                <w:sz w:val="18"/>
                <w:szCs w:val="18"/>
              </w:rPr>
            </w:pPr>
            <w:r>
              <w:rPr>
                <w:rFonts w:ascii="宋体" w:hAnsi="宋体" w:cs="宋体" w:eastAsia="宋体" w:hint="default"/>
                <w:spacing w:val="-1"/>
                <w:sz w:val="18"/>
                <w:szCs w:val="18"/>
              </w:rPr>
              <w:t>似且构成或可能构成竞争关系的业务，亦不从事任何可能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损害荣信股份、梦网科技及其控制的其他公司、企业或者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
                <w:sz w:val="18"/>
                <w:szCs w:val="18"/>
              </w:rPr>
              <w:t>其他经济组织利益的活动。如左强、厉伟和崔京涛及其控</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4"/>
              <w:jc w:val="both"/>
              <w:rPr>
                <w:rFonts w:ascii="宋体" w:hAnsi="宋体" w:cs="宋体" w:eastAsia="宋体" w:hint="default"/>
                <w:sz w:val="18"/>
                <w:szCs w:val="18"/>
              </w:rPr>
            </w:pPr>
            <w:r>
              <w:rPr>
                <w:rFonts w:ascii="宋体" w:hAnsi="宋体" w:cs="宋体" w:eastAsia="宋体" w:hint="default"/>
                <w:sz w:val="18"/>
                <w:szCs w:val="18"/>
              </w:rPr>
              <w:t>末，关于 同业竞争 的承诺仍</w:t>
            </w: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制的其他公司、企业或者其他经济组织遇到荣信股份、梦</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在严格履</w:t>
            </w: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网科技及其控制的其他公司、企业或者其他经济组织主营</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行中</w:t>
            </w:r>
          </w:p>
        </w:tc>
      </w:tr>
      <w:tr>
        <w:trPr>
          <w:trHeight w:val="311"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业务范围内的业务机会，左强、厉伟和崔京涛及其控制的</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其他公司、企业或者其他经济组织应将该等合作机会让予</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荣信股份、梦网科技及其控制的其他公司、企业或者其他</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经济组织。左强、厉伟和崔京涛若违反上述承诺，将承担</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因此而给荣信股份、梦网科技及其控制的其他公司、企业</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或者其他经济组织造成的损失。</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r>
        <w:trPr>
          <w:trHeight w:val="348" w:hRule="exact"/>
        </w:trPr>
        <w:tc>
          <w:tcPr>
            <w:tcW w:w="851" w:type="dxa"/>
            <w:vMerge/>
            <w:tcBorders>
              <w:left w:val="single" w:sz="4" w:space="0" w:color="000000"/>
              <w:right w:val="single" w:sz="4" w:space="0" w:color="000000"/>
            </w:tcBorders>
            <w:shd w:val="clear" w:color="auto" w:fill="D3D3D3"/>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左强、厉伟和崔京涛在作为荣信股份的实际控制人期间，</w:t>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左强、厉伟和崔京涛及其控制的其他公司、企业或者其他</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截止到本</w:t>
            </w: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关于同业竞</w:t>
            </w: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经济组织将尽量减少并规范与荣信股份、梦网科技及其控</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r>
      <w:tr>
        <w:trPr>
          <w:trHeight w:val="936"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300" w:lineRule="auto" w:before="1"/>
              <w:ind w:left="22" w:right="84"/>
              <w:jc w:val="both"/>
              <w:rPr>
                <w:rFonts w:ascii="宋体" w:hAnsi="宋体" w:cs="宋体" w:eastAsia="宋体" w:hint="default"/>
                <w:sz w:val="18"/>
                <w:szCs w:val="18"/>
              </w:rPr>
            </w:pPr>
            <w:r>
              <w:rPr>
                <w:rFonts w:ascii="宋体" w:hAnsi="宋体" w:cs="宋体" w:eastAsia="宋体" w:hint="default"/>
                <w:sz w:val="18"/>
                <w:szCs w:val="18"/>
              </w:rPr>
              <w:t>崔京涛</w:t>
            </w:r>
            <w:r>
              <w:rPr>
                <w:rFonts w:ascii="Times New Roman" w:hAnsi="Times New Roman" w:cs="Times New Roman" w:eastAsia="Times New Roman" w:hint="default"/>
                <w:sz w:val="18"/>
                <w:szCs w:val="18"/>
              </w:rPr>
              <w:t>; </w:t>
            </w:r>
            <w:r>
              <w:rPr>
                <w:rFonts w:ascii="宋体" w:hAnsi="宋体" w:cs="宋体" w:eastAsia="宋体" w:hint="default"/>
                <w:sz w:val="18"/>
                <w:szCs w:val="18"/>
              </w:rPr>
              <w:t>厉伟</w:t>
            </w:r>
            <w:r>
              <w:rPr>
                <w:rFonts w:ascii="Times New Roman" w:hAnsi="Times New Roman" w:cs="Times New Roman" w:eastAsia="Times New Roman" w:hint="default"/>
                <w:sz w:val="18"/>
                <w:szCs w:val="18"/>
              </w:rPr>
              <w:t>;</w:t>
            </w:r>
            <w:r>
              <w:rPr>
                <w:rFonts w:ascii="宋体" w:hAnsi="宋体" w:cs="宋体" w:eastAsia="宋体" w:hint="default"/>
                <w:sz w:val="18"/>
                <w:szCs w:val="18"/>
              </w:rPr>
              <w:t>左 强</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59"/>
              <w:jc w:val="both"/>
              <w:rPr>
                <w:rFonts w:ascii="宋体" w:hAnsi="宋体" w:cs="宋体" w:eastAsia="宋体" w:hint="default"/>
                <w:sz w:val="18"/>
                <w:szCs w:val="18"/>
              </w:rPr>
            </w:pPr>
            <w:r>
              <w:rPr>
                <w:rFonts w:ascii="宋体" w:hAnsi="宋体" w:cs="宋体" w:eastAsia="宋体" w:hint="default"/>
                <w:sz w:val="18"/>
                <w:szCs w:val="18"/>
              </w:rPr>
              <w:t>争、关联交 易、资金占 用方面的承</w:t>
            </w: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1"/>
              <w:jc w:val="both"/>
              <w:rPr>
                <w:rFonts w:ascii="宋体" w:hAnsi="宋体" w:cs="宋体" w:eastAsia="宋体" w:hint="default"/>
                <w:sz w:val="18"/>
                <w:szCs w:val="18"/>
              </w:rPr>
            </w:pPr>
            <w:r>
              <w:rPr>
                <w:rFonts w:ascii="宋体" w:hAnsi="宋体" w:cs="宋体" w:eastAsia="宋体" w:hint="default"/>
                <w:sz w:val="18"/>
                <w:szCs w:val="18"/>
              </w:rPr>
              <w:t>制的其他公司、企业或者其他经济组织之间的关联交易。 对于无法避免或有合理原因而发生的关联交易，左强、厉 伟和崔京涛及其控制的其他公司、企业或者其他经济组织</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24"/>
              <w:jc w:val="both"/>
              <w:rPr>
                <w:rFonts w:ascii="宋体" w:hAnsi="宋体" w:cs="宋体" w:eastAsia="宋体" w:hint="default"/>
                <w:sz w:val="18"/>
                <w:szCs w:val="18"/>
              </w:rPr>
            </w:pPr>
            <w:r>
              <w:rPr>
                <w:rFonts w:ascii="宋体" w:hAnsi="宋体" w:cs="宋体" w:eastAsia="宋体" w:hint="default"/>
                <w:sz w:val="18"/>
                <w:szCs w:val="18"/>
              </w:rPr>
              <w:t>末，关于 关联交易 的承诺仍</w:t>
            </w:r>
          </w:p>
        </w:tc>
      </w:tr>
      <w:tr>
        <w:trPr>
          <w:trHeight w:val="313"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将遵循市场原则以公允、合理的市场价格进行交易，并根</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在严格履</w:t>
            </w:r>
          </w:p>
        </w:tc>
      </w:tr>
      <w:tr>
        <w:trPr>
          <w:trHeight w:val="321"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据有关法律、法规及规范性文件的规定履行关联交易决策</w:t>
            </w: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行中</w:t>
            </w:r>
          </w:p>
        </w:tc>
      </w:tr>
      <w:tr>
        <w:trPr>
          <w:trHeight w:val="318" w:hRule="exact"/>
        </w:trPr>
        <w:tc>
          <w:tcPr>
            <w:tcW w:w="851" w:type="dxa"/>
            <w:vMerge/>
            <w:tcBorders>
              <w:left w:val="single" w:sz="4" w:space="0" w:color="000000"/>
              <w:bottom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程序，依法履行信息披露义务和办理有关报批程序，不利</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34.940002pt;margin-top:329.100006pt;width:49.15pt;height:238.05pt;mso-position-horizontal-relative:page;mso-position-vertical-relative:page;z-index:-1027840" coordorigin="2699,6582" coordsize="983,4761">
            <v:group style="position:absolute;left:2699;top:6582;width:983;height:4761" coordorigin="2699,6582" coordsize="983,4761">
              <v:shape style="position:absolute;left:2699;top:6582;width:983;height:4761" coordorigin="2699,6582" coordsize="983,4761" path="m2699,11342l3682,11342,3682,6582,2699,6582,2699,11342xe" filled="true" fillcolor="#ffffff" stroked="false">
                <v:path arrowok="t"/>
                <v:fill type="solid"/>
              </v:shape>
            </v:group>
            <v:group style="position:absolute;left:2722;top:8142;width:936;height:352" coordorigin="2722,8142" coordsize="936,352">
              <v:shape style="position:absolute;left:2722;top:8142;width:936;height:352" coordorigin="2722,8142" coordsize="936,352" path="m2722,8494l3658,8494,3658,8142,2722,8142,2722,8494xe" filled="true" fillcolor="#ffffff" stroked="false">
                <v:path arrowok="t"/>
                <v:fill type="solid"/>
              </v:shape>
            </v:group>
            <v:group style="position:absolute;left:2722;top:8494;width:936;height:312" coordorigin="2722,8494" coordsize="936,312">
              <v:shape style="position:absolute;left:2722;top:8494;width:936;height:312" coordorigin="2722,8494" coordsize="936,312" path="m2722,8806l3658,8806,3658,8494,2722,8494,2722,8806xe" filled="true" fillcolor="#ffffff" stroked="false">
                <v:path arrowok="t"/>
                <v:fill type="solid"/>
              </v:shape>
            </v:group>
            <v:group style="position:absolute;left:2722;top:8806;width:936;height:312" coordorigin="2722,8806" coordsize="936,312">
              <v:shape style="position:absolute;left:2722;top:8806;width:936;height:312" coordorigin="2722,8806" coordsize="936,312" path="m2722,9118l3658,9118,3658,8806,2722,8806,2722,9118xe" filled="true" fillcolor="#ffffff" stroked="false">
                <v:path arrowok="t"/>
                <v:fill type="solid"/>
              </v:shape>
            </v:group>
            <v:group style="position:absolute;left:2722;top:9118;width:936;height:312" coordorigin="2722,9118" coordsize="936,312">
              <v:shape style="position:absolute;left:2722;top:9118;width:936;height:312" coordorigin="2722,9118" coordsize="936,312" path="m2722,9430l3658,9430,3658,9118,2722,9118,2722,9430xe" filled="true" fillcolor="#ffffff" stroked="false">
                <v:path arrowok="t"/>
                <v:fill type="solid"/>
              </v:shape>
            </v:group>
            <v:group style="position:absolute;left:2722;top:9430;width:936;height:353" coordorigin="2722,9430" coordsize="936,353">
              <v:shape style="position:absolute;left:2722;top:9430;width:936;height:353" coordorigin="2722,9430" coordsize="936,353" path="m2722,9782l3658,9782,3658,9430,2722,9430,2722,9782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51"/>
        <w:gridCol w:w="709"/>
        <w:gridCol w:w="992"/>
        <w:gridCol w:w="4536"/>
        <w:gridCol w:w="850"/>
        <w:gridCol w:w="851"/>
        <w:gridCol w:w="779"/>
      </w:tblGrid>
      <w:tr>
        <w:trPr>
          <w:trHeight w:val="317" w:hRule="exact"/>
        </w:trPr>
        <w:tc>
          <w:tcPr>
            <w:tcW w:w="851" w:type="dxa"/>
            <w:vMerge w:val="restart"/>
            <w:tcBorders>
              <w:top w:val="single" w:sz="4" w:space="0" w:color="000000"/>
              <w:left w:val="single" w:sz="4" w:space="0" w:color="000000"/>
              <w:right w:val="single" w:sz="4" w:space="0" w:color="000000"/>
            </w:tcBorders>
            <w:shd w:val="clear" w:color="auto" w:fill="D3D3D3"/>
          </w:tcPr>
          <w:p>
            <w:pPr/>
          </w:p>
        </w:tc>
        <w:tc>
          <w:tcPr>
            <w:tcW w:w="709"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4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用控股股东和实际控制人地位损害荣信股份及其他股东</w:t>
            </w:r>
          </w:p>
        </w:tc>
        <w:tc>
          <w:tcPr>
            <w:tcW w:w="850"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r>
      <w:tr>
        <w:trPr>
          <w:trHeight w:val="312" w:hRule="exact"/>
        </w:trPr>
        <w:tc>
          <w:tcPr>
            <w:tcW w:w="851" w:type="dxa"/>
            <w:vMerge/>
            <w:tcBorders>
              <w:left w:val="single" w:sz="4" w:space="0" w:color="000000"/>
              <w:right w:val="single" w:sz="4" w:space="0" w:color="000000"/>
            </w:tcBorders>
            <w:shd w:val="clear" w:color="auto" w:fill="D3D3D3"/>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的合法权益。左强、厉伟和崔京涛若违反上述承诺，将承</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3" w:hRule="exact"/>
        </w:trPr>
        <w:tc>
          <w:tcPr>
            <w:tcW w:w="851" w:type="dxa"/>
            <w:vMerge/>
            <w:tcBorders>
              <w:left w:val="single" w:sz="4" w:space="0" w:color="000000"/>
              <w:right w:val="single" w:sz="4" w:space="0" w:color="000000"/>
            </w:tcBorders>
            <w:shd w:val="clear" w:color="auto" w:fill="D3D3D3"/>
          </w:tcPr>
          <w:p>
            <w:pP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担因此而给荣信股份、梦网科技及其控制的其他公司、企</w:t>
            </w: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57" w:hRule="exact"/>
        </w:trPr>
        <w:tc>
          <w:tcPr>
            <w:tcW w:w="851" w:type="dxa"/>
            <w:vMerge/>
            <w:tcBorders>
              <w:left w:val="single" w:sz="4" w:space="0" w:color="000000"/>
              <w:right w:val="single" w:sz="4" w:space="0" w:color="000000"/>
            </w:tcBorders>
            <w:shd w:val="clear" w:color="auto" w:fill="D3D3D3"/>
          </w:tcPr>
          <w:p>
            <w:pPr/>
          </w:p>
        </w:tc>
        <w:tc>
          <w:tcPr>
            <w:tcW w:w="709"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业或者其他经济组织造成的损失。</w:t>
            </w: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r>
        <w:trPr>
          <w:trHeight w:val="362" w:hRule="exact"/>
        </w:trPr>
        <w:tc>
          <w:tcPr>
            <w:tcW w:w="851" w:type="dxa"/>
            <w:vMerge/>
            <w:tcBorders>
              <w:left w:val="single" w:sz="4" w:space="0" w:color="000000"/>
              <w:right w:val="single" w:sz="4" w:space="0" w:color="000000"/>
            </w:tcBorders>
            <w:shd w:val="clear" w:color="auto" w:fill="D3D3D3"/>
          </w:tcPr>
          <w:p>
            <w:pPr/>
          </w:p>
        </w:tc>
        <w:tc>
          <w:tcPr>
            <w:tcW w:w="709"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
        </w:tc>
        <w:tc>
          <w:tcPr>
            <w:tcW w:w="45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本次交易完成后，若因交割日前梦网科技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包括其分支机</w:t>
            </w: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115" w:hRule="exact"/>
        </w:trPr>
        <w:tc>
          <w:tcPr>
            <w:tcW w:w="851" w:type="dxa"/>
            <w:vMerge/>
            <w:tcBorders>
              <w:left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314" w:lineRule="auto" w:before="5"/>
              <w:ind w:left="22" w:right="20"/>
              <w:jc w:val="left"/>
              <w:rPr>
                <w:rFonts w:ascii="宋体" w:hAnsi="宋体" w:cs="宋体" w:eastAsia="宋体" w:hint="default"/>
                <w:sz w:val="18"/>
                <w:szCs w:val="18"/>
              </w:rPr>
            </w:pPr>
            <w:r>
              <w:rPr>
                <w:rFonts w:ascii="宋体" w:hAnsi="宋体" w:cs="宋体" w:eastAsia="宋体" w:hint="default"/>
                <w:spacing w:val="-4"/>
                <w:sz w:val="18"/>
                <w:szCs w:val="18"/>
              </w:rPr>
              <w:t>构</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及其控制的其他公司、企业或者其他经济组织未为其员</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1"/>
                <w:sz w:val="18"/>
                <w:szCs w:val="18"/>
              </w:rPr>
              <w:t>工缴纳或足额缴纳社会保险、住房公积金而被政府部门要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求补缴社会保险、住房公积金的，本人作为梦网科技实际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控制人将无条件按主管部门核定的金额代梦网科技补缴 相关款项；若因交割日前梦网科技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包括其分支机构</w:t>
            </w:r>
            <w:r>
              <w:rPr>
                <w:rFonts w:ascii="Times New Roman" w:hAnsi="Times New Roman" w:cs="Times New Roman" w:eastAsia="Times New Roman" w:hint="default"/>
                <w:sz w:val="18"/>
                <w:szCs w:val="18"/>
              </w:rPr>
              <w:t>)</w:t>
            </w:r>
            <w:r>
              <w:rPr>
                <w:rFonts w:ascii="宋体" w:hAnsi="宋体" w:cs="宋体" w:eastAsia="宋体" w:hint="default"/>
                <w:sz w:val="18"/>
                <w:szCs w:val="18"/>
              </w:rPr>
              <w:t>及其 </w:t>
            </w:r>
            <w:r>
              <w:rPr>
                <w:rFonts w:ascii="宋体" w:hAnsi="宋体" w:cs="宋体" w:eastAsia="宋体" w:hint="default"/>
                <w:spacing w:val="-1"/>
                <w:sz w:val="18"/>
                <w:szCs w:val="18"/>
              </w:rPr>
              <w:t>控制的其他公司、企业或者其他经济组织未为其员工缴纳</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或足额缴纳社会保险、住房公积金而被政府部门处以罚款</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或被员工要求承担经济补偿、赔偿或使梦网科技产生其他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任何费用或支出的，本人作为梦网科技实际控制人将无条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
                <w:sz w:val="18"/>
                <w:szCs w:val="18"/>
              </w:rPr>
              <w:t>件代梦网科技支付相应的款项，且保证梦网科技不因此遭</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316" w:lineRule="auto"/>
              <w:ind w:left="22" w:right="24"/>
              <w:jc w:val="left"/>
              <w:rPr>
                <w:rFonts w:ascii="宋体" w:hAnsi="宋体" w:cs="宋体" w:eastAsia="宋体" w:hint="default"/>
                <w:sz w:val="18"/>
                <w:szCs w:val="18"/>
              </w:rPr>
            </w:pPr>
            <w:r>
              <w:rPr>
                <w:rFonts w:ascii="宋体" w:hAnsi="宋体" w:cs="宋体" w:eastAsia="宋体" w:hint="default"/>
                <w:sz w:val="18"/>
                <w:szCs w:val="18"/>
              </w:rPr>
              <w:t>截止到本 报告期 末，关于 社会保 险、住房 公积金方 面的承诺 仍在严格 履行中</w:t>
            </w:r>
          </w:p>
        </w:tc>
      </w:tr>
      <w:tr>
        <w:trPr>
          <w:trHeight w:val="357" w:hRule="exact"/>
        </w:trPr>
        <w:tc>
          <w:tcPr>
            <w:tcW w:w="851" w:type="dxa"/>
            <w:vMerge/>
            <w:tcBorders>
              <w:left w:val="single" w:sz="4" w:space="0" w:color="000000"/>
              <w:bottom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
        </w:tc>
        <w:tc>
          <w:tcPr>
            <w:tcW w:w="45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受任何经济损失。</w:t>
            </w: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851" w:type="dxa"/>
            <w:tcBorders>
              <w:top w:val="single" w:sz="4" w:space="0" w:color="000000"/>
              <w:left w:val="single" w:sz="4" w:space="0" w:color="000000"/>
              <w:bottom w:val="nil" w:sz="6" w:space="0" w:color="auto"/>
              <w:right w:val="single" w:sz="4" w:space="0" w:color="000000"/>
            </w:tcBorders>
            <w:shd w:val="clear" w:color="auto" w:fill="D3D3D3"/>
          </w:tcPr>
          <w:p>
            <w:pPr/>
          </w:p>
        </w:tc>
        <w:tc>
          <w:tcPr>
            <w:tcW w:w="70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992" w:type="dxa"/>
            <w:tcBorders>
              <w:top w:val="single" w:sz="4" w:space="0" w:color="000000"/>
              <w:left w:val="single" w:sz="4" w:space="0" w:color="000000"/>
              <w:bottom w:val="nil" w:sz="6" w:space="0" w:color="auto"/>
              <w:right w:val="single" w:sz="4" w:space="0" w:color="000000"/>
            </w:tcBorders>
          </w:tcPr>
          <w:p>
            <w:pPr/>
          </w:p>
        </w:tc>
        <w:tc>
          <w:tcPr>
            <w:tcW w:w="4536"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85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控股股</w:t>
            </w: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东左强</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47" w:right="0"/>
              <w:jc w:val="left"/>
              <w:rPr>
                <w:rFonts w:ascii="宋体" w:hAnsi="宋体" w:cs="宋体" w:eastAsia="宋体" w:hint="default"/>
                <w:sz w:val="18"/>
                <w:szCs w:val="18"/>
              </w:rPr>
            </w:pPr>
            <w:r>
              <w:rPr>
                <w:rFonts w:ascii="宋体" w:hAnsi="宋体" w:cs="宋体" w:eastAsia="宋体" w:hint="default"/>
                <w:sz w:val="18"/>
                <w:szCs w:val="18"/>
              </w:rPr>
              <w:t>、</w:t>
            </w:r>
          </w:p>
        </w:tc>
        <w:tc>
          <w:tcPr>
            <w:tcW w:w="453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深港产</w:t>
            </w: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截止到本</w:t>
            </w:r>
          </w:p>
        </w:tc>
      </w:tr>
      <w:tr>
        <w:trPr>
          <w:trHeight w:val="1560"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96"/>
              <w:jc w:val="both"/>
              <w:rPr>
                <w:rFonts w:ascii="宋体" w:hAnsi="宋体" w:cs="宋体" w:eastAsia="宋体" w:hint="default"/>
                <w:sz w:val="18"/>
                <w:szCs w:val="18"/>
              </w:rPr>
            </w:pPr>
            <w:r>
              <w:rPr>
                <w:rFonts w:ascii="宋体" w:hAnsi="宋体" w:cs="宋体" w:eastAsia="宋体" w:hint="default"/>
                <w:sz w:val="18"/>
                <w:szCs w:val="18"/>
              </w:rPr>
              <w:t>首次公开 发行或再 融资时所 作承诺</w:t>
            </w: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4"/>
              <w:jc w:val="left"/>
              <w:rPr>
                <w:rFonts w:ascii="宋体" w:hAnsi="宋体" w:cs="宋体" w:eastAsia="宋体" w:hint="default"/>
                <w:sz w:val="18"/>
                <w:szCs w:val="18"/>
              </w:rPr>
            </w:pPr>
            <w:r>
              <w:rPr>
                <w:rFonts w:ascii="宋体" w:hAnsi="宋体" w:cs="宋体" w:eastAsia="宋体" w:hint="default"/>
                <w:sz w:val="18"/>
                <w:szCs w:val="18"/>
              </w:rPr>
              <w:t>学研创 业投资 有限公 司， 实 际控制</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59"/>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453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1"/>
                <w:sz w:val="18"/>
                <w:szCs w:val="18"/>
              </w:rPr>
              <w:t>为避免将来可能出现与本公司的同业竞争，本公司控股股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东、实际控制人出具了《避免同业竞争的承诺函》，承诺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1"/>
                <w:sz w:val="18"/>
                <w:szCs w:val="18"/>
              </w:rPr>
              <w:t>将不会直接或间接从事与本公司相同、相似的业务，也不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在与本公司有相同、相似业务的其他企业任职。</w:t>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4"/>
              <w:jc w:val="left"/>
              <w:rPr>
                <w:rFonts w:ascii="宋体" w:hAnsi="宋体" w:cs="宋体" w:eastAsia="宋体" w:hint="default"/>
                <w:sz w:val="18"/>
                <w:szCs w:val="18"/>
              </w:rPr>
            </w:pPr>
            <w:r>
              <w:rPr>
                <w:rFonts w:ascii="宋体" w:hAnsi="宋体" w:cs="宋体" w:eastAsia="宋体" w:hint="default"/>
                <w:sz w:val="18"/>
                <w:szCs w:val="18"/>
              </w:rPr>
              <w:t>报告期 末，避免 同业竞争 的承诺仍 在严格履</w:t>
            </w: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人左强</w:t>
            </w: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行中</w:t>
            </w:r>
          </w:p>
        </w:tc>
      </w:tr>
      <w:tr>
        <w:trPr>
          <w:trHeight w:val="311"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pacing w:val="-17"/>
                <w:sz w:val="18"/>
                <w:szCs w:val="18"/>
              </w:rPr>
              <w:t>先生、崔</w:t>
            </w: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京涛女</w:t>
            </w: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
        </w:tc>
        <w:tc>
          <w:tcPr>
            <w:tcW w:w="70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士和厉</w:t>
            </w:r>
          </w:p>
        </w:tc>
        <w:tc>
          <w:tcPr>
            <w:tcW w:w="992" w:type="dxa"/>
            <w:tcBorders>
              <w:top w:val="nil" w:sz="6" w:space="0" w:color="auto"/>
              <w:left w:val="single" w:sz="4" w:space="0" w:color="000000"/>
              <w:bottom w:val="nil" w:sz="6" w:space="0" w:color="auto"/>
              <w:right w:val="single" w:sz="4" w:space="0" w:color="000000"/>
            </w:tcBorders>
          </w:tcPr>
          <w:p>
            <w:pPr/>
          </w:p>
        </w:tc>
        <w:tc>
          <w:tcPr>
            <w:tcW w:w="4536"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85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851" w:type="dxa"/>
            <w:tcBorders>
              <w:top w:val="nil" w:sz="6" w:space="0" w:color="auto"/>
              <w:left w:val="single" w:sz="4" w:space="0" w:color="000000"/>
              <w:bottom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伟先生</w:t>
            </w: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147" w:right="0"/>
              <w:jc w:val="left"/>
              <w:rPr>
                <w:rFonts w:ascii="宋体" w:hAnsi="宋体" w:cs="宋体" w:eastAsia="宋体" w:hint="default"/>
                <w:sz w:val="18"/>
                <w:szCs w:val="18"/>
              </w:rPr>
            </w:pPr>
            <w:r>
              <w:rPr>
                <w:rFonts w:ascii="宋体" w:hAnsi="宋体" w:cs="宋体" w:eastAsia="宋体" w:hint="default"/>
                <w:sz w:val="18"/>
                <w:szCs w:val="18"/>
              </w:rPr>
              <w:t>。</w:t>
            </w:r>
          </w:p>
        </w:tc>
        <w:tc>
          <w:tcPr>
            <w:tcW w:w="4536"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85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股权激励 承诺</w:t>
            </w:r>
          </w:p>
        </w:tc>
        <w:tc>
          <w:tcPr>
            <w:tcW w:w="70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4536"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85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w:t>
            </w:r>
          </w:p>
        </w:tc>
        <w:tc>
          <w:tcPr>
            <w:tcW w:w="709"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4536"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851" w:type="dxa"/>
            <w:vMerge w:val="restart"/>
            <w:tcBorders>
              <w:top w:val="single" w:sz="4" w:space="0" w:color="000000"/>
              <w:left w:val="single" w:sz="4" w:space="0" w:color="000000"/>
              <w:right w:val="single" w:sz="4" w:space="0" w:color="000000"/>
            </w:tcBorders>
          </w:tcPr>
          <w:p>
            <w:pPr/>
          </w:p>
        </w:tc>
        <w:tc>
          <w:tcPr>
            <w:tcW w:w="779" w:type="dxa"/>
            <w:vMerge w:val="restart"/>
            <w:tcBorders>
              <w:top w:val="single" w:sz="4" w:space="0" w:color="000000"/>
              <w:left w:val="single" w:sz="4" w:space="0" w:color="000000"/>
              <w:right w:val="single" w:sz="4" w:space="0" w:color="000000"/>
            </w:tcBorders>
          </w:tcPr>
          <w:p>
            <w:pPr/>
          </w:p>
        </w:tc>
      </w:tr>
      <w:tr>
        <w:trPr>
          <w:trHeight w:val="311"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司中小股</w:t>
            </w: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3"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东所作承</w:t>
            </w:r>
          </w:p>
        </w:tc>
        <w:tc>
          <w:tcPr>
            <w:tcW w:w="709"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4536"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57" w:hRule="exact"/>
        </w:trPr>
        <w:tc>
          <w:tcPr>
            <w:tcW w:w="85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诺</w:t>
            </w:r>
          </w:p>
        </w:tc>
        <w:tc>
          <w:tcPr>
            <w:tcW w:w="709"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4536"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承诺是否 按时履行</w:t>
            </w:r>
          </w:p>
        </w:tc>
        <w:tc>
          <w:tcPr>
            <w:tcW w:w="871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48" w:hRule="exact"/>
        </w:trPr>
        <w:tc>
          <w:tcPr>
            <w:tcW w:w="85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如承诺超</w:t>
            </w:r>
          </w:p>
        </w:tc>
        <w:tc>
          <w:tcPr>
            <w:tcW w:w="8717" w:type="dxa"/>
            <w:gridSpan w:val="6"/>
            <w:tcBorders>
              <w:top w:val="single" w:sz="4" w:space="0" w:color="000000"/>
              <w:left w:val="single" w:sz="4" w:space="0" w:color="000000"/>
              <w:bottom w:val="nil" w:sz="6" w:space="0" w:color="auto"/>
              <w:right w:val="single" w:sz="4" w:space="0" w:color="000000"/>
            </w:tcBorders>
          </w:tcPr>
          <w:p>
            <w:pPr/>
          </w:p>
        </w:tc>
      </w:tr>
      <w:tr>
        <w:trPr>
          <w:trHeight w:val="321"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9"/>
              <w:ind w:left="22" w:right="0"/>
              <w:jc w:val="left"/>
              <w:rPr>
                <w:rFonts w:ascii="宋体" w:hAnsi="宋体" w:cs="宋体" w:eastAsia="宋体" w:hint="default"/>
                <w:sz w:val="18"/>
                <w:szCs w:val="18"/>
              </w:rPr>
            </w:pPr>
            <w:r>
              <w:rPr>
                <w:rFonts w:ascii="宋体" w:hAnsi="宋体" w:cs="宋体" w:eastAsia="宋体" w:hint="default"/>
                <w:sz w:val="18"/>
                <w:szCs w:val="18"/>
              </w:rPr>
              <w:t>期未履行</w:t>
            </w:r>
          </w:p>
        </w:tc>
        <w:tc>
          <w:tcPr>
            <w:tcW w:w="8717"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8" w:hRule="exact"/>
        </w:trPr>
        <w:tc>
          <w:tcPr>
            <w:tcW w:w="85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完毕的，</w:t>
            </w:r>
          </w:p>
        </w:tc>
        <w:tc>
          <w:tcPr>
            <w:tcW w:w="8717" w:type="dxa"/>
            <w:gridSpan w:val="6"/>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851"/>
        <w:gridCol w:w="8717"/>
      </w:tblGrid>
      <w:tr>
        <w:trPr>
          <w:trHeight w:val="317" w:hRule="exact"/>
        </w:trPr>
        <w:tc>
          <w:tcPr>
            <w:tcW w:w="85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应当详细</w:t>
            </w:r>
          </w:p>
        </w:tc>
        <w:tc>
          <w:tcPr>
            <w:tcW w:w="8717" w:type="dxa"/>
            <w:vMerge w:val="restart"/>
            <w:tcBorders>
              <w:top w:val="single" w:sz="4" w:space="0" w:color="000000"/>
              <w:left w:val="single" w:sz="4" w:space="0" w:color="000000"/>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说明未完</w:t>
            </w:r>
          </w:p>
        </w:tc>
        <w:tc>
          <w:tcPr>
            <w:tcW w:w="8717" w:type="dxa"/>
            <w:vMerge/>
            <w:tcBorders>
              <w:left w:val="single" w:sz="4" w:space="0" w:color="000000"/>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成履行的</w:t>
            </w:r>
          </w:p>
        </w:tc>
        <w:tc>
          <w:tcPr>
            <w:tcW w:w="8717" w:type="dxa"/>
            <w:vMerge/>
            <w:tcBorders>
              <w:left w:val="single" w:sz="4" w:space="0" w:color="000000"/>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具体原因</w:t>
            </w:r>
          </w:p>
        </w:tc>
        <w:tc>
          <w:tcPr>
            <w:tcW w:w="8717" w:type="dxa"/>
            <w:vMerge/>
            <w:tcBorders>
              <w:left w:val="single" w:sz="4" w:space="0" w:color="000000"/>
              <w:right w:val="single" w:sz="4" w:space="0" w:color="000000"/>
            </w:tcBorders>
          </w:tcPr>
          <w:p>
            <w:pPr/>
          </w:p>
        </w:tc>
      </w:tr>
      <w:tr>
        <w:trPr>
          <w:trHeight w:val="312"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及下一步</w:t>
            </w:r>
          </w:p>
        </w:tc>
        <w:tc>
          <w:tcPr>
            <w:tcW w:w="8717" w:type="dxa"/>
            <w:vMerge/>
            <w:tcBorders>
              <w:left w:val="single" w:sz="4" w:space="0" w:color="000000"/>
              <w:right w:val="single" w:sz="4" w:space="0" w:color="000000"/>
            </w:tcBorders>
          </w:tcPr>
          <w:p>
            <w:pPr/>
          </w:p>
        </w:tc>
      </w:tr>
      <w:tr>
        <w:trPr>
          <w:trHeight w:val="313" w:hRule="exact"/>
        </w:trPr>
        <w:tc>
          <w:tcPr>
            <w:tcW w:w="8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的工作计</w:t>
            </w:r>
          </w:p>
        </w:tc>
        <w:tc>
          <w:tcPr>
            <w:tcW w:w="8717" w:type="dxa"/>
            <w:vMerge/>
            <w:tcBorders>
              <w:left w:val="single" w:sz="4" w:space="0" w:color="000000"/>
              <w:right w:val="single" w:sz="4" w:space="0" w:color="000000"/>
            </w:tcBorders>
          </w:tcPr>
          <w:p>
            <w:pPr/>
          </w:p>
        </w:tc>
      </w:tr>
      <w:tr>
        <w:trPr>
          <w:trHeight w:val="357" w:hRule="exact"/>
        </w:trPr>
        <w:tc>
          <w:tcPr>
            <w:tcW w:w="85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划</w:t>
            </w:r>
          </w:p>
        </w:tc>
        <w:tc>
          <w:tcPr>
            <w:tcW w:w="8717" w:type="dxa"/>
            <w:vMerge/>
            <w:tcBorders>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4" w:right="43"/>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95" w:right="44"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93" w:right="43"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358" w:hRule="exact"/>
        </w:trPr>
        <w:tc>
          <w:tcPr>
            <w:tcW w:w="130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深圳市梦网科</w:t>
            </w:r>
          </w:p>
        </w:tc>
        <w:tc>
          <w:tcPr>
            <w:tcW w:w="1178"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1" w:type="dxa"/>
            <w:tcBorders>
              <w:top w:val="single" w:sz="4" w:space="0" w:color="000000"/>
              <w:left w:val="single" w:sz="4" w:space="0" w:color="000000"/>
              <w:bottom w:val="nil" w:sz="6" w:space="0" w:color="auto"/>
              <w:right w:val="single" w:sz="4" w:space="0" w:color="000000"/>
            </w:tcBorders>
          </w:tcPr>
          <w:p>
            <w:pPr/>
          </w:p>
        </w:tc>
        <w:tc>
          <w:tcPr>
            <w:tcW w:w="1180" w:type="dxa"/>
            <w:tcBorders>
              <w:top w:val="single" w:sz="4" w:space="0" w:color="000000"/>
              <w:left w:val="single" w:sz="4" w:space="0" w:color="000000"/>
              <w:bottom w:val="nil" w:sz="6" w:space="0" w:color="auto"/>
              <w:right w:val="single" w:sz="4" w:space="0" w:color="000000"/>
            </w:tcBorders>
          </w:tcPr>
          <w:p>
            <w:pPr/>
          </w:p>
        </w:tc>
        <w:tc>
          <w:tcPr>
            <w:tcW w:w="1180" w:type="dxa"/>
            <w:tcBorders>
              <w:top w:val="single" w:sz="4" w:space="0" w:color="000000"/>
              <w:left w:val="single" w:sz="4" w:space="0" w:color="000000"/>
              <w:bottom w:val="nil" w:sz="6" w:space="0" w:color="auto"/>
              <w:right w:val="single" w:sz="4" w:space="0" w:color="000000"/>
            </w:tcBorders>
          </w:tcPr>
          <w:p>
            <w:pPr/>
          </w:p>
        </w:tc>
        <w:tc>
          <w:tcPr>
            <w:tcW w:w="1182" w:type="dxa"/>
            <w:tcBorders>
              <w:top w:val="single" w:sz="4" w:space="0" w:color="000000"/>
              <w:left w:val="single" w:sz="4" w:space="0" w:color="000000"/>
              <w:bottom w:val="nil" w:sz="6" w:space="0" w:color="auto"/>
              <w:right w:val="single" w:sz="4" w:space="0" w:color="000000"/>
            </w:tcBorders>
          </w:tcPr>
          <w:p>
            <w:pPr/>
          </w:p>
        </w:tc>
        <w:tc>
          <w:tcPr>
            <w:tcW w:w="1178"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1306"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91"/>
              <w:jc w:val="both"/>
              <w:rPr>
                <w:rFonts w:ascii="宋体" w:hAnsi="宋体" w:cs="宋体" w:eastAsia="宋体" w:hint="default"/>
                <w:sz w:val="18"/>
                <w:szCs w:val="18"/>
              </w:rPr>
            </w:pPr>
            <w:r>
              <w:rPr>
                <w:rFonts w:ascii="宋体" w:hAnsi="宋体" w:cs="宋体" w:eastAsia="宋体" w:hint="default"/>
                <w:sz w:val="18"/>
                <w:szCs w:val="18"/>
              </w:rPr>
              <w:t>技发展有限公 司补偿义务人 之盈利预测补</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652" w:right="0"/>
              <w:jc w:val="left"/>
              <w:rPr>
                <w:rFonts w:ascii="Times New Roman" w:hAnsi="Times New Roman" w:cs="Times New Roman" w:eastAsia="Times New Roman" w:hint="default"/>
                <w:sz w:val="18"/>
                <w:szCs w:val="18"/>
              </w:rPr>
            </w:pPr>
            <w:r>
              <w:rPr>
                <w:rFonts w:ascii="Times New Roman"/>
                <w:sz w:val="18"/>
              </w:rPr>
              <w:t>16,430</w:t>
            </w: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652" w:right="0"/>
              <w:jc w:val="left"/>
              <w:rPr>
                <w:rFonts w:ascii="Times New Roman" w:hAnsi="Times New Roman" w:cs="Times New Roman" w:eastAsia="Times New Roman" w:hint="default"/>
                <w:sz w:val="18"/>
                <w:szCs w:val="18"/>
              </w:rPr>
            </w:pPr>
            <w:r>
              <w:rPr>
                <w:rFonts w:ascii="Times New Roman"/>
                <w:sz w:val="18"/>
              </w:rPr>
              <w:t>21,014</w:t>
            </w:r>
          </w:p>
        </w:tc>
        <w:tc>
          <w:tcPr>
            <w:tcW w:w="118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9" w:lineRule="auto" w:before="75"/>
              <w:ind w:left="22" w:right="65"/>
              <w:jc w:val="left"/>
              <w:rPr>
                <w:rFonts w:ascii="宋体" w:hAnsi="宋体" w:cs="宋体" w:eastAsia="宋体" w:hint="default"/>
                <w:sz w:val="18"/>
                <w:szCs w:val="18"/>
              </w:rPr>
            </w:pPr>
            <w:r>
              <w:rPr>
                <w:rFonts w:ascii="宋体" w:hAnsi="宋体" w:cs="宋体" w:eastAsia="宋体" w:hint="default"/>
                <w:sz w:val="18"/>
                <w:szCs w:val="18"/>
              </w:rPr>
              <w:t>《盈利预测补 偿协议》</w:t>
            </w:r>
          </w:p>
        </w:tc>
      </w:tr>
      <w:tr>
        <w:trPr>
          <w:trHeight w:val="356" w:hRule="exact"/>
        </w:trPr>
        <w:tc>
          <w:tcPr>
            <w:tcW w:w="130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偿协议</w:t>
            </w:r>
          </w:p>
        </w:tc>
        <w:tc>
          <w:tcPr>
            <w:tcW w:w="1178"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1"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tcPr>
          <w:p>
            <w:pPr/>
          </w:p>
        </w:tc>
        <w:tc>
          <w:tcPr>
            <w:tcW w:w="1180" w:type="dxa"/>
            <w:tcBorders>
              <w:top w:val="nil" w:sz="6" w:space="0" w:color="auto"/>
              <w:left w:val="single" w:sz="4" w:space="0" w:color="000000"/>
              <w:bottom w:val="single" w:sz="4" w:space="0" w:color="000000"/>
              <w:right w:val="single" w:sz="4" w:space="0" w:color="000000"/>
            </w:tcBorders>
          </w:tcPr>
          <w:p>
            <w:pPr/>
          </w:p>
        </w:tc>
        <w:tc>
          <w:tcPr>
            <w:tcW w:w="1182" w:type="dxa"/>
            <w:tcBorders>
              <w:top w:val="nil" w:sz="6" w:space="0" w:color="auto"/>
              <w:left w:val="single" w:sz="4" w:space="0" w:color="000000"/>
              <w:bottom w:val="single" w:sz="4" w:space="0" w:color="000000"/>
              <w:right w:val="single" w:sz="4" w:space="0" w:color="000000"/>
            </w:tcBorders>
          </w:tcPr>
          <w:p>
            <w:pPr/>
          </w:p>
        </w:tc>
        <w:tc>
          <w:tcPr>
            <w:tcW w:w="1178" w:type="dxa"/>
            <w:tcBorders>
              <w:top w:val="nil" w:sz="6" w:space="0" w:color="auto"/>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公司股东、交易对手方在报告年度经营业绩做出的承诺情况</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93" w:lineRule="auto" w:before="155"/>
        <w:ind w:left="153" w:right="150" w:firstLine="480"/>
        <w:jc w:val="both"/>
      </w:pPr>
      <w:r>
        <w:rPr/>
        <w:t>在发行股份购买深圳市梦网科技发展有限公司</w:t>
      </w:r>
      <w:r>
        <w:rPr>
          <w:rFonts w:ascii="Times New Roman" w:hAnsi="Times New Roman" w:cs="Times New Roman" w:eastAsia="Times New Roman" w:hint="default"/>
        </w:rPr>
        <w:t>100%</w:t>
      </w:r>
      <w:r>
        <w:rPr/>
        <w:t>股权中，余文胜、陈新、深圳市松禾资本管理合</w:t>
      </w:r>
      <w:r>
        <w:rPr>
          <w:spacing w:val="1"/>
        </w:rPr>
        <w:t> </w:t>
      </w:r>
      <w:r>
        <w:rPr>
          <w:spacing w:val="-1"/>
        </w:rPr>
        <w:t>伙企业（有限合伙）、黄勇刚、深圳市网睿伟业投资合伙企业（有限合伙）、深圳市网兴伟业投资合伙企</w:t>
      </w:r>
      <w:r>
        <w:rPr>
          <w:spacing w:val="-85"/>
        </w:rPr>
        <w:t> </w:t>
      </w:r>
      <w:r>
        <w:rPr>
          <w:spacing w:val="-85"/>
        </w:rPr>
      </w:r>
      <w:r>
        <w:rPr>
          <w:spacing w:val="-1"/>
        </w:rPr>
        <w:t>业（有限合伙）、深圳市网智伟业投资合伙企业（有限合伙）、田飞冲、任国平、李局春、文力等</w:t>
      </w:r>
      <w:r>
        <w:rPr>
          <w:rFonts w:ascii="Times New Roman" w:hAnsi="Times New Roman" w:cs="Times New Roman" w:eastAsia="Times New Roman" w:hint="default"/>
          <w:spacing w:val="-1"/>
        </w:rPr>
        <w:t>11</w:t>
      </w:r>
      <w:r>
        <w:rPr>
          <w:spacing w:val="-1"/>
        </w:rPr>
        <w:t>名交</w:t>
      </w:r>
      <w:r>
        <w:rPr>
          <w:spacing w:val="-90"/>
        </w:rPr>
        <w:t> </w:t>
      </w:r>
      <w:r>
        <w:rPr/>
        <w:t>易对方承诺：</w:t>
      </w:r>
    </w:p>
    <w:p>
      <w:pPr>
        <w:pStyle w:val="BodyText"/>
        <w:spacing w:line="391" w:lineRule="auto" w:before="59"/>
        <w:ind w:left="153" w:right="145" w:firstLine="336"/>
        <w:jc w:val="both"/>
      </w:pPr>
      <w:r>
        <w:rPr/>
        <w:t>本次交易盈利预测补偿期限为</w:t>
      </w:r>
      <w:r>
        <w:rPr>
          <w:rFonts w:ascii="Times New Roman" w:hAnsi="Times New Roman" w:cs="Times New Roman" w:eastAsia="Times New Roman" w:hint="default"/>
        </w:rPr>
        <w:t>2015</w:t>
      </w:r>
      <w:r>
        <w:rPr/>
        <w:t>年度及</w:t>
      </w:r>
      <w:r>
        <w:rPr>
          <w:rFonts w:ascii="Times New Roman" w:hAnsi="Times New Roman" w:cs="Times New Roman" w:eastAsia="Times New Roman" w:hint="default"/>
        </w:rPr>
        <w:t>2016</w:t>
      </w:r>
      <w:r>
        <w:rPr/>
        <w:t>年度，本次发行股份及支付现金购买资产的承担补偿义</w:t>
      </w:r>
      <w:r>
        <w:rPr>
          <w:spacing w:val="1"/>
        </w:rPr>
        <w:t> </w:t>
      </w:r>
      <w:r>
        <w:rPr>
          <w:spacing w:val="3"/>
        </w:rPr>
        <w:t>务的交易对方承诺梦网科技</w:t>
      </w:r>
      <w:r>
        <w:rPr>
          <w:rFonts w:ascii="Times New Roman" w:hAnsi="Times New Roman" w:cs="Times New Roman" w:eastAsia="Times New Roman" w:hint="default"/>
          <w:spacing w:val="3"/>
        </w:rPr>
        <w:t>2015</w:t>
      </w:r>
      <w:r>
        <w:rPr>
          <w:spacing w:val="3"/>
        </w:rPr>
        <w:t>年度实现的净利润（扣除非经常性损益后的归属于母公司所有者的净利</w:t>
      </w:r>
      <w:r>
        <w:rPr>
          <w:spacing w:val="-87"/>
        </w:rPr>
        <w:t> </w:t>
      </w:r>
      <w:r>
        <w:rPr>
          <w:spacing w:val="-87"/>
        </w:rPr>
      </w:r>
      <w:r>
        <w:rPr/>
        <w:t>润，下同）数额不低于</w:t>
      </w:r>
      <w:r>
        <w:rPr>
          <w:rFonts w:ascii="Times New Roman" w:hAnsi="Times New Roman" w:cs="Times New Roman" w:eastAsia="Times New Roman" w:hint="default"/>
        </w:rPr>
        <w:t>16,430</w:t>
      </w:r>
      <w:r>
        <w:rPr/>
        <w:t>万元，</w:t>
      </w:r>
      <w:r>
        <w:rPr>
          <w:rFonts w:ascii="Times New Roman" w:hAnsi="Times New Roman" w:cs="Times New Roman" w:eastAsia="Times New Roman" w:hint="default"/>
        </w:rPr>
        <w:t>2015</w:t>
      </w:r>
      <w:r>
        <w:rPr/>
        <w:t>年度、</w:t>
      </w:r>
      <w:r>
        <w:rPr>
          <w:rFonts w:ascii="Times New Roman" w:hAnsi="Times New Roman" w:cs="Times New Roman" w:eastAsia="Times New Roman" w:hint="default"/>
        </w:rPr>
        <w:t>2016</w:t>
      </w:r>
      <w:r>
        <w:rPr/>
        <w:t>年度合计实现的净利润数额不低于</w:t>
      </w:r>
      <w:r>
        <w:rPr>
          <w:rFonts w:ascii="Times New Roman" w:hAnsi="Times New Roman" w:cs="Times New Roman" w:eastAsia="Times New Roman" w:hint="default"/>
        </w:rPr>
        <w:t>40,060</w:t>
      </w:r>
      <w:r>
        <w:rPr/>
        <w:t>万元。如果</w:t>
      </w:r>
      <w:r>
        <w:rPr>
          <w:spacing w:val="-41"/>
        </w:rPr>
        <w:t> </w:t>
      </w:r>
      <w:r>
        <w:rPr>
          <w:spacing w:val="-41"/>
        </w:rPr>
      </w:r>
      <w:r>
        <w:rPr>
          <w:spacing w:val="-1"/>
        </w:rPr>
        <w:t>实际实现的净利润低于上述承诺净利润且触发了《盈利预测补偿协议》规定的补偿义务，则全体承担补偿</w:t>
      </w:r>
      <w:r>
        <w:rPr>
          <w:spacing w:val="-83"/>
        </w:rPr>
        <w:t> </w:t>
      </w:r>
      <w:r>
        <w:rPr>
          <w:spacing w:val="-83"/>
        </w:rPr>
      </w:r>
      <w:r>
        <w:rPr/>
        <w:t>义务的交易对方将按照与本公司签署的《盈利预测补偿协议》的规定进行补偿。</w:t>
      </w:r>
    </w:p>
    <w:p>
      <w:pPr>
        <w:pStyle w:val="BodyText"/>
        <w:spacing w:line="386" w:lineRule="auto" w:before="61"/>
        <w:ind w:left="153" w:right="150" w:firstLine="336"/>
        <w:jc w:val="both"/>
      </w:pPr>
      <w:r>
        <w:rPr>
          <w:rFonts w:ascii="Times New Roman" w:hAnsi="Times New Roman" w:cs="Times New Roman" w:eastAsia="Times New Roman" w:hint="default"/>
          <w:spacing w:val="-3"/>
        </w:rPr>
        <w:t>2015</w:t>
      </w:r>
      <w:r>
        <w:rPr>
          <w:spacing w:val="-3"/>
        </w:rPr>
        <w:t>年度，梦网科技扣除非经常性损益后归属于母公司股东的净利润为</w:t>
      </w:r>
      <w:r>
        <w:rPr>
          <w:rFonts w:ascii="Times New Roman" w:hAnsi="Times New Roman" w:cs="Times New Roman" w:eastAsia="Times New Roman" w:hint="default"/>
          <w:spacing w:val="-3"/>
        </w:rPr>
        <w:t>21,014</w:t>
      </w:r>
      <w:r>
        <w:rPr>
          <w:spacing w:val="-3"/>
        </w:rPr>
        <w:t>万元，完成了重大资产重</w:t>
      </w:r>
      <w:r>
        <w:rPr/>
        <w:t> 组时的业绩承诺。</w:t>
      </w:r>
    </w:p>
    <w:p>
      <w:pPr>
        <w:spacing w:line="240" w:lineRule="auto" w:before="3"/>
        <w:rPr>
          <w:rFonts w:ascii="宋体" w:hAnsi="宋体" w:cs="宋体" w:eastAsia="宋体" w:hint="default"/>
          <w:sz w:val="20"/>
          <w:szCs w:val="20"/>
        </w:rPr>
      </w:pPr>
    </w:p>
    <w:p>
      <w:pPr>
        <w:pStyle w:val="Heading2"/>
        <w:spacing w:line="240" w:lineRule="auto"/>
        <w:ind w:right="0"/>
        <w:jc w:val="left"/>
        <w:rPr>
          <w:b w:val="0"/>
          <w:bCs w:val="0"/>
        </w:rPr>
      </w:pPr>
      <w:r>
        <w:rPr/>
        <w:t>四、控股股东及其关联方对上市公司的非经营性占用资金情况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4" w:right="40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after="0" w:line="338"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47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公司报告期无会计政策、会计估计和核算方法发生变化的情况。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七、报告期内发生重大会计差错更正需追溯重述的情况说明</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56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3"/>
        <w:ind w:left="153" w:right="199" w:firstLine="420"/>
        <w:jc w:val="both"/>
      </w:pPr>
      <w:r>
        <w:rPr>
          <w:rFonts w:ascii="Times New Roman" w:hAnsi="Times New Roman" w:cs="Times New Roman" w:eastAsia="Times New Roman" w:hint="default"/>
        </w:rPr>
        <w:t>1</w:t>
      </w:r>
      <w:r>
        <w:rPr/>
        <w:t>、报告期，公司经中国证监会《关于核准荣信电力电子股份有限公司向余文胜等发行股份购买资产 并募集配套资金的批复》（证监许可</w:t>
      </w:r>
      <w:r>
        <w:rPr>
          <w:rFonts w:ascii="Times New Roman" w:hAnsi="Times New Roman" w:cs="Times New Roman" w:eastAsia="Times New Roman" w:hint="default"/>
        </w:rPr>
        <w:t>[2015]1717</w:t>
      </w:r>
      <w:r>
        <w:rPr/>
        <w:t>号）核准，发行股份及支付现金购买深圳市梦网科技发展 有限公司</w:t>
      </w:r>
      <w:r>
        <w:rPr>
          <w:rFonts w:ascii="Times New Roman" w:hAnsi="Times New Roman" w:cs="Times New Roman" w:eastAsia="Times New Roman" w:hint="default"/>
        </w:rPr>
        <w:t>100%</w:t>
      </w:r>
      <w:r>
        <w:rPr/>
        <w:t>股权，自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月起公司将深圳市梦网科技发展有限公司纳入合并报表。</w:t>
      </w:r>
    </w:p>
    <w:p>
      <w:pPr>
        <w:pStyle w:val="BodyText"/>
        <w:spacing w:line="240" w:lineRule="auto" w:before="35"/>
        <w:ind w:left="557" w:right="0"/>
        <w:jc w:val="left"/>
      </w:pPr>
      <w:r>
        <w:rPr>
          <w:rFonts w:ascii="Times New Roman" w:hAnsi="Times New Roman" w:cs="Times New Roman" w:eastAsia="Times New Roman" w:hint="default"/>
        </w:rPr>
        <w:t>2</w:t>
      </w:r>
      <w:r>
        <w:rPr/>
        <w:t>、报告期，公司在英国设立全资子公司荣信电力有限公司，工商手续已办理完毕，纳入合并报表。</w:t>
      </w:r>
    </w:p>
    <w:p>
      <w:pPr>
        <w:pStyle w:val="BodyText"/>
        <w:spacing w:line="240" w:lineRule="auto" w:before="177"/>
        <w:ind w:left="574" w:right="0"/>
        <w:jc w:val="left"/>
      </w:pPr>
      <w:r>
        <w:rPr>
          <w:rFonts w:ascii="Times New Roman" w:hAnsi="Times New Roman" w:cs="Times New Roman" w:eastAsia="Times New Roman" w:hint="default"/>
        </w:rPr>
        <w:t>3</w:t>
      </w:r>
      <w:r>
        <w:rPr/>
        <w:t>、报告期，公司在香港设立全资子公司荣信股份控股有限公司，纳入合并报表。</w:t>
      </w:r>
    </w:p>
    <w:p>
      <w:pPr>
        <w:pStyle w:val="BodyText"/>
        <w:spacing w:line="240" w:lineRule="auto" w:before="177"/>
        <w:ind w:left="574" w:right="0"/>
        <w:jc w:val="left"/>
      </w:pPr>
      <w:r>
        <w:rPr>
          <w:rFonts w:ascii="Times New Roman" w:hAnsi="Times New Roman" w:cs="Times New Roman" w:eastAsia="Times New Roman" w:hint="default"/>
        </w:rPr>
        <w:t>4</w:t>
      </w:r>
      <w:r>
        <w:rPr/>
        <w:t>、报告期，注销了销售公司北京诚和伟业发展有限公司，不再纳入合并报表。</w:t>
      </w:r>
    </w:p>
    <w:p>
      <w:pPr>
        <w:pStyle w:val="BodyText"/>
        <w:spacing w:line="240" w:lineRule="auto" w:before="177"/>
        <w:ind w:left="574" w:right="0"/>
        <w:jc w:val="left"/>
        <w:rPr>
          <w:rFonts w:ascii="MS Gothic" w:hAnsi="MS Gothic" w:cs="MS Gothic" w:eastAsia="MS Gothic" w:hint="default"/>
        </w:rPr>
      </w:pPr>
      <w:r>
        <w:rPr>
          <w:rFonts w:ascii="Times New Roman" w:hAnsi="Times New Roman" w:cs="Times New Roman" w:eastAsia="Times New Roman" w:hint="default"/>
        </w:rPr>
        <w:t>5</w:t>
      </w:r>
      <w:r>
        <w:rPr/>
        <w:t>、报告期，公司将所持有的辽宁荣信光伏技术有限公司</w:t>
      </w:r>
      <w:r>
        <w:rPr>
          <w:rFonts w:ascii="Times New Roman" w:hAnsi="Times New Roman" w:cs="Times New Roman" w:eastAsia="Times New Roman" w:hint="default"/>
        </w:rPr>
        <w:t>90%</w:t>
      </w:r>
      <w:r>
        <w:rPr/>
        <w:t>的股权转让，不再纳入合并报表。</w:t>
      </w:r>
      <w:r>
        <w:rPr>
          <w:rFonts w:ascii="MS Gothic" w:hAnsi="MS Gothic" w:cs="MS Gothic" w:eastAsia="MS Gothic" w:hint="default"/>
        </w:rPr>
        <w:t>｡</w:t>
      </w:r>
    </w:p>
    <w:p>
      <w:pPr>
        <w:pStyle w:val="BodyText"/>
        <w:spacing w:line="240" w:lineRule="auto" w:before="177"/>
        <w:ind w:left="574" w:right="0"/>
        <w:jc w:val="left"/>
      </w:pPr>
      <w:r>
        <w:rPr>
          <w:rFonts w:ascii="Times New Roman" w:hAnsi="Times New Roman" w:cs="Times New Roman" w:eastAsia="Times New Roman" w:hint="default"/>
        </w:rPr>
        <w:t>6</w:t>
      </w:r>
      <w:r>
        <w:rPr/>
        <w:t>、报告期，公司将所持有的北京荣华恒信开关技术有限公司</w:t>
      </w:r>
      <w:r>
        <w:rPr>
          <w:rFonts w:ascii="Times New Roman" w:hAnsi="Times New Roman" w:cs="Times New Roman" w:eastAsia="Times New Roman" w:hint="default"/>
        </w:rPr>
        <w:t>70%</w:t>
      </w:r>
      <w:r>
        <w:rPr/>
        <w:t>的股权转让，不再纳入合并报表。</w:t>
      </w:r>
    </w:p>
    <w:p>
      <w:pPr>
        <w:pStyle w:val="BodyText"/>
        <w:spacing w:line="240" w:lineRule="auto" w:before="177"/>
        <w:ind w:left="574" w:right="0"/>
        <w:jc w:val="left"/>
        <w:rPr>
          <w:rFonts w:ascii="MS Gothic" w:hAnsi="MS Gothic" w:cs="MS Gothic" w:eastAsia="MS Gothic" w:hint="default"/>
        </w:rPr>
      </w:pPr>
      <w:r>
        <w:rPr>
          <w:rFonts w:ascii="Times New Roman" w:hAnsi="Times New Roman" w:cs="Times New Roman" w:eastAsia="Times New Roman" w:hint="default"/>
        </w:rPr>
        <w:t>7</w:t>
      </w:r>
      <w:r>
        <w:rPr/>
        <w:t>、报告期，公司将所持有的广州邦建电力技术有限公司</w:t>
      </w:r>
      <w:r>
        <w:rPr>
          <w:rFonts w:ascii="Times New Roman" w:hAnsi="Times New Roman" w:cs="Times New Roman" w:eastAsia="Times New Roman" w:hint="default"/>
        </w:rPr>
        <w:t>85%</w:t>
      </w:r>
      <w:r>
        <w:rPr/>
        <w:t>的股权转让，不再纳入合并报表。</w:t>
      </w:r>
      <w:r>
        <w:rPr>
          <w:rFonts w:ascii="MS Gothic" w:hAnsi="MS Gothic" w:cs="MS Gothic" w:eastAsia="MS Gothic" w:hint="default"/>
        </w:rPr>
        <w:t>｡</w:t>
      </w:r>
    </w:p>
    <w:p>
      <w:pPr>
        <w:pStyle w:val="BodyText"/>
        <w:spacing w:line="240" w:lineRule="auto" w:before="177"/>
        <w:ind w:left="574" w:right="0"/>
        <w:jc w:val="left"/>
      </w:pPr>
      <w:r>
        <w:rPr>
          <w:rFonts w:ascii="Times New Roman" w:hAnsi="Times New Roman" w:cs="Times New Roman" w:eastAsia="Times New Roman" w:hint="default"/>
        </w:rPr>
        <w:t>8</w:t>
      </w:r>
      <w:r>
        <w:rPr/>
        <w:t>、报告期，公司将所持有的西安荣信电气有限公司</w:t>
      </w:r>
      <w:r>
        <w:rPr>
          <w:rFonts w:ascii="Times New Roman" w:hAnsi="Times New Roman" w:cs="Times New Roman" w:eastAsia="Times New Roman" w:hint="default"/>
        </w:rPr>
        <w:t>90%</w:t>
      </w:r>
      <w:r>
        <w:rPr/>
        <w:t>的股权转让，不再纳入合并报表。</w:t>
      </w:r>
    </w:p>
    <w:p>
      <w:pPr>
        <w:spacing w:line="240" w:lineRule="auto" w:before="11"/>
        <w:rPr>
          <w:rFonts w:ascii="宋体" w:hAnsi="宋体" w:cs="宋体" w:eastAsia="宋体" w:hint="default"/>
          <w:sz w:val="28"/>
          <w:szCs w:val="28"/>
        </w:rPr>
      </w:pPr>
    </w:p>
    <w:p>
      <w:pPr>
        <w:pStyle w:val="Heading2"/>
        <w:spacing w:line="240" w:lineRule="auto"/>
        <w:ind w:right="0"/>
        <w:jc w:val="left"/>
        <w:rPr>
          <w:b w:val="0"/>
          <w:bCs w:val="0"/>
        </w:rPr>
      </w:pPr>
      <w:r>
        <w:rPr/>
        <w:t>九、聘任、解聘会计师事务所情况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86"/>
        <w:gridCol w:w="5682"/>
      </w:tblGrid>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w:t>
            </w:r>
          </w:p>
        </w:tc>
      </w:tr>
      <w:tr>
        <w:trPr>
          <w:trHeight w:val="402" w:hRule="exact"/>
        </w:trPr>
        <w:tc>
          <w:tcPr>
            <w:tcW w:w="3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朱中伟 许治平</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38" w:lineRule="auto" w:before="117"/>
        <w:ind w:left="154" w:right="52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after="0" w:line="338"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right="0" w:firstLine="420"/>
        <w:jc w:val="left"/>
      </w:pPr>
      <w:r>
        <w:rPr>
          <w:spacing w:val="-1"/>
        </w:rPr>
        <w:t>本年度因重大资产重组事项，公司聘请华泰联合证券有限责任公司担任财务顾问，共支付财务顾问及</w:t>
      </w:r>
      <w:r>
        <w:rPr/>
        <w:t> 承销费</w:t>
      </w:r>
      <w:r>
        <w:rPr>
          <w:rFonts w:ascii="Times New Roman" w:hAnsi="Times New Roman" w:cs="Times New Roman" w:eastAsia="Times New Roman" w:hint="default"/>
        </w:rPr>
        <w:t>2,000</w:t>
      </w:r>
      <w:r>
        <w:rPr/>
        <w:t>万元。</w:t>
      </w:r>
    </w:p>
    <w:p>
      <w:pPr>
        <w:spacing w:line="240" w:lineRule="auto" w:before="5"/>
        <w:rPr>
          <w:rFonts w:ascii="宋体" w:hAnsi="宋体" w:cs="宋体" w:eastAsia="宋体" w:hint="default"/>
          <w:sz w:val="16"/>
          <w:szCs w:val="16"/>
        </w:rPr>
      </w:pPr>
    </w:p>
    <w:p>
      <w:pPr>
        <w:pStyle w:val="Heading2"/>
        <w:spacing w:line="240" w:lineRule="auto"/>
        <w:ind w:right="0"/>
        <w:jc w:val="left"/>
        <w:rPr>
          <w:b w:val="0"/>
          <w:bCs w:val="0"/>
        </w:rPr>
      </w:pP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十一、破产重整相关事项</w:t>
      </w:r>
      <w:r>
        <w:rPr>
          <w:b w:val="0"/>
          <w:bCs w:val="0"/>
        </w:rPr>
      </w:r>
    </w:p>
    <w:p>
      <w:pPr>
        <w:spacing w:line="240" w:lineRule="auto" w:before="7"/>
        <w:rPr>
          <w:rFonts w:ascii="宋体" w:hAnsi="宋体" w:cs="宋体" w:eastAsia="宋体" w:hint="default"/>
          <w:b/>
          <w:bCs/>
          <w:sz w:val="26"/>
          <w:szCs w:val="26"/>
        </w:rPr>
      </w:pPr>
    </w:p>
    <w:p>
      <w:pPr>
        <w:spacing w:line="340" w:lineRule="auto" w:before="0"/>
        <w:ind w:left="154" w:right="67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十二、重大诉讼、仲裁事项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67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本报告期公司无重大诉讼、仲裁事项。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十三、处罚及整改情况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54" w:right="68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报告期内，公司及其控股股东、实际控制人不存在未履行法院生效判决、所负数额较大的债务到期未清偿等情况。</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spacing w:line="338" w:lineRule="auto" w:before="0"/>
        <w:ind w:left="154" w:right="34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公司报告期无股权激励计划、员工持股计划或其他员工激励措施及其实施情况。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before="0"/>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公司报告期未发生与日常经营相关的关联交易。</w:t>
      </w:r>
    </w:p>
    <w:p>
      <w:pPr>
        <w:spacing w:line="240" w:lineRule="auto" w:before="1"/>
        <w:rPr>
          <w:rFonts w:ascii="宋体" w:hAnsi="宋体" w:cs="宋体" w:eastAsia="宋体" w:hint="default"/>
          <w:sz w:val="21"/>
          <w:szCs w:val="21"/>
        </w:rPr>
      </w:pPr>
    </w:p>
    <w:p>
      <w:pPr>
        <w:pStyle w:val="Heading3"/>
        <w:spacing w:line="240" w:lineRule="auto" w:before="0"/>
        <w:ind w:right="0"/>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footerReference w:type="default" r:id="rId13"/>
          <w:pgSz w:w="11910" w:h="16840"/>
          <w:pgMar w:footer="982" w:header="747" w:top="1060" w:bottom="1180" w:left="980" w:right="980"/>
          <w:pgNumType w:start="46"/>
        </w:sectPr>
      </w:pPr>
    </w:p>
    <w:p>
      <w:pPr>
        <w:spacing w:line="240" w:lineRule="auto" w:before="6"/>
        <w:rPr>
          <w:rFonts w:ascii="宋体" w:hAnsi="宋体" w:cs="宋体" w:eastAsia="宋体" w:hint="default"/>
          <w:sz w:val="28"/>
          <w:szCs w:val="28"/>
        </w:rPr>
      </w:pPr>
      <w:r>
        <w:rPr/>
        <w:pict>
          <v:shape style="position:absolute;margin-left:253.199707pt;margin-top:72.480003pt;width:71.95pt;height:66.45pt;mso-position-horizontal-relative:page;mso-position-vertical-relative:page;z-index:-102781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6"/>
                    <w:ind w:left="0" w:right="0" w:firstLine="0"/>
                    <w:jc w:val="left"/>
                    <w:rPr>
                      <w:rFonts w:ascii="宋体" w:hAnsi="宋体" w:cs="宋体" w:eastAsia="宋体" w:hint="default"/>
                      <w:sz w:val="18"/>
                      <w:szCs w:val="18"/>
                    </w:rPr>
                  </w:pPr>
                  <w:r>
                    <w:rPr>
                      <w:rFonts w:ascii="宋体" w:hAnsi="宋体" w:cs="宋体" w:eastAsia="宋体" w:hint="default"/>
                      <w:sz w:val="18"/>
                      <w:szCs w:val="18"/>
                    </w:rPr>
                    <w:t>（万元）</w:t>
                  </w:r>
                </w:p>
              </w:txbxContent>
            </v:textbox>
            <w10:wrap type="none"/>
          </v:shape>
        </w:pict>
      </w:r>
      <w:r>
        <w:rPr/>
        <w:pict>
          <v:shape style="position:absolute;margin-left:292.499695pt;margin-top:72.480003pt;width:62.05pt;height:66.45pt;mso-position-horizontal-relative:page;mso-position-vertical-relative:page;z-index:-1027792"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6"/>
                    <w:ind w:left="0" w:right="0" w:firstLine="0"/>
                    <w:jc w:val="left"/>
                    <w:rPr>
                      <w:rFonts w:ascii="宋体" w:hAnsi="宋体" w:cs="宋体" w:eastAsia="宋体" w:hint="default"/>
                      <w:sz w:val="18"/>
                      <w:szCs w:val="18"/>
                    </w:rPr>
                  </w:pPr>
                  <w:r>
                    <w:rPr>
                      <w:rFonts w:ascii="宋体" w:hAnsi="宋体" w:cs="宋体" w:eastAsia="宋体" w:hint="default"/>
                      <w:sz w:val="18"/>
                      <w:szCs w:val="18"/>
                    </w:rPr>
                    <w:t>（万元）</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856"/>
        <w:gridCol w:w="750"/>
        <w:gridCol w:w="726"/>
        <w:gridCol w:w="727"/>
        <w:gridCol w:w="730"/>
        <w:gridCol w:w="799"/>
        <w:gridCol w:w="786"/>
        <w:gridCol w:w="588"/>
        <w:gridCol w:w="856"/>
        <w:gridCol w:w="920"/>
        <w:gridCol w:w="919"/>
        <w:gridCol w:w="911"/>
      </w:tblGrid>
      <w:tr>
        <w:trPr>
          <w:trHeight w:val="1338" w:hRule="exact"/>
        </w:trPr>
        <w:tc>
          <w:tcPr>
            <w:tcW w:w="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79" w:right="98"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7" w:right="86"/>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8" w:right="86"/>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88" w:right="89"/>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32" w:firstLine="12"/>
              <w:jc w:val="both"/>
              <w:rPr>
                <w:rFonts w:ascii="宋体" w:hAnsi="宋体" w:cs="宋体" w:eastAsia="宋体" w:hint="default"/>
                <w:sz w:val="18"/>
                <w:szCs w:val="18"/>
              </w:rPr>
            </w:pPr>
            <w:r>
              <w:rPr>
                <w:rFonts w:ascii="宋体" w:hAnsi="宋体" w:cs="宋体" w:eastAsia="宋体" w:hint="default"/>
                <w:sz w:val="18"/>
                <w:szCs w:val="18"/>
              </w:rPr>
              <w:t>转让资产 的账面价 值</w:t>
            </w:r>
          </w:p>
        </w:tc>
        <w:tc>
          <w:tcPr>
            <w:tcW w:w="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25" w:firstLine="4"/>
              <w:jc w:val="both"/>
              <w:rPr>
                <w:rFonts w:ascii="宋体" w:hAnsi="宋体" w:cs="宋体" w:eastAsia="宋体" w:hint="default"/>
                <w:sz w:val="18"/>
                <w:szCs w:val="18"/>
              </w:rPr>
            </w:pPr>
            <w:r>
              <w:rPr>
                <w:rFonts w:ascii="宋体" w:hAnsi="宋体" w:cs="宋体" w:eastAsia="宋体" w:hint="default"/>
                <w:sz w:val="18"/>
                <w:szCs w:val="18"/>
              </w:rPr>
              <w:t>转让资产 的评估价 值</w:t>
            </w:r>
          </w:p>
        </w:tc>
        <w:tc>
          <w:tcPr>
            <w:tcW w:w="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9" w:right="107"/>
              <w:jc w:val="left"/>
              <w:rPr>
                <w:rFonts w:ascii="宋体" w:hAnsi="宋体" w:cs="宋体" w:eastAsia="宋体" w:hint="default"/>
                <w:sz w:val="18"/>
                <w:szCs w:val="18"/>
              </w:rPr>
            </w:pPr>
            <w:r>
              <w:rPr>
                <w:rFonts w:ascii="宋体" w:hAnsi="宋体" w:cs="宋体" w:eastAsia="宋体" w:hint="default"/>
                <w:sz w:val="18"/>
                <w:szCs w:val="18"/>
              </w:rPr>
              <w:t>转让 价格</w:t>
            </w:r>
          </w:p>
          <w:p>
            <w:pPr>
              <w:pStyle w:val="TableParagraph"/>
              <w:spacing w:line="319" w:lineRule="auto" w:before="19"/>
              <w:ind w:left="109" w:right="107"/>
              <w:jc w:val="left"/>
              <w:rPr>
                <w:rFonts w:ascii="宋体" w:hAnsi="宋体" w:cs="宋体" w:eastAsia="宋体" w:hint="default"/>
                <w:sz w:val="18"/>
                <w:szCs w:val="18"/>
              </w:rPr>
            </w:pPr>
            <w:r>
              <w:rPr>
                <w:rFonts w:ascii="宋体" w:hAnsi="宋体" w:cs="宋体" w:eastAsia="宋体" w:hint="default"/>
                <w:sz w:val="18"/>
                <w:szCs w:val="18"/>
              </w:rPr>
              <w:t>（万 元）</w:t>
            </w:r>
          </w:p>
        </w:tc>
        <w:tc>
          <w:tcPr>
            <w:tcW w:w="8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3" w:right="60"/>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4" w:right="0"/>
              <w:jc w:val="left"/>
              <w:rPr>
                <w:rFonts w:ascii="宋体" w:hAnsi="宋体" w:cs="宋体" w:eastAsia="宋体" w:hint="default"/>
                <w:sz w:val="18"/>
                <w:szCs w:val="18"/>
              </w:rPr>
            </w:pPr>
            <w:r>
              <w:rPr>
                <w:rFonts w:ascii="宋体" w:hAnsi="宋体" w:cs="宋体" w:eastAsia="宋体" w:hint="default"/>
                <w:sz w:val="18"/>
                <w:szCs w:val="18"/>
              </w:rPr>
              <w:t>交易损益</w:t>
            </w:r>
          </w:p>
          <w:p>
            <w:pPr>
              <w:pStyle w:val="TableParagraph"/>
              <w:spacing w:line="240" w:lineRule="auto" w:before="77"/>
              <w:ind w:left="94"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4"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58" w:hRule="exact"/>
        </w:trPr>
        <w:tc>
          <w:tcPr>
            <w:tcW w:w="856" w:type="dxa"/>
            <w:tcBorders>
              <w:top w:val="single" w:sz="4" w:space="0" w:color="000000"/>
              <w:left w:val="single" w:sz="4" w:space="0" w:color="000000"/>
              <w:bottom w:val="nil" w:sz="6" w:space="0" w:color="auto"/>
              <w:right w:val="single" w:sz="4" w:space="0" w:color="000000"/>
            </w:tcBorders>
          </w:tcPr>
          <w:p>
            <w:pPr/>
          </w:p>
        </w:tc>
        <w:tc>
          <w:tcPr>
            <w:tcW w:w="750" w:type="dxa"/>
            <w:tcBorders>
              <w:top w:val="single" w:sz="4" w:space="0" w:color="000000"/>
              <w:left w:val="single" w:sz="4" w:space="0" w:color="000000"/>
              <w:bottom w:val="nil" w:sz="6" w:space="0" w:color="auto"/>
              <w:right w:val="single" w:sz="4" w:space="0" w:color="000000"/>
            </w:tcBorders>
          </w:tcPr>
          <w:p>
            <w:pPr/>
          </w:p>
        </w:tc>
        <w:tc>
          <w:tcPr>
            <w:tcW w:w="726" w:type="dxa"/>
            <w:tcBorders>
              <w:top w:val="single" w:sz="4" w:space="0" w:color="000000"/>
              <w:left w:val="single" w:sz="4" w:space="0" w:color="000000"/>
              <w:bottom w:val="nil" w:sz="6" w:space="0" w:color="auto"/>
              <w:right w:val="single" w:sz="4" w:space="0" w:color="000000"/>
            </w:tcBorders>
          </w:tcPr>
          <w:p>
            <w:pPr/>
          </w:p>
        </w:tc>
        <w:tc>
          <w:tcPr>
            <w:tcW w:w="727" w:type="dxa"/>
            <w:tcBorders>
              <w:top w:val="single" w:sz="4" w:space="0" w:color="000000"/>
              <w:left w:val="single" w:sz="4" w:space="0" w:color="000000"/>
              <w:bottom w:val="nil" w:sz="6" w:space="0" w:color="auto"/>
              <w:right w:val="single" w:sz="4" w:space="0" w:color="000000"/>
            </w:tcBorders>
          </w:tcPr>
          <w:p>
            <w:pPr/>
          </w:p>
        </w:tc>
        <w:tc>
          <w:tcPr>
            <w:tcW w:w="730" w:type="dxa"/>
            <w:tcBorders>
              <w:top w:val="single" w:sz="4" w:space="0" w:color="000000"/>
              <w:left w:val="single" w:sz="4" w:space="0" w:color="000000"/>
              <w:bottom w:val="nil" w:sz="6" w:space="0" w:color="auto"/>
              <w:right w:val="single" w:sz="4" w:space="0" w:color="000000"/>
            </w:tcBorders>
          </w:tcPr>
          <w:p>
            <w:pPr/>
          </w:p>
        </w:tc>
        <w:tc>
          <w:tcPr>
            <w:tcW w:w="799" w:type="dxa"/>
            <w:tcBorders>
              <w:top w:val="single" w:sz="4" w:space="0" w:color="000000"/>
              <w:left w:val="single" w:sz="4" w:space="0" w:color="000000"/>
              <w:bottom w:val="nil" w:sz="6" w:space="0" w:color="auto"/>
              <w:right w:val="single" w:sz="4" w:space="0" w:color="000000"/>
            </w:tcBorders>
          </w:tcPr>
          <w:p>
            <w:pPr/>
          </w:p>
        </w:tc>
        <w:tc>
          <w:tcPr>
            <w:tcW w:w="786" w:type="dxa"/>
            <w:tcBorders>
              <w:top w:val="single" w:sz="4" w:space="0" w:color="000000"/>
              <w:left w:val="single" w:sz="4" w:space="0" w:color="000000"/>
              <w:bottom w:val="nil" w:sz="6" w:space="0" w:color="auto"/>
              <w:right w:val="single" w:sz="4" w:space="0" w:color="000000"/>
            </w:tcBorders>
          </w:tcPr>
          <w:p>
            <w:pPr/>
          </w:p>
        </w:tc>
        <w:tc>
          <w:tcPr>
            <w:tcW w:w="588" w:type="dxa"/>
            <w:tcBorders>
              <w:top w:val="single" w:sz="4" w:space="0" w:color="000000"/>
              <w:left w:val="single" w:sz="4" w:space="0" w:color="000000"/>
              <w:bottom w:val="nil" w:sz="6" w:space="0" w:color="auto"/>
              <w:right w:val="single" w:sz="4" w:space="0" w:color="000000"/>
            </w:tcBorders>
          </w:tcPr>
          <w:p>
            <w:pPr/>
          </w:p>
        </w:tc>
        <w:tc>
          <w:tcPr>
            <w:tcW w:w="856" w:type="dxa"/>
            <w:tcBorders>
              <w:top w:val="single" w:sz="4" w:space="0" w:color="000000"/>
              <w:left w:val="single" w:sz="4" w:space="0" w:color="000000"/>
              <w:bottom w:val="nil" w:sz="6" w:space="0" w:color="auto"/>
              <w:right w:val="single" w:sz="4" w:space="0" w:color="000000"/>
            </w:tcBorders>
          </w:tcPr>
          <w:p>
            <w:pPr/>
          </w:p>
        </w:tc>
        <w:tc>
          <w:tcPr>
            <w:tcW w:w="920" w:type="dxa"/>
            <w:tcBorders>
              <w:top w:val="single" w:sz="4" w:space="0" w:color="000000"/>
              <w:left w:val="single" w:sz="4" w:space="0" w:color="000000"/>
              <w:bottom w:val="nil" w:sz="6" w:space="0" w:color="auto"/>
              <w:right w:val="single" w:sz="4" w:space="0" w:color="000000"/>
            </w:tcBorders>
          </w:tcPr>
          <w:p>
            <w:pPr/>
          </w:p>
        </w:tc>
        <w:tc>
          <w:tcPr>
            <w:tcW w:w="919" w:type="dxa"/>
            <w:tcBorders>
              <w:top w:val="single" w:sz="4" w:space="0" w:color="000000"/>
              <w:left w:val="single" w:sz="4" w:space="0" w:color="000000"/>
              <w:bottom w:val="nil" w:sz="6" w:space="0" w:color="auto"/>
              <w:right w:val="single" w:sz="4" w:space="0" w:color="000000"/>
            </w:tcBorders>
          </w:tcPr>
          <w:p>
            <w:pPr/>
          </w:p>
        </w:tc>
        <w:tc>
          <w:tcPr>
            <w:tcW w:w="9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w:t>
            </w:r>
          </w:p>
        </w:tc>
      </w:tr>
      <w:tr>
        <w:trPr>
          <w:trHeight w:val="312" w:hRule="exact"/>
        </w:trPr>
        <w:tc>
          <w:tcPr>
            <w:tcW w:w="856"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c>
          <w:tcPr>
            <w:tcW w:w="726"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30"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8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c>
          <w:tcPr>
            <w:tcW w:w="856"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c>
          <w:tcPr>
            <w:tcW w:w="9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网荣信电</w:t>
            </w:r>
          </w:p>
        </w:tc>
      </w:tr>
      <w:tr>
        <w:trPr>
          <w:trHeight w:val="2496" w:hRule="exact"/>
        </w:trPr>
        <w:tc>
          <w:tcPr>
            <w:tcW w:w="85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9" w:lineRule="auto"/>
              <w:ind w:left="22" w:right="101"/>
              <w:jc w:val="both"/>
              <w:rPr>
                <w:rFonts w:ascii="宋体" w:hAnsi="宋体" w:cs="宋体" w:eastAsia="宋体" w:hint="default"/>
                <w:sz w:val="18"/>
                <w:szCs w:val="18"/>
              </w:rPr>
            </w:pPr>
            <w:r>
              <w:rPr>
                <w:rFonts w:ascii="宋体" w:hAnsi="宋体" w:cs="宋体" w:eastAsia="宋体" w:hint="default"/>
                <w:sz w:val="18"/>
                <w:szCs w:val="18"/>
              </w:rPr>
              <w:t>控股股东 之一深圳 市深港产 学研创业 投资有限 公司</w:t>
            </w:r>
          </w:p>
        </w:tc>
        <w:tc>
          <w:tcPr>
            <w:tcW w:w="7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19" w:lineRule="auto"/>
              <w:ind w:left="22" w:right="175"/>
              <w:jc w:val="both"/>
              <w:rPr>
                <w:rFonts w:ascii="宋体" w:hAnsi="宋体" w:cs="宋体" w:eastAsia="宋体" w:hint="default"/>
                <w:sz w:val="18"/>
                <w:szCs w:val="18"/>
              </w:rPr>
            </w:pPr>
            <w:r>
              <w:rPr>
                <w:rFonts w:ascii="宋体" w:hAnsi="宋体" w:cs="宋体" w:eastAsia="宋体" w:hint="default"/>
                <w:sz w:val="18"/>
                <w:szCs w:val="18"/>
              </w:rPr>
              <w:t>与交易 对方存 在一致 行动关 系</w:t>
            </w:r>
          </w:p>
        </w:tc>
        <w:tc>
          <w:tcPr>
            <w:tcW w:w="72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319" w:lineRule="auto"/>
              <w:ind w:left="22" w:right="151"/>
              <w:jc w:val="left"/>
              <w:rPr>
                <w:rFonts w:ascii="宋体" w:hAnsi="宋体" w:cs="宋体" w:eastAsia="宋体" w:hint="default"/>
                <w:sz w:val="18"/>
                <w:szCs w:val="18"/>
              </w:rPr>
            </w:pPr>
            <w:r>
              <w:rPr>
                <w:rFonts w:ascii="宋体" w:hAnsi="宋体" w:cs="宋体" w:eastAsia="宋体" w:hint="default"/>
                <w:sz w:val="18"/>
                <w:szCs w:val="18"/>
              </w:rPr>
              <w:t>资产购 买</w:t>
            </w:r>
          </w:p>
        </w:tc>
        <w:tc>
          <w:tcPr>
            <w:tcW w:w="72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23" w:right="46"/>
              <w:jc w:val="both"/>
              <w:rPr>
                <w:rFonts w:ascii="宋体" w:hAnsi="宋体" w:cs="宋体" w:eastAsia="宋体" w:hint="default"/>
                <w:sz w:val="18"/>
                <w:szCs w:val="18"/>
              </w:rPr>
            </w:pPr>
            <w:r>
              <w:rPr>
                <w:rFonts w:ascii="宋体" w:hAnsi="宋体" w:cs="宋体" w:eastAsia="宋体" w:hint="default"/>
                <w:sz w:val="18"/>
                <w:szCs w:val="18"/>
              </w:rPr>
              <w:t>深圳市 梦网科 技发展 有限公 司</w:t>
            </w:r>
          </w:p>
          <w:p>
            <w:pPr>
              <w:pStyle w:val="TableParagraph"/>
              <w:spacing w:line="240" w:lineRule="auto" w:before="58"/>
              <w:ind w:left="23" w:right="0"/>
              <w:jc w:val="both"/>
              <w:rPr>
                <w:rFonts w:ascii="Times New Roman" w:hAnsi="Times New Roman" w:cs="Times New Roman" w:eastAsia="Times New Roman" w:hint="default"/>
                <w:sz w:val="18"/>
                <w:szCs w:val="18"/>
              </w:rPr>
            </w:pPr>
            <w:r>
              <w:rPr>
                <w:rFonts w:ascii="Times New Roman"/>
                <w:sz w:val="18"/>
              </w:rPr>
              <w:t>3.0210%</w:t>
            </w:r>
          </w:p>
          <w:p>
            <w:pPr>
              <w:pStyle w:val="TableParagraph"/>
              <w:spacing w:line="240" w:lineRule="auto" w:before="66"/>
              <w:ind w:left="23" w:right="0"/>
              <w:jc w:val="both"/>
              <w:rPr>
                <w:rFonts w:ascii="宋体" w:hAnsi="宋体" w:cs="宋体" w:eastAsia="宋体" w:hint="default"/>
                <w:sz w:val="18"/>
                <w:szCs w:val="18"/>
              </w:rPr>
            </w:pPr>
            <w:r>
              <w:rPr>
                <w:rFonts w:ascii="宋体" w:hAnsi="宋体" w:cs="宋体" w:eastAsia="宋体" w:hint="default"/>
                <w:sz w:val="18"/>
                <w:szCs w:val="18"/>
              </w:rPr>
              <w:t>股权</w:t>
            </w:r>
          </w:p>
        </w:tc>
        <w:tc>
          <w:tcPr>
            <w:tcW w:w="73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319" w:lineRule="auto"/>
              <w:ind w:left="22" w:right="155"/>
              <w:jc w:val="both"/>
              <w:rPr>
                <w:rFonts w:ascii="宋体" w:hAnsi="宋体" w:cs="宋体" w:eastAsia="宋体" w:hint="default"/>
                <w:sz w:val="18"/>
                <w:szCs w:val="18"/>
              </w:rPr>
            </w:pPr>
            <w:r>
              <w:rPr>
                <w:rFonts w:ascii="宋体" w:hAnsi="宋体" w:cs="宋体" w:eastAsia="宋体" w:hint="default"/>
                <w:sz w:val="18"/>
                <w:szCs w:val="18"/>
              </w:rPr>
              <w:t>根据评 估值协 商确定</w:t>
            </w:r>
          </w:p>
        </w:tc>
        <w:tc>
          <w:tcPr>
            <w:tcW w:w="79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14,896.65</w:t>
            </w:r>
          </w:p>
        </w:tc>
        <w:tc>
          <w:tcPr>
            <w:tcW w:w="78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169" w:right="0"/>
              <w:jc w:val="left"/>
              <w:rPr>
                <w:rFonts w:ascii="Times New Roman" w:hAnsi="Times New Roman" w:cs="Times New Roman" w:eastAsia="Times New Roman" w:hint="default"/>
                <w:sz w:val="18"/>
                <w:szCs w:val="18"/>
              </w:rPr>
            </w:pPr>
            <w:r>
              <w:rPr>
                <w:rFonts w:ascii="Times New Roman"/>
                <w:sz w:val="18"/>
              </w:rPr>
              <w:t>290,589</w:t>
            </w:r>
          </w:p>
        </w:tc>
        <w:tc>
          <w:tcPr>
            <w:tcW w:w="58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9,652.</w:t>
            </w:r>
          </w:p>
          <w:p>
            <w:pPr>
              <w:pStyle w:val="TableParagraph"/>
              <w:spacing w:line="240" w:lineRule="auto" w:before="106"/>
              <w:ind w:left="375" w:right="0"/>
              <w:jc w:val="left"/>
              <w:rPr>
                <w:rFonts w:ascii="Times New Roman" w:hAnsi="Times New Roman" w:cs="Times New Roman" w:eastAsia="Times New Roman" w:hint="default"/>
                <w:sz w:val="18"/>
                <w:szCs w:val="18"/>
              </w:rPr>
            </w:pPr>
            <w:r>
              <w:rPr>
                <w:rFonts w:ascii="Times New Roman"/>
                <w:sz w:val="18"/>
              </w:rPr>
              <w:t>71</w:t>
            </w:r>
          </w:p>
        </w:tc>
        <w:tc>
          <w:tcPr>
            <w:tcW w:w="85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23" w:right="0"/>
              <w:jc w:val="left"/>
              <w:rPr>
                <w:rFonts w:ascii="宋体" w:hAnsi="宋体" w:cs="宋体" w:eastAsia="宋体" w:hint="default"/>
                <w:sz w:val="18"/>
                <w:szCs w:val="18"/>
              </w:rPr>
            </w:pPr>
            <w:r>
              <w:rPr>
                <w:rFonts w:ascii="宋体" w:hAnsi="宋体" w:cs="宋体" w:eastAsia="宋体" w:hint="default"/>
                <w:sz w:val="18"/>
                <w:szCs w:val="18"/>
              </w:rPr>
              <w:t>发行股份</w:t>
            </w:r>
          </w:p>
        </w:tc>
        <w:tc>
          <w:tcPr>
            <w:tcW w:w="9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1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56"/>
              <w:jc w:val="both"/>
              <w:rPr>
                <w:rFonts w:ascii="宋体" w:hAnsi="宋体" w:cs="宋体" w:eastAsia="宋体" w:hint="default"/>
                <w:sz w:val="18"/>
                <w:szCs w:val="18"/>
              </w:rPr>
            </w:pPr>
            <w:r>
              <w:rPr>
                <w:rFonts w:ascii="宋体" w:hAnsi="宋体" w:cs="宋体" w:eastAsia="宋体" w:hint="default"/>
                <w:sz w:val="18"/>
                <w:szCs w:val="18"/>
              </w:rPr>
              <w:t>力电子股 份有限公 司发行股 份及支付 现金购买 资产并募 集配套资 金暨关联</w:t>
            </w:r>
          </w:p>
        </w:tc>
      </w:tr>
      <w:tr>
        <w:trPr>
          <w:trHeight w:val="313" w:hRule="exact"/>
        </w:trPr>
        <w:tc>
          <w:tcPr>
            <w:tcW w:w="856" w:type="dxa"/>
            <w:tcBorders>
              <w:top w:val="nil" w:sz="6" w:space="0" w:color="auto"/>
              <w:left w:val="single" w:sz="4" w:space="0" w:color="000000"/>
              <w:bottom w:val="nil" w:sz="6" w:space="0" w:color="auto"/>
              <w:right w:val="single" w:sz="4" w:space="0" w:color="000000"/>
            </w:tcBorders>
          </w:tcPr>
          <w:p>
            <w:pPr/>
          </w:p>
        </w:tc>
        <w:tc>
          <w:tcPr>
            <w:tcW w:w="750" w:type="dxa"/>
            <w:tcBorders>
              <w:top w:val="nil" w:sz="6" w:space="0" w:color="auto"/>
              <w:left w:val="single" w:sz="4" w:space="0" w:color="000000"/>
              <w:bottom w:val="nil" w:sz="6" w:space="0" w:color="auto"/>
              <w:right w:val="single" w:sz="4" w:space="0" w:color="000000"/>
            </w:tcBorders>
          </w:tcPr>
          <w:p>
            <w:pPr/>
          </w:p>
        </w:tc>
        <w:tc>
          <w:tcPr>
            <w:tcW w:w="726" w:type="dxa"/>
            <w:tcBorders>
              <w:top w:val="nil" w:sz="6" w:space="0" w:color="auto"/>
              <w:left w:val="single" w:sz="4" w:space="0" w:color="000000"/>
              <w:bottom w:val="nil" w:sz="6" w:space="0" w:color="auto"/>
              <w:right w:val="single" w:sz="4" w:space="0" w:color="000000"/>
            </w:tcBorders>
          </w:tcPr>
          <w:p>
            <w:pPr/>
          </w:p>
        </w:tc>
        <w:tc>
          <w:tcPr>
            <w:tcW w:w="727" w:type="dxa"/>
            <w:tcBorders>
              <w:top w:val="nil" w:sz="6" w:space="0" w:color="auto"/>
              <w:left w:val="single" w:sz="4" w:space="0" w:color="000000"/>
              <w:bottom w:val="nil" w:sz="6" w:space="0" w:color="auto"/>
              <w:right w:val="single" w:sz="4" w:space="0" w:color="000000"/>
            </w:tcBorders>
          </w:tcPr>
          <w:p>
            <w:pPr/>
          </w:p>
        </w:tc>
        <w:tc>
          <w:tcPr>
            <w:tcW w:w="730" w:type="dxa"/>
            <w:tcBorders>
              <w:top w:val="nil" w:sz="6" w:space="0" w:color="auto"/>
              <w:left w:val="single" w:sz="4" w:space="0" w:color="000000"/>
              <w:bottom w:val="nil" w:sz="6" w:space="0" w:color="auto"/>
              <w:right w:val="single" w:sz="4" w:space="0" w:color="000000"/>
            </w:tcBorders>
          </w:tcPr>
          <w:p>
            <w:pPr/>
          </w:p>
        </w:tc>
        <w:tc>
          <w:tcPr>
            <w:tcW w:w="799" w:type="dxa"/>
            <w:tcBorders>
              <w:top w:val="nil" w:sz="6" w:space="0" w:color="auto"/>
              <w:left w:val="single" w:sz="4" w:space="0" w:color="000000"/>
              <w:bottom w:val="nil" w:sz="6" w:space="0" w:color="auto"/>
              <w:right w:val="single" w:sz="4" w:space="0" w:color="000000"/>
            </w:tcBorders>
          </w:tcPr>
          <w:p>
            <w:pPr/>
          </w:p>
        </w:tc>
        <w:tc>
          <w:tcPr>
            <w:tcW w:w="786" w:type="dxa"/>
            <w:tcBorders>
              <w:top w:val="nil" w:sz="6" w:space="0" w:color="auto"/>
              <w:left w:val="single" w:sz="4" w:space="0" w:color="000000"/>
              <w:bottom w:val="nil" w:sz="6" w:space="0" w:color="auto"/>
              <w:right w:val="single" w:sz="4" w:space="0" w:color="000000"/>
            </w:tcBorders>
          </w:tcPr>
          <w:p>
            <w:pPr/>
          </w:p>
        </w:tc>
        <w:tc>
          <w:tcPr>
            <w:tcW w:w="588" w:type="dxa"/>
            <w:tcBorders>
              <w:top w:val="nil" w:sz="6" w:space="0" w:color="auto"/>
              <w:left w:val="single" w:sz="4" w:space="0" w:color="000000"/>
              <w:bottom w:val="nil" w:sz="6" w:space="0" w:color="auto"/>
              <w:right w:val="single" w:sz="4" w:space="0" w:color="000000"/>
            </w:tcBorders>
          </w:tcPr>
          <w:p>
            <w:pPr/>
          </w:p>
        </w:tc>
        <w:tc>
          <w:tcPr>
            <w:tcW w:w="856" w:type="dxa"/>
            <w:tcBorders>
              <w:top w:val="nil" w:sz="6" w:space="0" w:color="auto"/>
              <w:left w:val="single" w:sz="4" w:space="0" w:color="000000"/>
              <w:bottom w:val="nil" w:sz="6" w:space="0" w:color="auto"/>
              <w:right w:val="single" w:sz="4" w:space="0" w:color="000000"/>
            </w:tcBorders>
          </w:tcPr>
          <w:p>
            <w:pPr/>
          </w:p>
        </w:tc>
        <w:tc>
          <w:tcPr>
            <w:tcW w:w="920" w:type="dxa"/>
            <w:tcBorders>
              <w:top w:val="nil" w:sz="6" w:space="0" w:color="auto"/>
              <w:left w:val="single" w:sz="4" w:space="0" w:color="000000"/>
              <w:bottom w:val="nil" w:sz="6" w:space="0" w:color="auto"/>
              <w:right w:val="single" w:sz="4" w:space="0" w:color="000000"/>
            </w:tcBorders>
          </w:tcPr>
          <w:p>
            <w:pPr/>
          </w:p>
        </w:tc>
        <w:tc>
          <w:tcPr>
            <w:tcW w:w="919" w:type="dxa"/>
            <w:tcBorders>
              <w:top w:val="nil" w:sz="6" w:space="0" w:color="auto"/>
              <w:left w:val="single" w:sz="4" w:space="0" w:color="000000"/>
              <w:bottom w:val="nil" w:sz="6" w:space="0" w:color="auto"/>
              <w:right w:val="single" w:sz="4" w:space="0" w:color="000000"/>
            </w:tcBorders>
          </w:tcPr>
          <w:p>
            <w:pPr/>
          </w:p>
        </w:tc>
        <w:tc>
          <w:tcPr>
            <w:tcW w:w="91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交易报告</w:t>
            </w:r>
          </w:p>
        </w:tc>
      </w:tr>
      <w:tr>
        <w:trPr>
          <w:trHeight w:val="356" w:hRule="exact"/>
        </w:trPr>
        <w:tc>
          <w:tcPr>
            <w:tcW w:w="856" w:type="dxa"/>
            <w:tcBorders>
              <w:top w:val="nil" w:sz="6" w:space="0" w:color="auto"/>
              <w:left w:val="single" w:sz="4" w:space="0" w:color="000000"/>
              <w:bottom w:val="single" w:sz="4" w:space="0" w:color="000000"/>
              <w:right w:val="single" w:sz="4" w:space="0" w:color="000000"/>
            </w:tcBorders>
          </w:tcPr>
          <w:p>
            <w:pPr/>
          </w:p>
        </w:tc>
        <w:tc>
          <w:tcPr>
            <w:tcW w:w="750" w:type="dxa"/>
            <w:tcBorders>
              <w:top w:val="nil" w:sz="6" w:space="0" w:color="auto"/>
              <w:left w:val="single" w:sz="4" w:space="0" w:color="000000"/>
              <w:bottom w:val="single" w:sz="4" w:space="0" w:color="000000"/>
              <w:right w:val="single" w:sz="4" w:space="0" w:color="000000"/>
            </w:tcBorders>
          </w:tcPr>
          <w:p>
            <w:pPr/>
          </w:p>
        </w:tc>
        <w:tc>
          <w:tcPr>
            <w:tcW w:w="726" w:type="dxa"/>
            <w:tcBorders>
              <w:top w:val="nil" w:sz="6" w:space="0" w:color="auto"/>
              <w:left w:val="single" w:sz="4" w:space="0" w:color="000000"/>
              <w:bottom w:val="single" w:sz="4" w:space="0" w:color="000000"/>
              <w:right w:val="single" w:sz="4" w:space="0" w:color="000000"/>
            </w:tcBorders>
          </w:tcPr>
          <w:p>
            <w:pPr/>
          </w:p>
        </w:tc>
        <w:tc>
          <w:tcPr>
            <w:tcW w:w="727" w:type="dxa"/>
            <w:tcBorders>
              <w:top w:val="nil" w:sz="6" w:space="0" w:color="auto"/>
              <w:left w:val="single" w:sz="4" w:space="0" w:color="000000"/>
              <w:bottom w:val="single" w:sz="4" w:space="0" w:color="000000"/>
              <w:right w:val="single" w:sz="4" w:space="0" w:color="000000"/>
            </w:tcBorders>
          </w:tcPr>
          <w:p>
            <w:pPr/>
          </w:p>
        </w:tc>
        <w:tc>
          <w:tcPr>
            <w:tcW w:w="730" w:type="dxa"/>
            <w:tcBorders>
              <w:top w:val="nil" w:sz="6" w:space="0" w:color="auto"/>
              <w:left w:val="single" w:sz="4" w:space="0" w:color="000000"/>
              <w:bottom w:val="single" w:sz="4" w:space="0" w:color="000000"/>
              <w:right w:val="single" w:sz="4" w:space="0" w:color="000000"/>
            </w:tcBorders>
          </w:tcPr>
          <w:p>
            <w:pPr/>
          </w:p>
        </w:tc>
        <w:tc>
          <w:tcPr>
            <w:tcW w:w="799" w:type="dxa"/>
            <w:tcBorders>
              <w:top w:val="nil" w:sz="6" w:space="0" w:color="auto"/>
              <w:left w:val="single" w:sz="4" w:space="0" w:color="000000"/>
              <w:bottom w:val="single" w:sz="4" w:space="0" w:color="000000"/>
              <w:right w:val="single" w:sz="4" w:space="0" w:color="000000"/>
            </w:tcBorders>
          </w:tcPr>
          <w:p>
            <w:pPr/>
          </w:p>
        </w:tc>
        <w:tc>
          <w:tcPr>
            <w:tcW w:w="786" w:type="dxa"/>
            <w:tcBorders>
              <w:top w:val="nil" w:sz="6" w:space="0" w:color="auto"/>
              <w:left w:val="single" w:sz="4" w:space="0" w:color="000000"/>
              <w:bottom w:val="single" w:sz="4" w:space="0" w:color="000000"/>
              <w:right w:val="single" w:sz="4" w:space="0" w:color="000000"/>
            </w:tcBorders>
          </w:tcPr>
          <w:p>
            <w:pPr/>
          </w:p>
        </w:tc>
        <w:tc>
          <w:tcPr>
            <w:tcW w:w="588" w:type="dxa"/>
            <w:tcBorders>
              <w:top w:val="nil" w:sz="6" w:space="0" w:color="auto"/>
              <w:left w:val="single" w:sz="4" w:space="0" w:color="000000"/>
              <w:bottom w:val="single" w:sz="4" w:space="0" w:color="000000"/>
              <w:right w:val="single" w:sz="4" w:space="0" w:color="000000"/>
            </w:tcBorders>
          </w:tcPr>
          <w:p>
            <w:pPr/>
          </w:p>
        </w:tc>
        <w:tc>
          <w:tcPr>
            <w:tcW w:w="856" w:type="dxa"/>
            <w:tcBorders>
              <w:top w:val="nil" w:sz="6" w:space="0" w:color="auto"/>
              <w:left w:val="single" w:sz="4" w:space="0" w:color="000000"/>
              <w:bottom w:val="single" w:sz="4" w:space="0" w:color="000000"/>
              <w:right w:val="single" w:sz="4" w:space="0" w:color="000000"/>
            </w:tcBorders>
          </w:tcPr>
          <w:p>
            <w:pPr/>
          </w:p>
        </w:tc>
        <w:tc>
          <w:tcPr>
            <w:tcW w:w="920" w:type="dxa"/>
            <w:tcBorders>
              <w:top w:val="nil" w:sz="6" w:space="0" w:color="auto"/>
              <w:left w:val="single" w:sz="4" w:space="0" w:color="000000"/>
              <w:bottom w:val="single" w:sz="4" w:space="0" w:color="000000"/>
              <w:right w:val="single" w:sz="4" w:space="0" w:color="000000"/>
            </w:tcBorders>
          </w:tcPr>
          <w:p>
            <w:pPr/>
          </w:p>
        </w:tc>
        <w:tc>
          <w:tcPr>
            <w:tcW w:w="919" w:type="dxa"/>
            <w:tcBorders>
              <w:top w:val="nil" w:sz="6" w:space="0" w:color="auto"/>
              <w:left w:val="single" w:sz="4" w:space="0" w:color="000000"/>
              <w:bottom w:val="single" w:sz="4" w:space="0" w:color="000000"/>
              <w:right w:val="single" w:sz="4" w:space="0" w:color="000000"/>
            </w:tcBorders>
          </w:tcPr>
          <w:p>
            <w:pPr/>
          </w:p>
        </w:tc>
        <w:tc>
          <w:tcPr>
            <w:tcW w:w="91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22"/>
              <w:jc w:val="left"/>
              <w:rPr>
                <w:rFonts w:ascii="宋体" w:hAnsi="宋体" w:cs="宋体" w:eastAsia="宋体" w:hint="default"/>
                <w:sz w:val="18"/>
                <w:szCs w:val="18"/>
              </w:rPr>
            </w:pPr>
            <w:r>
              <w:rPr>
                <w:rFonts w:ascii="宋体" w:hAnsi="宋体" w:cs="宋体" w:eastAsia="宋体" w:hint="default"/>
                <w:sz w:val="18"/>
                <w:szCs w:val="18"/>
              </w:rPr>
              <w:t>书（草案）</w:t>
            </w:r>
          </w:p>
        </w:tc>
      </w:tr>
      <w:tr>
        <w:trPr>
          <w:trHeight w:val="714" w:hRule="exact"/>
        </w:trPr>
        <w:tc>
          <w:tcPr>
            <w:tcW w:w="305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转让价格与账面价值或评估价值差异 较大的原因（如有）</w:t>
            </w:r>
          </w:p>
        </w:tc>
        <w:tc>
          <w:tcPr>
            <w:tcW w:w="650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63" w:hRule="exact"/>
        </w:trPr>
        <w:tc>
          <w:tcPr>
            <w:tcW w:w="3059" w:type="dxa"/>
            <w:gridSpan w:val="4"/>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对公司经营成果与财务状况的影响情</w:t>
            </w:r>
          </w:p>
        </w:tc>
        <w:tc>
          <w:tcPr>
            <w:tcW w:w="6509" w:type="dxa"/>
            <w:gridSpan w:val="8"/>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报告期，公司完成发行股份及支付现金收购深圳市梦网科技发展有限公司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股</w:t>
            </w:r>
          </w:p>
        </w:tc>
      </w:tr>
      <w:tr>
        <w:trPr>
          <w:trHeight w:val="351" w:hRule="exact"/>
        </w:trPr>
        <w:tc>
          <w:tcPr>
            <w:tcW w:w="3059" w:type="dxa"/>
            <w:gridSpan w:val="4"/>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况</w:t>
            </w:r>
          </w:p>
        </w:tc>
        <w:tc>
          <w:tcPr>
            <w:tcW w:w="6509" w:type="dxa"/>
            <w:gridSpan w:val="8"/>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权事项，实现双主业发展，提高了公司整体盈利能力。</w:t>
            </w:r>
          </w:p>
        </w:tc>
      </w:tr>
      <w:tr>
        <w:trPr>
          <w:trHeight w:val="363" w:hRule="exact"/>
        </w:trPr>
        <w:tc>
          <w:tcPr>
            <w:tcW w:w="3059" w:type="dxa"/>
            <w:gridSpan w:val="4"/>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如相关交易涉及业绩约定的，报告期内</w:t>
            </w:r>
          </w:p>
        </w:tc>
        <w:tc>
          <w:tcPr>
            <w:tcW w:w="6509" w:type="dxa"/>
            <w:gridSpan w:val="8"/>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年度，梦网科技扣除非经常性损益后归属于母公司股东的净利润为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r>
      <w:tr>
        <w:trPr>
          <w:trHeight w:val="351" w:hRule="exact"/>
        </w:trPr>
        <w:tc>
          <w:tcPr>
            <w:tcW w:w="3059" w:type="dxa"/>
            <w:gridSpan w:val="4"/>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的业绩实现情况</w:t>
            </w:r>
          </w:p>
        </w:tc>
        <w:tc>
          <w:tcPr>
            <w:tcW w:w="6509" w:type="dxa"/>
            <w:gridSpan w:val="8"/>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元，完成了重大资产重组时的业绩承诺。</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61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line="240" w:lineRule="auto" w:before="12"/>
        <w:rPr>
          <w:rFonts w:ascii="宋体" w:hAnsi="宋体" w:cs="宋体" w:eastAsia="宋体" w:hint="default"/>
          <w:sz w:val="20"/>
          <w:szCs w:val="20"/>
        </w:rPr>
      </w:pPr>
    </w:p>
    <w:p>
      <w:pPr>
        <w:pStyle w:val="Heading3"/>
        <w:spacing w:line="240" w:lineRule="auto" w:before="0"/>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67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1"/>
        <w:rPr>
          <w:rFonts w:ascii="宋体" w:hAnsi="宋体" w:cs="宋体" w:eastAsia="宋体" w:hint="default"/>
          <w:sz w:val="21"/>
          <w:szCs w:val="21"/>
        </w:rPr>
      </w:pPr>
    </w:p>
    <w:p>
      <w:pPr>
        <w:pStyle w:val="Heading3"/>
        <w:spacing w:line="240" w:lineRule="auto" w:before="0"/>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spacing w:line="340" w:lineRule="auto" w:before="0"/>
        <w:ind w:left="154" w:right="70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公司报告期无其他重大关联交易。</w:t>
      </w:r>
    </w:p>
    <w:p>
      <w:pPr>
        <w:spacing w:after="0" w:line="3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before="0"/>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74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4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1"/>
        <w:rPr>
          <w:rFonts w:ascii="宋体" w:hAnsi="宋体" w:cs="宋体" w:eastAsia="宋体" w:hint="default"/>
          <w:sz w:val="21"/>
          <w:szCs w:val="21"/>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4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公司报告期不存在租赁情况。</w:t>
      </w:r>
    </w:p>
    <w:p>
      <w:pPr>
        <w:spacing w:line="240" w:lineRule="auto" w:before="2"/>
        <w:rPr>
          <w:rFonts w:ascii="宋体" w:hAnsi="宋体" w:cs="宋体" w:eastAsia="宋体" w:hint="default"/>
          <w:sz w:val="21"/>
          <w:szCs w:val="21"/>
        </w:rPr>
      </w:pPr>
    </w:p>
    <w:p>
      <w:pPr>
        <w:pStyle w:val="Heading3"/>
        <w:spacing w:line="240" w:lineRule="auto" w:before="0"/>
        <w:ind w:right="0"/>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09"/>
        <w:gridCol w:w="926"/>
        <w:gridCol w:w="924"/>
        <w:gridCol w:w="1296"/>
        <w:gridCol w:w="1063"/>
        <w:gridCol w:w="1034"/>
        <w:gridCol w:w="1049"/>
        <w:gridCol w:w="792"/>
        <w:gridCol w:w="780"/>
      </w:tblGrid>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0"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9"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5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0"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公司与子公司之间担保情况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5" w:right="9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5"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50"/>
              <w:jc w:val="right"/>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08"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 w:right="23"/>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358" w:hRule="exact"/>
        </w:trPr>
        <w:tc>
          <w:tcPr>
            <w:tcW w:w="1709" w:type="dxa"/>
            <w:tcBorders>
              <w:top w:val="single" w:sz="4" w:space="0" w:color="000000"/>
              <w:left w:val="single" w:sz="4" w:space="0" w:color="000000"/>
              <w:bottom w:val="nil" w:sz="6" w:space="0" w:color="auto"/>
              <w:right w:val="single" w:sz="4" w:space="0" w:color="000000"/>
            </w:tcBorders>
          </w:tcPr>
          <w:p>
            <w:pPr/>
          </w:p>
        </w:tc>
        <w:tc>
          <w:tcPr>
            <w:tcW w:w="926" w:type="dxa"/>
            <w:tcBorders>
              <w:top w:val="single" w:sz="4" w:space="0" w:color="000000"/>
              <w:left w:val="single" w:sz="4" w:space="0" w:color="000000"/>
              <w:bottom w:val="nil" w:sz="6" w:space="0" w:color="auto"/>
              <w:right w:val="single" w:sz="4" w:space="0" w:color="000000"/>
            </w:tcBorders>
          </w:tcPr>
          <w:p>
            <w:pPr/>
          </w:p>
        </w:tc>
        <w:tc>
          <w:tcPr>
            <w:tcW w:w="924" w:type="dxa"/>
            <w:tcBorders>
              <w:top w:val="single" w:sz="4" w:space="0" w:color="000000"/>
              <w:left w:val="single" w:sz="4" w:space="0" w:color="000000"/>
              <w:bottom w:val="nil" w:sz="6" w:space="0" w:color="auto"/>
              <w:right w:val="single" w:sz="4" w:space="0" w:color="000000"/>
            </w:tcBorders>
          </w:tcPr>
          <w:p>
            <w:pPr/>
          </w:p>
        </w:tc>
        <w:tc>
          <w:tcPr>
            <w:tcW w:w="1296" w:type="dxa"/>
            <w:tcBorders>
              <w:top w:val="single" w:sz="4" w:space="0" w:color="000000"/>
              <w:left w:val="single" w:sz="4" w:space="0" w:color="000000"/>
              <w:bottom w:val="nil" w:sz="6" w:space="0" w:color="auto"/>
              <w:right w:val="single" w:sz="4" w:space="0" w:color="000000"/>
            </w:tcBorders>
          </w:tcPr>
          <w:p>
            <w:pPr/>
          </w:p>
        </w:tc>
        <w:tc>
          <w:tcPr>
            <w:tcW w:w="1063" w:type="dxa"/>
            <w:tcBorders>
              <w:top w:val="single" w:sz="4" w:space="0" w:color="000000"/>
              <w:left w:val="single" w:sz="4" w:space="0" w:color="000000"/>
              <w:bottom w:val="nil" w:sz="6" w:space="0" w:color="auto"/>
              <w:right w:val="single" w:sz="4" w:space="0" w:color="000000"/>
            </w:tcBorders>
          </w:tcPr>
          <w:p>
            <w:pPr/>
          </w:p>
        </w:tc>
        <w:tc>
          <w:tcPr>
            <w:tcW w:w="1034" w:type="dxa"/>
            <w:tcBorders>
              <w:top w:val="single" w:sz="4" w:space="0" w:color="000000"/>
              <w:left w:val="single" w:sz="4" w:space="0" w:color="000000"/>
              <w:bottom w:val="nil" w:sz="6" w:space="0" w:color="auto"/>
              <w:right w:val="single" w:sz="4" w:space="0" w:color="000000"/>
            </w:tcBorders>
          </w:tcPr>
          <w:p>
            <w:pPr/>
          </w:p>
        </w:tc>
        <w:tc>
          <w:tcPr>
            <w:tcW w:w="104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自具体授信</w:t>
            </w:r>
          </w:p>
        </w:tc>
        <w:tc>
          <w:tcPr>
            <w:tcW w:w="792" w:type="dxa"/>
            <w:tcBorders>
              <w:top w:val="single" w:sz="4" w:space="0" w:color="000000"/>
              <w:left w:val="single" w:sz="4" w:space="0" w:color="000000"/>
              <w:bottom w:val="nil" w:sz="6" w:space="0" w:color="auto"/>
              <w:right w:val="single" w:sz="4" w:space="0" w:color="000000"/>
            </w:tcBorders>
          </w:tcPr>
          <w:p>
            <w:pPr/>
          </w:p>
        </w:tc>
        <w:tc>
          <w:tcPr>
            <w:tcW w:w="78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09" w:type="dxa"/>
            <w:tcBorders>
              <w:top w:val="nil" w:sz="6" w:space="0" w:color="auto"/>
              <w:left w:val="single" w:sz="4" w:space="0" w:color="000000"/>
              <w:bottom w:val="nil" w:sz="6" w:space="0" w:color="auto"/>
              <w:right w:val="single" w:sz="4" w:space="0" w:color="000000"/>
            </w:tcBorders>
          </w:tcPr>
          <w:p>
            <w:pPr/>
          </w:p>
        </w:tc>
        <w:tc>
          <w:tcPr>
            <w:tcW w:w="926"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c>
          <w:tcPr>
            <w:tcW w:w="129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34" w:type="dxa"/>
            <w:tcBorders>
              <w:top w:val="nil" w:sz="6" w:space="0" w:color="auto"/>
              <w:left w:val="single" w:sz="4" w:space="0" w:color="000000"/>
              <w:bottom w:val="nil" w:sz="6" w:space="0" w:color="auto"/>
              <w:right w:val="single" w:sz="4" w:space="0" w:color="000000"/>
            </w:tcBorders>
          </w:tcPr>
          <w:p>
            <w:pPr/>
          </w:p>
        </w:tc>
        <w:tc>
          <w:tcPr>
            <w:tcW w:w="10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业务合同或</w:t>
            </w:r>
          </w:p>
        </w:tc>
        <w:tc>
          <w:tcPr>
            <w:tcW w:w="792"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170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54"/>
              <w:jc w:val="left"/>
              <w:rPr>
                <w:rFonts w:ascii="宋体" w:hAnsi="宋体" w:cs="宋体" w:eastAsia="宋体" w:hint="default"/>
                <w:sz w:val="18"/>
                <w:szCs w:val="18"/>
              </w:rPr>
            </w:pPr>
            <w:r>
              <w:rPr>
                <w:rFonts w:ascii="宋体" w:hAnsi="宋体" w:cs="宋体" w:eastAsia="宋体" w:hint="default"/>
                <w:sz w:val="18"/>
                <w:szCs w:val="18"/>
              </w:rPr>
              <w:t>辽宁荣信电机控制技 术有限公司</w:t>
            </w:r>
          </w:p>
        </w:tc>
        <w:tc>
          <w:tcPr>
            <w:tcW w:w="92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9"/>
              <w:jc w:val="right"/>
              <w:rPr>
                <w:rFonts w:ascii="Times New Roman" w:hAnsi="Times New Roman" w:cs="Times New Roman" w:eastAsia="Times New Roman" w:hint="default"/>
                <w:sz w:val="18"/>
                <w:szCs w:val="18"/>
              </w:rPr>
            </w:pPr>
            <w:r>
              <w:rPr>
                <w:rFonts w:ascii="Times New Roman"/>
                <w:sz w:val="18"/>
              </w:rPr>
              <w:t>1,000</w:t>
            </w:r>
          </w:p>
        </w:tc>
        <w:tc>
          <w:tcPr>
            <w:tcW w:w="129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3"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9" w:lineRule="auto"/>
              <w:ind w:left="2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4"/>
              <w:jc w:val="both"/>
              <w:rPr>
                <w:rFonts w:ascii="宋体" w:hAnsi="宋体" w:cs="宋体" w:eastAsia="宋体" w:hint="default"/>
                <w:sz w:val="18"/>
                <w:szCs w:val="18"/>
              </w:rPr>
            </w:pPr>
            <w:r>
              <w:rPr>
                <w:rFonts w:ascii="宋体" w:hAnsi="宋体" w:cs="宋体" w:eastAsia="宋体" w:hint="default"/>
                <w:sz w:val="18"/>
                <w:szCs w:val="18"/>
              </w:rPr>
              <w:t>协议约定的 授信人履行 债务期限届</w:t>
            </w:r>
          </w:p>
        </w:tc>
        <w:tc>
          <w:tcPr>
            <w:tcW w:w="79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3" w:hRule="exact"/>
        </w:trPr>
        <w:tc>
          <w:tcPr>
            <w:tcW w:w="1709" w:type="dxa"/>
            <w:tcBorders>
              <w:top w:val="nil" w:sz="6" w:space="0" w:color="auto"/>
              <w:left w:val="single" w:sz="4" w:space="0" w:color="000000"/>
              <w:bottom w:val="nil" w:sz="6" w:space="0" w:color="auto"/>
              <w:right w:val="single" w:sz="4" w:space="0" w:color="000000"/>
            </w:tcBorders>
          </w:tcPr>
          <w:p>
            <w:pPr/>
          </w:p>
        </w:tc>
        <w:tc>
          <w:tcPr>
            <w:tcW w:w="926" w:type="dxa"/>
            <w:tcBorders>
              <w:top w:val="nil" w:sz="6" w:space="0" w:color="auto"/>
              <w:left w:val="single" w:sz="4" w:space="0" w:color="000000"/>
              <w:bottom w:val="nil" w:sz="6" w:space="0" w:color="auto"/>
              <w:right w:val="single" w:sz="4" w:space="0" w:color="000000"/>
            </w:tcBorders>
          </w:tcPr>
          <w:p>
            <w:pPr/>
          </w:p>
        </w:tc>
        <w:tc>
          <w:tcPr>
            <w:tcW w:w="924" w:type="dxa"/>
            <w:tcBorders>
              <w:top w:val="nil" w:sz="6" w:space="0" w:color="auto"/>
              <w:left w:val="single" w:sz="4" w:space="0" w:color="000000"/>
              <w:bottom w:val="nil" w:sz="6" w:space="0" w:color="auto"/>
              <w:right w:val="single" w:sz="4" w:space="0" w:color="000000"/>
            </w:tcBorders>
          </w:tcPr>
          <w:p>
            <w:pPr/>
          </w:p>
        </w:tc>
        <w:tc>
          <w:tcPr>
            <w:tcW w:w="1296" w:type="dxa"/>
            <w:tcBorders>
              <w:top w:val="nil" w:sz="6" w:space="0" w:color="auto"/>
              <w:left w:val="single" w:sz="4" w:space="0" w:color="000000"/>
              <w:bottom w:val="nil" w:sz="6" w:space="0" w:color="auto"/>
              <w:right w:val="single" w:sz="4" w:space="0" w:color="000000"/>
            </w:tcBorders>
          </w:tcPr>
          <w:p>
            <w:pPr/>
          </w:p>
        </w:tc>
        <w:tc>
          <w:tcPr>
            <w:tcW w:w="1063" w:type="dxa"/>
            <w:tcBorders>
              <w:top w:val="nil" w:sz="6" w:space="0" w:color="auto"/>
              <w:left w:val="single" w:sz="4" w:space="0" w:color="000000"/>
              <w:bottom w:val="nil" w:sz="6" w:space="0" w:color="auto"/>
              <w:right w:val="single" w:sz="4" w:space="0" w:color="000000"/>
            </w:tcBorders>
          </w:tcPr>
          <w:p>
            <w:pPr/>
          </w:p>
        </w:tc>
        <w:tc>
          <w:tcPr>
            <w:tcW w:w="1034" w:type="dxa"/>
            <w:tcBorders>
              <w:top w:val="nil" w:sz="6" w:space="0" w:color="auto"/>
              <w:left w:val="single" w:sz="4" w:space="0" w:color="000000"/>
              <w:bottom w:val="nil" w:sz="6" w:space="0" w:color="auto"/>
              <w:right w:val="single" w:sz="4" w:space="0" w:color="000000"/>
            </w:tcBorders>
          </w:tcPr>
          <w:p>
            <w:pPr/>
          </w:p>
        </w:tc>
        <w:tc>
          <w:tcPr>
            <w:tcW w:w="1049"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满之日起两</w:t>
            </w:r>
          </w:p>
        </w:tc>
        <w:tc>
          <w:tcPr>
            <w:tcW w:w="792" w:type="dxa"/>
            <w:tcBorders>
              <w:top w:val="nil" w:sz="6" w:space="0" w:color="auto"/>
              <w:left w:val="single" w:sz="4" w:space="0" w:color="000000"/>
              <w:bottom w:val="nil" w:sz="6" w:space="0" w:color="auto"/>
              <w:right w:val="single" w:sz="4" w:space="0" w:color="000000"/>
            </w:tcBorders>
          </w:tcPr>
          <w:p>
            <w:pPr/>
          </w:p>
        </w:tc>
        <w:tc>
          <w:tcPr>
            <w:tcW w:w="780"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1709" w:type="dxa"/>
            <w:tcBorders>
              <w:top w:val="nil" w:sz="6" w:space="0" w:color="auto"/>
              <w:left w:val="single" w:sz="4" w:space="0" w:color="000000"/>
              <w:bottom w:val="single" w:sz="4" w:space="0" w:color="000000"/>
              <w:right w:val="single" w:sz="4" w:space="0" w:color="000000"/>
            </w:tcBorders>
          </w:tcPr>
          <w:p>
            <w:pPr/>
          </w:p>
        </w:tc>
        <w:tc>
          <w:tcPr>
            <w:tcW w:w="926" w:type="dxa"/>
            <w:tcBorders>
              <w:top w:val="nil" w:sz="6" w:space="0" w:color="auto"/>
              <w:left w:val="single" w:sz="4" w:space="0" w:color="000000"/>
              <w:bottom w:val="single" w:sz="4" w:space="0" w:color="000000"/>
              <w:right w:val="single" w:sz="4" w:space="0" w:color="000000"/>
            </w:tcBorders>
          </w:tcPr>
          <w:p>
            <w:pPr/>
          </w:p>
        </w:tc>
        <w:tc>
          <w:tcPr>
            <w:tcW w:w="924" w:type="dxa"/>
            <w:tcBorders>
              <w:top w:val="nil" w:sz="6" w:space="0" w:color="auto"/>
              <w:left w:val="single" w:sz="4" w:space="0" w:color="000000"/>
              <w:bottom w:val="single" w:sz="4" w:space="0" w:color="000000"/>
              <w:right w:val="single" w:sz="4" w:space="0" w:color="000000"/>
            </w:tcBorders>
          </w:tcPr>
          <w:p>
            <w:pPr/>
          </w:p>
        </w:tc>
        <w:tc>
          <w:tcPr>
            <w:tcW w:w="1296" w:type="dxa"/>
            <w:tcBorders>
              <w:top w:val="nil" w:sz="6" w:space="0" w:color="auto"/>
              <w:left w:val="single" w:sz="4" w:space="0" w:color="000000"/>
              <w:bottom w:val="single" w:sz="4" w:space="0" w:color="000000"/>
              <w:right w:val="single" w:sz="4" w:space="0" w:color="000000"/>
            </w:tcBorders>
          </w:tcPr>
          <w:p>
            <w:pPr/>
          </w:p>
        </w:tc>
        <w:tc>
          <w:tcPr>
            <w:tcW w:w="1063" w:type="dxa"/>
            <w:tcBorders>
              <w:top w:val="nil" w:sz="6" w:space="0" w:color="auto"/>
              <w:left w:val="single" w:sz="4" w:space="0" w:color="000000"/>
              <w:bottom w:val="single" w:sz="4" w:space="0" w:color="000000"/>
              <w:right w:val="single" w:sz="4" w:space="0" w:color="000000"/>
            </w:tcBorders>
          </w:tcPr>
          <w:p>
            <w:pPr/>
          </w:p>
        </w:tc>
        <w:tc>
          <w:tcPr>
            <w:tcW w:w="1034" w:type="dxa"/>
            <w:tcBorders>
              <w:top w:val="nil" w:sz="6" w:space="0" w:color="auto"/>
              <w:left w:val="single" w:sz="4" w:space="0" w:color="000000"/>
              <w:bottom w:val="single" w:sz="4" w:space="0" w:color="000000"/>
              <w:right w:val="single" w:sz="4" w:space="0" w:color="000000"/>
            </w:tcBorders>
          </w:tcPr>
          <w:p>
            <w:pPr/>
          </w:p>
        </w:tc>
        <w:tc>
          <w:tcPr>
            <w:tcW w:w="104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年</w:t>
            </w:r>
          </w:p>
        </w:tc>
        <w:tc>
          <w:tcPr>
            <w:tcW w:w="792" w:type="dxa"/>
            <w:tcBorders>
              <w:top w:val="nil" w:sz="6" w:space="0" w:color="auto"/>
              <w:left w:val="single" w:sz="4" w:space="0" w:color="000000"/>
              <w:bottom w:val="single" w:sz="4" w:space="0" w:color="000000"/>
              <w:right w:val="single" w:sz="4" w:space="0" w:color="000000"/>
            </w:tcBorders>
          </w:tcPr>
          <w:p>
            <w:pPr/>
          </w:p>
        </w:tc>
        <w:tc>
          <w:tcPr>
            <w:tcW w:w="780"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31"/>
              <w:jc w:val="center"/>
              <w:rPr>
                <w:rFonts w:ascii="宋体" w:hAnsi="宋体" w:cs="宋体" w:eastAsia="宋体" w:hint="default"/>
                <w:sz w:val="18"/>
                <w:szCs w:val="18"/>
              </w:rPr>
            </w:pPr>
            <w:r>
              <w:rPr>
                <w:rFonts w:ascii="宋体" w:hAnsi="宋体" w:cs="宋体" w:eastAsia="宋体" w:hint="default"/>
                <w:sz w:val="18"/>
                <w:szCs w:val="18"/>
              </w:rPr>
              <w:t>辽宁荣信防爆电气技</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01"/>
              <w:jc w:val="right"/>
              <w:rPr>
                <w:rFonts w:ascii="宋体" w:hAnsi="宋体" w:cs="宋体" w:eastAsia="宋体" w:hint="default"/>
                <w:sz w:val="18"/>
                <w:szCs w:val="18"/>
              </w:rPr>
            </w:pPr>
            <w:r>
              <w:rPr>
                <w:rFonts w:ascii="宋体" w:hAnsi="宋体" w:cs="宋体" w:eastAsia="宋体" w:hint="default"/>
                <w:sz w:val="18"/>
                <w:szCs w:val="18"/>
              </w:rPr>
              <w:t>连带责任保</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自具体授信</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9"/>
        <w:gridCol w:w="917"/>
        <w:gridCol w:w="925"/>
        <w:gridCol w:w="1301"/>
        <w:gridCol w:w="1057"/>
        <w:gridCol w:w="1044"/>
        <w:gridCol w:w="1045"/>
        <w:gridCol w:w="791"/>
        <w:gridCol w:w="785"/>
      </w:tblGrid>
      <w:tr>
        <w:trPr>
          <w:trHeight w:val="1922"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32" w:right="0"/>
              <w:jc w:val="left"/>
              <w:rPr>
                <w:rFonts w:ascii="宋体" w:hAnsi="宋体" w:cs="宋体" w:eastAsia="宋体" w:hint="default"/>
                <w:sz w:val="18"/>
                <w:szCs w:val="18"/>
              </w:rPr>
            </w:pPr>
            <w:r>
              <w:rPr>
                <w:rFonts w:ascii="宋体" w:hAnsi="宋体" w:cs="宋体" w:eastAsia="宋体" w:hint="default"/>
                <w:sz w:val="18"/>
                <w:szCs w:val="18"/>
              </w:rPr>
              <w:t>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业务合同或 协议约定的 授信人履行 债务期限届 满之日起两 年</w:t>
            </w:r>
          </w:p>
        </w:tc>
        <w:tc>
          <w:tcPr>
            <w:tcW w:w="79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辽宁荣信电气传动技 术有限责任公司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1,000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838.8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自具体授信 业务合同或 协议约定的 授信人履行 债务期限届 满之日起两 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274"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54"/>
              <w:jc w:val="left"/>
              <w:rPr>
                <w:rFonts w:ascii="宋体" w:hAnsi="宋体" w:cs="宋体" w:eastAsia="宋体" w:hint="default"/>
                <w:sz w:val="18"/>
                <w:szCs w:val="18"/>
              </w:rPr>
            </w:pPr>
            <w:r>
              <w:rPr>
                <w:rFonts w:ascii="宋体" w:hAnsi="宋体" w:cs="宋体" w:eastAsia="宋体" w:hint="default"/>
                <w:sz w:val="18"/>
                <w:szCs w:val="18"/>
              </w:rPr>
              <w:t>辽宁荣信电气传动技 术有限责任公司</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3,000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3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1"/>
              <w:jc w:val="right"/>
              <w:rPr>
                <w:rFonts w:ascii="Times New Roman" w:hAnsi="Times New Roman" w:cs="Times New Roman" w:eastAsia="Times New Roman" w:hint="default"/>
                <w:sz w:val="18"/>
                <w:szCs w:val="18"/>
              </w:rPr>
            </w:pPr>
            <w:r>
              <w:rPr>
                <w:rFonts w:ascii="Times New Roman"/>
                <w:sz w:val="18"/>
              </w:rPr>
              <w:t>2,000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32" w:right="101"/>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0"/>
              <w:jc w:val="both"/>
              <w:rPr>
                <w:rFonts w:ascii="宋体" w:hAnsi="宋体" w:cs="宋体" w:eastAsia="宋体" w:hint="default"/>
                <w:sz w:val="18"/>
                <w:szCs w:val="18"/>
              </w:rPr>
            </w:pPr>
            <w:r>
              <w:rPr>
                <w:rFonts w:ascii="宋体" w:hAnsi="宋体" w:cs="宋体" w:eastAsia="宋体" w:hint="default"/>
                <w:sz w:val="18"/>
                <w:szCs w:val="18"/>
              </w:rPr>
              <w:t>自具体授信 业务合同或 协议约定的 授信人履行 债务期限届 满之日起两 年</w:t>
            </w:r>
          </w:p>
        </w:tc>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226"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w:t>
            </w:r>
          </w:p>
        </w:tc>
        <w:tc>
          <w:tcPr>
            <w:tcW w:w="210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 w:right="8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2,838.8</w:t>
            </w:r>
          </w:p>
        </w:tc>
      </w:tr>
      <w:tr>
        <w:trPr>
          <w:trHeight w:val="714"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226"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w:t>
            </w:r>
          </w:p>
        </w:tc>
        <w:tc>
          <w:tcPr>
            <w:tcW w:w="210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 w:right="8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2,838.8</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308"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 w:right="93"/>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3"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14" w:right="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1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428" w:right="76" w:hanging="360"/>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52"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07"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4"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6"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w:t>
            </w:r>
          </w:p>
        </w:tc>
        <w:tc>
          <w:tcPr>
            <w:tcW w:w="210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 w:right="83"/>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2,838.8</w:t>
            </w:r>
          </w:p>
        </w:tc>
      </w:tr>
      <w:tr>
        <w:trPr>
          <w:trHeight w:val="714" w:hRule="exact"/>
        </w:trPr>
        <w:tc>
          <w:tcPr>
            <w:tcW w:w="26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6"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6,000</w:t>
            </w:r>
          </w:p>
        </w:tc>
        <w:tc>
          <w:tcPr>
            <w:tcW w:w="210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5" w:right="83"/>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2,838.8</w:t>
            </w:r>
          </w:p>
        </w:tc>
      </w:tr>
      <w:tr>
        <w:trPr>
          <w:trHeight w:val="402" w:hRule="exact"/>
        </w:trPr>
        <w:tc>
          <w:tcPr>
            <w:tcW w:w="485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2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0.59%</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714" w:hRule="exact"/>
        </w:trPr>
        <w:tc>
          <w:tcPr>
            <w:tcW w:w="485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责任的情况说明（如有）</w:t>
            </w:r>
          </w:p>
        </w:tc>
        <w:tc>
          <w:tcPr>
            <w:tcW w:w="4721" w:type="dxa"/>
            <w:gridSpan w:val="5"/>
            <w:tcBorders>
              <w:top w:val="single" w:sz="4" w:space="0" w:color="000000"/>
              <w:left w:val="single" w:sz="13" w:space="0" w:color="D3D3D3"/>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5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2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公司报告期无违规对外担保情况。</w:t>
      </w:r>
    </w:p>
    <w:p>
      <w:pPr>
        <w:spacing w:line="240" w:lineRule="auto" w:before="2"/>
        <w:rPr>
          <w:rFonts w:ascii="宋体" w:hAnsi="宋体" w:cs="宋体" w:eastAsia="宋体" w:hint="default"/>
          <w:sz w:val="21"/>
          <w:szCs w:val="21"/>
        </w:rPr>
      </w:pPr>
    </w:p>
    <w:p>
      <w:pPr>
        <w:pStyle w:val="Heading3"/>
        <w:spacing w:line="240" w:lineRule="auto" w:before="0"/>
        <w:ind w:right="0"/>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4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公司报告期不存在委托理财。</w:t>
      </w:r>
    </w:p>
    <w:p>
      <w:pPr>
        <w:spacing w:line="240" w:lineRule="auto" w:before="1"/>
        <w:rPr>
          <w:rFonts w:ascii="宋体" w:hAnsi="宋体" w:cs="宋体" w:eastAsia="宋体" w:hint="default"/>
          <w:sz w:val="21"/>
          <w:szCs w:val="21"/>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4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2"/>
        <w:rPr>
          <w:rFonts w:ascii="宋体" w:hAnsi="宋体" w:cs="宋体" w:eastAsia="宋体" w:hint="default"/>
          <w:sz w:val="21"/>
          <w:szCs w:val="21"/>
        </w:rPr>
      </w:pPr>
    </w:p>
    <w:p>
      <w:pPr>
        <w:pStyle w:val="Heading3"/>
        <w:spacing w:line="240" w:lineRule="auto" w:before="0"/>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70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十八、其他重大事项的说明</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61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公司报告期不存在需要说明的其他重大事项。</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十九、公司子公司重大事项</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5"/>
        <w:ind w:right="151" w:firstLine="482"/>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月，公司与西门子（中国）有限公司签订《股权购买与转让协议》，公司以</w:t>
      </w:r>
      <w:r>
        <w:rPr>
          <w:rFonts w:ascii="Times New Roman" w:hAnsi="Times New Roman" w:cs="Times New Roman" w:eastAsia="Times New Roman" w:hint="default"/>
        </w:rPr>
        <w:t>1,320.42</w:t>
      </w:r>
      <w:r>
        <w:rPr/>
        <w:t>万元 受让西门子（中国）有限公司持有的荣西电力传输技术有限公司</w:t>
      </w:r>
      <w:r>
        <w:rPr>
          <w:rFonts w:ascii="Times New Roman" w:hAnsi="Times New Roman" w:cs="Times New Roman" w:eastAsia="Times New Roman" w:hint="default"/>
        </w:rPr>
        <w:t>50%</w:t>
      </w:r>
      <w:r>
        <w:rPr/>
        <w:t>股份，本次股权变动前公司持有荣西 </w:t>
      </w:r>
      <w:r>
        <w:rPr>
          <w:spacing w:val="-2"/>
        </w:rPr>
        <w:t>电力传输技术有限公司</w:t>
      </w:r>
      <w:r>
        <w:rPr>
          <w:rFonts w:ascii="Times New Roman" w:hAnsi="Times New Roman" w:cs="Times New Roman" w:eastAsia="Times New Roman" w:hint="default"/>
          <w:spacing w:val="-2"/>
        </w:rPr>
        <w:t>50%</w:t>
      </w:r>
      <w:r>
        <w:rPr>
          <w:spacing w:val="-2"/>
        </w:rPr>
        <w:t>股份，本次股权变动后公司持有荣西电力传输技术有限公司</w:t>
      </w:r>
      <w:r>
        <w:rPr>
          <w:rFonts w:ascii="Times New Roman" w:hAnsi="Times New Roman" w:cs="Times New Roman" w:eastAsia="Times New Roman" w:hint="default"/>
          <w:spacing w:val="-2"/>
        </w:rPr>
        <w:t>100%</w:t>
      </w:r>
      <w:r>
        <w:rPr>
          <w:spacing w:val="-2"/>
        </w:rPr>
        <w:t>股份。以上相</w:t>
      </w:r>
      <w:r>
        <w:rPr>
          <w:spacing w:val="-69"/>
        </w:rPr>
        <w:t> </w:t>
      </w:r>
      <w:r>
        <w:rPr>
          <w:spacing w:val="-69"/>
        </w:rPr>
      </w:r>
      <w:r>
        <w:rPr/>
        <w:t>关工商变更手续已办理完毕。</w:t>
      </w:r>
    </w:p>
    <w:p>
      <w:pPr>
        <w:pStyle w:val="BodyText"/>
        <w:spacing w:line="386" w:lineRule="auto" w:before="65"/>
        <w:ind w:right="149" w:firstLine="482"/>
        <w:jc w:val="both"/>
      </w:pPr>
      <w:r>
        <w:rPr>
          <w:rFonts w:ascii="Times New Roman" w:hAnsi="Times New Roman" w:cs="Times New Roman" w:eastAsia="Times New Roman" w:hint="default"/>
        </w:rPr>
        <w:t>2</w:t>
      </w:r>
      <w:r>
        <w:rPr/>
        <w:t>、为解决子公司营运资金需求，报告期内，公司将应收控股子公司诚和伟业（北京）科技发展有限 </w:t>
      </w:r>
      <w:r>
        <w:rPr>
          <w:spacing w:val="-1"/>
        </w:rPr>
        <w:t>责任公司</w:t>
      </w:r>
      <w:r>
        <w:rPr>
          <w:rFonts w:ascii="Times New Roman" w:hAnsi="Times New Roman" w:cs="Times New Roman" w:eastAsia="Times New Roman" w:hint="default"/>
          <w:spacing w:val="-1"/>
        </w:rPr>
        <w:t>1,300</w:t>
      </w:r>
      <w:r>
        <w:rPr>
          <w:spacing w:val="-1"/>
        </w:rPr>
        <w:t>万元债权转作对其长期股权投资，增资完成后，其注册资本由</w:t>
      </w:r>
      <w:r>
        <w:rPr>
          <w:rFonts w:ascii="Times New Roman" w:hAnsi="Times New Roman" w:cs="Times New Roman" w:eastAsia="Times New Roman" w:hint="default"/>
          <w:spacing w:val="-1"/>
        </w:rPr>
        <w:t>800</w:t>
      </w:r>
      <w:r>
        <w:rPr>
          <w:spacing w:val="-1"/>
        </w:rPr>
        <w:t>万元人民币增加至</w:t>
      </w:r>
      <w:r>
        <w:rPr>
          <w:rFonts w:ascii="Times New Roman" w:hAnsi="Times New Roman" w:cs="Times New Roman" w:eastAsia="Times New Roman" w:hint="default"/>
          <w:spacing w:val="-1"/>
        </w:rPr>
        <w:t>2,100</w:t>
      </w:r>
      <w:r>
        <w:rPr>
          <w:spacing w:val="-1"/>
        </w:rPr>
        <w:t>万</w:t>
      </w:r>
      <w:r>
        <w:rPr>
          <w:spacing w:val="-83"/>
        </w:rPr>
        <w:t> </w:t>
      </w:r>
      <w:r>
        <w:rPr/>
        <w:t>元人民币。本次股权变动前公司持有诚和伟业（北京）科技发展有限责任公司</w:t>
      </w:r>
      <w:r>
        <w:rPr>
          <w:rFonts w:ascii="Times New Roman" w:hAnsi="Times New Roman" w:cs="Times New Roman" w:eastAsia="Times New Roman" w:hint="default"/>
        </w:rPr>
        <w:t>80%</w:t>
      </w:r>
      <w:r>
        <w:rPr/>
        <w:t>股份，本次股权变动后 </w:t>
      </w:r>
      <w:r>
        <w:rPr>
          <w:spacing w:val="-1"/>
        </w:rPr>
        <w:t>公司持有诚和伟业（北京）科技发展有限责任公司</w:t>
      </w:r>
      <w:r>
        <w:rPr>
          <w:rFonts w:ascii="Times New Roman" w:hAnsi="Times New Roman" w:cs="Times New Roman" w:eastAsia="Times New Roman" w:hint="default"/>
          <w:spacing w:val="-1"/>
        </w:rPr>
        <w:t>92.38%</w:t>
      </w:r>
      <w:r>
        <w:rPr>
          <w:spacing w:val="-1"/>
        </w:rPr>
        <w:t>，相关工商变更手续已办理完毕，报告期末该公</w:t>
      </w:r>
      <w:r>
        <w:rPr>
          <w:spacing w:val="-99"/>
        </w:rPr>
        <w:t> </w:t>
      </w:r>
      <w:r>
        <w:rPr>
          <w:spacing w:val="-99"/>
        </w:rPr>
      </w:r>
      <w:r>
        <w:rPr/>
        <w:t>司已注销。</w:t>
      </w:r>
    </w:p>
    <w:p>
      <w:pPr>
        <w:spacing w:after="0" w:line="386" w:lineRule="auto"/>
        <w:jc w:val="both"/>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386" w:lineRule="auto" w:before="174"/>
        <w:ind w:right="191" w:firstLine="482"/>
        <w:jc w:val="both"/>
      </w:pPr>
      <w:r>
        <w:rPr>
          <w:rFonts w:ascii="Times New Roman" w:hAnsi="Times New Roman" w:cs="Times New Roman" w:eastAsia="Times New Roman" w:hint="default"/>
        </w:rPr>
        <w:t>3</w:t>
      </w:r>
      <w:r>
        <w:rPr/>
        <w:t>、为解决子公司营运资金需求，报告期内，公司将应收控股子公司荣信嘉时（北京）科技发展有限 </w:t>
      </w:r>
      <w:r>
        <w:rPr>
          <w:spacing w:val="-1"/>
        </w:rPr>
        <w:t>公司</w:t>
      </w:r>
      <w:r>
        <w:rPr>
          <w:rFonts w:ascii="Times New Roman" w:hAnsi="Times New Roman" w:cs="Times New Roman" w:eastAsia="Times New Roman" w:hint="default"/>
          <w:spacing w:val="-1"/>
        </w:rPr>
        <w:t>1,900</w:t>
      </w:r>
      <w:r>
        <w:rPr>
          <w:spacing w:val="-1"/>
        </w:rPr>
        <w:t>万元债权转作对其长期股权投资，增资完成后，其注册资本由</w:t>
      </w:r>
      <w:r>
        <w:rPr>
          <w:rFonts w:ascii="Times New Roman" w:hAnsi="Times New Roman" w:cs="Times New Roman" w:eastAsia="Times New Roman" w:hint="default"/>
          <w:spacing w:val="-1"/>
        </w:rPr>
        <w:t>800</w:t>
      </w:r>
      <w:r>
        <w:rPr>
          <w:spacing w:val="-1"/>
        </w:rPr>
        <w:t>万元人民币增加至</w:t>
      </w:r>
      <w:r>
        <w:rPr>
          <w:rFonts w:ascii="Times New Roman" w:hAnsi="Times New Roman" w:cs="Times New Roman" w:eastAsia="Times New Roman" w:hint="default"/>
          <w:spacing w:val="-1"/>
        </w:rPr>
        <w:t>2,700</w:t>
      </w:r>
      <w:r>
        <w:rPr>
          <w:spacing w:val="-1"/>
        </w:rPr>
        <w:t>万元人</w:t>
      </w:r>
      <w:r>
        <w:rPr>
          <w:spacing w:val="-83"/>
        </w:rPr>
        <w:t> </w:t>
      </w:r>
      <w:r>
        <w:rPr/>
        <w:t>民币。本次股权变动前公司持有荣信嘉时（北京）科技发展有限公司</w:t>
      </w:r>
      <w:r>
        <w:rPr>
          <w:rFonts w:ascii="Times New Roman" w:hAnsi="Times New Roman" w:cs="Times New Roman" w:eastAsia="Times New Roman" w:hint="default"/>
        </w:rPr>
        <w:t>85%</w:t>
      </w:r>
      <w:r>
        <w:rPr/>
        <w:t>股份，本次股权变动后公司持有 荣信嘉时（北京）科技发展有限公司</w:t>
      </w:r>
      <w:r>
        <w:rPr>
          <w:rFonts w:ascii="Times New Roman" w:hAnsi="Times New Roman" w:cs="Times New Roman" w:eastAsia="Times New Roman" w:hint="default"/>
        </w:rPr>
        <w:t>95.56%</w:t>
      </w:r>
      <w:r>
        <w:rPr/>
        <w:t>股份，相关工商变更手续已办理完毕。</w:t>
      </w:r>
    </w:p>
    <w:p>
      <w:pPr>
        <w:pStyle w:val="BodyText"/>
        <w:spacing w:line="386" w:lineRule="auto" w:before="35"/>
        <w:ind w:right="211" w:firstLine="482"/>
        <w:jc w:val="both"/>
      </w:pPr>
      <w:r>
        <w:rPr>
          <w:rFonts w:ascii="Times New Roman" w:hAnsi="Times New Roman" w:cs="Times New Roman" w:eastAsia="Times New Roman" w:hint="default"/>
        </w:rPr>
        <w:t>4</w:t>
      </w:r>
      <w:r>
        <w:rPr/>
        <w:t>、为开拓海外市场，促进与国际市场的交流合作，报告期内，公司对香港全资子公司荣信股份控股 有限公司注资</w:t>
      </w:r>
      <w:r>
        <w:rPr>
          <w:rFonts w:ascii="Times New Roman" w:hAnsi="Times New Roman" w:cs="Times New Roman" w:eastAsia="Times New Roman" w:hint="default"/>
        </w:rPr>
        <w:t>65</w:t>
      </w:r>
      <w:r>
        <w:rPr/>
        <w:t>万美元。荣信股份控股有限公司注册资本为</w:t>
      </w:r>
      <w:r>
        <w:rPr>
          <w:rFonts w:ascii="Times New Roman" w:hAnsi="Times New Roman" w:cs="Times New Roman" w:eastAsia="Times New Roman" w:hint="default"/>
        </w:rPr>
        <w:t>130</w:t>
      </w:r>
      <w:r>
        <w:rPr/>
        <w:t>万美元，截止到本报告期末，公司已实缴 其注册资本的</w:t>
      </w:r>
      <w:r>
        <w:rPr>
          <w:rFonts w:ascii="Times New Roman" w:hAnsi="Times New Roman" w:cs="Times New Roman" w:eastAsia="Times New Roman" w:hint="default"/>
        </w:rPr>
        <w:t>50%</w:t>
      </w:r>
      <w:r>
        <w:rPr/>
        <w:t>。</w:t>
      </w:r>
    </w:p>
    <w:p>
      <w:pPr>
        <w:pStyle w:val="BodyText"/>
        <w:spacing w:line="391" w:lineRule="auto" w:before="35"/>
        <w:ind w:right="90" w:firstLine="482"/>
        <w:jc w:val="left"/>
      </w:pPr>
      <w:r>
        <w:rPr>
          <w:rFonts w:ascii="Times New Roman" w:hAnsi="Times New Roman" w:cs="Times New Roman" w:eastAsia="Times New Roman" w:hint="default"/>
        </w:rPr>
        <w:t>5</w:t>
      </w:r>
      <w:r>
        <w:rPr/>
        <w:t>、报告期内，公司全资子公司荣信电力工程</w:t>
      </w:r>
      <w:r>
        <w:rPr>
          <w:rFonts w:ascii="Times New Roman" w:hAnsi="Times New Roman" w:cs="Times New Roman" w:eastAsia="Times New Roman" w:hint="default"/>
        </w:rPr>
        <w:t>JLT</w:t>
      </w:r>
      <w:r>
        <w:rPr/>
        <w:t>公司因境外地域归属管辖政府机关调整，荣信电力 </w:t>
      </w:r>
      <w:r>
        <w:rPr>
          <w:spacing w:val="-2"/>
        </w:rPr>
        <w:t>工程</w:t>
      </w:r>
      <w:r>
        <w:rPr>
          <w:rFonts w:ascii="Times New Roman" w:hAnsi="Times New Roman" w:cs="Times New Roman" w:eastAsia="Times New Roman" w:hint="default"/>
          <w:spacing w:val="-2"/>
        </w:rPr>
        <w:t>JLT</w:t>
      </w:r>
      <w:r>
        <w:rPr>
          <w:spacing w:val="-2"/>
        </w:rPr>
        <w:t>公司应当地政府要求变更公司名称后缀，由原荣信电力工程</w:t>
      </w:r>
      <w:r>
        <w:rPr>
          <w:rFonts w:ascii="Times New Roman" w:hAnsi="Times New Roman" w:cs="Times New Roman" w:eastAsia="Times New Roman" w:hint="default"/>
          <w:spacing w:val="-2"/>
        </w:rPr>
        <w:t>JLT</w:t>
      </w:r>
      <w:r>
        <w:rPr>
          <w:spacing w:val="-2"/>
        </w:rPr>
        <w:t>公司变更为荣信电力工程</w:t>
      </w:r>
      <w:r>
        <w:rPr>
          <w:rFonts w:ascii="Times New Roman" w:hAnsi="Times New Roman" w:cs="Times New Roman" w:eastAsia="Times New Roman" w:hint="default"/>
          <w:spacing w:val="-2"/>
        </w:rPr>
        <w:t>DMCC</w:t>
      </w:r>
      <w:r>
        <w:rPr>
          <w:spacing w:val="-2"/>
        </w:rPr>
        <w:t>公</w:t>
      </w:r>
      <w:r>
        <w:rPr>
          <w:spacing w:val="-67"/>
        </w:rPr>
        <w:t> </w:t>
      </w:r>
      <w:r>
        <w:rPr>
          <w:spacing w:val="-1"/>
        </w:rPr>
        <w:t>司。另为进一步开拓海外市场、促进国际市场合作与交流、拓展国际新业务领域，公司对全资子公司荣信</w:t>
      </w:r>
      <w:r>
        <w:rPr>
          <w:spacing w:val="-82"/>
        </w:rPr>
        <w:t> </w:t>
      </w:r>
      <w:r>
        <w:rPr>
          <w:spacing w:val="-82"/>
        </w:rPr>
      </w:r>
      <w:r>
        <w:rPr/>
        <w:t>电力工程</w:t>
      </w:r>
      <w:r>
        <w:rPr>
          <w:rFonts w:ascii="Times New Roman" w:hAnsi="Times New Roman" w:cs="Times New Roman" w:eastAsia="Times New Roman" w:hint="default"/>
        </w:rPr>
        <w:t>DMCC</w:t>
      </w:r>
      <w:r>
        <w:rPr/>
        <w:t>公司增资</w:t>
      </w:r>
      <w:r>
        <w:rPr>
          <w:rFonts w:ascii="Times New Roman" w:hAnsi="Times New Roman" w:cs="Times New Roman" w:eastAsia="Times New Roman" w:hint="default"/>
        </w:rPr>
        <w:t>533</w:t>
      </w:r>
      <w:r>
        <w:rPr/>
        <w:t>万美元，注册资本由</w:t>
      </w:r>
      <w:r>
        <w:rPr>
          <w:rFonts w:ascii="Times New Roman" w:hAnsi="Times New Roman" w:cs="Times New Roman" w:eastAsia="Times New Roman" w:hint="default"/>
        </w:rPr>
        <w:t>248</w:t>
      </w:r>
      <w:r>
        <w:rPr/>
        <w:t>万美元增加至</w:t>
      </w:r>
      <w:r>
        <w:rPr>
          <w:rFonts w:ascii="Times New Roman" w:hAnsi="Times New Roman" w:cs="Times New Roman" w:eastAsia="Times New Roman" w:hint="default"/>
        </w:rPr>
        <w:t>781</w:t>
      </w:r>
      <w:r>
        <w:rPr/>
        <w:t>万美元，以上相关变更手续已办理 完毕。</w:t>
      </w:r>
    </w:p>
    <w:p>
      <w:pPr>
        <w:pStyle w:val="BodyText"/>
        <w:spacing w:line="386" w:lineRule="auto" w:before="61"/>
        <w:ind w:right="191" w:firstLine="482"/>
        <w:jc w:val="both"/>
      </w:pPr>
      <w:r>
        <w:rPr>
          <w:rFonts w:ascii="Times New Roman" w:hAnsi="Times New Roman" w:cs="Times New Roman" w:eastAsia="Times New Roman" w:hint="default"/>
        </w:rPr>
        <w:t>6</w:t>
      </w:r>
      <w:r>
        <w:rPr/>
        <w:t>、报告期内，公司参股子公司哈密荣信新能源有限公司因投资光伏并网发电项目需要，增加其注册 资本，注册资本由原</w:t>
      </w:r>
      <w:r>
        <w:rPr>
          <w:rFonts w:ascii="Times New Roman" w:hAnsi="Times New Roman" w:cs="Times New Roman" w:eastAsia="Times New Roman" w:hint="default"/>
        </w:rPr>
        <w:t>8,000</w:t>
      </w:r>
      <w:r>
        <w:rPr/>
        <w:t>万元增加至</w:t>
      </w:r>
      <w:r>
        <w:rPr>
          <w:rFonts w:ascii="Times New Roman" w:hAnsi="Times New Roman" w:cs="Times New Roman" w:eastAsia="Times New Roman" w:hint="default"/>
        </w:rPr>
        <w:t>17,832.538</w:t>
      </w:r>
      <w:r>
        <w:rPr/>
        <w:t>万元，各股东均按原持股比例增资，其中荣信股份出资为 </w:t>
      </w:r>
      <w:r>
        <w:rPr>
          <w:rFonts w:ascii="Times New Roman" w:hAnsi="Times New Roman" w:cs="Times New Roman" w:eastAsia="Times New Roman" w:hint="default"/>
          <w:spacing w:val="-1"/>
        </w:rPr>
        <w:t>1,966.51</w:t>
      </w:r>
      <w:r>
        <w:rPr>
          <w:spacing w:val="-1"/>
        </w:rPr>
        <w:t>万元。经本次增资后，荣信股份累计出资</w:t>
      </w:r>
      <w:r>
        <w:rPr>
          <w:rFonts w:ascii="Times New Roman" w:hAnsi="Times New Roman" w:cs="Times New Roman" w:eastAsia="Times New Roman" w:hint="default"/>
          <w:spacing w:val="-1"/>
        </w:rPr>
        <w:t>3,566.51</w:t>
      </w:r>
      <w:r>
        <w:rPr>
          <w:spacing w:val="-1"/>
        </w:rPr>
        <w:t>万元，仍占哈密荣信新能源有限公司注册资本的</w:t>
      </w:r>
    </w:p>
    <w:p>
      <w:pPr>
        <w:pStyle w:val="BodyText"/>
        <w:spacing w:line="240" w:lineRule="auto" w:before="35"/>
        <w:ind w:right="90"/>
        <w:jc w:val="left"/>
      </w:pPr>
      <w:r>
        <w:rPr>
          <w:rFonts w:ascii="Times New Roman" w:hAnsi="Times New Roman" w:cs="Times New Roman" w:eastAsia="Times New Roman" w:hint="default"/>
        </w:rPr>
        <w:t>20%</w:t>
      </w:r>
      <w:r>
        <w:rPr/>
        <w:t>，相关工商变更手续已办理完毕。</w:t>
      </w:r>
    </w:p>
    <w:p>
      <w:pPr>
        <w:pStyle w:val="BodyText"/>
        <w:spacing w:line="240" w:lineRule="auto" w:before="177"/>
        <w:ind w:left="574" w:right="90"/>
        <w:jc w:val="left"/>
      </w:pPr>
      <w:r>
        <w:rPr>
          <w:rFonts w:ascii="Times New Roman" w:hAnsi="Times New Roman" w:cs="Times New Roman" w:eastAsia="Times New Roman" w:hint="default"/>
        </w:rPr>
        <w:t>7</w:t>
      </w:r>
      <w:r>
        <w:rPr/>
        <w:t>、因业务整合，本公司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月与孙鑫签订股权转让协议，本公司将辽宁荣信光伏技术有限公司</w:t>
      </w:r>
    </w:p>
    <w:p>
      <w:pPr>
        <w:pStyle w:val="BodyText"/>
        <w:spacing w:line="386" w:lineRule="auto" w:before="177"/>
        <w:ind w:right="90"/>
        <w:jc w:val="left"/>
      </w:pPr>
      <w:r>
        <w:rPr>
          <w:rFonts w:ascii="Times New Roman" w:hAnsi="Times New Roman" w:cs="Times New Roman" w:eastAsia="Times New Roman" w:hint="default"/>
        </w:rPr>
        <w:t>90%</w:t>
      </w:r>
      <w:r>
        <w:rPr/>
        <w:t>的股权以现金对价</w:t>
      </w:r>
      <w:r>
        <w:rPr>
          <w:rFonts w:ascii="Times New Roman" w:hAnsi="Times New Roman" w:cs="Times New Roman" w:eastAsia="Times New Roman" w:hint="default"/>
        </w:rPr>
        <w:t>411.50</w:t>
      </w:r>
      <w:r>
        <w:rPr/>
        <w:t>万元转让给孙鑫。本次转让后，本公司不再持有荣信光伏股权，本次转让子</w:t>
      </w:r>
      <w:r>
        <w:rPr>
          <w:spacing w:val="-57"/>
        </w:rPr>
        <w:t> </w:t>
      </w:r>
      <w:r>
        <w:rPr>
          <w:spacing w:val="-57"/>
        </w:rPr>
      </w:r>
      <w:r>
        <w:rPr/>
        <w:t>公司股权，公司产生投资损失</w:t>
      </w:r>
      <w:r>
        <w:rPr>
          <w:rFonts w:ascii="Times New Roman" w:hAnsi="Times New Roman" w:cs="Times New Roman" w:eastAsia="Times New Roman" w:hint="default"/>
        </w:rPr>
        <w:t>44.36</w:t>
      </w:r>
      <w:r>
        <w:rPr/>
        <w:t>万元。</w:t>
      </w:r>
    </w:p>
    <w:p>
      <w:pPr>
        <w:pStyle w:val="BodyText"/>
        <w:spacing w:line="386" w:lineRule="auto" w:before="35"/>
        <w:ind w:right="97" w:firstLine="468"/>
        <w:jc w:val="left"/>
      </w:pPr>
      <w:r>
        <w:rPr>
          <w:rFonts w:ascii="Times New Roman" w:hAnsi="Times New Roman" w:cs="Times New Roman" w:eastAsia="Times New Roman" w:hint="default"/>
        </w:rPr>
        <w:t>8</w:t>
      </w:r>
      <w:r>
        <w:rPr/>
        <w:t>、因业务整合，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日，公司将持有参股子公司山东荣信汇盛机电科技有限公司</w:t>
      </w:r>
      <w:r>
        <w:rPr>
          <w:rFonts w:ascii="Times New Roman" w:hAnsi="Times New Roman" w:cs="Times New Roman" w:eastAsia="Times New Roman" w:hint="default"/>
        </w:rPr>
        <w:t>50%</w:t>
      </w:r>
      <w:r>
        <w:rPr/>
        <w:t>的股</w:t>
      </w:r>
      <w:r>
        <w:rPr>
          <w:spacing w:val="1"/>
        </w:rPr>
        <w:t> </w:t>
      </w:r>
      <w:r>
        <w:rPr/>
        <w:t>权作价</w:t>
      </w:r>
      <w:r>
        <w:rPr>
          <w:rFonts w:ascii="Times New Roman" w:hAnsi="Times New Roman" w:cs="Times New Roman" w:eastAsia="Times New Roman" w:hint="default"/>
        </w:rPr>
        <w:t>275.4</w:t>
      </w:r>
      <w:r>
        <w:rPr/>
        <w:t>万人民币转让给股东以外的自然人杨帆。目前，工商手续已办理完毕，本次转让子公司股权， 公司产生投资损失</w:t>
      </w:r>
      <w:r>
        <w:rPr>
          <w:rFonts w:ascii="Times New Roman" w:hAnsi="Times New Roman" w:cs="Times New Roman" w:eastAsia="Times New Roman" w:hint="default"/>
        </w:rPr>
        <w:t>13.75</w:t>
      </w:r>
      <w:r>
        <w:rPr/>
        <w:t>万元。</w:t>
      </w:r>
    </w:p>
    <w:p>
      <w:pPr>
        <w:pStyle w:val="BodyText"/>
        <w:spacing w:line="386" w:lineRule="auto" w:before="35"/>
        <w:ind w:left="153" w:right="190" w:firstLine="468"/>
        <w:jc w:val="both"/>
      </w:pPr>
      <w:r>
        <w:rPr>
          <w:rFonts w:ascii="Times New Roman" w:hAnsi="Times New Roman" w:cs="Times New Roman" w:eastAsia="Times New Roman" w:hint="default"/>
          <w:spacing w:val="-1"/>
        </w:rPr>
        <w:t>9</w:t>
      </w:r>
      <w:r>
        <w:rPr>
          <w:spacing w:val="-1"/>
        </w:rPr>
        <w:t>、</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15</w:t>
      </w:r>
      <w:r>
        <w:rPr>
          <w:spacing w:val="-1"/>
        </w:rPr>
        <w:t>日，公司在英国设立全资子公司荣信电力有限公司，注册资本</w:t>
      </w:r>
      <w:r>
        <w:rPr>
          <w:rFonts w:ascii="Times New Roman" w:hAnsi="Times New Roman" w:cs="Times New Roman" w:eastAsia="Times New Roman" w:hint="default"/>
          <w:spacing w:val="-1"/>
        </w:rPr>
        <w:t>604.9</w:t>
      </w:r>
      <w:r>
        <w:rPr>
          <w:spacing w:val="-1"/>
        </w:rPr>
        <w:t>万美元。用于扩</w:t>
      </w:r>
      <w:r>
        <w:rPr/>
        <w:t> 展海外业务，开拓欧洲市场。目前，工商手续已办理完毕。</w:t>
      </w:r>
    </w:p>
    <w:p>
      <w:pPr>
        <w:pStyle w:val="BodyText"/>
        <w:spacing w:line="386" w:lineRule="auto" w:before="65"/>
        <w:ind w:left="153" w:right="133" w:firstLine="420"/>
        <w:jc w:val="both"/>
      </w:pPr>
      <w:r>
        <w:rPr>
          <w:rFonts w:ascii="Times New Roman" w:hAnsi="Times New Roman" w:cs="Times New Roman" w:eastAsia="Times New Roman" w:hint="default"/>
          <w:spacing w:val="-3"/>
        </w:rPr>
        <w:t>10</w:t>
      </w:r>
      <w:r>
        <w:rPr>
          <w:spacing w:val="-3"/>
        </w:rPr>
        <w:t>、因业务整合，本公司</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12</w:t>
      </w:r>
      <w:r>
        <w:rPr>
          <w:spacing w:val="-3"/>
        </w:rPr>
        <w:t>月与李岗签订股权转让协议，本公司将西安荣信电气有限公司</w:t>
      </w:r>
      <w:r>
        <w:rPr>
          <w:rFonts w:ascii="Times New Roman" w:hAnsi="Times New Roman" w:cs="Times New Roman" w:eastAsia="Times New Roman" w:hint="default"/>
          <w:spacing w:val="-3"/>
        </w:rPr>
        <w:t>(</w:t>
      </w:r>
      <w:r>
        <w:rPr>
          <w:spacing w:val="-3"/>
        </w:rPr>
        <w:t>简称</w:t>
      </w:r>
      <w:r>
        <w:rPr>
          <w:spacing w:val="1"/>
        </w:rPr>
        <w:t> </w:t>
      </w:r>
      <w:r>
        <w:rPr/>
        <w:t>西安荣信</w:t>
      </w:r>
      <w:r>
        <w:rPr>
          <w:rFonts w:ascii="Times New Roman" w:hAnsi="Times New Roman" w:cs="Times New Roman" w:eastAsia="Times New Roman" w:hint="default"/>
        </w:rPr>
        <w:t>)90%</w:t>
      </w:r>
      <w:r>
        <w:rPr/>
        <w:t>的股权以现金对价款</w:t>
      </w:r>
      <w:r>
        <w:rPr>
          <w:rFonts w:ascii="Times New Roman" w:hAnsi="Times New Roman" w:cs="Times New Roman" w:eastAsia="Times New Roman" w:hint="default"/>
        </w:rPr>
        <w:t>84,891.60</w:t>
      </w:r>
      <w:r>
        <w:rPr/>
        <w:t>元转让给李岗。本次转让后，本公司不再持有西安荣信股权， 本次转让子公司股权，公司获得投资收益</w:t>
      </w:r>
      <w:r>
        <w:rPr>
          <w:rFonts w:ascii="Times New Roman" w:hAnsi="Times New Roman" w:cs="Times New Roman" w:eastAsia="Times New Roman" w:hint="default"/>
        </w:rPr>
        <w:t>0.40</w:t>
      </w:r>
      <w:r>
        <w:rPr/>
        <w:t>万元。</w:t>
      </w:r>
    </w:p>
    <w:p>
      <w:pPr>
        <w:pStyle w:val="BodyText"/>
        <w:spacing w:line="386" w:lineRule="auto" w:before="35"/>
        <w:ind w:left="153" w:right="187" w:firstLine="420"/>
        <w:jc w:val="both"/>
      </w:pPr>
      <w:r>
        <w:rPr>
          <w:rFonts w:ascii="Times New Roman" w:hAnsi="Times New Roman" w:cs="Times New Roman" w:eastAsia="Times New Roman" w:hint="default"/>
          <w:spacing w:val="-1"/>
        </w:rPr>
        <w:t>11</w:t>
      </w:r>
      <w:r>
        <w:rPr>
          <w:spacing w:val="-1"/>
        </w:rPr>
        <w:t>、因销售体系改革，本公司</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月与常凯签订股权转让协议，本公司将广州邦建电力技术有限</w:t>
      </w:r>
      <w:r>
        <w:rPr/>
        <w:t> 公司</w:t>
      </w:r>
      <w:r>
        <w:rPr>
          <w:rFonts w:ascii="Times New Roman" w:hAnsi="Times New Roman" w:cs="Times New Roman" w:eastAsia="Times New Roman" w:hint="default"/>
        </w:rPr>
        <w:t>(</w:t>
      </w:r>
      <w:r>
        <w:rPr/>
        <w:t>简称广州邦建</w:t>
      </w:r>
      <w:r>
        <w:rPr>
          <w:rFonts w:ascii="Times New Roman" w:hAnsi="Times New Roman" w:cs="Times New Roman" w:eastAsia="Times New Roman" w:hint="default"/>
        </w:rPr>
        <w:t>)85%</w:t>
      </w:r>
      <w:r>
        <w:rPr/>
        <w:t>的股权以现金对价款</w:t>
      </w:r>
      <w:r>
        <w:rPr>
          <w:rFonts w:ascii="Times New Roman" w:hAnsi="Times New Roman" w:cs="Times New Roman" w:eastAsia="Times New Roman" w:hint="default"/>
        </w:rPr>
        <w:t>11.917266</w:t>
      </w:r>
      <w:r>
        <w:rPr/>
        <w:t>万元转让给常凯。本次转让后，本公司不再持有广</w:t>
      </w:r>
      <w:r>
        <w:rPr>
          <w:spacing w:val="-84"/>
        </w:rPr>
        <w:t> </w:t>
      </w:r>
      <w:r>
        <w:rPr>
          <w:spacing w:val="-84"/>
        </w:rPr>
      </w:r>
      <w:r>
        <w:rPr/>
        <w:t>州邦建股权，本次转让子公司股权，公司获得投资收益</w:t>
      </w:r>
      <w:r>
        <w:rPr>
          <w:rFonts w:ascii="Times New Roman" w:hAnsi="Times New Roman" w:cs="Times New Roman" w:eastAsia="Times New Roman" w:hint="default"/>
        </w:rPr>
        <w:t>10.82</w:t>
      </w:r>
      <w:r>
        <w:rPr/>
        <w:t>万元。</w:t>
      </w:r>
    </w:p>
    <w:p>
      <w:pPr>
        <w:spacing w:after="0" w:line="386" w:lineRule="auto"/>
        <w:jc w:val="both"/>
        <w:sectPr>
          <w:pgSz w:w="11910" w:h="16840"/>
          <w:pgMar w:header="747" w:footer="982" w:top="1060" w:bottom="1180" w:left="980" w:right="940"/>
        </w:sectPr>
      </w:pPr>
    </w:p>
    <w:p>
      <w:pPr>
        <w:spacing w:line="240" w:lineRule="auto" w:before="0"/>
        <w:rPr>
          <w:rFonts w:ascii="宋体" w:hAnsi="宋体" w:cs="宋体" w:eastAsia="宋体" w:hint="default"/>
          <w:sz w:val="20"/>
          <w:szCs w:val="20"/>
        </w:rPr>
      </w:pPr>
    </w:p>
    <w:p>
      <w:pPr>
        <w:pStyle w:val="BodyText"/>
        <w:spacing w:line="386" w:lineRule="auto" w:before="174"/>
        <w:ind w:left="153" w:right="163" w:firstLine="420"/>
        <w:jc w:val="both"/>
      </w:pPr>
      <w:r>
        <w:rPr>
          <w:rFonts w:ascii="Times New Roman" w:hAnsi="Times New Roman" w:cs="Times New Roman" w:eastAsia="Times New Roman" w:hint="default"/>
        </w:rPr>
        <w:t>12</w:t>
      </w:r>
      <w:r>
        <w:rPr/>
        <w:t>、报告期内，公司将持有的北京荣华恒信开关技术有限公司</w:t>
      </w:r>
      <w:r>
        <w:rPr>
          <w:rFonts w:ascii="Times New Roman" w:hAnsi="Times New Roman" w:cs="Times New Roman" w:eastAsia="Times New Roman" w:hint="default"/>
        </w:rPr>
        <w:t>70%</w:t>
      </w:r>
      <w:r>
        <w:rPr/>
        <w:t>的股权全部转让给北京博电新力电 气股份有限公司，转让价格为</w:t>
      </w:r>
      <w:r>
        <w:rPr>
          <w:rFonts w:ascii="Times New Roman" w:hAnsi="Times New Roman" w:cs="Times New Roman" w:eastAsia="Times New Roman" w:hint="default"/>
        </w:rPr>
        <w:t>1,400</w:t>
      </w:r>
      <w:r>
        <w:rPr/>
        <w:t>万元人民币，其中：以现金方式支付</w:t>
      </w:r>
      <w:r>
        <w:rPr>
          <w:rFonts w:ascii="Times New Roman" w:hAnsi="Times New Roman" w:cs="Times New Roman" w:eastAsia="Times New Roman" w:hint="default"/>
        </w:rPr>
        <w:t>700</w:t>
      </w:r>
      <w:r>
        <w:rPr/>
        <w:t>万元，以每股</w:t>
      </w:r>
      <w:r>
        <w:rPr>
          <w:rFonts w:ascii="Times New Roman" w:hAnsi="Times New Roman" w:cs="Times New Roman" w:eastAsia="Times New Roman" w:hint="default"/>
        </w:rPr>
        <w:t>10</w:t>
      </w:r>
      <w:r>
        <w:rPr/>
        <w:t>元人民币向本 公司定向增发</w:t>
      </w:r>
      <w:r>
        <w:rPr>
          <w:rFonts w:ascii="Times New Roman" w:hAnsi="Times New Roman" w:cs="Times New Roman" w:eastAsia="Times New Roman" w:hint="default"/>
        </w:rPr>
        <w:t>70</w:t>
      </w:r>
      <w:r>
        <w:rPr/>
        <w:t>万股北京博电新力电气股份有限公司股权方式支付</w:t>
      </w:r>
      <w:r>
        <w:rPr>
          <w:rFonts w:ascii="Times New Roman" w:hAnsi="Times New Roman" w:cs="Times New Roman" w:eastAsia="Times New Roman" w:hint="default"/>
        </w:rPr>
        <w:t>700</w:t>
      </w:r>
      <w:r>
        <w:rPr/>
        <w:t>万元，本次转让子公司股权，公司 获得投资收益</w:t>
      </w:r>
      <w:r>
        <w:rPr>
          <w:rFonts w:ascii="Times New Roman" w:hAnsi="Times New Roman" w:cs="Times New Roman" w:eastAsia="Times New Roman" w:hint="default"/>
        </w:rPr>
        <w:t>838.62</w:t>
      </w:r>
      <w:r>
        <w:rPr/>
        <w:t>万元。</w:t>
      </w:r>
    </w:p>
    <w:p>
      <w:pPr>
        <w:spacing w:line="240" w:lineRule="auto" w:before="0"/>
        <w:rPr>
          <w:rFonts w:ascii="宋体" w:hAnsi="宋体" w:cs="宋体" w:eastAsia="宋体" w:hint="default"/>
          <w:sz w:val="18"/>
          <w:szCs w:val="18"/>
        </w:rPr>
      </w:pPr>
    </w:p>
    <w:p>
      <w:pPr>
        <w:pStyle w:val="Heading2"/>
        <w:spacing w:line="240" w:lineRule="auto"/>
        <w:ind w:right="0"/>
        <w:jc w:val="left"/>
        <w:rPr>
          <w:b w:val="0"/>
          <w:bCs w:val="0"/>
        </w:rPr>
      </w:pPr>
      <w:r>
        <w:rPr/>
        <w:t>二十、社会责任情况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8" w:lineRule="auto" w:before="153"/>
        <w:ind w:right="110" w:firstLine="420"/>
        <w:jc w:val="left"/>
      </w:pPr>
      <w:r>
        <w:rPr>
          <w:spacing w:val="-1"/>
        </w:rPr>
        <w:t>报告期，公司合法合规运营，把为社会创造繁荣作为应当承担社会责任的一项承诺，长期致力于经济</w:t>
      </w:r>
      <w:r>
        <w:rPr/>
        <w:t> </w:t>
      </w:r>
      <w:r>
        <w:rPr>
          <w:spacing w:val="-1"/>
        </w:rPr>
        <w:t>发展，积极回报投资者，以自身发展影响和带动地方经济的振兴。与客户建立良好关系，为客户提供优质</w:t>
      </w:r>
      <w:r>
        <w:rPr>
          <w:spacing w:val="-82"/>
        </w:rPr>
        <w:t> </w:t>
      </w:r>
      <w:r>
        <w:rPr>
          <w:spacing w:val="-82"/>
        </w:rPr>
      </w:r>
      <w:r>
        <w:rPr>
          <w:spacing w:val="-1"/>
        </w:rPr>
        <w:t>产品，完善售后服务，实现共赢。在追求经济效益的同时注重环境保护和节能降耗，把建设资源节约型和</w:t>
      </w:r>
      <w:r>
        <w:rPr>
          <w:spacing w:val="-82"/>
        </w:rPr>
        <w:t> </w:t>
      </w:r>
      <w:r>
        <w:rPr>
          <w:spacing w:val="-82"/>
        </w:rPr>
      </w:r>
      <w:r>
        <w:rPr/>
        <w:t>环境友好型企业作为可持续发展战略的重要内容，通过自身节能大功率电力电子产品技术创新和推广应 </w:t>
      </w:r>
      <w:r>
        <w:rPr>
          <w:spacing w:val="-1"/>
        </w:rPr>
        <w:t>用，推动全社会节能降耗目标的实现。同时，公司坚持以人为本，把对员工负责视为自身的责任，把为员</w:t>
      </w:r>
      <w:r>
        <w:rPr>
          <w:spacing w:val="-83"/>
        </w:rPr>
        <w:t> </w:t>
      </w:r>
      <w:r>
        <w:rPr>
          <w:spacing w:val="-83"/>
        </w:rPr>
      </w:r>
      <w:r>
        <w:rPr/>
        <w:t>工创造未来当成长期坚持的重要使命。公司注重对员工职业发展进行规划，为员工提供平等的发展机会， </w:t>
      </w:r>
      <w:r>
        <w:rPr>
          <w:spacing w:val="-1"/>
        </w:rPr>
        <w:t>尊重和维护员工的个人利益。未来，公司将积极履行社会责任，在兼顾环境保护的同时，致力于打造广受</w:t>
      </w:r>
      <w:r>
        <w:rPr>
          <w:spacing w:val="-82"/>
        </w:rPr>
        <w:t> </w:t>
      </w:r>
      <w:r>
        <w:rPr>
          <w:spacing w:val="-82"/>
        </w:rPr>
      </w:r>
      <w:r>
        <w:rPr/>
        <w:t>客户青睐、赢得社会信赖的知名品牌，实现商业利益与社会责任的高度统一。</w:t>
      </w:r>
    </w:p>
    <w:p>
      <w:pPr>
        <w:spacing w:line="240" w:lineRule="auto" w:before="6"/>
        <w:rPr>
          <w:rFonts w:ascii="宋体" w:hAnsi="宋体" w:cs="宋体" w:eastAsia="宋体" w:hint="default"/>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上市公司及其子公司是否属于国家环境保护部门规定的重污染行业</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二十一、公司债券相关情况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3" w:right="1131"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是</w:t>
      </w:r>
    </w:p>
    <w:p>
      <w:pPr>
        <w:spacing w:line="240" w:lineRule="auto" w:before="1"/>
        <w:rPr>
          <w:rFonts w:ascii="宋体" w:hAnsi="宋体" w:cs="宋体" w:eastAsia="宋体" w:hint="default"/>
          <w:sz w:val="20"/>
          <w:szCs w:val="20"/>
        </w:rPr>
      </w:pPr>
    </w:p>
    <w:p>
      <w:pPr>
        <w:pStyle w:val="Heading3"/>
        <w:spacing w:line="240" w:lineRule="auto" w:before="0"/>
        <w:ind w:right="0"/>
        <w:jc w:val="left"/>
        <w:rPr>
          <w:b w:val="0"/>
          <w:bCs w:val="0"/>
        </w:rPr>
      </w:pPr>
      <w:r>
        <w:rPr>
          <w:rFonts w:ascii="Times New Roman" w:hAnsi="Times New Roman" w:cs="Times New Roman" w:eastAsia="Times New Roman" w:hint="default"/>
        </w:rPr>
        <w:t>1</w:t>
      </w:r>
      <w:r>
        <w:rPr/>
        <w:t>、公司债券基本信息</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7"/>
          <w:szCs w:val="27"/>
        </w:rPr>
      </w:pPr>
    </w:p>
    <w:p>
      <w:pPr>
        <w:spacing w:before="63"/>
        <w:ind w:left="0" w:right="158" w:firstLine="0"/>
        <w:jc w:val="right"/>
        <w:rPr>
          <w:rFonts w:ascii="宋体" w:hAnsi="宋体" w:cs="宋体" w:eastAsia="宋体" w:hint="default"/>
          <w:sz w:val="18"/>
          <w:szCs w:val="18"/>
        </w:rPr>
      </w:pPr>
      <w:r>
        <w:rPr/>
        <w:pict>
          <v:shape style="position:absolute;margin-left:56.459999pt;margin-top:-66.76799pt;width:479.1pt;height:163.5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98"/>
                    <w:gridCol w:w="1194"/>
                    <w:gridCol w:w="1196"/>
                    <w:gridCol w:w="1196"/>
                    <w:gridCol w:w="1195"/>
                    <w:gridCol w:w="1196"/>
                    <w:gridCol w:w="1196"/>
                    <w:gridCol w:w="1195"/>
                  </w:tblGrid>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债券简称</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债券代码</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发行日</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13" w:right="50" w:hanging="360"/>
                          <w:jc w:val="left"/>
                          <w:rPr>
                            <w:rFonts w:ascii="宋体" w:hAnsi="宋体" w:cs="宋体" w:eastAsia="宋体" w:hint="default"/>
                            <w:sz w:val="18"/>
                            <w:szCs w:val="18"/>
                          </w:rPr>
                        </w:pPr>
                        <w:r>
                          <w:rPr>
                            <w:rFonts w:ascii="宋体" w:hAnsi="宋体" w:cs="宋体" w:eastAsia="宋体" w:hint="default"/>
                            <w:sz w:val="18"/>
                            <w:szCs w:val="18"/>
                          </w:rPr>
                          <w:t>债券余额（万 元）</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利率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还本付息方式</w:t>
                        </w:r>
                      </w:p>
                    </w:tc>
                  </w:tr>
                  <w:tr>
                    <w:trPr>
                      <w:trHeight w:val="358" w:hRule="exact"/>
                    </w:trPr>
                    <w:tc>
                      <w:tcPr>
                        <w:tcW w:w="1198" w:type="dxa"/>
                        <w:tcBorders>
                          <w:top w:val="single" w:sz="4" w:space="0" w:color="000000"/>
                          <w:left w:val="single" w:sz="4" w:space="0" w:color="000000"/>
                          <w:bottom w:val="nil" w:sz="6" w:space="0" w:color="auto"/>
                          <w:right w:val="single" w:sz="4" w:space="0" w:color="000000"/>
                        </w:tcBorders>
                      </w:tcPr>
                      <w:p>
                        <w:pPr/>
                      </w:p>
                    </w:tc>
                    <w:tc>
                      <w:tcPr>
                        <w:tcW w:w="119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1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本期债券采用</w:t>
                        </w:r>
                      </w:p>
                    </w:tc>
                  </w:tr>
                  <w:tr>
                    <w:trPr>
                      <w:trHeight w:val="302" w:hRule="exact"/>
                    </w:trPr>
                    <w:tc>
                      <w:tcPr>
                        <w:tcW w:w="1198" w:type="dxa"/>
                        <w:tcBorders>
                          <w:top w:val="nil" w:sz="6" w:space="0" w:color="auto"/>
                          <w:left w:val="single" w:sz="4" w:space="0" w:color="000000"/>
                          <w:bottom w:val="nil" w:sz="6" w:space="0" w:color="auto"/>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单利按年计</w:t>
                        </w:r>
                      </w:p>
                    </w:tc>
                  </w:tr>
                  <w:tr>
                    <w:trPr>
                      <w:trHeight w:val="311" w:hRule="exact"/>
                    </w:trPr>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年荣信电</w:t>
                        </w:r>
                      </w:p>
                    </w:tc>
                    <w:tc>
                      <w:tcPr>
                        <w:tcW w:w="119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pacing w:val="-5"/>
                            <w:sz w:val="18"/>
                            <w:szCs w:val="18"/>
                          </w:rPr>
                          <w:t>息，不计复利</w:t>
                        </w:r>
                      </w:p>
                    </w:tc>
                  </w:tr>
                  <w:tr>
                    <w:trPr>
                      <w:trHeight w:val="625" w:hRule="exact"/>
                    </w:trPr>
                    <w:tc>
                      <w:tcPr>
                        <w:tcW w:w="1198" w:type="dxa"/>
                        <w:tcBorders>
                          <w:top w:val="nil" w:sz="6" w:space="0" w:color="auto"/>
                          <w:left w:val="single" w:sz="4" w:space="0" w:color="000000"/>
                          <w:bottom w:val="nil" w:sz="6" w:space="0" w:color="auto"/>
                          <w:right w:val="single" w:sz="4" w:space="0" w:color="000000"/>
                        </w:tcBorders>
                      </w:tcPr>
                      <w:p>
                        <w:pPr>
                          <w:pStyle w:val="TableParagraph"/>
                          <w:spacing w:line="316" w:lineRule="auto"/>
                          <w:ind w:left="22" w:right="83"/>
                          <w:jc w:val="left"/>
                          <w:rPr>
                            <w:rFonts w:ascii="宋体" w:hAnsi="宋体" w:cs="宋体" w:eastAsia="宋体" w:hint="default"/>
                            <w:sz w:val="18"/>
                            <w:szCs w:val="18"/>
                          </w:rPr>
                        </w:pPr>
                        <w:r>
                          <w:rPr>
                            <w:rFonts w:ascii="宋体" w:hAnsi="宋体" w:cs="宋体" w:eastAsia="宋体" w:hint="default"/>
                            <w:sz w:val="18"/>
                            <w:szCs w:val="18"/>
                          </w:rPr>
                          <w:t>力电子股份有 限公司公司债</w:t>
                        </w:r>
                      </w:p>
                    </w:tc>
                    <w:tc>
                      <w:tcPr>
                        <w:tcW w:w="119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荣信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112145</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443" w:right="0"/>
                          <w:jc w:val="left"/>
                          <w:rPr>
                            <w:rFonts w:ascii="Times New Roman" w:hAnsi="Times New Roman" w:cs="Times New Roman" w:eastAsia="Times New Roman" w:hint="default"/>
                            <w:sz w:val="18"/>
                            <w:szCs w:val="18"/>
                          </w:rPr>
                        </w:pPr>
                        <w:r>
                          <w:rPr>
                            <w:rFonts w:ascii="Times New Roman"/>
                            <w:sz w:val="18"/>
                          </w:rPr>
                          <w:t>13,539.44</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698" w:right="0"/>
                          <w:jc w:val="left"/>
                          <w:rPr>
                            <w:rFonts w:ascii="Times New Roman" w:hAnsi="Times New Roman" w:cs="Times New Roman" w:eastAsia="Times New Roman" w:hint="default"/>
                            <w:sz w:val="18"/>
                            <w:szCs w:val="18"/>
                          </w:rPr>
                        </w:pPr>
                        <w:r>
                          <w:rPr>
                            <w:rFonts w:ascii="Times New Roman"/>
                            <w:sz w:val="18"/>
                          </w:rPr>
                          <w:t>5.90%</w:t>
                        </w: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80"/>
                          <w:jc w:val="left"/>
                          <w:rPr>
                            <w:rFonts w:ascii="宋体" w:hAnsi="宋体" w:cs="宋体" w:eastAsia="宋体" w:hint="default"/>
                            <w:sz w:val="18"/>
                            <w:szCs w:val="18"/>
                          </w:rPr>
                        </w:pPr>
                        <w:r>
                          <w:rPr>
                            <w:rFonts w:ascii="宋体" w:hAnsi="宋体" w:cs="宋体" w:eastAsia="宋体" w:hint="default"/>
                            <w:sz w:val="18"/>
                            <w:szCs w:val="18"/>
                          </w:rPr>
                          <w:t>每年付息一 次，到期一次</w:t>
                        </w:r>
                      </w:p>
                    </w:tc>
                  </w:tr>
                  <w:tr>
                    <w:trPr>
                      <w:trHeight w:val="322" w:hRule="exact"/>
                    </w:trPr>
                    <w:tc>
                      <w:tcPr>
                        <w:tcW w:w="1198"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60"/>
                          <w:jc w:val="center"/>
                          <w:rPr>
                            <w:rFonts w:ascii="宋体" w:hAnsi="宋体" w:cs="宋体" w:eastAsia="宋体" w:hint="default"/>
                            <w:sz w:val="18"/>
                            <w:szCs w:val="18"/>
                          </w:rPr>
                        </w:pPr>
                        <w:r>
                          <w:rPr>
                            <w:rFonts w:ascii="宋体" w:hAnsi="宋体" w:cs="宋体" w:eastAsia="宋体" w:hint="default"/>
                            <w:sz w:val="18"/>
                            <w:szCs w:val="18"/>
                          </w:rPr>
                          <w:t>券（第一期）</w:t>
                        </w:r>
                      </w:p>
                    </w:tc>
                    <w:tc>
                      <w:tcPr>
                        <w:tcW w:w="119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还本，最后一</w:t>
                        </w:r>
                      </w:p>
                    </w:tc>
                  </w:tr>
                  <w:tr>
                    <w:trPr>
                      <w:trHeight w:val="312" w:hRule="exact"/>
                    </w:trPr>
                    <w:tc>
                      <w:tcPr>
                        <w:tcW w:w="1198" w:type="dxa"/>
                        <w:tcBorders>
                          <w:top w:val="nil" w:sz="6" w:space="0" w:color="auto"/>
                          <w:left w:val="single" w:sz="4" w:space="0" w:color="000000"/>
                          <w:bottom w:val="nil" w:sz="6" w:space="0" w:color="auto"/>
                          <w:right w:val="single" w:sz="4" w:space="0" w:color="000000"/>
                        </w:tcBorders>
                      </w:tcPr>
                      <w:p>
                        <w:pPr/>
                      </w:p>
                    </w:tc>
                    <w:tc>
                      <w:tcPr>
                        <w:tcW w:w="119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19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期利息随本金</w:t>
                        </w:r>
                      </w:p>
                    </w:tc>
                  </w:tr>
                  <w:tr>
                    <w:trPr>
                      <w:trHeight w:val="317" w:hRule="exact"/>
                    </w:trPr>
                    <w:tc>
                      <w:tcPr>
                        <w:tcW w:w="1198" w:type="dxa"/>
                        <w:tcBorders>
                          <w:top w:val="nil" w:sz="6" w:space="0" w:color="auto"/>
                          <w:left w:val="single" w:sz="4" w:space="0" w:color="000000"/>
                          <w:bottom w:val="single" w:sz="4" w:space="0" w:color="000000"/>
                          <w:right w:val="single" w:sz="4" w:space="0" w:color="000000"/>
                        </w:tcBorders>
                      </w:tcPr>
                      <w:p>
                        <w:pPr/>
                      </w:p>
                    </w:tc>
                    <w:tc>
                      <w:tcPr>
                        <w:tcW w:w="119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1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的兑付一起支</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6"/>
        <w:gridCol w:w="1195"/>
        <w:gridCol w:w="1196"/>
        <w:gridCol w:w="1196"/>
        <w:gridCol w:w="1195"/>
      </w:tblGrid>
      <w:tr>
        <w:trPr>
          <w:trHeight w:val="362" w:hRule="exact"/>
        </w:trPr>
        <w:tc>
          <w:tcPr>
            <w:tcW w:w="1198" w:type="dxa"/>
            <w:tcBorders>
              <w:top w:val="single" w:sz="4" w:space="0" w:color="000000"/>
              <w:left w:val="single" w:sz="4" w:space="0" w:color="000000"/>
              <w:bottom w:val="single" w:sz="4" w:space="0" w:color="000000"/>
              <w:right w:val="single" w:sz="4" w:space="0" w:color="000000"/>
            </w:tcBorders>
          </w:tcPr>
          <w:p>
            <w:pPr/>
          </w:p>
        </w:tc>
        <w:tc>
          <w:tcPr>
            <w:tcW w:w="119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付。</w:t>
            </w:r>
          </w:p>
        </w:tc>
      </w:tr>
      <w:tr>
        <w:trPr>
          <w:trHeight w:val="714"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公司债券上市或转让的交易 场所</w:t>
            </w:r>
          </w:p>
        </w:tc>
        <w:tc>
          <w:tcPr>
            <w:tcW w:w="717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1650"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投资者适当性安排</w:t>
            </w:r>
          </w:p>
        </w:tc>
        <w:tc>
          <w:tcPr>
            <w:tcW w:w="7176" w:type="dxa"/>
            <w:gridSpan w:val="6"/>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19"/>
              <w:jc w:val="both"/>
              <w:rPr>
                <w:rFonts w:ascii="宋体" w:hAnsi="宋体" w:cs="宋体" w:eastAsia="宋体" w:hint="default"/>
                <w:sz w:val="18"/>
                <w:szCs w:val="18"/>
              </w:rPr>
            </w:pPr>
            <w:r>
              <w:rPr>
                <w:rFonts w:ascii="宋体" w:hAnsi="宋体" w:cs="宋体" w:eastAsia="宋体" w:hint="default"/>
                <w:sz w:val="18"/>
                <w:szCs w:val="18"/>
              </w:rPr>
              <w:t>由于本公司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年度经审计的归属于上市公司股东的净利润为负值，本公司债券被实行风 </w:t>
            </w:r>
            <w:r>
              <w:rPr>
                <w:rFonts w:ascii="宋体" w:hAnsi="宋体" w:cs="宋体" w:eastAsia="宋体" w:hint="default"/>
                <w:spacing w:val="-2"/>
                <w:sz w:val="18"/>
                <w:szCs w:val="18"/>
              </w:rPr>
              <w:t>险警示的措施：深圳证券交易所会员对个人投资者实行买入交易权限管理，可以为符合下列</w:t>
            </w:r>
            <w:r>
              <w:rPr>
                <w:rFonts w:ascii="宋体" w:hAnsi="宋体" w:cs="宋体" w:eastAsia="宋体" w:hint="default"/>
                <w:sz w:val="18"/>
                <w:szCs w:val="18"/>
              </w:rPr>
              <w:t> 条件的个人投资者开通被实行风险警示债券的买入交易权限：</w:t>
            </w:r>
            <w:r>
              <w:rPr>
                <w:rFonts w:ascii="宋体" w:hAnsi="宋体" w:cs="宋体" w:eastAsia="宋体" w:hint="default"/>
                <w:spacing w:val="-33"/>
                <w:sz w:val="18"/>
                <w:szCs w:val="18"/>
              </w:rPr>
              <w:t> </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）名下各类证券账户、资</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金账户、资产管理账户等金融资产总计不低于人民币五百万元；（</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）已签署《实行风险警示</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pacing w:val="-7"/>
                <w:sz w:val="18"/>
                <w:szCs w:val="18"/>
              </w:rPr>
              <w:t>公司债券交易风险揭示书》。</w:t>
            </w:r>
          </w:p>
        </w:tc>
      </w:tr>
      <w:tr>
        <w:trPr>
          <w:trHeight w:val="714"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报告期内公司债券的付息兑 付情况</w:t>
            </w:r>
          </w:p>
        </w:tc>
        <w:tc>
          <w:tcPr>
            <w:tcW w:w="7176"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日，公司实施完成了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年公司债券第三次付息。</w:t>
            </w:r>
          </w:p>
        </w:tc>
      </w:tr>
      <w:tr>
        <w:trPr>
          <w:trHeight w:val="4146" w:hRule="exact"/>
        </w:trPr>
        <w:tc>
          <w:tcPr>
            <w:tcW w:w="239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公司债券附发行人或投资者 选择权条款、可交换条款等特 殊条款的，报告期内相关条款 </w:t>
            </w:r>
            <w:r>
              <w:rPr>
                <w:rFonts w:ascii="宋体" w:hAnsi="宋体" w:cs="宋体" w:eastAsia="宋体" w:hint="default"/>
                <w:spacing w:val="-9"/>
                <w:sz w:val="18"/>
                <w:szCs w:val="18"/>
              </w:rPr>
              <w:t>的执行情况（如适用）。</w:t>
            </w:r>
          </w:p>
        </w:tc>
        <w:tc>
          <w:tcPr>
            <w:tcW w:w="7176" w:type="dxa"/>
            <w:gridSpan w:val="6"/>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23" w:right="19"/>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根据《荣信电力电子股份有限公司公开发行公司债券募集说明书》中所设定的公司债券回售</w:t>
            </w:r>
            <w:r>
              <w:rPr>
                <w:rFonts w:ascii="宋体" w:hAnsi="宋体" w:cs="宋体" w:eastAsia="宋体" w:hint="default"/>
                <w:sz w:val="18"/>
                <w:szCs w:val="18"/>
              </w:rPr>
              <w:t> 条款，荣信电力电子股份有限公司分别于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日发布了《关于公司债券</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荣信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票面利率调整暨债券持有人回售实施办法 </w:t>
            </w:r>
            <w:r>
              <w:rPr>
                <w:rFonts w:ascii="宋体" w:hAnsi="宋体" w:cs="宋体" w:eastAsia="宋体" w:hint="default"/>
                <w:spacing w:val="-9"/>
                <w:sz w:val="18"/>
                <w:szCs w:val="18"/>
              </w:rPr>
              <w:t>的第一次提示性公告》、《关于公司债券</w:t>
            </w:r>
            <w:r>
              <w:rPr>
                <w:rFonts w:ascii="Times New Roman" w:hAnsi="Times New Roman" w:cs="Times New Roman" w:eastAsia="Times New Roman" w:hint="default"/>
                <w:spacing w:val="-9"/>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荣信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票面利率调整暨债券持有人回售实施办</w:t>
            </w:r>
            <w:r>
              <w:rPr>
                <w:rFonts w:ascii="宋体" w:hAnsi="宋体" w:cs="宋体" w:eastAsia="宋体" w:hint="default"/>
                <w:spacing w:val="-88"/>
                <w:sz w:val="18"/>
                <w:szCs w:val="18"/>
              </w:rPr>
              <w:t> </w:t>
            </w:r>
            <w:r>
              <w:rPr>
                <w:rFonts w:ascii="宋体" w:hAnsi="宋体" w:cs="宋体" w:eastAsia="宋体" w:hint="default"/>
                <w:sz w:val="18"/>
                <w:szCs w:val="18"/>
              </w:rPr>
              <w:t>法的第二次提示性公告》和《关于公司债券</w:t>
            </w:r>
            <w:r>
              <w:rPr>
                <w:rFonts w:ascii="Times New Roman" w:hAnsi="Times New Roman" w:cs="Times New Roman" w:eastAsia="Times New Roman" w:hint="default"/>
                <w:sz w:val="18"/>
                <w:szCs w:val="18"/>
              </w:rPr>
              <w:t>“13 </w:t>
            </w:r>
            <w:r>
              <w:rPr>
                <w:rFonts w:ascii="宋体" w:hAnsi="宋体" w:cs="宋体" w:eastAsia="宋体" w:hint="default"/>
                <w:sz w:val="18"/>
                <w:szCs w:val="18"/>
              </w:rPr>
              <w:t>荣信</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票面利率调整暨债券持有人回售实 </w:t>
            </w:r>
            <w:r>
              <w:rPr>
                <w:rFonts w:ascii="宋体" w:hAnsi="宋体" w:cs="宋体" w:eastAsia="宋体" w:hint="default"/>
                <w:spacing w:val="-3"/>
                <w:sz w:val="18"/>
                <w:szCs w:val="18"/>
              </w:rPr>
              <w:t>施办法的第三次提示性公告》。投资者可在回售登记期内（</w:t>
            </w:r>
            <w:r>
              <w:rPr>
                <w:rFonts w:ascii="Times New Roman" w:hAnsi="Times New Roman" w:cs="Times New Roman" w:eastAsia="Times New Roman" w:hint="default"/>
                <w:spacing w:val="-3"/>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9"/>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日）选择将其持有的</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荣信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全部或部分回售给公司，回售</w:t>
            </w:r>
          </w:p>
          <w:p>
            <w:pPr>
              <w:pStyle w:val="TableParagraph"/>
              <w:spacing w:line="307" w:lineRule="auto" w:before="63"/>
              <w:ind w:left="23" w:right="19"/>
              <w:jc w:val="both"/>
              <w:rPr>
                <w:rFonts w:ascii="宋体" w:hAnsi="宋体" w:cs="宋体" w:eastAsia="宋体" w:hint="default"/>
                <w:sz w:val="18"/>
                <w:szCs w:val="18"/>
              </w:rPr>
            </w:pPr>
            <w:r>
              <w:rPr>
                <w:rFonts w:ascii="宋体" w:hAnsi="宋体" w:cs="宋体" w:eastAsia="宋体" w:hint="default"/>
                <w:sz w:val="18"/>
                <w:szCs w:val="18"/>
              </w:rPr>
              <w:t>价格为人民币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元</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张（不含利息）。根据中国证券登记结算有限责任公司深圳分公司（以</w:t>
            </w:r>
            <w:r>
              <w:rPr>
                <w:rFonts w:ascii="宋体" w:hAnsi="宋体" w:cs="宋体" w:eastAsia="宋体" w:hint="default"/>
                <w:sz w:val="18"/>
                <w:szCs w:val="18"/>
              </w:rPr>
              <w:t> 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中国结算深圳分公司</w:t>
            </w:r>
            <w:r>
              <w:rPr>
                <w:rFonts w:ascii="Times New Roman" w:hAnsi="Times New Roman" w:cs="Times New Roman" w:eastAsia="Times New Roman" w:hint="default"/>
                <w:sz w:val="18"/>
                <w:szCs w:val="18"/>
              </w:rPr>
              <w:t>”</w:t>
            </w:r>
            <w:r>
              <w:rPr>
                <w:rFonts w:ascii="宋体" w:hAnsi="宋体" w:cs="宋体" w:eastAsia="宋体" w:hint="default"/>
                <w:sz w:val="18"/>
                <w:szCs w:val="18"/>
              </w:rPr>
              <w:t>）提供的数据，</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荣信</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的回售数量为</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4,646,056</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张，回售</w:t>
            </w:r>
            <w:r>
              <w:rPr>
                <w:rFonts w:ascii="宋体" w:hAnsi="宋体" w:cs="宋体" w:eastAsia="宋体" w:hint="default"/>
                <w:sz w:val="18"/>
                <w:szCs w:val="18"/>
              </w:rPr>
              <w:t> 金额为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464,605,600</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元（不含利息），剩余托管量数为</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1,353,944</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张。公司对</w:t>
            </w:r>
            <w:r>
              <w:rPr>
                <w:rFonts w:ascii="Times New Roman" w:hAnsi="Times New Roman" w:cs="Times New Roman" w:eastAsia="Times New Roman" w:hint="default"/>
                <w:spacing w:val="-3"/>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荣信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01”</w:t>
            </w:r>
            <w:r>
              <w:rPr>
                <w:rFonts w:ascii="宋体" w:hAnsi="宋体" w:cs="宋体" w:eastAsia="宋体" w:hint="default"/>
                <w:sz w:val="18"/>
                <w:szCs w:val="18"/>
              </w:rPr>
              <w:t>回售 </w:t>
            </w:r>
            <w:r>
              <w:rPr>
                <w:rFonts w:ascii="宋体" w:hAnsi="宋体" w:cs="宋体" w:eastAsia="宋体" w:hint="default"/>
                <w:spacing w:val="-2"/>
                <w:sz w:val="18"/>
                <w:szCs w:val="18"/>
              </w:rPr>
              <w:t>部分支付的本金及利息，已划至中国结算深圳分公司指定的银行账户，该资金通过中国结算</w:t>
            </w:r>
            <w:r>
              <w:rPr>
                <w:rFonts w:ascii="宋体" w:hAnsi="宋体" w:cs="宋体" w:eastAsia="宋体" w:hint="default"/>
                <w:sz w:val="18"/>
                <w:szCs w:val="18"/>
              </w:rPr>
              <w:t> </w:t>
            </w:r>
            <w:r>
              <w:rPr>
                <w:rFonts w:ascii="宋体" w:hAnsi="宋体" w:cs="宋体" w:eastAsia="宋体" w:hint="default"/>
                <w:spacing w:val="-3"/>
                <w:sz w:val="18"/>
                <w:szCs w:val="18"/>
              </w:rPr>
              <w:t>深圳分公司清算系统进入投资者开户的证券公司的登记公司备付金账户中，再由证券公司在</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日划付至投资者在该证券公司的资金账户。</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w:t>
      </w:r>
      <w:r>
        <w:rPr/>
        <w:t>、债券受托管理人和资信评级机构信息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202"/>
        <w:gridCol w:w="1195"/>
        <w:gridCol w:w="785"/>
        <w:gridCol w:w="412"/>
        <w:gridCol w:w="1196"/>
        <w:gridCol w:w="1195"/>
        <w:gridCol w:w="1196"/>
        <w:gridCol w:w="1196"/>
        <w:gridCol w:w="1196"/>
      </w:tblGrid>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债券受托管理人：</w:t>
            </w: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80"/>
              <w:jc w:val="left"/>
              <w:rPr>
                <w:rFonts w:ascii="宋体" w:hAnsi="宋体" w:cs="宋体" w:eastAsia="宋体" w:hint="default"/>
                <w:sz w:val="18"/>
                <w:szCs w:val="18"/>
              </w:rPr>
            </w:pPr>
            <w:r>
              <w:rPr>
                <w:rFonts w:ascii="宋体" w:hAnsi="宋体" w:cs="宋体" w:eastAsia="宋体" w:hint="default"/>
                <w:sz w:val="18"/>
                <w:szCs w:val="18"/>
              </w:rPr>
              <w:t>中银国际证券 有限责任公司</w:t>
            </w:r>
          </w:p>
        </w:tc>
        <w:tc>
          <w:tcPr>
            <w:tcW w:w="119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北京市西城区 西单北大街 </w:t>
            </w:r>
            <w:r>
              <w:rPr>
                <w:rFonts w:ascii="Times New Roman" w:hAnsi="Times New Roman" w:cs="Times New Roman" w:eastAsia="Times New Roman" w:hint="default"/>
                <w:spacing w:val="-3"/>
                <w:sz w:val="18"/>
                <w:szCs w:val="18"/>
              </w:rPr>
              <w:t>110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联系人</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张雯</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联系人电话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010-66229000</w:t>
            </w:r>
          </w:p>
        </w:tc>
      </w:tr>
      <w:tr>
        <w:trPr>
          <w:trHeight w:val="402"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报告期内对公司债券进行跟踪评级的资信评级机构：</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358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联合信用评级有限公司</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35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北京市朝阳区朝阳北路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103 </w:t>
            </w:r>
            <w:r>
              <w:rPr>
                <w:rFonts w:ascii="宋体" w:hAnsi="宋体" w:cs="宋体" w:eastAsia="宋体" w:hint="default"/>
                <w:sz w:val="18"/>
                <w:szCs w:val="18"/>
              </w:rPr>
              <w:t>号金泰国益大厦</w:t>
            </w:r>
          </w:p>
        </w:tc>
      </w:tr>
      <w:tr>
        <w:trPr>
          <w:trHeight w:val="1338" w:hRule="exact"/>
        </w:trPr>
        <w:tc>
          <w:tcPr>
            <w:tcW w:w="31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0"/>
              <w:jc w:val="left"/>
              <w:rPr>
                <w:rFonts w:ascii="宋体" w:hAnsi="宋体" w:cs="宋体" w:eastAsia="宋体" w:hint="default"/>
                <w:sz w:val="18"/>
                <w:szCs w:val="18"/>
              </w:rPr>
            </w:pPr>
            <w:r>
              <w:rPr>
                <w:rFonts w:ascii="宋体" w:hAnsi="宋体" w:cs="宋体" w:eastAsia="宋体" w:hint="default"/>
                <w:sz w:val="18"/>
                <w:szCs w:val="18"/>
              </w:rPr>
              <w:t>报告期内公司聘请的债券受托管理人、 资信评级机构发生变更的， </w:t>
            </w:r>
            <w:r>
              <w:rPr>
                <w:rFonts w:ascii="宋体" w:hAnsi="宋体" w:cs="宋体" w:eastAsia="宋体" w:hint="default"/>
                <w:spacing w:val="-6"/>
                <w:sz w:val="18"/>
                <w:szCs w:val="18"/>
              </w:rPr>
              <w:t>履行的程序、对投资者利益的影响等（如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适用）</w:t>
            </w:r>
          </w:p>
        </w:tc>
        <w:tc>
          <w:tcPr>
            <w:tcW w:w="6391" w:type="dxa"/>
            <w:gridSpan w:val="6"/>
            <w:tcBorders>
              <w:top w:val="single" w:sz="4" w:space="0" w:color="000000"/>
              <w:left w:val="single" w:sz="13" w:space="0" w:color="D3D3D3"/>
              <w:bottom w:val="single" w:sz="4" w:space="0" w:color="000000"/>
              <w:right w:val="single" w:sz="4" w:space="0" w:color="000000"/>
            </w:tcBorders>
          </w:tcPr>
          <w:p>
            <w:pPr>
              <w:pStyle w:val="TableParagraph"/>
              <w:spacing w:line="468" w:lineRule="exact"/>
              <w:ind w:right="-50"/>
              <w:jc w:val="left"/>
              <w:rPr>
                <w:rFonts w:ascii="宋体" w:hAnsi="宋体" w:cs="宋体" w:eastAsia="宋体" w:hint="default"/>
                <w:sz w:val="20"/>
                <w:szCs w:val="20"/>
              </w:rPr>
            </w:pPr>
            <w:r>
              <w:rPr>
                <w:rFonts w:ascii="宋体" w:hAnsi="宋体" w:cs="宋体" w:eastAsia="宋体" w:hint="default"/>
                <w:position w:val="-8"/>
                <w:sz w:val="20"/>
                <w:szCs w:val="20"/>
              </w:rPr>
              <w:pict>
                <v:group style="width:318.45pt;height:23.4pt;mso-position-horizontal-relative:char;mso-position-vertical-relative:line" coordorigin="0,0" coordsize="6369,468">
                  <v:group style="position:absolute;left:0;top:0;width:6369;height:468" coordorigin="0,0" coordsize="6369,468">
                    <v:shape style="position:absolute;left:0;top:0;width:6369;height:468" coordorigin="0,0" coordsize="6369,468" path="m0,468l6368,468,6368,0,0,0,0,468xe" filled="true" fillcolor="#ffffff" stroked="false">
                      <v:path arrowok="t"/>
                      <v:fill type="solid"/>
                    </v:shape>
                  </v:group>
                </v:group>
              </w:pict>
            </w:r>
            <w:r>
              <w:rPr>
                <w:rFonts w:ascii="宋体" w:hAnsi="宋体" w:cs="宋体" w:eastAsia="宋体" w:hint="default"/>
                <w:position w:val="-8"/>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b/>
          <w:bCs/>
          <w:sz w:val="19"/>
          <w:szCs w:val="19"/>
        </w:rPr>
      </w:pPr>
    </w:p>
    <w:p>
      <w:pPr>
        <w:pStyle w:val="Heading3"/>
        <w:spacing w:line="240" w:lineRule="auto"/>
        <w:ind w:right="0"/>
        <w:jc w:val="left"/>
        <w:rPr>
          <w:b w:val="0"/>
          <w:bCs w:val="0"/>
        </w:rPr>
      </w:pPr>
      <w:r>
        <w:rPr/>
        <w:pict>
          <v:shape style="position:absolute;margin-left:165.479706pt;margin-top:-79.466026pt;width:369.6pt;height:66.45pt;mso-position-horizontal-relative:page;mso-position-vertical-relative:paragraph;z-index:-1027648" type="#_x0000_t202" filled="false" stroked="false">
            <v:textbox inset="0,0,0,0">
              <w:txbxContent>
                <w:p>
                  <w:pPr>
                    <w:spacing w:line="240" w:lineRule="auto" w:before="0"/>
                    <w:rPr>
                      <w:rFonts w:ascii="宋体" w:hAnsi="宋体" w:cs="宋体" w:eastAsia="宋体" w:hint="default"/>
                      <w:b/>
                      <w:bCs/>
                      <w:sz w:val="18"/>
                      <w:szCs w:val="18"/>
                    </w:rPr>
                  </w:pPr>
                </w:p>
                <w:p>
                  <w:pPr>
                    <w:spacing w:before="128"/>
                    <w:ind w:left="0" w:right="0" w:firstLine="0"/>
                    <w:jc w:val="left"/>
                    <w:rPr>
                      <w:rFonts w:ascii="宋体" w:hAnsi="宋体" w:cs="宋体" w:eastAsia="宋体" w:hint="default"/>
                      <w:sz w:val="18"/>
                      <w:szCs w:val="18"/>
                    </w:rPr>
                  </w:pPr>
                  <w:r>
                    <w:rPr>
                      <w:rFonts w:ascii="宋体" w:hAnsi="宋体" w:cs="宋体" w:eastAsia="宋体" w:hint="default"/>
                      <w:sz w:val="18"/>
                      <w:szCs w:val="18"/>
                    </w:rPr>
                    <w:t>变更的原因、</w:t>
                  </w:r>
                </w:p>
              </w:txbxContent>
            </v:textbox>
            <w10:wrap type="none"/>
          </v:shape>
        </w:pict>
      </w:r>
      <w:r>
        <w:rPr/>
        <w:pict>
          <v:group style="position:absolute;margin-left:216.660004pt;margin-top:-36.446026pt;width:318.45pt;height:23.4pt;mso-position-horizontal-relative:page;mso-position-vertical-relative:paragraph;z-index:-1027624" coordorigin="4333,-729" coordsize="6369,468">
            <v:shape style="position:absolute;left:4333;top:-729;width:6369;height:468" coordorigin="4333,-729" coordsize="6369,468" path="m4333,-261l10702,-261,10702,-729,4333,-729,4333,-261xe" filled="true" fillcolor="#ffffff" stroked="false">
              <v:path arrowok="t"/>
              <v:fill type="solid"/>
            </v:shape>
            <w10:wrap type="none"/>
          </v:group>
        </w:pict>
      </w:r>
      <w:r>
        <w:rPr>
          <w:rFonts w:ascii="Times New Roman" w:hAnsi="Times New Roman" w:cs="Times New Roman" w:eastAsia="Times New Roman" w:hint="default"/>
        </w:rPr>
        <w:t>3</w:t>
      </w:r>
      <w:r>
        <w:rPr/>
        <w:t>、公司债券募集资金使用情况</w:t>
      </w:r>
      <w:r>
        <w:rPr>
          <w:b w:val="0"/>
          <w:bCs w:val="0"/>
        </w:rPr>
      </w:r>
    </w:p>
    <w:p>
      <w:pPr>
        <w:spacing w:line="240" w:lineRule="auto" w:before="4"/>
        <w:rPr>
          <w:rFonts w:ascii="宋体" w:hAnsi="宋体" w:cs="宋体" w:eastAsia="宋体" w:hint="default"/>
          <w:b/>
          <w:bCs/>
          <w:sz w:val="25"/>
          <w:szCs w:val="25"/>
        </w:rPr>
      </w:pPr>
    </w:p>
    <w:p>
      <w:pPr>
        <w:spacing w:line="734" w:lineRule="exact"/>
        <w:ind w:left="144"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479.35pt;height:36.75pt;mso-position-horizontal-relative:char;mso-position-vertical-relative:line" coordorigin="0,0" coordsize="9587,735">
            <v:group style="position:absolute;left:3172;top:367;width:23;height:352" coordorigin="3172,367" coordsize="23,352">
              <v:shape style="position:absolute;left:3172;top:367;width:23;height:352" coordorigin="3172,367" coordsize="23,352" path="m3172,719l3194,719,3194,367,3172,367,3172,719xe" filled="true" fillcolor="#d3d3d3" stroked="false">
                <v:path arrowok="t"/>
                <v:fill type="solid"/>
              </v:shape>
            </v:group>
            <v:group style="position:absolute;left:14;top:367;width:23;height:352" coordorigin="14,367" coordsize="23,352">
              <v:shape style="position:absolute;left:14;top:367;width:23;height:352" coordorigin="14,367" coordsize="23,352" path="m14,719l37,719,37,367,14,367,14,719xe" filled="true" fillcolor="#d3d3d3" stroked="false">
                <v:path arrowok="t"/>
                <v:fill type="solid"/>
              </v:shape>
            </v:group>
            <v:group style="position:absolute;left:37;top:16;width:3135;height:352" coordorigin="37,16" coordsize="3135,352">
              <v:shape style="position:absolute;left:37;top:16;width:3135;height:352" coordorigin="37,16" coordsize="3135,352" path="m37,367l3172,367,3172,16,37,16,37,367xe" filled="true" fillcolor="#d3d3d3" stroked="false">
                <v:path arrowok="t"/>
                <v:fill type="solid"/>
              </v:shape>
            </v:group>
            <v:group style="position:absolute;left:37;top:367;width:3135;height:352" coordorigin="37,367" coordsize="3135,352">
              <v:shape style="position:absolute;left:37;top:367;width:3135;height:352" coordorigin="37,367" coordsize="3135,352" path="m37,719l3172,719,3172,367,37,367,37,719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725" coordorigin="10,5" coordsize="2,725">
              <v:shape style="position:absolute;left:10;top:5;width:2;height:725" coordorigin="10,5" coordsize="0,725" path="m10,5l10,730e" filled="false" stroked="true" strokeweight=".48001pt" strokecolor="#000000">
                <v:path arrowok="t"/>
              </v:shape>
            </v:group>
            <v:group style="position:absolute;left:5;top:725;width:3190;height:2" coordorigin="5,725" coordsize="3190,2">
              <v:shape style="position:absolute;left:5;top:725;width:3190;height:2" coordorigin="5,725" coordsize="3190,0" path="m5,725l3194,725e" filled="false" stroked="true" strokeweight=".48001pt" strokecolor="#000000">
                <v:path arrowok="t"/>
              </v:shape>
            </v:group>
            <v:group style="position:absolute;left:3199;top:14;width:2;height:716" coordorigin="3199,14" coordsize="2,716">
              <v:shape style="position:absolute;left:3199;top:14;width:2;height:716" coordorigin="3199,14" coordsize="0,716" path="m3199,14l3199,730e" filled="false" stroked="true" strokeweight=".48pt" strokecolor="#000000">
                <v:path arrowok="t"/>
              </v:shape>
            </v:group>
            <v:group style="position:absolute;left:3204;top:725;width:6369;height:2" coordorigin="3204,725" coordsize="6369,2">
              <v:shape style="position:absolute;left:3204;top:725;width:6369;height:2" coordorigin="3204,725" coordsize="6369,0" path="m3204,725l9572,725e" filled="false" stroked="true" strokeweight=".48001pt" strokecolor="#000000">
                <v:path arrowok="t"/>
              </v:shape>
            </v:group>
            <v:group style="position:absolute;left:9577;top:5;width:2;height:725" coordorigin="9577,5" coordsize="2,725">
              <v:shape style="position:absolute;left:9577;top:5;width:2;height:725" coordorigin="9577,5" coordsize="0,725" path="m9577,5l9577,730e" filled="false" stroked="true" strokeweight=".47998pt" strokecolor="#000000">
                <v:path arrowok="t"/>
              </v:shape>
              <v:shape style="position:absolute;left:10;top:10;width:3190;height:716" type="#_x0000_t202" filled="false" stroked="false">
                <v:textbox inset="0,0,0,0">
                  <w:txbxContent>
                    <w:p>
                      <w:pPr>
                        <w:spacing w:line="316" w:lineRule="auto" w:before="57"/>
                        <w:ind w:left="27" w:right="101" w:firstLine="0"/>
                        <w:jc w:val="left"/>
                        <w:rPr>
                          <w:rFonts w:ascii="宋体" w:hAnsi="宋体" w:cs="宋体" w:eastAsia="宋体" w:hint="default"/>
                          <w:sz w:val="18"/>
                          <w:szCs w:val="18"/>
                        </w:rPr>
                      </w:pPr>
                      <w:r>
                        <w:rPr>
                          <w:rFonts w:ascii="宋体" w:hAnsi="宋体" w:cs="宋体" w:eastAsia="宋体" w:hint="default"/>
                          <w:sz w:val="18"/>
                          <w:szCs w:val="18"/>
                        </w:rPr>
                        <w:t>公司债券募集资金使用情况及履行的程 序</w:t>
                      </w:r>
                    </w:p>
                  </w:txbxContent>
                </v:textbox>
                <w10:wrap type="none"/>
              </v:shape>
              <v:shape style="position:absolute;left:3199;top:10;width:6378;height:716" type="#_x0000_t202" filled="false" stroked="false">
                <v:textbox inset="0,0,0,0">
                  <w:txbxContent>
                    <w:p>
                      <w:pPr>
                        <w:spacing w:line="316" w:lineRule="auto" w:before="76"/>
                        <w:ind w:left="28" w:right="47" w:firstLine="0"/>
                        <w:jc w:val="left"/>
                        <w:rPr>
                          <w:rFonts w:ascii="宋体" w:hAnsi="宋体" w:cs="宋体" w:eastAsia="宋体" w:hint="default"/>
                          <w:sz w:val="18"/>
                          <w:szCs w:val="18"/>
                        </w:rPr>
                      </w:pPr>
                      <w:r>
                        <w:rPr>
                          <w:rFonts w:ascii="宋体" w:hAnsi="宋体" w:cs="宋体" w:eastAsia="宋体" w:hint="default"/>
                          <w:sz w:val="18"/>
                          <w:szCs w:val="18"/>
                        </w:rPr>
                        <w:t>根据本期债券《募集说明书》所述用途，本次债券发行募集的资金，在扣除发行 费用后，拟用于偿还银行贷款和补充公司流动资金。本期公司债券募集资金已全</w:t>
                      </w:r>
                    </w:p>
                  </w:txbxContent>
                </v:textbox>
                <w10:wrap type="none"/>
              </v:shape>
            </v:group>
          </v:group>
        </w:pict>
      </w:r>
      <w:r>
        <w:rPr>
          <w:rFonts w:ascii="宋体" w:hAnsi="宋体" w:cs="宋体" w:eastAsia="宋体" w:hint="default"/>
          <w:position w:val="-14"/>
          <w:sz w:val="20"/>
          <w:szCs w:val="20"/>
        </w:rPr>
      </w:r>
    </w:p>
    <w:p>
      <w:pPr>
        <w:spacing w:after="0" w:line="734" w:lineRule="exact"/>
        <w:rPr>
          <w:rFonts w:ascii="宋体" w:hAnsi="宋体" w:cs="宋体" w:eastAsia="宋体" w:hint="default"/>
          <w:sz w:val="20"/>
          <w:szCs w:val="20"/>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6378"/>
      </w:tblGrid>
      <w:tr>
        <w:trPr>
          <w:trHeight w:val="36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部按《募集说明书》中披露的用途使用完毕，并严格履行了相应的审批程序。</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年末余额（万元）</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募集资金专项账户运作情况</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募集资金使用是否与募集说明书承诺的 用途、使用计划及其他约定一致</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b/>
          <w:bCs/>
          <w:sz w:val="19"/>
          <w:szCs w:val="19"/>
        </w:rPr>
      </w:pPr>
    </w:p>
    <w:p>
      <w:pPr>
        <w:pStyle w:val="Heading3"/>
        <w:spacing w:line="240" w:lineRule="auto"/>
        <w:ind w:right="0"/>
        <w:jc w:val="both"/>
        <w:rPr>
          <w:b w:val="0"/>
          <w:bCs w:val="0"/>
        </w:rPr>
      </w:pPr>
      <w:r>
        <w:rPr>
          <w:rFonts w:ascii="Times New Roman" w:hAnsi="Times New Roman" w:cs="Times New Roman" w:eastAsia="Times New Roman" w:hint="default"/>
        </w:rPr>
        <w:t>4</w:t>
      </w:r>
      <w:r>
        <w:rPr/>
        <w:t>、公司债券信息评级情况</w:t>
      </w:r>
      <w:r>
        <w:rPr>
          <w:b w:val="0"/>
          <w:bCs w:val="0"/>
        </w:rPr>
      </w:r>
    </w:p>
    <w:p>
      <w:pPr>
        <w:spacing w:line="240" w:lineRule="auto" w:before="7"/>
        <w:rPr>
          <w:rFonts w:ascii="宋体" w:hAnsi="宋体" w:cs="宋体" w:eastAsia="宋体" w:hint="default"/>
          <w:b/>
          <w:bCs/>
          <w:sz w:val="30"/>
          <w:szCs w:val="30"/>
        </w:rPr>
      </w:pPr>
    </w:p>
    <w:p>
      <w:pPr>
        <w:pStyle w:val="BodyText"/>
        <w:spacing w:line="386" w:lineRule="auto"/>
        <w:ind w:left="153" w:right="213" w:firstLine="441"/>
        <w:jc w:val="both"/>
      </w:pPr>
      <w:r>
        <w:rPr/>
        <w:t>联合信用评级有限公司于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16</w:t>
      </w:r>
      <w:r>
        <w:rPr/>
        <w:t>日出具了荣信电力电子股份有限公司</w:t>
      </w:r>
      <w:r>
        <w:rPr>
          <w:rFonts w:ascii="Times New Roman" w:hAnsi="Times New Roman" w:cs="Times New Roman" w:eastAsia="Times New Roman" w:hint="default"/>
        </w:rPr>
        <w:t>2013</w:t>
      </w:r>
      <w:r>
        <w:rPr/>
        <w:t>年公司债券跟踪评级 分析报告，评级结果为：本期债券信用等级为</w:t>
      </w:r>
      <w:r>
        <w:rPr>
          <w:rFonts w:ascii="Times New Roman" w:hAnsi="Times New Roman" w:cs="Times New Roman" w:eastAsia="Times New Roman" w:hint="default"/>
        </w:rPr>
        <w:t>AA-</w:t>
      </w:r>
      <w:r>
        <w:rPr/>
        <w:t>，发行主体长期信用等级为</w:t>
      </w:r>
      <w:r>
        <w:rPr>
          <w:rFonts w:ascii="Times New Roman" w:hAnsi="Times New Roman" w:cs="Times New Roman" w:eastAsia="Times New Roman" w:hint="default"/>
        </w:rPr>
        <w:t>AA-</w:t>
      </w:r>
      <w:r>
        <w:rPr/>
        <w:t>，评级展望为稳定。具 体内容详见</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17</w:t>
      </w:r>
      <w:r>
        <w:rPr/>
        <w:t>日刊登在巨潮资讯网的《荣信电力电子股份有限公司</w:t>
      </w:r>
      <w:r>
        <w:rPr>
          <w:rFonts w:ascii="Times New Roman" w:hAnsi="Times New Roman" w:cs="Times New Roman" w:eastAsia="Times New Roman" w:hint="default"/>
        </w:rPr>
        <w:t>2013</w:t>
      </w:r>
      <w:r>
        <w:rPr/>
        <w:t>年公司债券跟踪评级分 析报告》。</w:t>
      </w:r>
    </w:p>
    <w:p>
      <w:pPr>
        <w:spacing w:line="240" w:lineRule="auto" w:before="0"/>
        <w:rPr>
          <w:rFonts w:ascii="宋体" w:hAnsi="宋体" w:cs="宋体" w:eastAsia="宋体" w:hint="default"/>
          <w:sz w:val="22"/>
          <w:szCs w:val="22"/>
        </w:rPr>
      </w:pPr>
    </w:p>
    <w:p>
      <w:pPr>
        <w:pStyle w:val="Heading3"/>
        <w:spacing w:line="240" w:lineRule="auto" w:before="0"/>
        <w:ind w:right="0"/>
        <w:jc w:val="both"/>
        <w:rPr>
          <w:b w:val="0"/>
          <w:bCs w:val="0"/>
        </w:rPr>
      </w:pPr>
      <w:r>
        <w:rPr>
          <w:rFonts w:ascii="Times New Roman" w:hAnsi="Times New Roman" w:cs="Times New Roman" w:eastAsia="Times New Roman" w:hint="default"/>
        </w:rPr>
        <w:t>5</w:t>
      </w:r>
      <w:r>
        <w:rPr/>
        <w:t>、公司债券增信机制、偿债计划及其他偿债保障措施</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left="490" w:right="194"/>
        <w:jc w:val="left"/>
      </w:pPr>
      <w:r>
        <w:rPr/>
        <w:t>一、增信机制 公司本期债券不存在增信机制，本期债券偿债计划及其他偿债保障措施在报告期内未发生变更。 二、偿债计划 本期债券发行后，本公司将根据债务结构情况进一步加强本公司的资产负债管理、流动性管理和募集</w:t>
      </w:r>
    </w:p>
    <w:p>
      <w:pPr>
        <w:pStyle w:val="BodyText"/>
        <w:spacing w:line="408" w:lineRule="auto" w:before="46"/>
        <w:ind w:right="149"/>
        <w:jc w:val="both"/>
      </w:pPr>
      <w:r>
        <w:rPr>
          <w:spacing w:val="-1"/>
        </w:rPr>
        <w:t>资金使用管理，本公司将把兑付本期债券的资金安排纳入整体资金计划，以保障本期债券投资者的合法权</w:t>
      </w:r>
      <w:r>
        <w:rPr>
          <w:spacing w:val="-81"/>
        </w:rPr>
        <w:t> </w:t>
      </w:r>
      <w:r>
        <w:rPr>
          <w:spacing w:val="-81"/>
        </w:rPr>
      </w:r>
      <w:r>
        <w:rPr/>
        <w:t>益。</w:t>
      </w:r>
    </w:p>
    <w:p>
      <w:pPr>
        <w:pStyle w:val="BodyText"/>
        <w:spacing w:line="408" w:lineRule="auto" w:before="46"/>
        <w:ind w:left="490" w:right="1664"/>
        <w:jc w:val="left"/>
      </w:pPr>
      <w:r>
        <w:rPr/>
        <w:t>三、偿债保障措施 为维护本期债券持有人的合法权益，本公司为本期债券采取了如下的偿债保障措施：</w:t>
      </w:r>
    </w:p>
    <w:p>
      <w:pPr>
        <w:pStyle w:val="BodyText"/>
        <w:spacing w:line="408" w:lineRule="auto" w:before="46"/>
        <w:ind w:left="595" w:right="133" w:hanging="84"/>
        <w:jc w:val="left"/>
      </w:pPr>
      <w:r>
        <w:rPr/>
        <w:t>（一）设立专门的偿付工作小组 </w:t>
      </w:r>
      <w:r>
        <w:rPr>
          <w:spacing w:val="-1"/>
        </w:rPr>
        <w:t>本公司指定财务部牵头负责协调本期债券的偿付工作，并通过公司其他相关部门，在每年的财务预算</w:t>
      </w:r>
    </w:p>
    <w:p>
      <w:pPr>
        <w:pStyle w:val="BodyText"/>
        <w:spacing w:line="408" w:lineRule="auto" w:before="46"/>
        <w:ind w:right="128"/>
        <w:jc w:val="both"/>
      </w:pPr>
      <w:r>
        <w:rPr/>
        <w:t>中落实安排本期债券本息的兑付资金，保证本息的如期偿付，保证债券持有人的利益。在债券存续期间， </w:t>
      </w:r>
      <w:r>
        <w:rPr>
          <w:spacing w:val="-1"/>
        </w:rPr>
        <w:t>由财务部牵头组成偿付工作小组，组成人员来自财务部等相关部门，负责利息和本金的偿付及与之相关的</w:t>
      </w:r>
      <w:r>
        <w:rPr>
          <w:spacing w:val="-81"/>
        </w:rPr>
        <w:t> </w:t>
      </w:r>
      <w:r>
        <w:rPr>
          <w:spacing w:val="-81"/>
        </w:rPr>
      </w:r>
      <w:r>
        <w:rPr/>
        <w:t>工作。</w:t>
      </w:r>
    </w:p>
    <w:p>
      <w:pPr>
        <w:pStyle w:val="BodyText"/>
        <w:spacing w:line="408" w:lineRule="auto" w:before="46"/>
        <w:ind w:left="574" w:right="0" w:hanging="63"/>
        <w:jc w:val="left"/>
      </w:pPr>
      <w:r>
        <w:rPr/>
        <w:t>（二）切实做到专款专用 </w:t>
      </w:r>
      <w:r>
        <w:rPr>
          <w:spacing w:val="-1"/>
        </w:rPr>
        <w:t>本公司将制定专门的债券募集资金使用计划，相关业务部门对资金使用情况将进行严格检查，切实做</w:t>
      </w:r>
    </w:p>
    <w:p>
      <w:pPr>
        <w:pStyle w:val="BodyText"/>
        <w:spacing w:line="408" w:lineRule="auto" w:before="46"/>
        <w:ind w:right="151"/>
        <w:jc w:val="both"/>
      </w:pPr>
      <w:r>
        <w:rPr>
          <w:spacing w:val="-1"/>
        </w:rPr>
        <w:t>到专款专用，保证募集资金的投入、运用、稽核等方面的顺畅运作，并确保本期债券募集资金根据股东大</w:t>
      </w:r>
      <w:r>
        <w:rPr>
          <w:spacing w:val="-82"/>
        </w:rPr>
        <w:t> </w:t>
      </w:r>
      <w:r>
        <w:rPr>
          <w:spacing w:val="-82"/>
        </w:rPr>
      </w:r>
      <w:r>
        <w:rPr/>
        <w:t>会决议并按照本募集说明书披露的用途使用。</w:t>
      </w:r>
    </w:p>
    <w:p>
      <w:pPr>
        <w:pStyle w:val="BodyText"/>
        <w:spacing w:line="240" w:lineRule="auto" w:before="46"/>
        <w:ind w:left="511" w:right="0"/>
        <w:jc w:val="left"/>
      </w:pPr>
      <w:r>
        <w:rPr/>
        <w:t>（三）充分发挥债券受托管理人的作用</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408" w:lineRule="auto" w:before="174"/>
        <w:ind w:right="133" w:firstLine="441"/>
        <w:jc w:val="left"/>
      </w:pPr>
      <w:r>
        <w:rPr>
          <w:spacing w:val="-1"/>
        </w:rPr>
        <w:t>本公司已按照《试点办法》的规定，聘请中银国际担任本期债券的债券受托管理人，并与中银国际订</w:t>
      </w:r>
      <w:r>
        <w:rPr/>
        <w:t> 立了《债券受托管理协议》，从制度上保障本期债券本金和利息的按时、足额偿付。</w:t>
      </w:r>
    </w:p>
    <w:p>
      <w:pPr>
        <w:pStyle w:val="BodyText"/>
        <w:spacing w:line="408" w:lineRule="auto" w:before="46"/>
        <w:ind w:left="153" w:right="149" w:firstLine="441"/>
        <w:jc w:val="both"/>
      </w:pPr>
      <w:r>
        <w:rPr>
          <w:spacing w:val="-1"/>
        </w:rPr>
        <w:t>本公司将严格按照《债券受托管理协议》的规定，配合债券受托管理人履行职责，定期向债券受托管</w:t>
      </w:r>
      <w:r>
        <w:rPr/>
        <w:t> </w:t>
      </w:r>
      <w:r>
        <w:rPr>
          <w:spacing w:val="-1"/>
        </w:rPr>
        <w:t>理人报送本公司承诺履行情况，并在本公司可能出现债券违约时及时通知债券受托管理人，或根据《债券</w:t>
      </w:r>
      <w:r>
        <w:rPr>
          <w:spacing w:val="-83"/>
        </w:rPr>
        <w:t> </w:t>
      </w:r>
      <w:r>
        <w:rPr>
          <w:spacing w:val="-83"/>
        </w:rPr>
      </w:r>
      <w:r>
        <w:rPr>
          <w:spacing w:val="-1"/>
        </w:rPr>
        <w:t>受托管理协议》采取其他必要的措施。在本期债券存续期限内，中银国际依照《债券受托管理协议》的约</w:t>
      </w:r>
      <w:r>
        <w:rPr>
          <w:spacing w:val="-83"/>
        </w:rPr>
        <w:t> </w:t>
      </w:r>
      <w:r>
        <w:rPr>
          <w:spacing w:val="-83"/>
        </w:rPr>
      </w:r>
      <w:r>
        <w:rPr/>
        <w:t>定维护本期债券持有人的利益。</w:t>
      </w:r>
    </w:p>
    <w:p>
      <w:pPr>
        <w:pStyle w:val="BodyText"/>
        <w:spacing w:line="408" w:lineRule="auto" w:before="46"/>
        <w:ind w:left="595" w:right="0" w:hanging="84"/>
        <w:jc w:val="left"/>
      </w:pPr>
      <w:r>
        <w:rPr/>
        <w:t>（四）制定债券持有人会议规则 </w:t>
      </w:r>
      <w:r>
        <w:rPr>
          <w:spacing w:val="-2"/>
        </w:rPr>
        <w:t>本公司已按照《试点办法》第二十六条之规定为本期债券制定了《债券持有人会议规则》。《债券持</w:t>
      </w:r>
    </w:p>
    <w:p>
      <w:pPr>
        <w:pStyle w:val="BodyText"/>
        <w:spacing w:line="408" w:lineRule="auto" w:before="46"/>
        <w:ind w:left="153" w:right="0"/>
        <w:jc w:val="left"/>
      </w:pPr>
      <w:r>
        <w:rPr>
          <w:spacing w:val="-1"/>
        </w:rPr>
        <w:t>有人会议规则》约定了本期债券持有人通过债券持有人会议行使权利的范围、程序和其他重要事项，为保</w:t>
      </w:r>
      <w:r>
        <w:rPr>
          <w:spacing w:val="-83"/>
        </w:rPr>
        <w:t> </w:t>
      </w:r>
      <w:r>
        <w:rPr>
          <w:spacing w:val="-83"/>
        </w:rPr>
      </w:r>
      <w:r>
        <w:rPr/>
        <w:t>障本期债券本息及时足额偿付做出了合理的制度安排。</w:t>
      </w:r>
    </w:p>
    <w:p>
      <w:pPr>
        <w:pStyle w:val="BodyText"/>
        <w:spacing w:line="408" w:lineRule="auto" w:before="46"/>
        <w:ind w:left="595" w:right="133" w:hanging="84"/>
        <w:jc w:val="left"/>
      </w:pPr>
      <w:r>
        <w:rPr/>
        <w:t>（五）严格的信息披露 </w:t>
      </w:r>
      <w:r>
        <w:rPr>
          <w:spacing w:val="-1"/>
        </w:rPr>
        <w:t>本公司将遵循真实、准确、完整的信息披露原则，使公司偿债能力、募集资金使用等情况受到债券持</w:t>
      </w:r>
    </w:p>
    <w:p>
      <w:pPr>
        <w:pStyle w:val="BodyText"/>
        <w:spacing w:line="408" w:lineRule="auto" w:before="46"/>
        <w:ind w:left="153" w:right="0"/>
        <w:jc w:val="left"/>
      </w:pPr>
      <w:r>
        <w:rPr>
          <w:spacing w:val="-1"/>
        </w:rPr>
        <w:t>有人和债券受托管理人的监督，防范偿债风险。本公司将按《债券受托管理协议》及中国证监会的有关规</w:t>
      </w:r>
      <w:r>
        <w:rPr>
          <w:spacing w:val="-82"/>
        </w:rPr>
        <w:t> </w:t>
      </w:r>
      <w:r>
        <w:rPr>
          <w:spacing w:val="-82"/>
        </w:rPr>
      </w:r>
      <w:r>
        <w:rPr/>
        <w:t>定进行重大事项信息披露。</w:t>
      </w:r>
    </w:p>
    <w:p>
      <w:pPr>
        <w:pStyle w:val="BodyText"/>
        <w:spacing w:line="408" w:lineRule="auto" w:before="46"/>
        <w:ind w:left="595" w:right="0" w:hanging="84"/>
        <w:jc w:val="left"/>
      </w:pPr>
      <w:r>
        <w:rPr/>
        <w:t>（六）本公司承诺 </w:t>
      </w:r>
      <w:r>
        <w:rPr>
          <w:spacing w:val="-2"/>
        </w:rPr>
        <w:t>根据本公司第四届董事会第十九次会议决议和</w:t>
      </w:r>
      <w:r>
        <w:rPr>
          <w:rFonts w:ascii="Times New Roman" w:hAnsi="Times New Roman" w:cs="Times New Roman" w:eastAsia="Times New Roman" w:hint="default"/>
          <w:spacing w:val="-2"/>
        </w:rPr>
        <w:t>2012</w:t>
      </w:r>
      <w:r>
        <w:rPr>
          <w:spacing w:val="-2"/>
        </w:rPr>
        <w:t>年第二次临时股东大会的决议，在出现预计不能按</w:t>
      </w:r>
    </w:p>
    <w:p>
      <w:pPr>
        <w:pStyle w:val="BodyText"/>
        <w:spacing w:line="240" w:lineRule="auto" w:before="14"/>
        <w:ind w:left="153" w:right="0"/>
        <w:jc w:val="left"/>
      </w:pPr>
      <w:r>
        <w:rPr/>
        <w:t>时偿付本期债券本金或利息时，本公司承诺将至少采取以下措施，切实保障债券持有人利益：</w:t>
      </w:r>
    </w:p>
    <w:p>
      <w:pPr>
        <w:spacing w:line="240" w:lineRule="auto" w:before="10"/>
        <w:rPr>
          <w:rFonts w:ascii="宋体" w:hAnsi="宋体" w:cs="宋体" w:eastAsia="宋体" w:hint="default"/>
          <w:sz w:val="14"/>
          <w:szCs w:val="14"/>
        </w:rPr>
      </w:pPr>
    </w:p>
    <w:p>
      <w:pPr>
        <w:pStyle w:val="BodyText"/>
        <w:spacing w:line="240" w:lineRule="auto"/>
        <w:ind w:left="490" w:right="0"/>
        <w:jc w:val="left"/>
      </w:pPr>
      <w:r>
        <w:rPr>
          <w:rFonts w:ascii="Times New Roman" w:hAnsi="Times New Roman" w:cs="Times New Roman" w:eastAsia="Times New Roman" w:hint="default"/>
        </w:rPr>
        <w:t>1</w:t>
      </w:r>
      <w:r>
        <w:rPr/>
        <w:t>、不向股东分配利润；</w:t>
      </w:r>
    </w:p>
    <w:p>
      <w:pPr>
        <w:pStyle w:val="BodyText"/>
        <w:spacing w:line="240" w:lineRule="auto" w:before="177"/>
        <w:ind w:left="490" w:right="0"/>
        <w:jc w:val="left"/>
      </w:pPr>
      <w:r>
        <w:rPr>
          <w:rFonts w:ascii="Times New Roman" w:hAnsi="Times New Roman" w:cs="Times New Roman" w:eastAsia="Times New Roman" w:hint="default"/>
        </w:rPr>
        <w:t>2</w:t>
      </w:r>
      <w:r>
        <w:rPr/>
        <w:t>、暂缓重大对外投资、收购兼并等资本性支出项目的实施；</w:t>
      </w:r>
    </w:p>
    <w:p>
      <w:pPr>
        <w:pStyle w:val="BodyText"/>
        <w:spacing w:line="240" w:lineRule="auto" w:before="177"/>
        <w:ind w:left="490" w:right="0"/>
        <w:jc w:val="left"/>
      </w:pPr>
      <w:r>
        <w:rPr>
          <w:rFonts w:ascii="Times New Roman" w:hAnsi="Times New Roman" w:cs="Times New Roman" w:eastAsia="Times New Roman" w:hint="default"/>
        </w:rPr>
        <w:t>3</w:t>
      </w:r>
      <w:r>
        <w:rPr/>
        <w:t>、调减或停发董事和高级管理人员的工资和奖金；</w:t>
      </w:r>
    </w:p>
    <w:p>
      <w:pPr>
        <w:pStyle w:val="BodyText"/>
        <w:spacing w:line="240" w:lineRule="auto" w:before="177"/>
        <w:ind w:left="490" w:right="0"/>
        <w:jc w:val="left"/>
      </w:pPr>
      <w:r>
        <w:rPr>
          <w:rFonts w:ascii="Times New Roman" w:hAnsi="Times New Roman" w:cs="Times New Roman" w:eastAsia="Times New Roman" w:hint="default"/>
        </w:rPr>
        <w:t>4</w:t>
      </w:r>
      <w:r>
        <w:rPr/>
        <w:t>、主要责任人不得调离。</w:t>
      </w:r>
    </w:p>
    <w:p>
      <w:pPr>
        <w:spacing w:line="240" w:lineRule="auto" w:before="8"/>
        <w:rPr>
          <w:rFonts w:ascii="宋体" w:hAnsi="宋体" w:cs="宋体" w:eastAsia="宋体" w:hint="default"/>
          <w:sz w:val="30"/>
          <w:szCs w:val="30"/>
        </w:rPr>
      </w:pPr>
    </w:p>
    <w:p>
      <w:pPr>
        <w:spacing w:line="506" w:lineRule="auto" w:before="0"/>
        <w:ind w:left="405" w:right="5739" w:hanging="252"/>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、报告期内债券持有人会议的召开情况</w:t>
      </w:r>
      <w:r>
        <w:rPr>
          <w:rFonts w:ascii="宋体" w:hAnsi="宋体" w:cs="宋体" w:eastAsia="宋体" w:hint="default"/>
          <w:b/>
          <w:bCs/>
          <w:w w:val="99"/>
          <w:sz w:val="21"/>
          <w:szCs w:val="21"/>
        </w:rPr>
        <w:t> </w:t>
      </w:r>
      <w:r>
        <w:rPr>
          <w:rFonts w:ascii="宋体" w:hAnsi="宋体" w:cs="宋体" w:eastAsia="宋体" w:hint="default"/>
          <w:sz w:val="21"/>
          <w:szCs w:val="21"/>
        </w:rPr>
        <w:t>报告期内，公司未召开债券持有人会议。</w:t>
      </w:r>
    </w:p>
    <w:p>
      <w:pPr>
        <w:pStyle w:val="Heading3"/>
        <w:spacing w:line="240" w:lineRule="auto" w:before="105"/>
        <w:ind w:left="153" w:right="0"/>
        <w:jc w:val="left"/>
        <w:rPr>
          <w:b w:val="0"/>
          <w:bCs w:val="0"/>
        </w:rPr>
      </w:pPr>
      <w:r>
        <w:rPr>
          <w:rFonts w:ascii="Times New Roman" w:hAnsi="Times New Roman" w:cs="Times New Roman" w:eastAsia="Times New Roman" w:hint="default"/>
        </w:rPr>
        <w:t>7</w:t>
      </w:r>
      <w:r>
        <w:rPr/>
        <w:t>、报告期内债券受托管理人履行职责的情况</w:t>
      </w:r>
      <w:r>
        <w:rPr>
          <w:b w:val="0"/>
          <w:bCs w:val="0"/>
        </w:rPr>
      </w:r>
    </w:p>
    <w:p>
      <w:pPr>
        <w:spacing w:line="240" w:lineRule="auto" w:before="7"/>
        <w:rPr>
          <w:rFonts w:ascii="宋体" w:hAnsi="宋体" w:cs="宋体" w:eastAsia="宋体" w:hint="default"/>
          <w:b/>
          <w:bCs/>
          <w:sz w:val="30"/>
          <w:szCs w:val="30"/>
        </w:rPr>
      </w:pPr>
    </w:p>
    <w:p>
      <w:pPr>
        <w:pStyle w:val="BodyText"/>
        <w:spacing w:line="398" w:lineRule="auto"/>
        <w:ind w:right="0" w:firstLine="441"/>
        <w:jc w:val="left"/>
      </w:pPr>
      <w:r>
        <w:rPr>
          <w:spacing w:val="-2"/>
        </w:rPr>
        <w:t>报告期内债券受托管理人依据《债券受托管理协议》履行受托管理人职责，包括监督公司债券募集资</w:t>
      </w:r>
      <w:r>
        <w:rPr/>
        <w:t> 金使用情况、持续关注发行人资信状况以及债券增信机构的资信状况等，并于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18</w:t>
      </w:r>
      <w:r>
        <w:rPr/>
        <w:t>日在巨潮资讯 网披露了《荣信电力电子股份有限公司</w:t>
      </w:r>
      <w:r>
        <w:rPr>
          <w:rFonts w:ascii="Times New Roman" w:hAnsi="Times New Roman" w:cs="Times New Roman" w:eastAsia="Times New Roman" w:hint="default"/>
        </w:rPr>
        <w:t>2013</w:t>
      </w:r>
      <w:r>
        <w:rPr/>
        <w:t>年公司债券受托管理事务报告（</w:t>
      </w:r>
      <w:r>
        <w:rPr>
          <w:rFonts w:ascii="Times New Roman" w:hAnsi="Times New Roman" w:cs="Times New Roman" w:eastAsia="Times New Roman" w:hint="default"/>
        </w:rPr>
        <w:t>2014</w:t>
      </w:r>
      <w:r>
        <w:rPr>
          <w:rFonts w:ascii="Times New Roman" w:hAnsi="Times New Roman" w:cs="Times New Roman" w:eastAsia="Times New Roman" w:hint="default"/>
          <w:spacing w:val="26"/>
        </w:rPr>
        <w:t> </w:t>
      </w:r>
      <w:r>
        <w:rPr/>
        <w:t>年度）》。</w:t>
      </w:r>
    </w:p>
    <w:p>
      <w:pPr>
        <w:spacing w:after="0" w:line="398"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8</w:t>
      </w:r>
      <w:r>
        <w:rPr/>
        <w:t>、截至报告期末公司近</w:t>
      </w:r>
      <w:r>
        <w:rPr>
          <w:spacing w:val="-55"/>
        </w:rPr>
        <w:t> </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年的主要会计数据和财务指标</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同期变动率</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息税折旧摊销前利润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21,124.11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-16,236.4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-230.10%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-33,014.75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-11,048.66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-198.81%</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90,770.1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-2,614.43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3,571.89%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期末现金及现金等价物余额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101,565.31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38,980.51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160.55%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流动比率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214.49%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270.37%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-55.88%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资产负债率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33.84%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-14.24%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速动比率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177.13%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212.17%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-35.04%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全部债务比</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29.83%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-233.90%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-354.32%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EBITDA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利息保障倍数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-251.99%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贷款偿还率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利息偿付率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59.49%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61.02%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-1.53%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上述会计数据和财务指标同比变动超过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的主要原因</w:t>
      </w:r>
    </w:p>
    <w:p>
      <w:pPr>
        <w:spacing w:before="102"/>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5"/>
        <w:ind w:right="0"/>
        <w:jc w:val="left"/>
      </w:pPr>
      <w:r>
        <w:rPr>
          <w:rFonts w:ascii="Times New Roman" w:hAnsi="Times New Roman" w:cs="Times New Roman" w:eastAsia="Times New Roman" w:hint="default"/>
        </w:rPr>
        <w:t>1</w:t>
      </w:r>
      <w:r>
        <w:rPr/>
        <w:t>、息税折旧摊销前利润同比增加，主要是由于报告期净利润增加所致。</w:t>
      </w:r>
    </w:p>
    <w:p>
      <w:pPr>
        <w:pStyle w:val="BodyText"/>
        <w:spacing w:line="240" w:lineRule="auto" w:before="177"/>
        <w:ind w:right="0"/>
        <w:jc w:val="left"/>
      </w:pPr>
      <w:r>
        <w:rPr>
          <w:rFonts w:ascii="Times New Roman" w:hAnsi="Times New Roman" w:cs="Times New Roman" w:eastAsia="Times New Roman" w:hint="default"/>
        </w:rPr>
        <w:t>2</w:t>
      </w:r>
      <w:r>
        <w:rPr/>
        <w:t>、投资活动产生的现金流量净额同比减少，主要是收购梦网科技支付现金增加所致。</w:t>
      </w:r>
    </w:p>
    <w:p>
      <w:pPr>
        <w:pStyle w:val="BodyText"/>
        <w:spacing w:line="240" w:lineRule="auto" w:before="177"/>
        <w:ind w:right="0"/>
        <w:jc w:val="left"/>
      </w:pPr>
      <w:r>
        <w:rPr>
          <w:rFonts w:ascii="Times New Roman" w:hAnsi="Times New Roman" w:cs="Times New Roman" w:eastAsia="Times New Roman" w:hint="default"/>
        </w:rPr>
        <w:t>3</w:t>
      </w:r>
      <w:r>
        <w:rPr/>
        <w:t>、筹资活动产生的现金流量净额同比增加主要是非公开发行股份募集资金增加所致</w:t>
      </w:r>
    </w:p>
    <w:p>
      <w:pPr>
        <w:pStyle w:val="BodyText"/>
        <w:spacing w:line="386" w:lineRule="auto" w:before="177"/>
        <w:ind w:right="215"/>
        <w:jc w:val="left"/>
      </w:pPr>
      <w:r>
        <w:rPr>
          <w:rFonts w:ascii="Times New Roman" w:hAnsi="Times New Roman" w:cs="Times New Roman" w:eastAsia="Times New Roman" w:hint="default"/>
        </w:rPr>
        <w:t>4</w:t>
      </w:r>
      <w:r>
        <w:rPr/>
        <w:t>、报告期，现金及现金等价物净增加额同比增加主要是经营活动产生的现金流量净额和筹资活动产生的 现金流量净额同比增加所致。</w:t>
      </w:r>
    </w:p>
    <w:p>
      <w:pPr>
        <w:pStyle w:val="BodyText"/>
        <w:spacing w:line="240" w:lineRule="auto" w:before="65"/>
        <w:ind w:right="0"/>
        <w:jc w:val="left"/>
      </w:pPr>
      <w:r>
        <w:rPr>
          <w:rFonts w:ascii="Times New Roman" w:hAnsi="Times New Roman" w:cs="Times New Roman" w:eastAsia="Times New Roman" w:hint="default"/>
        </w:rPr>
        <w:t>5</w:t>
      </w:r>
      <w:r>
        <w:rPr/>
        <w:t>、流动比率、速动比率同比下降，主要是流动负债同比大幅增加所致。</w:t>
      </w:r>
    </w:p>
    <w:p>
      <w:pPr>
        <w:pStyle w:val="BodyText"/>
        <w:spacing w:line="386" w:lineRule="auto" w:before="177"/>
        <w:ind w:right="146" w:hanging="1"/>
        <w:jc w:val="left"/>
      </w:pPr>
      <w:r>
        <w:rPr>
          <w:rFonts w:ascii="Times New Roman" w:hAnsi="Times New Roman" w:cs="Times New Roman" w:eastAsia="Times New Roman" w:hint="default"/>
        </w:rPr>
        <w:t>6</w:t>
      </w:r>
      <w:r>
        <w:rPr/>
        <w:t>、</w:t>
      </w:r>
      <w:r>
        <w:rPr>
          <w:rFonts w:ascii="Times New Roman" w:hAnsi="Times New Roman" w:cs="Times New Roman" w:eastAsia="Times New Roman" w:hint="default"/>
        </w:rPr>
        <w:t>EBITDA</w:t>
      </w:r>
      <w:r>
        <w:rPr/>
        <w:t>全部债务比、利息保障倍数、</w:t>
      </w:r>
      <w:r>
        <w:rPr>
          <w:rFonts w:ascii="Times New Roman" w:hAnsi="Times New Roman" w:cs="Times New Roman" w:eastAsia="Times New Roman" w:hint="default"/>
        </w:rPr>
        <w:t>EBITDA</w:t>
      </w:r>
      <w:r>
        <w:rPr/>
        <w:t>利息保障倍数增长主要是报告期公司净利润大幅增加所 致。</w:t>
      </w:r>
    </w:p>
    <w:p>
      <w:pPr>
        <w:pStyle w:val="BodyText"/>
        <w:spacing w:line="240" w:lineRule="auto" w:before="65"/>
        <w:ind w:right="0"/>
        <w:jc w:val="left"/>
      </w:pPr>
      <w:r>
        <w:rPr>
          <w:rFonts w:ascii="Times New Roman" w:hAnsi="Times New Roman" w:cs="Times New Roman" w:eastAsia="Times New Roman" w:hint="default"/>
        </w:rPr>
        <w:t>7</w:t>
      </w:r>
      <w:r>
        <w:rPr/>
        <w:t>、现金利息保障倍数增长主要是报告期经营性现金流量净额增加所致。</w:t>
      </w:r>
    </w:p>
    <w:p>
      <w:pPr>
        <w:spacing w:line="690" w:lineRule="atLeast" w:before="1"/>
        <w:ind w:left="574"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、截至报告期末的资产权利受限情况</w:t>
      </w:r>
      <w:r>
        <w:rPr>
          <w:rFonts w:ascii="宋体" w:hAnsi="宋体" w:cs="宋体" w:eastAsia="宋体" w:hint="default"/>
          <w:b/>
          <w:bCs/>
          <w:w w:val="99"/>
          <w:sz w:val="21"/>
          <w:szCs w:val="21"/>
        </w:rPr>
        <w:t> </w:t>
      </w:r>
      <w:r>
        <w:rPr>
          <w:rFonts w:ascii="宋体" w:hAnsi="宋体" w:cs="宋体" w:eastAsia="宋体" w:hint="default"/>
          <w:spacing w:val="-1"/>
          <w:sz w:val="21"/>
          <w:szCs w:val="21"/>
        </w:rPr>
        <w:t>截至报告期末，公司将动产、不动产抵押给中行，其中：房产三处、总面积</w:t>
      </w:r>
      <w:r>
        <w:rPr>
          <w:rFonts w:ascii="Times New Roman" w:hAnsi="Times New Roman" w:cs="Times New Roman" w:eastAsia="Times New Roman" w:hint="default"/>
          <w:spacing w:val="-1"/>
          <w:sz w:val="21"/>
          <w:szCs w:val="21"/>
        </w:rPr>
        <w:t>17,414.74</w:t>
      </w:r>
      <w:r>
        <w:rPr>
          <w:rFonts w:ascii="宋体" w:hAnsi="宋体" w:cs="宋体" w:eastAsia="宋体" w:hint="default"/>
          <w:spacing w:val="-1"/>
          <w:sz w:val="21"/>
          <w:szCs w:val="21"/>
        </w:rPr>
        <w:t>平米，土地使用</w:t>
      </w:r>
    </w:p>
    <w:p>
      <w:pPr>
        <w:pStyle w:val="BodyText"/>
        <w:spacing w:line="240" w:lineRule="auto" w:before="177"/>
        <w:ind w:right="0"/>
        <w:jc w:val="left"/>
      </w:pPr>
      <w:r>
        <w:rPr/>
        <w:t>权四处、总面积</w:t>
      </w:r>
      <w:r>
        <w:rPr>
          <w:rFonts w:ascii="Times New Roman" w:hAnsi="Times New Roman" w:cs="Times New Roman" w:eastAsia="Times New Roman" w:hint="default"/>
        </w:rPr>
        <w:t>112626.30</w:t>
      </w:r>
      <w:r>
        <w:rPr/>
        <w:t>平米，机器设备</w:t>
      </w:r>
      <w:r>
        <w:rPr>
          <w:rFonts w:ascii="Times New Roman" w:hAnsi="Times New Roman" w:cs="Times New Roman" w:eastAsia="Times New Roman" w:hint="default"/>
        </w:rPr>
        <w:t>36</w:t>
      </w:r>
      <w:r>
        <w:rPr/>
        <w:t>台</w:t>
      </w:r>
      <w:r>
        <w:rPr>
          <w:rFonts w:ascii="Times New Roman" w:hAnsi="Times New Roman" w:cs="Times New Roman" w:eastAsia="Times New Roman" w:hint="default"/>
        </w:rPr>
        <w:t>/</w:t>
      </w:r>
      <w:r>
        <w:rPr/>
        <w:t>套；诉讼保全担保资产土地地一处，面积</w:t>
      </w:r>
      <w:r>
        <w:rPr>
          <w:rFonts w:ascii="Times New Roman" w:hAnsi="Times New Roman" w:cs="Times New Roman" w:eastAsia="Times New Roman" w:hint="default"/>
        </w:rPr>
        <w:t>20,993</w:t>
      </w:r>
      <w:r>
        <w:rPr/>
        <w:t>平米。</w:t>
      </w:r>
    </w:p>
    <w:p>
      <w:pPr>
        <w:spacing w:after="0" w:line="240"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spacing w:line="513" w:lineRule="auto" w:before="35"/>
        <w:ind w:left="153" w:right="107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10</w:t>
      </w:r>
      <w:r>
        <w:rPr>
          <w:rFonts w:ascii="宋体" w:hAnsi="宋体" w:cs="宋体" w:eastAsia="宋体" w:hint="default"/>
          <w:b/>
          <w:bCs/>
          <w:sz w:val="21"/>
          <w:szCs w:val="21"/>
        </w:rPr>
        <w:t>、报告期内对其他债券和债务融资工具的付息兑付情况</w:t>
      </w:r>
      <w:r>
        <w:rPr>
          <w:rFonts w:ascii="宋体" w:hAnsi="宋体" w:cs="宋体" w:eastAsia="宋体" w:hint="default"/>
          <w:b/>
          <w:bCs/>
          <w:w w:val="99"/>
          <w:sz w:val="21"/>
          <w:szCs w:val="21"/>
        </w:rPr>
        <w:t> </w:t>
      </w:r>
      <w:r>
        <w:rPr>
          <w:rFonts w:ascii="宋体" w:hAnsi="宋体" w:cs="宋体" w:eastAsia="宋体" w:hint="default"/>
          <w:sz w:val="21"/>
          <w:szCs w:val="21"/>
        </w:rPr>
        <w:t>报告期内，公司未发行其他债券和债务融资工具。 </w:t>
      </w:r>
      <w:r>
        <w:rPr>
          <w:rFonts w:ascii="Times New Roman" w:hAnsi="Times New Roman" w:cs="Times New Roman" w:eastAsia="Times New Roman" w:hint="default"/>
          <w:b/>
          <w:bCs/>
          <w:sz w:val="21"/>
          <w:szCs w:val="21"/>
        </w:rPr>
        <w:t>11</w:t>
      </w:r>
      <w:r>
        <w:rPr>
          <w:rFonts w:ascii="宋体" w:hAnsi="宋体" w:cs="宋体" w:eastAsia="宋体" w:hint="default"/>
          <w:b/>
          <w:bCs/>
          <w:sz w:val="21"/>
          <w:szCs w:val="21"/>
        </w:rPr>
        <w:t>、报告期内获得的银行授信情况、使用情况以及偿还银行贷款的情况</w:t>
      </w:r>
      <w:r>
        <w:rPr>
          <w:rFonts w:ascii="宋体" w:hAnsi="宋体" w:cs="宋体" w:eastAsia="宋体" w:hint="default"/>
          <w:b/>
          <w:bCs/>
          <w:w w:val="99"/>
          <w:sz w:val="21"/>
          <w:szCs w:val="21"/>
        </w:rPr>
        <w:t> </w:t>
      </w:r>
      <w:r>
        <w:rPr>
          <w:rFonts w:ascii="宋体" w:hAnsi="宋体" w:cs="宋体" w:eastAsia="宋体" w:hint="default"/>
          <w:sz w:val="21"/>
          <w:szCs w:val="21"/>
        </w:rPr>
        <w:t>报告期内，母公司获得银行授信 </w:t>
      </w:r>
      <w:r>
        <w:rPr>
          <w:rFonts w:ascii="Times New Roman" w:hAnsi="Times New Roman" w:cs="Times New Roman" w:eastAsia="Times New Roman" w:hint="default"/>
          <w:sz w:val="21"/>
          <w:szCs w:val="21"/>
        </w:rPr>
        <w:t>162,000</w:t>
      </w:r>
      <w:r>
        <w:rPr>
          <w:rFonts w:ascii="宋体" w:hAnsi="宋体" w:cs="宋体" w:eastAsia="宋体" w:hint="default"/>
          <w:sz w:val="21"/>
          <w:szCs w:val="21"/>
        </w:rPr>
        <w:t>万元，使用</w:t>
      </w:r>
      <w:r>
        <w:rPr>
          <w:rFonts w:ascii="Times New Roman" w:hAnsi="Times New Roman" w:cs="Times New Roman" w:eastAsia="Times New Roman" w:hint="default"/>
          <w:sz w:val="21"/>
          <w:szCs w:val="21"/>
        </w:rPr>
        <w:t>102,800</w:t>
      </w:r>
      <w:r>
        <w:rPr>
          <w:rFonts w:ascii="宋体" w:hAnsi="宋体" w:cs="宋体" w:eastAsia="宋体" w:hint="default"/>
          <w:sz w:val="21"/>
          <w:szCs w:val="21"/>
        </w:rPr>
        <w:t>万元，偿还银行贷款 </w:t>
      </w:r>
      <w:r>
        <w:rPr>
          <w:rFonts w:ascii="Times New Roman" w:hAnsi="Times New Roman" w:cs="Times New Roman" w:eastAsia="Times New Roman" w:hint="default"/>
          <w:sz w:val="21"/>
          <w:szCs w:val="21"/>
        </w:rPr>
        <w:t>27,000</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万元。 </w:t>
      </w:r>
      <w:r>
        <w:rPr>
          <w:rFonts w:ascii="Times New Roman" w:hAnsi="Times New Roman" w:cs="Times New Roman" w:eastAsia="Times New Roman" w:hint="default"/>
          <w:b/>
          <w:bCs/>
          <w:sz w:val="21"/>
          <w:szCs w:val="21"/>
        </w:rPr>
        <w:t>12</w:t>
      </w:r>
      <w:r>
        <w:rPr>
          <w:rFonts w:ascii="宋体" w:hAnsi="宋体" w:cs="宋体" w:eastAsia="宋体" w:hint="default"/>
          <w:b/>
          <w:bCs/>
          <w:sz w:val="21"/>
          <w:szCs w:val="21"/>
        </w:rPr>
        <w:t>、报告期内执行公司债券募集说明书相关约定或承诺的情况</w:t>
      </w:r>
      <w:r>
        <w:rPr>
          <w:rFonts w:ascii="宋体" w:hAnsi="宋体" w:cs="宋体" w:eastAsia="宋体" w:hint="default"/>
          <w:sz w:val="21"/>
          <w:szCs w:val="21"/>
        </w:rPr>
      </w:r>
    </w:p>
    <w:p>
      <w:pPr>
        <w:spacing w:before="81"/>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2"/>
        <w:rPr>
          <w:rFonts w:ascii="宋体" w:hAnsi="宋体" w:cs="宋体" w:eastAsia="宋体" w:hint="default"/>
          <w:sz w:val="26"/>
          <w:szCs w:val="26"/>
        </w:rPr>
      </w:pPr>
    </w:p>
    <w:p>
      <w:pPr>
        <w:spacing w:line="520" w:lineRule="auto" w:before="0"/>
        <w:ind w:left="153" w:right="1791"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、报告期内发生的重大事项</w:t>
      </w:r>
      <w:r>
        <w:rPr>
          <w:rFonts w:ascii="宋体" w:hAnsi="宋体" w:cs="宋体" w:eastAsia="宋体" w:hint="default"/>
          <w:b/>
          <w:bCs/>
          <w:spacing w:val="1"/>
          <w:w w:val="99"/>
          <w:sz w:val="21"/>
          <w:szCs w:val="21"/>
        </w:rPr>
        <w:t> </w:t>
      </w:r>
      <w:r>
        <w:rPr>
          <w:rFonts w:ascii="宋体" w:hAnsi="宋体" w:cs="宋体" w:eastAsia="宋体" w:hint="default"/>
          <w:sz w:val="21"/>
          <w:szCs w:val="21"/>
        </w:rPr>
        <w:t>报告期内，公司无《公司债券发行与交易管理办法》第四十五条列示的重大事项发生。 </w:t>
      </w:r>
      <w:r>
        <w:rPr>
          <w:rFonts w:ascii="Times New Roman" w:hAnsi="Times New Roman" w:cs="Times New Roman" w:eastAsia="Times New Roman" w:hint="default"/>
          <w:b/>
          <w:bCs/>
          <w:sz w:val="21"/>
          <w:szCs w:val="21"/>
        </w:rPr>
        <w:t>14</w:t>
      </w:r>
      <w:r>
        <w:rPr>
          <w:rFonts w:ascii="宋体" w:hAnsi="宋体" w:cs="宋体" w:eastAsia="宋体" w:hint="default"/>
          <w:b/>
          <w:bCs/>
          <w:sz w:val="21"/>
          <w:szCs w:val="21"/>
        </w:rPr>
        <w:t>、公司债券是否存在保证人</w:t>
      </w:r>
      <w:r>
        <w:rPr>
          <w:rFonts w:ascii="宋体" w:hAnsi="宋体" w:cs="宋体" w:eastAsia="宋体" w:hint="default"/>
          <w:sz w:val="21"/>
          <w:szCs w:val="21"/>
        </w:rPr>
      </w:r>
    </w:p>
    <w:p>
      <w:pPr>
        <w:spacing w:before="7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965" w:right="0"/>
        <w:jc w:val="left"/>
        <w:rPr>
          <w:b w:val="0"/>
          <w:bCs w:val="0"/>
        </w:rPr>
      </w:pPr>
      <w:bookmarkStart w:name="_TOC_250005" w:id="6"/>
      <w:r>
        <w:rPr/>
        <w:t>第六节</w:t>
      </w:r>
      <w:r>
        <w:rPr>
          <w:spacing w:val="-10"/>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27"/>
        <w:gridCol w:w="823"/>
        <w:gridCol w:w="823"/>
        <w:gridCol w:w="822"/>
        <w:gridCol w:w="822"/>
        <w:gridCol w:w="822"/>
        <w:gridCol w:w="822"/>
        <w:gridCol w:w="822"/>
        <w:gridCol w:w="794"/>
        <w:gridCol w:w="794"/>
      </w:tblGrid>
      <w:tr>
        <w:trPr>
          <w:trHeight w:val="402" w:hRule="exact"/>
        </w:trPr>
        <w:tc>
          <w:tcPr>
            <w:tcW w:w="2227" w:type="dxa"/>
            <w:vMerge w:val="restart"/>
            <w:tcBorders>
              <w:top w:val="single" w:sz="4" w:space="0" w:color="000000"/>
              <w:left w:val="single" w:sz="4" w:space="0" w:color="000000"/>
              <w:right w:val="single" w:sz="4" w:space="0" w:color="000000"/>
            </w:tcBorders>
            <w:shd w:val="clear" w:color="auto" w:fill="D3D3D3"/>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714" w:hRule="exact"/>
        </w:trPr>
        <w:tc>
          <w:tcPr>
            <w:tcW w:w="2227" w:type="dxa"/>
            <w:vMerge/>
            <w:tcBorders>
              <w:left w:val="single" w:sz="4" w:space="0" w:color="000000"/>
              <w:bottom w:val="single" w:sz="4" w:space="0" w:color="000000"/>
              <w:right w:val="single" w:sz="4" w:space="0" w:color="000000"/>
            </w:tcBorders>
            <w:shd w:val="clear" w:color="auto" w:fill="D3D3D3"/>
          </w:tcPr>
          <w:p>
            <w:pPr/>
          </w:p>
        </w:tc>
        <w:tc>
          <w:tcPr>
            <w:tcW w:w="8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49,805,06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357,595,0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-652,575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356,942,4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406,747,5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47.21%</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49,805,06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357,595,0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-652,575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356,942,4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406,747,5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47.21%</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4" w:space="0" w:color="000000"/>
              <w:bottom w:val="single" w:sz="4" w:space="0" w:color="000000"/>
              <w:right w:val="single" w:sz="4" w:space="0" w:color="000000"/>
            </w:tcBorders>
          </w:tcPr>
          <w:p>
            <w:pPr/>
          </w:p>
        </w:tc>
        <w:tc>
          <w:tcPr>
            <w:tcW w:w="823"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145,760,1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74</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145,760,1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145,760,1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16.92%</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49,805,06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9.88%</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211,834,8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51</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-652,575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211,182,2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260,987,3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30.29%</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454,194,9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90.12%</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652,575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652,575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454,847,5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52.79%</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454,194,9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35</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90.12%</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652,575</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5" w:right="0"/>
              <w:jc w:val="left"/>
              <w:rPr>
                <w:rFonts w:ascii="Times New Roman" w:hAnsi="Times New Roman" w:cs="Times New Roman" w:eastAsia="Times New Roman" w:hint="default"/>
                <w:sz w:val="18"/>
                <w:szCs w:val="18"/>
              </w:rPr>
            </w:pPr>
            <w:r>
              <w:rPr>
                <w:rFonts w:ascii="Times New Roman"/>
                <w:sz w:val="18"/>
              </w:rPr>
              <w:t>652,575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454,847,5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52.79%</w:t>
            </w:r>
          </w:p>
        </w:tc>
      </w:tr>
      <w:tr>
        <w:trPr>
          <w:trHeight w:val="714" w:hRule="exact"/>
        </w:trPr>
        <w:tc>
          <w:tcPr>
            <w:tcW w:w="22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504,000,0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357,595,0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w:t>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357,595,0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861,595,0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98" w:lineRule="auto" w:before="153"/>
        <w:ind w:left="153" w:right="131" w:firstLine="482"/>
        <w:jc w:val="both"/>
      </w:pPr>
      <w:r>
        <w:rPr>
          <w:spacing w:val="-2"/>
        </w:rPr>
        <w:t>报告期，经中国证券监督管理委员会证监许可【</w:t>
      </w:r>
      <w:r>
        <w:rPr>
          <w:rFonts w:ascii="Times New Roman" w:hAnsi="Times New Roman" w:cs="Times New Roman" w:eastAsia="Times New Roman" w:hint="default"/>
          <w:spacing w:val="-2"/>
        </w:rPr>
        <w:t>2015</w:t>
      </w:r>
      <w:r>
        <w:rPr>
          <w:spacing w:val="-2"/>
        </w:rPr>
        <w:t>】</w:t>
      </w:r>
      <w:r>
        <w:rPr>
          <w:rFonts w:ascii="Times New Roman" w:hAnsi="Times New Roman" w:cs="Times New Roman" w:eastAsia="Times New Roman" w:hint="default"/>
          <w:spacing w:val="-2"/>
        </w:rPr>
        <w:t>1717</w:t>
      </w:r>
      <w:r>
        <w:rPr>
          <w:spacing w:val="-2"/>
        </w:rPr>
        <w:t>号《关于核准荣信电力电子股份有限公司</w:t>
      </w:r>
      <w:r>
        <w:rPr/>
        <w:t> </w:t>
      </w:r>
      <w:r>
        <w:rPr>
          <w:spacing w:val="19"/>
        </w:rPr>
        <w:t>向余文胜等发行股份购买资产并募集配套资金的批复》核准，公司非公开发行新增限售股份股份</w:t>
      </w:r>
      <w:r>
        <w:rPr>
          <w:spacing w:val="-100"/>
        </w:rPr>
        <w:t> </w:t>
      </w:r>
      <w:r>
        <w:rPr>
          <w:rFonts w:ascii="Times New Roman" w:hAnsi="Times New Roman" w:cs="Times New Roman" w:eastAsia="Times New Roman" w:hint="default"/>
        </w:rPr>
        <w:t>357,595,025</w:t>
      </w:r>
      <w:r>
        <w:rPr/>
        <w:t>股。</w:t>
      </w:r>
    </w:p>
    <w:p>
      <w:pPr>
        <w:pStyle w:val="BodyText"/>
        <w:spacing w:line="408" w:lineRule="auto" w:before="24"/>
        <w:ind w:left="153" w:right="150" w:firstLine="482"/>
        <w:jc w:val="both"/>
      </w:pPr>
      <w:r>
        <w:rPr>
          <w:spacing w:val="-2"/>
        </w:rPr>
        <w:t>报告期，公司高级管理人员买入公司股份及原高管限售股份限售期满解除限售，合计减少有限售条件</w:t>
      </w:r>
      <w:r>
        <w:rPr/>
        <w:t> 股份</w:t>
      </w:r>
      <w:r>
        <w:rPr>
          <w:rFonts w:ascii="Times New Roman" w:hAnsi="Times New Roman" w:cs="Times New Roman" w:eastAsia="Times New Roman" w:hint="default"/>
        </w:rPr>
        <w:t>652,575</w:t>
      </w:r>
      <w:r>
        <w:rPr/>
        <w:t>股，增加无限售条件股份</w:t>
      </w:r>
      <w:r>
        <w:rPr>
          <w:rFonts w:ascii="Times New Roman" w:hAnsi="Times New Roman" w:cs="Times New Roman" w:eastAsia="Times New Roman" w:hint="default"/>
        </w:rPr>
        <w:t>652,575</w:t>
      </w:r>
      <w:r>
        <w:rPr/>
        <w:t>股。</w:t>
      </w:r>
    </w:p>
    <w:p>
      <w:pPr>
        <w:spacing w:before="2"/>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3"/>
        <w:ind w:left="153" w:right="151" w:firstLine="477"/>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22</w:t>
      </w:r>
      <w:r>
        <w:rPr/>
        <w:t>日，荣信电力电子股份有限公司发行股份购买资产并募集配套资金暨关联交易相关事项 </w:t>
      </w:r>
      <w:r>
        <w:rPr>
          <w:spacing w:val="-1"/>
        </w:rPr>
        <w:t>经中国证券监督管理委员会证监许可【</w:t>
      </w:r>
      <w:r>
        <w:rPr>
          <w:rFonts w:ascii="Times New Roman" w:hAnsi="Times New Roman" w:cs="Times New Roman" w:eastAsia="Times New Roman" w:hint="default"/>
          <w:spacing w:val="-1"/>
        </w:rPr>
        <w:t>2015</w:t>
      </w:r>
      <w:r>
        <w:rPr>
          <w:spacing w:val="-1"/>
        </w:rPr>
        <w:t>】</w:t>
      </w:r>
      <w:r>
        <w:rPr>
          <w:rFonts w:ascii="Times New Roman" w:hAnsi="Times New Roman" w:cs="Times New Roman" w:eastAsia="Times New Roman" w:hint="default"/>
          <w:spacing w:val="-1"/>
        </w:rPr>
        <w:t>1717</w:t>
      </w:r>
      <w:r>
        <w:rPr>
          <w:spacing w:val="-1"/>
        </w:rPr>
        <w:t>号《关于核准荣信电力电子股份有限公司向余文胜等发</w:t>
      </w:r>
    </w:p>
    <w:p>
      <w:pPr>
        <w:spacing w:after="0" w:line="386" w:lineRule="auto"/>
        <w:jc w:val="both"/>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240" w:lineRule="auto" w:before="174"/>
        <w:ind w:right="102"/>
        <w:jc w:val="left"/>
      </w:pPr>
      <w:r>
        <w:rPr/>
        <w:t>行股份购买资产并募集配套资金的批复》核准。</w:t>
      </w:r>
    </w:p>
    <w:p>
      <w:pPr>
        <w:spacing w:line="240" w:lineRule="auto" w:before="10"/>
        <w:rPr>
          <w:rFonts w:ascii="宋体" w:hAnsi="宋体" w:cs="宋体" w:eastAsia="宋体" w:hint="default"/>
          <w:sz w:val="14"/>
          <w:szCs w:val="14"/>
        </w:rPr>
      </w:pPr>
    </w:p>
    <w:p>
      <w:pPr>
        <w:pStyle w:val="BodyText"/>
        <w:spacing w:line="386" w:lineRule="auto"/>
        <w:ind w:right="102" w:firstLine="48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14</w:t>
      </w:r>
      <w:r>
        <w:rPr/>
        <w:t>日公司本次非公开发行新增的股份在中国证券登记结算有限责任公司深圳分公司完成登 记手续。</w:t>
      </w:r>
    </w:p>
    <w:p>
      <w:pPr>
        <w:pStyle w:val="BodyText"/>
        <w:spacing w:line="386" w:lineRule="auto" w:before="65"/>
        <w:ind w:left="153" w:right="102" w:firstLine="48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日，公司非公开发行股份购买资产并募集配套资金新增股份</w:t>
      </w:r>
      <w:r>
        <w:rPr>
          <w:rFonts w:ascii="Times New Roman" w:hAnsi="Times New Roman" w:cs="Times New Roman" w:eastAsia="Times New Roman" w:hint="default"/>
        </w:rPr>
        <w:t>357,595,025</w:t>
      </w:r>
      <w:r>
        <w:rPr/>
        <w:t>股在深圳证券交 易所上市。</w:t>
      </w:r>
    </w:p>
    <w:p>
      <w:pPr>
        <w:pStyle w:val="BodyText"/>
        <w:spacing w:line="240" w:lineRule="auto" w:before="106"/>
        <w:ind w:left="153" w:right="102"/>
        <w:jc w:val="left"/>
      </w:pPr>
      <w:r>
        <w:rPr/>
        <w:t>股份变动的过户情况</w:t>
      </w:r>
    </w:p>
    <w:p>
      <w:pPr>
        <w:spacing w:line="240" w:lineRule="auto" w:before="12"/>
        <w:rPr>
          <w:rFonts w:ascii="宋体" w:hAnsi="宋体" w:cs="宋体" w:eastAsia="宋体" w:hint="default"/>
          <w:sz w:val="17"/>
          <w:szCs w:val="17"/>
        </w:rPr>
      </w:pPr>
    </w:p>
    <w:p>
      <w:pPr>
        <w:pStyle w:val="BodyText"/>
        <w:spacing w:line="240" w:lineRule="auto"/>
        <w:ind w:left="153" w:right="10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9"/>
        </w:rPr>
        <w:t> </w:t>
      </w:r>
      <w:r>
        <w:rPr/>
        <w:t>不适用</w:t>
      </w:r>
    </w:p>
    <w:p>
      <w:pPr>
        <w:spacing w:line="240" w:lineRule="auto" w:before="6"/>
        <w:rPr>
          <w:rFonts w:ascii="宋体" w:hAnsi="宋体" w:cs="宋体" w:eastAsia="宋体" w:hint="default"/>
          <w:sz w:val="16"/>
          <w:szCs w:val="16"/>
        </w:rPr>
      </w:pPr>
    </w:p>
    <w:p>
      <w:pPr>
        <w:spacing w:line="388" w:lineRule="auto" w:before="0"/>
        <w:ind w:left="154" w:right="102" w:firstLine="480"/>
        <w:jc w:val="left"/>
        <w:rPr>
          <w:rFonts w:ascii="宋体" w:hAnsi="宋体" w:cs="宋体" w:eastAsia="宋体" w:hint="default"/>
          <w:sz w:val="18"/>
          <w:szCs w:val="18"/>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8</w:t>
      </w:r>
      <w:r>
        <w:rPr>
          <w:rFonts w:ascii="宋体" w:hAnsi="宋体" w:cs="宋体" w:eastAsia="宋体" w:hint="default"/>
          <w:sz w:val="21"/>
          <w:szCs w:val="21"/>
        </w:rPr>
        <w:t>月</w:t>
      </w:r>
      <w:r>
        <w:rPr>
          <w:rFonts w:ascii="Times New Roman" w:hAnsi="Times New Roman" w:cs="Times New Roman" w:eastAsia="Times New Roman" w:hint="default"/>
          <w:sz w:val="21"/>
          <w:szCs w:val="21"/>
        </w:rPr>
        <w:t>28</w:t>
      </w:r>
      <w:r>
        <w:rPr>
          <w:rFonts w:ascii="宋体" w:hAnsi="宋体" w:cs="宋体" w:eastAsia="宋体" w:hint="default"/>
          <w:sz w:val="21"/>
          <w:szCs w:val="21"/>
        </w:rPr>
        <w:t>日，深圳市梦网科技发展有限公司（以下简称</w:t>
      </w:r>
      <w:r>
        <w:rPr>
          <w:rFonts w:ascii="Times New Roman" w:hAnsi="Times New Roman" w:cs="Times New Roman" w:eastAsia="Times New Roman" w:hint="default"/>
          <w:sz w:val="21"/>
          <w:szCs w:val="21"/>
        </w:rPr>
        <w:t>“</w:t>
      </w:r>
      <w:r>
        <w:rPr>
          <w:rFonts w:ascii="宋体" w:hAnsi="宋体" w:cs="宋体" w:eastAsia="宋体" w:hint="default"/>
          <w:sz w:val="21"/>
          <w:szCs w:val="21"/>
        </w:rPr>
        <w:t>梦网科技</w:t>
      </w:r>
      <w:r>
        <w:rPr>
          <w:rFonts w:ascii="Times New Roman" w:hAnsi="Times New Roman" w:cs="Times New Roman" w:eastAsia="Times New Roman" w:hint="default"/>
          <w:sz w:val="21"/>
          <w:szCs w:val="21"/>
        </w:rPr>
        <w:t>”</w:t>
      </w:r>
      <w:r>
        <w:rPr>
          <w:rFonts w:ascii="宋体" w:hAnsi="宋体" w:cs="宋体" w:eastAsia="宋体" w:hint="default"/>
          <w:sz w:val="21"/>
          <w:szCs w:val="21"/>
        </w:rPr>
        <w:t>）就重组的标的资产过户事宜 </w:t>
      </w:r>
      <w:r>
        <w:rPr>
          <w:rFonts w:ascii="宋体" w:hAnsi="宋体" w:cs="宋体" w:eastAsia="宋体" w:hint="default"/>
          <w:spacing w:val="-4"/>
          <w:sz w:val="21"/>
          <w:szCs w:val="21"/>
        </w:rPr>
        <w:t>完成了工商变更登记手续，并取得深圳市市场监督管理局核发的</w:t>
      </w:r>
      <w:r>
        <w:rPr>
          <w:rFonts w:ascii="Times New Roman" w:hAnsi="Times New Roman" w:cs="Times New Roman" w:eastAsia="Times New Roman" w:hint="default"/>
          <w:spacing w:val="-4"/>
          <w:sz w:val="21"/>
          <w:szCs w:val="21"/>
        </w:rPr>
        <w:t>“[2015]</w:t>
      </w:r>
      <w:r>
        <w:rPr>
          <w:rFonts w:ascii="宋体" w:hAnsi="宋体" w:cs="宋体" w:eastAsia="宋体" w:hint="default"/>
          <w:spacing w:val="-4"/>
          <w:sz w:val="21"/>
          <w:szCs w:val="21"/>
        </w:rPr>
        <w:t>第</w:t>
      </w:r>
      <w:r>
        <w:rPr>
          <w:rFonts w:ascii="Times New Roman" w:hAnsi="Times New Roman" w:cs="Times New Roman" w:eastAsia="Times New Roman" w:hint="default"/>
          <w:spacing w:val="-4"/>
          <w:sz w:val="21"/>
          <w:szCs w:val="21"/>
        </w:rPr>
        <w:t>83669446</w:t>
      </w:r>
      <w:r>
        <w:rPr>
          <w:rFonts w:ascii="宋体" w:hAnsi="宋体" w:cs="宋体" w:eastAsia="宋体" w:hint="default"/>
          <w:spacing w:val="-4"/>
          <w:sz w:val="21"/>
          <w:szCs w:val="21"/>
        </w:rPr>
        <w:t>号</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《变更</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备案</w:t>
      </w:r>
      <w:r>
        <w:rPr>
          <w:rFonts w:ascii="Times New Roman" w:hAnsi="Times New Roman" w:cs="Times New Roman" w:eastAsia="Times New Roman" w:hint="default"/>
          <w:spacing w:val="-4"/>
          <w:sz w:val="21"/>
          <w:szCs w:val="21"/>
        </w:rPr>
        <w:t>)</w:t>
      </w:r>
      <w:r>
        <w:rPr>
          <w:rFonts w:ascii="宋体" w:hAnsi="宋体" w:cs="宋体" w:eastAsia="宋体" w:hint="default"/>
          <w:spacing w:val="-4"/>
          <w:sz w:val="21"/>
          <w:szCs w:val="21"/>
        </w:rPr>
        <w:t>通知书》</w:t>
      </w:r>
      <w:r>
        <w:rPr>
          <w:rFonts w:ascii="宋体" w:hAnsi="宋体" w:cs="宋体" w:eastAsia="宋体" w:hint="default"/>
          <w:spacing w:val="-60"/>
          <w:sz w:val="21"/>
          <w:szCs w:val="21"/>
        </w:rPr>
        <w:t> </w:t>
      </w:r>
      <w:r>
        <w:rPr>
          <w:rFonts w:ascii="宋体" w:hAnsi="宋体" w:cs="宋体" w:eastAsia="宋体" w:hint="default"/>
          <w:spacing w:val="-2"/>
          <w:sz w:val="21"/>
          <w:szCs w:val="21"/>
        </w:rPr>
        <w:t>和变更后的《企业法人营业执照》，本次变更完成后，公司持有梦网科技</w:t>
      </w:r>
      <w:r>
        <w:rPr>
          <w:rFonts w:ascii="Times New Roman" w:hAnsi="Times New Roman" w:cs="Times New Roman" w:eastAsia="Times New Roman" w:hint="default"/>
          <w:spacing w:val="-2"/>
          <w:sz w:val="21"/>
          <w:szCs w:val="21"/>
        </w:rPr>
        <w:t>100%</w:t>
      </w:r>
      <w:r>
        <w:rPr>
          <w:rFonts w:ascii="宋体" w:hAnsi="宋体" w:cs="宋体" w:eastAsia="宋体" w:hint="default"/>
          <w:spacing w:val="-2"/>
          <w:sz w:val="21"/>
          <w:szCs w:val="21"/>
        </w:rPr>
        <w:t>股权，梦网科技成为公司的</w:t>
      </w:r>
      <w:r>
        <w:rPr>
          <w:rFonts w:ascii="宋体" w:hAnsi="宋体" w:cs="宋体" w:eastAsia="宋体" w:hint="default"/>
          <w:sz w:val="21"/>
          <w:szCs w:val="21"/>
        </w:rPr>
        <w:t> 全资子公司。 </w:t>
      </w:r>
      <w:r>
        <w:rPr>
          <w:rFonts w:ascii="宋体" w:hAnsi="宋体" w:cs="宋体" w:eastAsia="宋体" w:hint="default"/>
          <w:sz w:val="18"/>
          <w:szCs w:val="18"/>
        </w:rPr>
        <w:t>股份变动对最近一年和最近一期基本每股收益和稀释每股收益、归属于公司普通股股东的每股净资产等财务指标的影响</w:t>
      </w:r>
    </w:p>
    <w:p>
      <w:pPr>
        <w:spacing w:line="338" w:lineRule="auto" w:before="5"/>
        <w:ind w:left="154" w:right="58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公司认为必要或证券监管机构要求披露的其他内容</w:t>
      </w:r>
    </w:p>
    <w:p>
      <w:pPr>
        <w:spacing w:before="42"/>
        <w:ind w:left="154"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before="0"/>
        <w:ind w:right="102"/>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3"/>
        <w:rPr>
          <w:rFonts w:ascii="宋体" w:hAnsi="宋体" w:cs="宋体" w:eastAsia="宋体" w:hint="default"/>
          <w:b/>
          <w:bCs/>
          <w:sz w:val="23"/>
          <w:szCs w:val="23"/>
        </w:rPr>
      </w:pPr>
    </w:p>
    <w:p>
      <w:pPr>
        <w:spacing w:before="44"/>
        <w:ind w:left="154"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211"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714"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358"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8"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自发行结束之日</w:t>
            </w:r>
          </w:p>
        </w:tc>
      </w:tr>
      <w:tr>
        <w:trPr>
          <w:trHeight w:val="625"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127,596,533</w:t>
            </w:r>
          </w:p>
        </w:tc>
        <w:tc>
          <w:tcPr>
            <w:tcW w:w="13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127,596,533</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49"/>
              <w:jc w:val="center"/>
              <w:rPr>
                <w:rFonts w:ascii="宋体" w:hAnsi="宋体" w:cs="宋体" w:eastAsia="宋体" w:hint="default"/>
                <w:sz w:val="18"/>
                <w:szCs w:val="18"/>
              </w:rPr>
            </w:pPr>
            <w:r>
              <w:rPr>
                <w:rFonts w:ascii="宋体" w:hAnsi="宋体" w:cs="宋体" w:eastAsia="宋体" w:hint="default"/>
                <w:sz w:val="18"/>
                <w:szCs w:val="18"/>
              </w:rPr>
              <w:t>非公开发行限售</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00"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个月后满足 解锁条件的部分</w:t>
            </w:r>
          </w:p>
        </w:tc>
      </w:tr>
      <w:tr>
        <w:trPr>
          <w:trHeight w:val="356"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8"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分期解锁</w:t>
            </w: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上海金融发展投 资基金（有限合 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20,936,550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20,936,550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9"/>
              <w:jc w:val="center"/>
              <w:rPr>
                <w:rFonts w:ascii="宋体" w:hAnsi="宋体" w:cs="宋体" w:eastAsia="宋体" w:hint="default"/>
                <w:sz w:val="18"/>
                <w:szCs w:val="18"/>
              </w:rPr>
            </w:pPr>
            <w:r>
              <w:rPr>
                <w:rFonts w:ascii="宋体" w:hAnsi="宋体" w:cs="宋体" w:eastAsia="宋体" w:hint="default"/>
                <w:sz w:val="18"/>
                <w:szCs w:val="18"/>
              </w:rPr>
              <w:t>非公开发行限售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深圳市创新投资 集团有限公司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18,994,378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18,994,378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
              <w:jc w:val="center"/>
              <w:rPr>
                <w:rFonts w:ascii="宋体" w:hAnsi="宋体" w:cs="宋体" w:eastAsia="宋体" w:hint="default"/>
                <w:sz w:val="18"/>
                <w:szCs w:val="18"/>
              </w:rPr>
            </w:pPr>
            <w:r>
              <w:rPr>
                <w:rFonts w:ascii="宋体" w:hAnsi="宋体" w:cs="宋体" w:eastAsia="宋体" w:hint="default"/>
                <w:sz w:val="18"/>
                <w:szCs w:val="18"/>
              </w:rPr>
              <w:t>非公开发行限售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深圳市万达高创 投投资有限公司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16,043,502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16,043,502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
              <w:jc w:val="center"/>
              <w:rPr>
                <w:rFonts w:ascii="宋体" w:hAnsi="宋体" w:cs="宋体" w:eastAsia="宋体" w:hint="default"/>
                <w:sz w:val="18"/>
                <w:szCs w:val="18"/>
              </w:rPr>
            </w:pPr>
            <w:r>
              <w:rPr>
                <w:rFonts w:ascii="宋体" w:hAnsi="宋体" w:cs="宋体" w:eastAsia="宋体" w:hint="default"/>
                <w:sz w:val="18"/>
                <w:szCs w:val="18"/>
              </w:rPr>
              <w:t>非公开发行限售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深圳市天图兴瑞 创业投资有限公 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14,102,090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14,102,090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9"/>
              <w:jc w:val="center"/>
              <w:rPr>
                <w:rFonts w:ascii="宋体" w:hAnsi="宋体" w:cs="宋体" w:eastAsia="宋体" w:hint="default"/>
                <w:sz w:val="18"/>
                <w:szCs w:val="18"/>
              </w:rPr>
            </w:pPr>
            <w:r>
              <w:rPr>
                <w:rFonts w:ascii="宋体" w:hAnsi="宋体" w:cs="宋体" w:eastAsia="宋体" w:hint="default"/>
                <w:sz w:val="18"/>
                <w:szCs w:val="18"/>
              </w:rPr>
              <w:t>非公开发行限售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2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133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15,324,189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15,324,189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自发行结束之日 起</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个月后满足 解锁条件的部分 分期解锁</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王维珍</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10,476,381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10,476,381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4"/>
              <w:jc w:val="both"/>
              <w:rPr>
                <w:rFonts w:ascii="宋体" w:hAnsi="宋体" w:cs="宋体" w:eastAsia="宋体" w:hint="default"/>
                <w:sz w:val="18"/>
                <w:szCs w:val="18"/>
              </w:rPr>
            </w:pPr>
            <w:r>
              <w:rPr>
                <w:rFonts w:ascii="宋体" w:hAnsi="宋体" w:cs="宋体" w:eastAsia="宋体" w:hint="default"/>
                <w:sz w:val="18"/>
                <w:szCs w:val="18"/>
              </w:rPr>
              <w:t>深圳市松禾成长 创业投资合伙企 业（有限合伙）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12,157,070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12,157,070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自发行结束之日 起</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个月后满足 解锁条件的部分 分期解锁</w:t>
            </w:r>
          </w:p>
        </w:tc>
      </w:tr>
      <w:tr>
        <w:trPr>
          <w:trHeight w:val="133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黄勇刚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6,424,359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6,424,359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自发行结束之日 起</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个月后满足 解锁条件的部分 分期解锁</w:t>
            </w: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深圳鹏信股权投 资基金企业（有 限合伙）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4,813,000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4,813,000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杭州涌源睿信创 业投资企业（有 限合伙）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4,813,000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4,813,000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王海琳</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4,668,610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4,668,610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4"/>
              <w:jc w:val="left"/>
              <w:rPr>
                <w:rFonts w:ascii="宋体" w:hAnsi="宋体" w:cs="宋体" w:eastAsia="宋体" w:hint="default"/>
                <w:sz w:val="18"/>
                <w:szCs w:val="18"/>
              </w:rPr>
            </w:pPr>
            <w:r>
              <w:rPr>
                <w:rFonts w:ascii="宋体" w:hAnsi="宋体" w:cs="宋体" w:eastAsia="宋体" w:hint="default"/>
                <w:sz w:val="18"/>
                <w:szCs w:val="18"/>
              </w:rPr>
              <w:t>深圳市网睿伟业 投资合伙企业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4,949,631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4,949,631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自发行结束之日 起</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个月后满足 解锁条件的部分 分期解锁</w:t>
            </w:r>
          </w:p>
        </w:tc>
      </w:tr>
      <w:tr>
        <w:trPr>
          <w:trHeight w:val="133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4"/>
              <w:jc w:val="left"/>
              <w:rPr>
                <w:rFonts w:ascii="宋体" w:hAnsi="宋体" w:cs="宋体" w:eastAsia="宋体" w:hint="default"/>
                <w:sz w:val="18"/>
                <w:szCs w:val="18"/>
              </w:rPr>
            </w:pPr>
            <w:r>
              <w:rPr>
                <w:rFonts w:ascii="宋体" w:hAnsi="宋体" w:cs="宋体" w:eastAsia="宋体" w:hint="default"/>
                <w:sz w:val="18"/>
                <w:szCs w:val="18"/>
              </w:rPr>
              <w:t>深圳市网兴伟业 投资合伙企业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4,392,388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4,392,388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自发行结束之日 起</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个月后满足 解锁条件的部分 分期解锁</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杨诗晴</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3,208,497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3,208,497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4"/>
              <w:jc w:val="left"/>
              <w:rPr>
                <w:rFonts w:ascii="宋体" w:hAnsi="宋体" w:cs="宋体" w:eastAsia="宋体" w:hint="default"/>
                <w:sz w:val="18"/>
                <w:szCs w:val="18"/>
              </w:rPr>
            </w:pPr>
            <w:r>
              <w:rPr>
                <w:rFonts w:ascii="宋体" w:hAnsi="宋体" w:cs="宋体" w:eastAsia="宋体" w:hint="default"/>
                <w:sz w:val="18"/>
                <w:szCs w:val="18"/>
              </w:rPr>
              <w:t>安徽君悦投资有 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3,208,497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3,208,497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33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4"/>
              <w:jc w:val="left"/>
              <w:rPr>
                <w:rFonts w:ascii="宋体" w:hAnsi="宋体" w:cs="宋体" w:eastAsia="宋体" w:hint="default"/>
                <w:sz w:val="18"/>
                <w:szCs w:val="18"/>
              </w:rPr>
            </w:pPr>
            <w:r>
              <w:rPr>
                <w:rFonts w:ascii="宋体" w:hAnsi="宋体" w:cs="宋体" w:eastAsia="宋体" w:hint="default"/>
                <w:sz w:val="18"/>
                <w:szCs w:val="18"/>
              </w:rPr>
              <w:t>深圳市网智伟业 投资合伙企业</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2,130,636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2,130,636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自发行结束之日 起</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个月后满足 解锁条件的部分 分期解锁</w:t>
            </w:r>
          </w:p>
        </w:tc>
      </w:tr>
      <w:tr>
        <w:trPr>
          <w:trHeight w:val="98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2" w:right="0"/>
              <w:jc w:val="left"/>
              <w:rPr>
                <w:rFonts w:ascii="宋体" w:hAnsi="宋体" w:cs="宋体" w:eastAsia="宋体" w:hint="default"/>
                <w:sz w:val="18"/>
                <w:szCs w:val="18"/>
              </w:rPr>
            </w:pPr>
            <w:r>
              <w:rPr>
                <w:rFonts w:ascii="宋体" w:hAnsi="宋体" w:cs="宋体" w:eastAsia="宋体" w:hint="default"/>
                <w:sz w:val="18"/>
                <w:szCs w:val="18"/>
              </w:rPr>
              <w:t>田飞冲</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1,966,740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1,966,740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22" w:right="0"/>
              <w:jc w:val="left"/>
              <w:rPr>
                <w:rFonts w:ascii="宋体" w:hAnsi="宋体" w:cs="宋体" w:eastAsia="宋体" w:hint="default"/>
                <w:sz w:val="18"/>
                <w:szCs w:val="18"/>
              </w:rPr>
            </w:pPr>
            <w:r>
              <w:rPr>
                <w:rFonts w:ascii="宋体" w:hAnsi="宋体" w:cs="宋体" w:eastAsia="宋体" w:hint="default"/>
                <w:sz w:val="18"/>
                <w:szCs w:val="18"/>
              </w:rPr>
              <w:t>非公开发行限售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自发行结束之日 起</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个月后满足 解锁条件的部分</w:t>
            </w:r>
          </w:p>
        </w:tc>
      </w:tr>
    </w:tbl>
    <w:p>
      <w:pPr>
        <w:spacing w:after="0" w:line="309" w:lineRule="auto"/>
        <w:jc w:val="both"/>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362" w:hRule="exact"/>
        </w:trPr>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612"/>
              <w:jc w:val="right"/>
              <w:rPr>
                <w:rFonts w:ascii="宋体" w:hAnsi="宋体" w:cs="宋体" w:eastAsia="宋体" w:hint="default"/>
                <w:sz w:val="18"/>
                <w:szCs w:val="18"/>
              </w:rPr>
            </w:pPr>
            <w:r>
              <w:rPr>
                <w:rFonts w:ascii="宋体" w:hAnsi="宋体" w:cs="宋体" w:eastAsia="宋体" w:hint="default"/>
                <w:sz w:val="18"/>
                <w:szCs w:val="18"/>
              </w:rPr>
              <w:t>分期解锁</w:t>
            </w:r>
          </w:p>
        </w:tc>
      </w:tr>
      <w:tr>
        <w:trPr>
          <w:trHeight w:val="133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任国平</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983,370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983,370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49"/>
              <w:jc w:val="center"/>
              <w:rPr>
                <w:rFonts w:ascii="宋体" w:hAnsi="宋体" w:cs="宋体" w:eastAsia="宋体" w:hint="default"/>
                <w:sz w:val="18"/>
                <w:szCs w:val="18"/>
              </w:rPr>
            </w:pPr>
            <w:r>
              <w:rPr>
                <w:rFonts w:ascii="宋体" w:hAnsi="宋体" w:cs="宋体" w:eastAsia="宋体" w:hint="default"/>
                <w:sz w:val="18"/>
                <w:szCs w:val="18"/>
              </w:rPr>
              <w:t>非公开发行限售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自发行结束之日 起</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个月后满足 解锁条件的部分 分期解锁</w:t>
            </w:r>
          </w:p>
        </w:tc>
      </w:tr>
      <w:tr>
        <w:trPr>
          <w:trHeight w:val="133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李局春</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983,370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983,370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49"/>
              <w:jc w:val="center"/>
              <w:rPr>
                <w:rFonts w:ascii="宋体" w:hAnsi="宋体" w:cs="宋体" w:eastAsia="宋体" w:hint="default"/>
                <w:sz w:val="18"/>
                <w:szCs w:val="18"/>
              </w:rPr>
            </w:pPr>
            <w:r>
              <w:rPr>
                <w:rFonts w:ascii="宋体" w:hAnsi="宋体" w:cs="宋体" w:eastAsia="宋体" w:hint="default"/>
                <w:sz w:val="18"/>
                <w:szCs w:val="18"/>
              </w:rPr>
              <w:t>非公开发行限售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自发行结束之日 起</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个月后满足 解锁条件的部分 分期解锁</w:t>
            </w:r>
          </w:p>
        </w:tc>
      </w:tr>
      <w:tr>
        <w:trPr>
          <w:trHeight w:val="1338"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文力</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983,370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983,370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49"/>
              <w:jc w:val="center"/>
              <w:rPr>
                <w:rFonts w:ascii="宋体" w:hAnsi="宋体" w:cs="宋体" w:eastAsia="宋体" w:hint="default"/>
                <w:sz w:val="18"/>
                <w:szCs w:val="18"/>
              </w:rPr>
            </w:pPr>
            <w:r>
              <w:rPr>
                <w:rFonts w:ascii="宋体" w:hAnsi="宋体" w:cs="宋体" w:eastAsia="宋体" w:hint="default"/>
                <w:sz w:val="18"/>
                <w:szCs w:val="18"/>
              </w:rPr>
              <w:t>非公开发行限售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自发行结束之日 起</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个月后满足 解锁条件的部分 分期解锁</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39,219,432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39,219,432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49"/>
              <w:jc w:val="center"/>
              <w:rPr>
                <w:rFonts w:ascii="宋体" w:hAnsi="宋体" w:cs="宋体" w:eastAsia="宋体" w:hint="default"/>
                <w:sz w:val="18"/>
                <w:szCs w:val="18"/>
              </w:rPr>
            </w:pPr>
            <w:r>
              <w:rPr>
                <w:rFonts w:ascii="宋体" w:hAnsi="宋体" w:cs="宋体" w:eastAsia="宋体" w:hint="default"/>
                <w:sz w:val="18"/>
                <w:szCs w:val="18"/>
              </w:rPr>
              <w:t>非公开发行限售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1026"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4"/>
              <w:jc w:val="both"/>
              <w:rPr>
                <w:rFonts w:ascii="宋体" w:hAnsi="宋体" w:cs="宋体" w:eastAsia="宋体" w:hint="default"/>
                <w:sz w:val="18"/>
                <w:szCs w:val="18"/>
              </w:rPr>
            </w:pPr>
            <w:r>
              <w:rPr>
                <w:rFonts w:ascii="宋体" w:hAnsi="宋体" w:cs="宋体" w:eastAsia="宋体" w:hint="default"/>
                <w:sz w:val="18"/>
                <w:szCs w:val="18"/>
              </w:rPr>
              <w:t>上海域鸿投资管 理中心（有限合 伙）</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39,219,432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39,219,432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49"/>
              <w:jc w:val="center"/>
              <w:rPr>
                <w:rFonts w:ascii="宋体" w:hAnsi="宋体" w:cs="宋体" w:eastAsia="宋体" w:hint="default"/>
                <w:sz w:val="18"/>
                <w:szCs w:val="18"/>
              </w:rPr>
            </w:pPr>
            <w:r>
              <w:rPr>
                <w:rFonts w:ascii="宋体" w:hAnsi="宋体" w:cs="宋体" w:eastAsia="宋体" w:hint="default"/>
                <w:sz w:val="18"/>
                <w:szCs w:val="18"/>
              </w:rPr>
              <w:t>非公开发行限售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357,595,025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357,595,025</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617"/>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0"/>
        <w:jc w:val="left"/>
        <w:rPr>
          <w:b w:val="0"/>
          <w:bCs w:val="0"/>
        </w:rPr>
      </w:pP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412"/>
        <w:gridCol w:w="1292"/>
        <w:gridCol w:w="1295"/>
        <w:gridCol w:w="1296"/>
        <w:gridCol w:w="1296"/>
        <w:gridCol w:w="1295"/>
        <w:gridCol w:w="1682"/>
      </w:tblGrid>
      <w:tr>
        <w:trPr>
          <w:trHeight w:val="714" w:hRule="exact"/>
        </w:trPr>
        <w:tc>
          <w:tcPr>
            <w:tcW w:w="14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30" w:right="71" w:hanging="360"/>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2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61" w:right="23" w:hanging="440"/>
              <w:jc w:val="left"/>
              <w:rPr>
                <w:rFonts w:ascii="宋体" w:hAnsi="宋体" w:cs="宋体" w:eastAsia="宋体" w:hint="default"/>
                <w:sz w:val="18"/>
                <w:szCs w:val="18"/>
              </w:rPr>
            </w:pPr>
            <w:r>
              <w:rPr>
                <w:rFonts w:ascii="宋体" w:hAnsi="宋体" w:cs="宋体" w:eastAsia="宋体" w:hint="default"/>
                <w:spacing w:val="-4"/>
                <w:sz w:val="18"/>
                <w:szCs w:val="18"/>
              </w:rPr>
              <w:t>发行价格（或利</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率）</w:t>
            </w:r>
          </w:p>
        </w:tc>
        <w:tc>
          <w:tcPr>
            <w:tcW w:w="1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2"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61" w:right="101" w:hanging="360"/>
              <w:jc w:val="left"/>
              <w:rPr>
                <w:rFonts w:ascii="宋体" w:hAnsi="宋体" w:cs="宋体" w:eastAsia="宋体" w:hint="default"/>
                <w:sz w:val="18"/>
                <w:szCs w:val="18"/>
              </w:rPr>
            </w:pPr>
            <w:r>
              <w:rPr>
                <w:rFonts w:ascii="宋体" w:hAnsi="宋体" w:cs="宋体" w:eastAsia="宋体" w:hint="default"/>
                <w:sz w:val="18"/>
                <w:szCs w:val="18"/>
              </w:rPr>
              <w:t>获准上市交易 数量</w:t>
            </w:r>
          </w:p>
        </w:tc>
        <w:tc>
          <w:tcPr>
            <w:tcW w:w="16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1"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714"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荣信股份</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7.94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279,156,161</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279,156,161</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荣信股份</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9.16</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78,438,864</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78,438,864</w:t>
            </w:r>
          </w:p>
        </w:tc>
        <w:tc>
          <w:tcPr>
            <w:tcW w:w="168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可转换公司债券、分离交易的可转换公司债券、公司债类</w:t>
            </w:r>
          </w:p>
        </w:tc>
      </w:tr>
      <w:tr>
        <w:trPr>
          <w:trHeight w:val="402" w:hRule="exact"/>
        </w:trPr>
        <w:tc>
          <w:tcPr>
            <w:tcW w:w="9569"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其他衍生证券类</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报告期内证券发行（不含优先股）情况的说明</w:t>
      </w:r>
    </w:p>
    <w:p>
      <w:pPr>
        <w:spacing w:line="240" w:lineRule="auto" w:before="10"/>
        <w:rPr>
          <w:rFonts w:ascii="宋体" w:hAnsi="宋体" w:cs="宋体" w:eastAsia="宋体" w:hint="default"/>
          <w:sz w:val="12"/>
          <w:szCs w:val="12"/>
        </w:rPr>
      </w:pPr>
    </w:p>
    <w:p>
      <w:pPr>
        <w:pStyle w:val="BodyText"/>
        <w:spacing w:line="386" w:lineRule="auto"/>
        <w:ind w:left="153" w:right="147" w:firstLine="384"/>
        <w:jc w:val="left"/>
      </w:pPr>
      <w:r>
        <w:rPr/>
        <w:t>报告期，经中国证券监督管理委员会证监许可【</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1717</w:t>
      </w:r>
      <w:r>
        <w:rPr/>
        <w:t>号《关于核准荣信电力电子股份有限公司 向余文胜等发行股份购买资产并募集配套资金的批复》核准，公司非公开发行新增股份</w:t>
      </w:r>
      <w:r>
        <w:rPr>
          <w:rFonts w:ascii="Times New Roman" w:hAnsi="Times New Roman" w:cs="Times New Roman" w:eastAsia="Times New Roman" w:hint="default"/>
        </w:rPr>
        <w:t>357,595,025</w:t>
      </w:r>
      <w:r>
        <w:rPr/>
        <w:t>股。</w:t>
      </w:r>
    </w:p>
    <w:p>
      <w:pPr>
        <w:spacing w:after="0" w:line="386"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3"/>
        <w:ind w:left="617" w:right="0" w:firstLine="24"/>
        <w:jc w:val="left"/>
      </w:pPr>
      <w:r>
        <w:rPr/>
        <w:t>本次非公开发行股票完成后，公司股份总数及股东结构变动情况请见本节</w:t>
      </w:r>
      <w:r>
        <w:rPr>
          <w:rFonts w:ascii="Times New Roman" w:hAnsi="Times New Roman" w:cs="Times New Roman" w:eastAsia="Times New Roman" w:hint="default"/>
        </w:rPr>
        <w:t>“</w:t>
      </w:r>
      <w:r>
        <w:rPr/>
        <w:t>股份变动情况</w:t>
      </w:r>
      <w:r>
        <w:rPr>
          <w:rFonts w:ascii="Times New Roman" w:hAnsi="Times New Roman" w:cs="Times New Roman" w:eastAsia="Times New Roman" w:hint="default"/>
        </w:rPr>
        <w:t>”</w:t>
      </w:r>
      <w:r>
        <w:rPr/>
        <w:t>。 </w:t>
      </w:r>
      <w:r>
        <w:rPr>
          <w:spacing w:val="-2"/>
        </w:rPr>
        <w:t>本次发行股份购买资产完成后，公司总资产、净资产大幅增加，资产负债率降低，财务风险降低，公</w:t>
      </w:r>
    </w:p>
    <w:p>
      <w:pPr>
        <w:pStyle w:val="BodyText"/>
        <w:spacing w:line="240" w:lineRule="auto" w:before="65"/>
        <w:ind w:left="153" w:right="0"/>
        <w:jc w:val="left"/>
      </w:pPr>
      <w:r>
        <w:rPr/>
        <w:t>司盈利能力增强。</w:t>
      </w:r>
    </w:p>
    <w:p>
      <w:pPr>
        <w:spacing w:line="240" w:lineRule="auto" w:before="0"/>
        <w:rPr>
          <w:rFonts w:ascii="宋体" w:hAnsi="宋体" w:cs="宋体" w:eastAsia="宋体" w:hint="default"/>
          <w:sz w:val="20"/>
          <w:szCs w:val="20"/>
        </w:rPr>
      </w:pPr>
    </w:p>
    <w:p>
      <w:pPr>
        <w:pStyle w:val="Heading3"/>
        <w:spacing w:line="240" w:lineRule="auto" w:before="154"/>
        <w:ind w:left="153" w:right="0"/>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before="0"/>
        <w:ind w:right="0"/>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5"/>
        <w:gridCol w:w="274"/>
        <w:gridCol w:w="923"/>
        <w:gridCol w:w="490"/>
        <w:gridCol w:w="748"/>
        <w:gridCol w:w="827"/>
        <w:gridCol w:w="328"/>
        <w:gridCol w:w="461"/>
        <w:gridCol w:w="761"/>
        <w:gridCol w:w="866"/>
        <w:gridCol w:w="305"/>
        <w:gridCol w:w="1044"/>
        <w:gridCol w:w="152"/>
        <w:gridCol w:w="1195"/>
      </w:tblGrid>
      <w:tr>
        <w:trPr>
          <w:trHeight w:val="1962"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80"/>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68" w:right="0"/>
              <w:jc w:val="left"/>
              <w:rPr>
                <w:rFonts w:ascii="Times New Roman" w:hAnsi="Times New Roman" w:cs="Times New Roman" w:eastAsia="Times New Roman" w:hint="default"/>
                <w:sz w:val="18"/>
                <w:szCs w:val="18"/>
              </w:rPr>
            </w:pPr>
            <w:r>
              <w:rPr>
                <w:rFonts w:ascii="Times New Roman"/>
                <w:sz w:val="18"/>
              </w:rPr>
              <w:t>40,856</w:t>
            </w:r>
          </w:p>
        </w:tc>
        <w:tc>
          <w:tcPr>
            <w:tcW w:w="123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22"/>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1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626" w:right="0"/>
              <w:jc w:val="left"/>
              <w:rPr>
                <w:rFonts w:ascii="Times New Roman" w:hAnsi="Times New Roman" w:cs="Times New Roman" w:eastAsia="Times New Roman" w:hint="default"/>
                <w:sz w:val="18"/>
                <w:szCs w:val="18"/>
              </w:rPr>
            </w:pPr>
            <w:r>
              <w:rPr>
                <w:rFonts w:ascii="Times New Roman"/>
                <w:sz w:val="18"/>
              </w:rPr>
              <w:t>50,232</w:t>
            </w:r>
          </w:p>
        </w:tc>
        <w:tc>
          <w:tcPr>
            <w:tcW w:w="12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07"/>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22" w:right="47"/>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9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8" w:type="dxa"/>
            <w:gridSpan w:val="1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402" w:hRule="exact"/>
        </w:trPr>
        <w:tc>
          <w:tcPr>
            <w:tcW w:w="146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4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11"/>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8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8" w:right="2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8"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61"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27" w:right="1"/>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6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80" w:right="54"/>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69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1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624" w:hRule="exact"/>
        </w:trPr>
        <w:tc>
          <w:tcPr>
            <w:tcW w:w="1469" w:type="dxa"/>
            <w:gridSpan w:val="2"/>
            <w:vMerge/>
            <w:tcBorders>
              <w:left w:val="single" w:sz="4" w:space="0" w:color="000000"/>
              <w:bottom w:val="single" w:sz="4" w:space="0" w:color="000000"/>
              <w:right w:val="single" w:sz="4" w:space="0" w:color="000000"/>
            </w:tcBorders>
            <w:shd w:val="clear" w:color="auto" w:fill="D3D3D3"/>
          </w:tcPr>
          <w:p>
            <w:pPr/>
          </w:p>
        </w:tc>
        <w:tc>
          <w:tcPr>
            <w:tcW w:w="1412" w:type="dxa"/>
            <w:gridSpan w:val="2"/>
            <w:vMerge/>
            <w:tcBorders>
              <w:left w:val="single" w:sz="4" w:space="0" w:color="000000"/>
              <w:bottom w:val="single" w:sz="4" w:space="0" w:color="000000"/>
              <w:right w:val="single" w:sz="4" w:space="0" w:color="000000"/>
            </w:tcBorders>
            <w:shd w:val="clear" w:color="auto" w:fill="D3D3D3"/>
          </w:tcPr>
          <w:p>
            <w:pPr/>
          </w:p>
        </w:tc>
        <w:tc>
          <w:tcPr>
            <w:tcW w:w="748" w:type="dxa"/>
            <w:vMerge/>
            <w:tcBorders>
              <w:left w:val="single" w:sz="4" w:space="0" w:color="000000"/>
              <w:bottom w:val="single" w:sz="4" w:space="0" w:color="000000"/>
              <w:right w:val="single" w:sz="4" w:space="0" w:color="000000"/>
            </w:tcBorders>
            <w:shd w:val="clear" w:color="auto" w:fill="D3D3D3"/>
          </w:tcPr>
          <w:p>
            <w:pPr/>
          </w:p>
        </w:tc>
        <w:tc>
          <w:tcPr>
            <w:tcW w:w="827" w:type="dxa"/>
            <w:vMerge/>
            <w:tcBorders>
              <w:left w:val="single" w:sz="4" w:space="0" w:color="000000"/>
              <w:bottom w:val="single" w:sz="4" w:space="0" w:color="000000"/>
              <w:right w:val="single" w:sz="4" w:space="0" w:color="000000"/>
            </w:tcBorders>
            <w:shd w:val="clear" w:color="auto" w:fill="D3D3D3"/>
          </w:tcPr>
          <w:p>
            <w:pPr/>
          </w:p>
        </w:tc>
        <w:tc>
          <w:tcPr>
            <w:tcW w:w="788" w:type="dxa"/>
            <w:gridSpan w:val="2"/>
            <w:vMerge/>
            <w:tcBorders>
              <w:left w:val="single" w:sz="4" w:space="0" w:color="000000"/>
              <w:bottom w:val="single" w:sz="4" w:space="0" w:color="000000"/>
              <w:right w:val="single" w:sz="4" w:space="0" w:color="000000"/>
            </w:tcBorders>
            <w:shd w:val="clear" w:color="auto" w:fill="D3D3D3"/>
          </w:tcPr>
          <w:p>
            <w:pPr/>
          </w:p>
        </w:tc>
        <w:tc>
          <w:tcPr>
            <w:tcW w:w="761" w:type="dxa"/>
            <w:vMerge/>
            <w:tcBorders>
              <w:left w:val="single" w:sz="4" w:space="0" w:color="000000"/>
              <w:bottom w:val="single" w:sz="4" w:space="0" w:color="000000"/>
              <w:right w:val="single" w:sz="4" w:space="0" w:color="000000"/>
            </w:tcBorders>
            <w:shd w:val="clear" w:color="auto" w:fill="D3D3D3"/>
          </w:tcPr>
          <w:p>
            <w:pPr/>
          </w:p>
        </w:tc>
        <w:tc>
          <w:tcPr>
            <w:tcW w:w="866" w:type="dxa"/>
            <w:vMerge/>
            <w:tcBorders>
              <w:left w:val="single" w:sz="4" w:space="0" w:color="000000"/>
              <w:bottom w:val="single" w:sz="4" w:space="0" w:color="000000"/>
              <w:right w:val="single" w:sz="4" w:space="0" w:color="000000"/>
            </w:tcBorders>
            <w:shd w:val="clear" w:color="auto" w:fill="D3D3D3"/>
          </w:tcPr>
          <w:p>
            <w:pPr/>
          </w:p>
        </w:tc>
        <w:tc>
          <w:tcPr>
            <w:tcW w:w="134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14.81%</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127,596,5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33</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12759653</w:t>
            </w:r>
          </w:p>
          <w:p>
            <w:pPr>
              <w:pStyle w:val="TableParagraph"/>
              <w:spacing w:line="240" w:lineRule="auto" w:before="106"/>
              <w:ind w:left="22" w:right="0"/>
              <w:jc w:val="left"/>
              <w:rPr>
                <w:rFonts w:ascii="Times New Roman" w:hAnsi="Times New Roman" w:cs="Times New Roman" w:eastAsia="Times New Roman" w:hint="default"/>
                <w:sz w:val="18"/>
                <w:szCs w:val="18"/>
              </w:rPr>
            </w:pPr>
            <w:r>
              <w:rPr>
                <w:rFonts w:ascii="Times New Roman"/>
                <w:sz w:val="18"/>
              </w:rPr>
              <w:t>3</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z w:val="18"/>
              </w:rPr>
              <w:t>127,596,5</w:t>
            </w:r>
          </w:p>
          <w:p>
            <w:pPr>
              <w:pStyle w:val="TableParagraph"/>
              <w:spacing w:line="240" w:lineRule="auto" w:before="106"/>
              <w:ind w:right="-3"/>
              <w:jc w:val="right"/>
              <w:rPr>
                <w:rFonts w:ascii="Times New Roman" w:hAnsi="Times New Roman" w:cs="Times New Roman" w:eastAsia="Times New Roman" w:hint="default"/>
                <w:sz w:val="18"/>
                <w:szCs w:val="18"/>
              </w:rPr>
            </w:pPr>
            <w:r>
              <w:rPr>
                <w:rFonts w:ascii="Times New Roman"/>
                <w:sz w:val="18"/>
              </w:rPr>
              <w:t>33</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深圳市深港产学 研创业投资有限 公司</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8.60%</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74,073,31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3"/>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74,073,31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50,402,050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6.80%</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58,589,73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z w:val="18"/>
              </w:rPr>
              <w:t>43,942,29</w:t>
            </w:r>
          </w:p>
          <w:p>
            <w:pPr>
              <w:pStyle w:val="TableParagraph"/>
              <w:spacing w:line="240" w:lineRule="auto" w:before="106"/>
              <w:ind w:right="-3"/>
              <w:jc w:val="right"/>
              <w:rPr>
                <w:rFonts w:ascii="Times New Roman" w:hAnsi="Times New Roman" w:cs="Times New Roman" w:eastAsia="Times New Roman" w:hint="default"/>
                <w:sz w:val="18"/>
                <w:szCs w:val="18"/>
              </w:rPr>
            </w:pPr>
            <w:r>
              <w:rPr>
                <w:rFonts w:ascii="Times New Roman"/>
                <w:sz w:val="18"/>
              </w:rPr>
              <w:t>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14,647,43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22,500,000</w:t>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孙慧</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4.55%</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39,219,43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39219432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z w:val="18"/>
              </w:rPr>
              <w:t>39,219,43</w:t>
            </w:r>
          </w:p>
          <w:p>
            <w:pPr>
              <w:pStyle w:val="TableParagraph"/>
              <w:spacing w:line="240" w:lineRule="auto" w:before="106"/>
              <w:ind w:right="-3"/>
              <w:jc w:val="right"/>
              <w:rPr>
                <w:rFonts w:ascii="Times New Roman" w:hAnsi="Times New Roman" w:cs="Times New Roman" w:eastAsia="Times New Roman" w:hint="default"/>
                <w:sz w:val="18"/>
                <w:szCs w:val="18"/>
              </w:rPr>
            </w:pPr>
            <w:r>
              <w:rPr>
                <w:rFonts w:ascii="Times New Roman"/>
                <w:sz w:val="18"/>
              </w:rPr>
              <w:t>2</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39,219,432</w:t>
            </w:r>
          </w:p>
        </w:tc>
      </w:tr>
      <w:tr>
        <w:trPr>
          <w:trHeight w:val="1026"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上海域鸿投资管 理中心（有限合 伙）</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4.55%</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39,219,43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39219432</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
              <w:jc w:val="right"/>
              <w:rPr>
                <w:rFonts w:ascii="Times New Roman" w:hAnsi="Times New Roman" w:cs="Times New Roman" w:eastAsia="Times New Roman" w:hint="default"/>
                <w:sz w:val="18"/>
                <w:szCs w:val="18"/>
              </w:rPr>
            </w:pPr>
            <w:r>
              <w:rPr>
                <w:rFonts w:ascii="Times New Roman"/>
                <w:sz w:val="18"/>
              </w:rPr>
              <w:t>39,219,43</w:t>
            </w:r>
          </w:p>
          <w:p>
            <w:pPr>
              <w:pStyle w:val="TableParagraph"/>
              <w:spacing w:line="240" w:lineRule="auto" w:before="106"/>
              <w:ind w:right="-3"/>
              <w:jc w:val="right"/>
              <w:rPr>
                <w:rFonts w:ascii="Times New Roman" w:hAnsi="Times New Roman" w:cs="Times New Roman" w:eastAsia="Times New Roman" w:hint="default"/>
                <w:sz w:val="18"/>
                <w:szCs w:val="18"/>
              </w:rPr>
            </w:pPr>
            <w:r>
              <w:rPr>
                <w:rFonts w:ascii="Times New Roman"/>
                <w:sz w:val="18"/>
              </w:rPr>
              <w:t>2</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74"/>
              <w:jc w:val="left"/>
              <w:rPr>
                <w:rFonts w:ascii="宋体" w:hAnsi="宋体" w:cs="宋体" w:eastAsia="宋体" w:hint="default"/>
                <w:sz w:val="18"/>
                <w:szCs w:val="18"/>
              </w:rPr>
            </w:pPr>
            <w:r>
              <w:rPr>
                <w:rFonts w:ascii="宋体" w:hAnsi="宋体" w:cs="宋体" w:eastAsia="宋体" w:hint="default"/>
                <w:sz w:val="18"/>
                <w:szCs w:val="18"/>
              </w:rPr>
              <w:t>上海金融发展投 资基金（有限合</w:t>
            </w:r>
          </w:p>
        </w:tc>
        <w:tc>
          <w:tcPr>
            <w:tcW w:w="1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2.43%</w:t>
            </w:r>
          </w:p>
        </w:tc>
        <w:tc>
          <w:tcPr>
            <w:tcW w:w="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20,936,55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7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20936550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right"/>
              <w:rPr>
                <w:rFonts w:ascii="Times New Roman" w:hAnsi="Times New Roman" w:cs="Times New Roman" w:eastAsia="Times New Roman" w:hint="default"/>
                <w:sz w:val="18"/>
                <w:szCs w:val="18"/>
              </w:rPr>
            </w:pPr>
            <w:r>
              <w:rPr>
                <w:rFonts w:ascii="Times New Roman"/>
                <w:sz w:val="18"/>
              </w:rPr>
              <w:t>20,936,55</w:t>
            </w:r>
          </w:p>
          <w:p>
            <w:pPr>
              <w:pStyle w:val="TableParagraph"/>
              <w:spacing w:line="240" w:lineRule="auto" w:before="106"/>
              <w:ind w:right="-3"/>
              <w:jc w:val="right"/>
              <w:rPr>
                <w:rFonts w:ascii="Times New Roman" w:hAnsi="Times New Roman" w:cs="Times New Roman" w:eastAsia="Times New Roman" w:hint="default"/>
                <w:sz w:val="18"/>
                <w:szCs w:val="18"/>
              </w:rPr>
            </w:pPr>
            <w:r>
              <w:rPr>
                <w:rFonts w:ascii="Times New Roman"/>
                <w:sz w:val="18"/>
              </w:rPr>
              <w:t>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gridSpan w:val="2"/>
            <w:tcBorders>
              <w:top w:val="single" w:sz="4" w:space="0" w:color="000000"/>
              <w:left w:val="single" w:sz="4" w:space="0" w:color="000000"/>
              <w:bottom w:val="single" w:sz="4" w:space="0" w:color="000000"/>
              <w:right w:val="single" w:sz="4" w:space="0" w:color="000000"/>
            </w:tcBorders>
          </w:tcPr>
          <w:p>
            <w:pPr/>
          </w:p>
        </w:tc>
        <w:tc>
          <w:tcPr>
            <w:tcW w:w="1348"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69"/>
        <w:gridCol w:w="1412"/>
        <w:gridCol w:w="788"/>
        <w:gridCol w:w="786"/>
        <w:gridCol w:w="788"/>
        <w:gridCol w:w="787"/>
        <w:gridCol w:w="840"/>
        <w:gridCol w:w="1349"/>
        <w:gridCol w:w="1348"/>
      </w:tblGrid>
      <w:tr>
        <w:trPr>
          <w:trHeight w:val="36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伙）</w:t>
            </w:r>
          </w:p>
        </w:tc>
        <w:tc>
          <w:tcPr>
            <w:tcW w:w="1412"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6" w:type="dxa"/>
            <w:tcBorders>
              <w:top w:val="single" w:sz="4" w:space="0" w:color="000000"/>
              <w:left w:val="single" w:sz="4" w:space="0" w:color="000000"/>
              <w:bottom w:val="single" w:sz="4" w:space="0" w:color="000000"/>
              <w:right w:val="single" w:sz="4" w:space="0" w:color="000000"/>
            </w:tcBorders>
          </w:tcPr>
          <w:p>
            <w:pP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深圳市创新投资 集团有限公司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2.20%</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18,994,37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18994378</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18,994,37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深圳市万达高创 投投资有限公司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1.86%</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16,043,50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16043502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16,043,50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13,000,000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1.78%</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15,324,18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15324189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15,324,18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深圳市天图兴瑞 创业投资有限公 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14,102,09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14102090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14,102,09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86" w:type="dxa"/>
            <w:gridSpan w:val="7"/>
            <w:tcBorders>
              <w:top w:val="single" w:sz="4" w:space="0" w:color="000000"/>
              <w:left w:val="single" w:sz="10" w:space="0" w:color="D3D3D3"/>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6686" w:type="dxa"/>
            <w:gridSpan w:val="7"/>
            <w:vMerge w:val="restart"/>
            <w:tcBorders>
              <w:top w:val="single" w:sz="4" w:space="0" w:color="000000"/>
              <w:left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公司控股股东为左强和深圳市深港产学研创业投资有限公司及其一致行动人深圳市 松禾成长创业投资合伙企业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，与其他前</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名股东之间不存在关联关系，也</w:t>
            </w:r>
            <w:r>
              <w:rPr>
                <w:rFonts w:ascii="宋体" w:hAnsi="宋体" w:cs="宋体" w:eastAsia="宋体" w:hint="default"/>
                <w:sz w:val="18"/>
                <w:szCs w:val="18"/>
              </w:rPr>
              <w:t> 不属于《上市公司股东持股变动信息披露管理办法》中规定的一致行动人。</w:t>
            </w:r>
          </w:p>
        </w:tc>
      </w:tr>
      <w:tr>
        <w:trPr>
          <w:trHeight w:val="704"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6" w:type="dxa"/>
            <w:gridSpan w:val="7"/>
            <w:vMerge/>
            <w:tcBorders>
              <w:left w:val="single" w:sz="4" w:space="0" w:color="000000"/>
              <w:right w:val="single" w:sz="4" w:space="0" w:color="000000"/>
            </w:tcBorders>
          </w:tcPr>
          <w:p>
            <w:pPr/>
          </w:p>
        </w:tc>
      </w:tr>
      <w:tr>
        <w:trPr>
          <w:trHeight w:val="161"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6686" w:type="dxa"/>
            <w:gridSpan w:val="7"/>
            <w:vMerge/>
            <w:tcBorders>
              <w:left w:val="single" w:sz="4" w:space="0" w:color="000000"/>
              <w:bottom w:val="single" w:sz="4" w:space="0" w:color="000000"/>
              <w:right w:val="single" w:sz="4" w:space="0" w:color="000000"/>
            </w:tcBorders>
          </w:tcPr>
          <w:p>
            <w:pP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5"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3990" w:type="dxa"/>
            <w:gridSpan w:val="5"/>
            <w:tcBorders>
              <w:top w:val="single" w:sz="4" w:space="0" w:color="000000"/>
              <w:left w:val="single" w:sz="4" w:space="0" w:color="000000"/>
              <w:bottom w:val="nil" w:sz="6" w:space="0" w:color="auto"/>
              <w:right w:val="single" w:sz="4" w:space="0" w:color="000000"/>
            </w:tcBorders>
            <w:shd w:val="clear" w:color="auto" w:fill="D3D3D3"/>
          </w:tcPr>
          <w:p>
            <w:pPr/>
          </w:p>
        </w:tc>
        <w:tc>
          <w:tcPr>
            <w:tcW w:w="269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2881"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6"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881" w:type="dxa"/>
            <w:gridSpan w:val="2"/>
            <w:vMerge/>
            <w:tcBorders>
              <w:left w:val="single" w:sz="4" w:space="0" w:color="000000"/>
              <w:bottom w:val="nil" w:sz="6" w:space="0" w:color="auto"/>
              <w:right w:val="single" w:sz="4" w:space="0" w:color="000000"/>
            </w:tcBorders>
            <w:shd w:val="clear" w:color="auto" w:fill="D3D3D3"/>
          </w:tcPr>
          <w:p>
            <w:pPr/>
          </w:p>
        </w:tc>
        <w:tc>
          <w:tcPr>
            <w:tcW w:w="3990" w:type="dxa"/>
            <w:gridSpan w:val="5"/>
            <w:vMerge/>
            <w:tcBorders>
              <w:left w:val="single" w:sz="4" w:space="0" w:color="000000"/>
              <w:bottom w:val="nil" w:sz="6" w:space="0" w:color="auto"/>
              <w:right w:val="single" w:sz="4" w:space="0" w:color="000000"/>
            </w:tcBorders>
            <w:shd w:val="clear" w:color="auto" w:fill="D3D3D3"/>
          </w:tcPr>
          <w:p>
            <w:pPr/>
          </w:p>
        </w:tc>
        <w:tc>
          <w:tcPr>
            <w:tcW w:w="13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3990" w:type="dxa"/>
            <w:gridSpan w:val="5"/>
            <w:tcBorders>
              <w:top w:val="nil" w:sz="6" w:space="0" w:color="auto"/>
              <w:left w:val="single" w:sz="4" w:space="0" w:color="000000"/>
              <w:bottom w:val="single" w:sz="4" w:space="0" w:color="000000"/>
              <w:right w:val="single" w:sz="4" w:space="0" w:color="000000"/>
            </w:tcBorders>
            <w:shd w:val="clear" w:color="auto" w:fill="D3D3D3"/>
          </w:tcPr>
          <w:p>
            <w:pPr/>
          </w:p>
        </w:tc>
        <w:tc>
          <w:tcPr>
            <w:tcW w:w="1349" w:type="dxa"/>
            <w:vMerge/>
            <w:tcBorders>
              <w:left w:val="single" w:sz="4" w:space="0" w:color="000000"/>
              <w:bottom w:val="single" w:sz="4" w:space="0" w:color="000000"/>
              <w:right w:val="single" w:sz="4" w:space="0" w:color="000000"/>
            </w:tcBorders>
            <w:shd w:val="clear" w:color="auto" w:fill="D3D3D3"/>
          </w:tcPr>
          <w:p>
            <w:pPr/>
          </w:p>
        </w:tc>
        <w:tc>
          <w:tcPr>
            <w:tcW w:w="1348"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深圳市深港产学研创业投资有限公 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74,073,316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74,073,316</w:t>
            </w: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14,647,433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14,647,433</w:t>
            </w:r>
          </w:p>
        </w:tc>
      </w:tr>
      <w:tr>
        <w:trPr>
          <w:trHeight w:val="1026"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6"/>
              <w:jc w:val="both"/>
              <w:rPr>
                <w:rFonts w:ascii="宋体" w:hAnsi="宋体" w:cs="宋体" w:eastAsia="宋体" w:hint="default"/>
                <w:sz w:val="18"/>
                <w:szCs w:val="18"/>
              </w:rPr>
            </w:pPr>
            <w:r>
              <w:rPr>
                <w:rFonts w:ascii="宋体" w:hAnsi="宋体" w:cs="宋体" w:eastAsia="宋体" w:hint="default"/>
                <w:sz w:val="18"/>
                <w:szCs w:val="18"/>
              </w:rPr>
              <w:t>中国建设银行股份有限公司－宝盈 新兴产业灵活配置混合型证券投资 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12,499,693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12,499,693</w:t>
            </w:r>
          </w:p>
        </w:tc>
      </w:tr>
      <w:tr>
        <w:trPr>
          <w:trHeight w:val="71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中国工商银行－宝盈泛沿海区域增 长股票证券投资基金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8,339,504</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8,339,504</w:t>
            </w: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东方证券股份有限公司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6,508,423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6,508,423</w:t>
            </w:r>
          </w:p>
        </w:tc>
      </w:tr>
      <w:tr>
        <w:trPr>
          <w:trHeight w:val="71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交通银行－中海优质成长证券投资 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4,809,387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4,809,387</w:t>
            </w: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夏汉英</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3,996,365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3,996,365</w:t>
            </w:r>
          </w:p>
        </w:tc>
      </w:tr>
      <w:tr>
        <w:trPr>
          <w:trHeight w:val="71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新华人寿保险股份有限公司－分红</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－个人分红</w:t>
            </w:r>
            <w:r>
              <w:rPr>
                <w:rFonts w:ascii="Times New Roman" w:hAnsi="Times New Roman" w:cs="Times New Roman" w:eastAsia="Times New Roman" w:hint="default"/>
                <w:sz w:val="18"/>
                <w:szCs w:val="18"/>
              </w:rPr>
              <w:t>-018L-FH002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深</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3,483,050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3,483,050</w:t>
            </w:r>
          </w:p>
        </w:tc>
      </w:tr>
      <w:tr>
        <w:trPr>
          <w:trHeight w:val="71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海通资管－民生－海通海汇系列－ 星石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号集合资产管理计划</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3,068,003</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3,068,003</w:t>
            </w:r>
          </w:p>
        </w:tc>
      </w:tr>
      <w:tr>
        <w:trPr>
          <w:trHeight w:val="1026"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6"/>
              <w:jc w:val="both"/>
              <w:rPr>
                <w:rFonts w:ascii="宋体" w:hAnsi="宋体" w:cs="宋体" w:eastAsia="宋体" w:hint="default"/>
                <w:sz w:val="18"/>
                <w:szCs w:val="18"/>
              </w:rPr>
            </w:pPr>
            <w:r>
              <w:rPr>
                <w:rFonts w:ascii="宋体" w:hAnsi="宋体" w:cs="宋体" w:eastAsia="宋体" w:hint="default"/>
                <w:sz w:val="18"/>
                <w:szCs w:val="18"/>
              </w:rPr>
              <w:t>中国建设银行股份有限公司－融通 新能源灵活配置混合型证券投资基 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2,999,961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2,999,961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81"/>
        <w:gridCol w:w="6686"/>
      </w:tblGrid>
      <w:tr>
        <w:trPr>
          <w:trHeight w:val="358" w:hRule="exact"/>
        </w:trPr>
        <w:tc>
          <w:tcPr>
            <w:tcW w:w="2881" w:type="dxa"/>
            <w:tcBorders>
              <w:top w:val="single" w:sz="4" w:space="0" w:color="000000"/>
              <w:left w:val="single" w:sz="4" w:space="0" w:color="000000"/>
              <w:bottom w:val="nil" w:sz="6" w:space="0" w:color="auto"/>
              <w:right w:val="single" w:sz="4" w:space="0" w:color="000000"/>
            </w:tcBorders>
            <w:shd w:val="clear" w:color="auto" w:fill="D3D3D3"/>
          </w:tcPr>
          <w:p>
            <w:pPr/>
          </w:p>
        </w:tc>
        <w:tc>
          <w:tcPr>
            <w:tcW w:w="668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公司控股股东为左强和深圳市深港产学研创业投资有限公司及其一致行动人深圳市</w:t>
            </w:r>
          </w:p>
        </w:tc>
      </w:tr>
      <w:tr>
        <w:trPr>
          <w:trHeight w:val="317" w:hRule="exact"/>
        </w:trPr>
        <w:tc>
          <w:tcPr>
            <w:tcW w:w="288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tc>
        <w:tc>
          <w:tcPr>
            <w:tcW w:w="6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松禾成长创业投资合伙企业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，与其他前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w:t>
            </w:r>
          </w:p>
        </w:tc>
      </w:tr>
      <w:tr>
        <w:trPr>
          <w:trHeight w:val="312" w:hRule="exact"/>
        </w:trPr>
        <w:tc>
          <w:tcPr>
            <w:tcW w:w="288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p>
        </w:tc>
        <w:tc>
          <w:tcPr>
            <w:tcW w:w="6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
                <w:sz w:val="18"/>
                <w:szCs w:val="18"/>
              </w:rPr>
              <w:t>东之间不存在关联关系，也不属于《上市公司股东持股变动信息披露管理办法》中规</w:t>
            </w:r>
          </w:p>
        </w:tc>
      </w:tr>
      <w:tr>
        <w:trPr>
          <w:trHeight w:val="307" w:hRule="exact"/>
        </w:trPr>
        <w:tc>
          <w:tcPr>
            <w:tcW w:w="288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名股东之间关联关系或一致行动的</w:t>
            </w:r>
          </w:p>
        </w:tc>
        <w:tc>
          <w:tcPr>
            <w:tcW w:w="668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1"/>
                <w:sz w:val="18"/>
                <w:szCs w:val="18"/>
              </w:rPr>
              <w:t>定的一致行动人；未知以上无限售条件股东之间是否存在关联关系，未知以上无限售</w:t>
            </w:r>
          </w:p>
        </w:tc>
      </w:tr>
      <w:tr>
        <w:trPr>
          <w:trHeight w:val="318" w:hRule="exact"/>
        </w:trPr>
        <w:tc>
          <w:tcPr>
            <w:tcW w:w="288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668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条件股东与上述前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名股东之间是否存在关联关系，也未知以上无限售条件股东是</w:t>
            </w:r>
          </w:p>
        </w:tc>
      </w:tr>
      <w:tr>
        <w:trPr>
          <w:trHeight w:val="351" w:hRule="exact"/>
        </w:trPr>
        <w:tc>
          <w:tcPr>
            <w:tcW w:w="2881" w:type="dxa"/>
            <w:tcBorders>
              <w:top w:val="nil" w:sz="6" w:space="0" w:color="auto"/>
              <w:left w:val="single" w:sz="4" w:space="0" w:color="000000"/>
              <w:bottom w:val="single" w:sz="4" w:space="0" w:color="000000"/>
              <w:right w:val="single" w:sz="4" w:space="0" w:color="000000"/>
            </w:tcBorders>
            <w:shd w:val="clear" w:color="auto" w:fill="D3D3D3"/>
          </w:tcPr>
          <w:p>
            <w:pPr/>
          </w:p>
        </w:tc>
        <w:tc>
          <w:tcPr>
            <w:tcW w:w="668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否属于《上市公司股东持股变动信息披露管理办法》中规定的一致行动人。</w:t>
            </w:r>
          </w:p>
        </w:tc>
      </w:tr>
      <w:tr>
        <w:trPr>
          <w:trHeight w:val="1026" w:hRule="exact"/>
        </w:trPr>
        <w:tc>
          <w:tcPr>
            <w:tcW w:w="28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5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深圳市深港产学研创业投资有限公司通过其证券账户持有公司股票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64,073,316</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股，通</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过海通证券股份有限公司信用交易担保账户持有公司股票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10,000,000</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股，合计持有公</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司股票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74,073,316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3"/>
        <w:spacing w:line="240" w:lineRule="auto" w:before="0"/>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3" w:right="7611"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控股股东类型：法人</w:t>
      </w:r>
    </w:p>
    <w:tbl>
      <w:tblPr>
        <w:tblW w:w="0" w:type="auto"/>
        <w:jc w:val="left"/>
        <w:tblInd w:w="149" w:type="dxa"/>
        <w:tblLayout w:type="fixed"/>
        <w:tblCellMar>
          <w:top w:w="0" w:type="dxa"/>
          <w:left w:w="0" w:type="dxa"/>
          <w:bottom w:w="0" w:type="dxa"/>
          <w:right w:w="0" w:type="dxa"/>
        </w:tblCellMar>
        <w:tblLook w:val="01E0"/>
      </w:tblPr>
      <w:tblGrid>
        <w:gridCol w:w="1997"/>
        <w:gridCol w:w="1829"/>
        <w:gridCol w:w="1894"/>
        <w:gridCol w:w="1934"/>
        <w:gridCol w:w="1914"/>
      </w:tblGrid>
      <w:tr>
        <w:trPr>
          <w:trHeight w:val="714"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818" w:right="73"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1"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714"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2"/>
              <w:jc w:val="left"/>
              <w:rPr>
                <w:rFonts w:ascii="宋体" w:hAnsi="宋体" w:cs="宋体" w:eastAsia="宋体" w:hint="default"/>
                <w:sz w:val="18"/>
                <w:szCs w:val="18"/>
              </w:rPr>
            </w:pPr>
            <w:r>
              <w:rPr>
                <w:rFonts w:ascii="宋体" w:hAnsi="宋体" w:cs="宋体" w:eastAsia="宋体" w:hint="default"/>
                <w:sz w:val="18"/>
                <w:szCs w:val="18"/>
              </w:rPr>
              <w:t>深圳市深港产学研创业 投资有限公司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厉伟</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27926773-X</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8"/>
              <w:jc w:val="left"/>
              <w:rPr>
                <w:rFonts w:ascii="宋体" w:hAnsi="宋体" w:cs="宋体" w:eastAsia="宋体" w:hint="default"/>
                <w:sz w:val="18"/>
                <w:szCs w:val="18"/>
              </w:rPr>
            </w:pPr>
            <w:r>
              <w:rPr>
                <w:rFonts w:ascii="宋体" w:hAnsi="宋体" w:cs="宋体" w:eastAsia="宋体" w:hint="default"/>
                <w:sz w:val="18"/>
                <w:szCs w:val="18"/>
              </w:rPr>
              <w:t>直接投资高新技术产业 和其他技术创新产业</w:t>
            </w:r>
          </w:p>
        </w:tc>
      </w:tr>
      <w:tr>
        <w:trPr>
          <w:trHeight w:val="1026" w:hRule="exact"/>
        </w:trPr>
        <w:tc>
          <w:tcPr>
            <w:tcW w:w="19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2"/>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71"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2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日，深圳市深港产学研创业投资有限公司持有国民技术（</w:t>
            </w:r>
            <w:r>
              <w:rPr>
                <w:rFonts w:ascii="Times New Roman" w:hAnsi="Times New Roman" w:cs="Times New Roman" w:eastAsia="Times New Roman" w:hint="default"/>
                <w:spacing w:val="-3"/>
                <w:sz w:val="18"/>
                <w:szCs w:val="18"/>
              </w:rPr>
              <w:t>300077</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354.5125</w:t>
            </w:r>
            <w:r>
              <w:rPr>
                <w:rFonts w:ascii="Times New Roman" w:hAnsi="Times New Roman" w:cs="Times New Roman" w:eastAsia="Times New Roman" w:hint="default"/>
                <w:sz w:val="18"/>
                <w:szCs w:val="18"/>
              </w:rPr>
              <w:t> </w:t>
            </w:r>
            <w:r>
              <w:rPr>
                <w:rFonts w:ascii="宋体" w:hAnsi="宋体" w:cs="宋体" w:eastAsia="宋体" w:hint="default"/>
                <w:sz w:val="18"/>
                <w:szCs w:val="18"/>
              </w:rPr>
              <w:t>万股。</w:t>
            </w:r>
          </w:p>
        </w:tc>
      </w:tr>
    </w:tbl>
    <w:p>
      <w:pPr>
        <w:spacing w:before="65"/>
        <w:ind w:left="154" w:right="0" w:firstLine="0"/>
        <w:jc w:val="left"/>
        <w:rPr>
          <w:rFonts w:ascii="宋体" w:hAnsi="宋体" w:cs="宋体" w:eastAsia="宋体" w:hint="default"/>
          <w:sz w:val="18"/>
          <w:szCs w:val="18"/>
        </w:rPr>
      </w:pPr>
      <w:r>
        <w:rPr>
          <w:rFonts w:ascii="宋体" w:hAnsi="宋体" w:cs="宋体" w:eastAsia="宋体" w:hint="default"/>
          <w:sz w:val="18"/>
          <w:szCs w:val="18"/>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spacing w:before="0"/>
        <w:ind w:left="0" w:right="158" w:firstLine="0"/>
        <w:jc w:val="right"/>
        <w:rPr>
          <w:rFonts w:ascii="宋体" w:hAnsi="宋体" w:cs="宋体" w:eastAsia="宋体" w:hint="default"/>
          <w:sz w:val="18"/>
          <w:szCs w:val="18"/>
        </w:rPr>
      </w:pPr>
      <w:r>
        <w:rPr/>
        <w:pict>
          <v:shape style="position:absolute;margin-left:56.459999pt;margin-top:-43.247982pt;width:479.1pt;height:112.1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85"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月起任公司董事，现任公司董事长、总裁，兼任荣信嘉时（北京 科技发展有限公司董事长，辽宁荣信电气传动技术有限责任公司董事长，北京 荣信中科电气设备有限公司董事长</w:t>
                        </w:r>
                        <w:r>
                          <w:rPr>
                            <w:rFonts w:ascii="宋体" w:hAnsi="宋体" w:cs="宋体" w:eastAsia="宋体" w:hint="default"/>
                            <w:sz w:val="24"/>
                            <w:szCs w:val="24"/>
                          </w:rPr>
                          <w:t>、</w:t>
                        </w:r>
                        <w:r>
                          <w:rPr>
                            <w:rFonts w:ascii="宋体" w:hAnsi="宋体" w:cs="宋体" w:eastAsia="宋体" w:hint="default"/>
                            <w:sz w:val="18"/>
                            <w:szCs w:val="18"/>
                          </w:rPr>
                          <w:t>荣西电力传输技术有限公司执行董事。</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4" w:right="707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2"/>
        <w:rPr>
          <w:rFonts w:ascii="宋体" w:hAnsi="宋体" w:cs="宋体" w:eastAsia="宋体" w:hint="default"/>
          <w:sz w:val="21"/>
          <w:szCs w:val="21"/>
        </w:rPr>
      </w:pPr>
    </w:p>
    <w:p>
      <w:pPr>
        <w:pStyle w:val="Heading3"/>
        <w:spacing w:line="240" w:lineRule="auto" w:before="0"/>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8"/>
        <w:rPr>
          <w:rFonts w:ascii="宋体" w:hAnsi="宋体" w:cs="宋体" w:eastAsia="宋体" w:hint="default"/>
          <w:b/>
          <w:bCs/>
          <w:sz w:val="26"/>
          <w:szCs w:val="26"/>
        </w:rPr>
      </w:pPr>
    </w:p>
    <w:p>
      <w:pPr>
        <w:spacing w:line="360" w:lineRule="auto" w:before="0"/>
        <w:ind w:left="153" w:right="7431"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3418"/>
        <w:gridCol w:w="2303"/>
        <w:gridCol w:w="3847"/>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73"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418"/>
        <w:gridCol w:w="2303"/>
        <w:gridCol w:w="3847"/>
      </w:tblGrid>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崔京涛</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厉伟</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3" w:hRule="exact"/>
        </w:trPr>
        <w:tc>
          <w:tcPr>
            <w:tcW w:w="3418" w:type="dxa"/>
            <w:tcBorders>
              <w:top w:val="single" w:sz="4" w:space="0" w:color="000000"/>
              <w:left w:val="single" w:sz="4" w:space="0" w:color="000000"/>
              <w:bottom w:val="nil" w:sz="6" w:space="0" w:color="auto"/>
              <w:right w:val="single" w:sz="4" w:space="0" w:color="000000"/>
            </w:tcBorders>
            <w:shd w:val="clear" w:color="auto" w:fill="D3D3D3"/>
          </w:tcPr>
          <w:p>
            <w:pPr/>
          </w:p>
        </w:tc>
        <w:tc>
          <w:tcPr>
            <w:tcW w:w="6150" w:type="dxa"/>
            <w:gridSpan w:val="2"/>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4"/>
                <w:sz w:val="18"/>
                <w:szCs w:val="18"/>
              </w:rPr>
              <w:t>左强，男，中国国籍，</w:t>
            </w:r>
            <w:r>
              <w:rPr>
                <w:rFonts w:ascii="Times New Roman" w:hAnsi="Times New Roman" w:cs="Times New Roman" w:eastAsia="Times New Roman" w:hint="default"/>
                <w:spacing w:val="-4"/>
                <w:sz w:val="18"/>
                <w:szCs w:val="18"/>
              </w:rPr>
              <w:t>1970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年出生，清华大学机械工程系本科毕业，清华大学</w:t>
            </w:r>
          </w:p>
        </w:tc>
      </w:tr>
      <w:tr>
        <w:trPr>
          <w:trHeight w:val="313" w:hRule="exact"/>
        </w:trPr>
        <w:tc>
          <w:tcPr>
            <w:tcW w:w="3418" w:type="dxa"/>
            <w:tcBorders>
              <w:top w:val="nil" w:sz="6" w:space="0" w:color="auto"/>
              <w:left w:val="single" w:sz="4" w:space="0" w:color="000000"/>
              <w:bottom w:val="nil" w:sz="6" w:space="0" w:color="auto"/>
              <w:right w:val="single" w:sz="4" w:space="0" w:color="000000"/>
            </w:tcBorders>
            <w:shd w:val="clear" w:color="auto" w:fill="D3D3D3"/>
          </w:tcPr>
          <w:p>
            <w:pPr/>
          </w:p>
        </w:tc>
        <w:tc>
          <w:tcPr>
            <w:tcW w:w="615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高级工商管理学硕</w:t>
            </w:r>
            <w:r>
              <w:rPr>
                <w:rFonts w:ascii="宋体" w:hAnsi="宋体" w:cs="宋体" w:eastAsia="宋体" w:hint="default"/>
                <w:spacing w:val="-11"/>
                <w:sz w:val="18"/>
                <w:szCs w:val="18"/>
              </w:rPr>
              <w:t>士</w:t>
            </w:r>
            <w:r>
              <w:rPr>
                <w:rFonts w:ascii="宋体" w:hAnsi="宋体" w:cs="宋体" w:eastAsia="宋体" w:hint="default"/>
                <w:sz w:val="18"/>
                <w:szCs w:val="18"/>
              </w:rPr>
              <w:t>（</w:t>
            </w:r>
            <w:r>
              <w:rPr>
                <w:rFonts w:ascii="Times New Roman" w:hAnsi="Times New Roman" w:cs="Times New Roman" w:eastAsia="Times New Roman" w:hint="default"/>
                <w:sz w:val="18"/>
                <w:szCs w:val="18"/>
              </w:rPr>
              <w:t>EMB</w:t>
            </w:r>
            <w:r>
              <w:rPr>
                <w:rFonts w:ascii="Times New Roman" w:hAnsi="Times New Roman" w:cs="Times New Roman" w:eastAsia="Times New Roman" w:hint="default"/>
                <w:spacing w:val="-1"/>
                <w:sz w:val="18"/>
                <w:szCs w:val="18"/>
              </w:rPr>
              <w:t>A</w:t>
            </w:r>
            <w:r>
              <w:rPr>
                <w:rFonts w:ascii="宋体" w:hAnsi="宋体" w:cs="宋体" w:eastAsia="宋体" w:hint="default"/>
                <w:spacing w:val="-90"/>
                <w:sz w:val="18"/>
                <w:szCs w:val="18"/>
              </w:rPr>
              <w:t>）</w:t>
            </w:r>
            <w:r>
              <w:rPr>
                <w:rFonts w:ascii="宋体" w:hAnsi="宋体" w:cs="宋体" w:eastAsia="宋体" w:hint="default"/>
                <w:spacing w:val="-11"/>
                <w:sz w:val="18"/>
                <w:szCs w:val="18"/>
              </w:rPr>
              <w:t>，</w:t>
            </w:r>
            <w:r>
              <w:rPr>
                <w:rFonts w:ascii="宋体" w:hAnsi="宋体" w:cs="宋体" w:eastAsia="宋体" w:hint="default"/>
                <w:sz w:val="18"/>
                <w:szCs w:val="18"/>
              </w:rPr>
              <w:t>高级工程师</w:t>
            </w:r>
            <w:r>
              <w:rPr>
                <w:rFonts w:ascii="宋体" w:hAnsi="宋体" w:cs="宋体" w:eastAsia="宋体" w:hint="default"/>
                <w:spacing w:val="-11"/>
                <w:sz w:val="18"/>
                <w:szCs w:val="18"/>
              </w:rPr>
              <w:t>，</w:t>
            </w:r>
            <w:r>
              <w:rPr>
                <w:rFonts w:ascii="宋体" w:hAnsi="宋体" w:cs="宋体" w:eastAsia="宋体" w:hint="default"/>
                <w:sz w:val="18"/>
                <w:szCs w:val="18"/>
              </w:rPr>
              <w:t>公司主要创始人</w:t>
            </w:r>
            <w:r>
              <w:rPr>
                <w:rFonts w:ascii="宋体" w:hAnsi="宋体" w:cs="宋体" w:eastAsia="宋体" w:hint="default"/>
                <w:spacing w:val="-11"/>
                <w:sz w:val="18"/>
                <w:szCs w:val="18"/>
              </w:rPr>
              <w:t>，</w:t>
            </w: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327" w:hRule="exact"/>
        </w:trPr>
        <w:tc>
          <w:tcPr>
            <w:tcW w:w="3418" w:type="dxa"/>
            <w:tcBorders>
              <w:top w:val="nil" w:sz="6" w:space="0" w:color="auto"/>
              <w:left w:val="single" w:sz="4" w:space="0" w:color="000000"/>
              <w:bottom w:val="nil" w:sz="6" w:space="0" w:color="auto"/>
              <w:right w:val="single" w:sz="4" w:space="0" w:color="000000"/>
            </w:tcBorders>
            <w:shd w:val="clear" w:color="auto" w:fill="D3D3D3"/>
          </w:tcPr>
          <w:p>
            <w:pPr/>
          </w:p>
        </w:tc>
        <w:tc>
          <w:tcPr>
            <w:tcW w:w="615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4" w:right="0"/>
              <w:jc w:val="left"/>
              <w:rPr>
                <w:rFonts w:ascii="宋体" w:hAnsi="宋体" w:cs="宋体" w:eastAsia="宋体" w:hint="default"/>
                <w:sz w:val="18"/>
                <w:szCs w:val="18"/>
              </w:rPr>
            </w:pPr>
            <w:r>
              <w:rPr>
                <w:rFonts w:ascii="宋体" w:hAnsi="宋体" w:cs="宋体" w:eastAsia="宋体" w:hint="default"/>
                <w:sz w:val="18"/>
                <w:szCs w:val="18"/>
              </w:rPr>
              <w:t>至今，担任公司董事，现任公司董事长、总裁；</w:t>
            </w:r>
          </w:p>
        </w:tc>
      </w:tr>
      <w:tr>
        <w:trPr>
          <w:trHeight w:val="336" w:hRule="exact"/>
        </w:trPr>
        <w:tc>
          <w:tcPr>
            <w:tcW w:w="3418" w:type="dxa"/>
            <w:tcBorders>
              <w:top w:val="nil" w:sz="6" w:space="0" w:color="auto"/>
              <w:left w:val="single" w:sz="4" w:space="0" w:color="000000"/>
              <w:bottom w:val="nil" w:sz="6" w:space="0" w:color="auto"/>
              <w:right w:val="single" w:sz="4" w:space="0" w:color="000000"/>
            </w:tcBorders>
            <w:shd w:val="clear" w:color="auto" w:fill="D3D3D3"/>
          </w:tcPr>
          <w:p>
            <w:pPr/>
          </w:p>
        </w:tc>
        <w:tc>
          <w:tcPr>
            <w:tcW w:w="615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pacing w:val="-3"/>
                <w:sz w:val="18"/>
                <w:szCs w:val="18"/>
              </w:rPr>
              <w:t>厉伟，男，中国国籍，</w:t>
            </w:r>
            <w:r>
              <w:rPr>
                <w:rFonts w:ascii="Times New Roman" w:hAnsi="Times New Roman" w:cs="Times New Roman" w:eastAsia="Times New Roman" w:hint="default"/>
                <w:spacing w:val="-3"/>
                <w:sz w:val="18"/>
                <w:szCs w:val="18"/>
              </w:rPr>
              <w:t>1963</w:t>
            </w:r>
            <w:r>
              <w:rPr>
                <w:rFonts w:ascii="Times New Roman" w:hAnsi="Times New Roman" w:cs="Times New Roman" w:eastAsia="Times New Roman" w:hint="default"/>
                <w:spacing w:val="-30"/>
                <w:sz w:val="18"/>
                <w:szCs w:val="18"/>
              </w:rPr>
              <w:t> </w:t>
            </w:r>
            <w:r>
              <w:rPr>
                <w:rFonts w:ascii="宋体" w:hAnsi="宋体" w:cs="宋体" w:eastAsia="宋体" w:hint="default"/>
                <w:sz w:val="18"/>
                <w:szCs w:val="18"/>
              </w:rPr>
              <w:t>年出生，北京大学理学士，经济学硕士。现任深圳</w:t>
            </w:r>
          </w:p>
        </w:tc>
      </w:tr>
      <w:tr>
        <w:trPr>
          <w:trHeight w:val="307" w:hRule="exact"/>
        </w:trPr>
        <w:tc>
          <w:tcPr>
            <w:tcW w:w="3418" w:type="dxa"/>
            <w:tcBorders>
              <w:top w:val="nil" w:sz="6" w:space="0" w:color="auto"/>
              <w:left w:val="single" w:sz="4" w:space="0" w:color="000000"/>
              <w:bottom w:val="nil" w:sz="6" w:space="0" w:color="auto"/>
              <w:right w:val="single" w:sz="4" w:space="0" w:color="000000"/>
            </w:tcBorders>
            <w:shd w:val="clear" w:color="auto" w:fill="D3D3D3"/>
          </w:tcPr>
          <w:p>
            <w:pPr/>
          </w:p>
        </w:tc>
        <w:tc>
          <w:tcPr>
            <w:tcW w:w="615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4"/>
              <w:jc w:val="left"/>
              <w:rPr>
                <w:rFonts w:ascii="宋体" w:hAnsi="宋体" w:cs="宋体" w:eastAsia="宋体" w:hint="default"/>
                <w:sz w:val="18"/>
                <w:szCs w:val="18"/>
              </w:rPr>
            </w:pPr>
            <w:r>
              <w:rPr>
                <w:rFonts w:ascii="宋体" w:hAnsi="宋体" w:cs="宋体" w:eastAsia="宋体" w:hint="default"/>
                <w:sz w:val="18"/>
                <w:szCs w:val="18"/>
              </w:rPr>
              <w:t>市深港产学研创业投资有限公司董事长、深圳市德方纳米科技有限公司董事、</w:t>
            </w:r>
          </w:p>
        </w:tc>
      </w:tr>
      <w:tr>
        <w:trPr>
          <w:trHeight w:val="313" w:hRule="exact"/>
        </w:trPr>
        <w:tc>
          <w:tcPr>
            <w:tcW w:w="341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1"/>
                <w:sz w:val="18"/>
                <w:szCs w:val="18"/>
              </w:rPr>
              <w:t>国民技术股份有限公司董事、深圳市天翔达鸽业有限公司董事、深圳大鹏光启</w:t>
            </w:r>
          </w:p>
        </w:tc>
      </w:tr>
      <w:tr>
        <w:trPr>
          <w:trHeight w:val="331" w:hRule="exact"/>
        </w:trPr>
        <w:tc>
          <w:tcPr>
            <w:tcW w:w="3418" w:type="dxa"/>
            <w:tcBorders>
              <w:top w:val="nil" w:sz="6" w:space="0" w:color="auto"/>
              <w:left w:val="single" w:sz="4" w:space="0" w:color="000000"/>
              <w:bottom w:val="nil" w:sz="6" w:space="0" w:color="auto"/>
              <w:right w:val="single" w:sz="4" w:space="0" w:color="000000"/>
            </w:tcBorders>
            <w:shd w:val="clear" w:color="auto" w:fill="D3D3D3"/>
          </w:tcPr>
          <w:p>
            <w:pPr/>
          </w:p>
        </w:tc>
        <w:tc>
          <w:tcPr>
            <w:tcW w:w="615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科技有限公司董事；</w:t>
            </w:r>
          </w:p>
        </w:tc>
      </w:tr>
      <w:tr>
        <w:trPr>
          <w:trHeight w:val="336" w:hRule="exact"/>
        </w:trPr>
        <w:tc>
          <w:tcPr>
            <w:tcW w:w="3418" w:type="dxa"/>
            <w:tcBorders>
              <w:top w:val="nil" w:sz="6" w:space="0" w:color="auto"/>
              <w:left w:val="single" w:sz="4" w:space="0" w:color="000000"/>
              <w:bottom w:val="nil" w:sz="6" w:space="0" w:color="auto"/>
              <w:right w:val="single" w:sz="4" w:space="0" w:color="000000"/>
            </w:tcBorders>
            <w:shd w:val="clear" w:color="auto" w:fill="D3D3D3"/>
          </w:tcPr>
          <w:p>
            <w:pPr/>
          </w:p>
        </w:tc>
        <w:tc>
          <w:tcPr>
            <w:tcW w:w="615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29"/>
              <w:ind w:left="24" w:right="0"/>
              <w:jc w:val="left"/>
              <w:rPr>
                <w:rFonts w:ascii="宋体" w:hAnsi="宋体" w:cs="宋体" w:eastAsia="宋体" w:hint="default"/>
                <w:sz w:val="18"/>
                <w:szCs w:val="18"/>
              </w:rPr>
            </w:pPr>
            <w:r>
              <w:rPr>
                <w:rFonts w:ascii="宋体" w:hAnsi="宋体" w:cs="宋体" w:eastAsia="宋体" w:hint="default"/>
                <w:spacing w:val="-3"/>
                <w:sz w:val="18"/>
                <w:szCs w:val="18"/>
              </w:rPr>
              <w:t>崔京涛，女，中国国籍，</w:t>
            </w:r>
            <w:r>
              <w:rPr>
                <w:rFonts w:ascii="Times New Roman" w:hAnsi="Times New Roman" w:cs="Times New Roman" w:eastAsia="Times New Roman" w:hint="default"/>
                <w:spacing w:val="-3"/>
                <w:sz w:val="18"/>
                <w:szCs w:val="18"/>
              </w:rPr>
              <w:t>1967</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年出生，北京大学毕业，硕士，曾任职于北京海</w:t>
            </w:r>
          </w:p>
        </w:tc>
      </w:tr>
      <w:tr>
        <w:trPr>
          <w:trHeight w:val="307" w:hRule="exact"/>
        </w:trPr>
        <w:tc>
          <w:tcPr>
            <w:tcW w:w="3418" w:type="dxa"/>
            <w:tcBorders>
              <w:top w:val="nil" w:sz="6" w:space="0" w:color="auto"/>
              <w:left w:val="single" w:sz="4" w:space="0" w:color="000000"/>
              <w:bottom w:val="nil" w:sz="6" w:space="0" w:color="auto"/>
              <w:right w:val="single" w:sz="4" w:space="0" w:color="000000"/>
            </w:tcBorders>
            <w:shd w:val="clear" w:color="auto" w:fill="D3D3D3"/>
          </w:tcPr>
          <w:p>
            <w:pPr/>
          </w:p>
        </w:tc>
        <w:tc>
          <w:tcPr>
            <w:tcW w:w="615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pacing w:val="-1"/>
                <w:sz w:val="18"/>
                <w:szCs w:val="18"/>
              </w:rPr>
              <w:t>淀职工大学、中国工商银行深圳信托投资公司，现任深圳市延宁发展有限公司</w:t>
            </w:r>
          </w:p>
        </w:tc>
      </w:tr>
      <w:tr>
        <w:trPr>
          <w:trHeight w:val="313" w:hRule="exact"/>
        </w:trPr>
        <w:tc>
          <w:tcPr>
            <w:tcW w:w="3418" w:type="dxa"/>
            <w:tcBorders>
              <w:top w:val="nil" w:sz="6" w:space="0" w:color="auto"/>
              <w:left w:val="single" w:sz="4" w:space="0" w:color="000000"/>
              <w:bottom w:val="nil" w:sz="6" w:space="0" w:color="auto"/>
              <w:right w:val="single" w:sz="4" w:space="0" w:color="000000"/>
            </w:tcBorders>
            <w:shd w:val="clear" w:color="auto" w:fill="D3D3D3"/>
          </w:tcPr>
          <w:p>
            <w:pPr/>
          </w:p>
        </w:tc>
        <w:tc>
          <w:tcPr>
            <w:tcW w:w="6150"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pacing w:val="-1"/>
                <w:sz w:val="18"/>
                <w:szCs w:val="18"/>
              </w:rPr>
              <w:t>董事长、深圳市深港产学研创业投资有限公司监事、深圳和林海富信息咨询有</w:t>
            </w:r>
          </w:p>
        </w:tc>
      </w:tr>
      <w:tr>
        <w:trPr>
          <w:trHeight w:val="357" w:hRule="exact"/>
        </w:trPr>
        <w:tc>
          <w:tcPr>
            <w:tcW w:w="3418" w:type="dxa"/>
            <w:tcBorders>
              <w:top w:val="nil" w:sz="6" w:space="0" w:color="auto"/>
              <w:left w:val="single" w:sz="4" w:space="0" w:color="000000"/>
              <w:bottom w:val="single" w:sz="4" w:space="0" w:color="000000"/>
              <w:right w:val="single" w:sz="4" w:space="0" w:color="000000"/>
            </w:tcBorders>
            <w:shd w:val="clear" w:color="auto" w:fill="D3D3D3"/>
          </w:tcPr>
          <w:p>
            <w:pPr/>
          </w:p>
        </w:tc>
        <w:tc>
          <w:tcPr>
            <w:tcW w:w="6150" w:type="dxa"/>
            <w:gridSpan w:val="2"/>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限公司执行董事、总经理。厉伟与崔京涛系夫妻。</w:t>
            </w:r>
          </w:p>
        </w:tc>
      </w:tr>
      <w:tr>
        <w:trPr>
          <w:trHeight w:val="402"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9"/>
        <w:rPr>
          <w:rFonts w:ascii="宋体" w:hAnsi="宋体" w:cs="宋体" w:eastAsia="宋体" w:hint="default"/>
          <w:sz w:val="23"/>
          <w:szCs w:val="23"/>
        </w:rPr>
      </w:pPr>
    </w:p>
    <w:p>
      <w:pPr>
        <w:spacing w:line="4122" w:lineRule="exact"/>
        <w:ind w:left="648" w:right="0" w:firstLine="0"/>
        <w:rPr>
          <w:rFonts w:ascii="宋体" w:hAnsi="宋体" w:cs="宋体" w:eastAsia="宋体" w:hint="default"/>
          <w:sz w:val="20"/>
          <w:szCs w:val="20"/>
        </w:rPr>
      </w:pPr>
      <w:r>
        <w:rPr>
          <w:rFonts w:ascii="宋体" w:hAnsi="宋体" w:cs="宋体" w:eastAsia="宋体" w:hint="default"/>
          <w:position w:val="-81"/>
          <w:sz w:val="20"/>
          <w:szCs w:val="20"/>
        </w:rPr>
        <w:drawing>
          <wp:inline distT="0" distB="0" distL="0" distR="0">
            <wp:extent cx="5502106" cy="261747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4" cstate="print"/>
                    <a:stretch>
                      <a:fillRect/>
                    </a:stretch>
                  </pic:blipFill>
                  <pic:spPr>
                    <a:xfrm>
                      <a:off x="0" y="0"/>
                      <a:ext cx="5502106" cy="2617470"/>
                    </a:xfrm>
                    <a:prstGeom prst="rect">
                      <a:avLst/>
                    </a:prstGeom>
                  </pic:spPr>
                </pic:pic>
              </a:graphicData>
            </a:graphic>
          </wp:inline>
        </w:drawing>
      </w:r>
      <w:r>
        <w:rPr>
          <w:rFonts w:ascii="宋体" w:hAnsi="宋体" w:cs="宋体" w:eastAsia="宋体" w:hint="default"/>
          <w:position w:val="-81"/>
          <w:sz w:val="20"/>
          <w:szCs w:val="20"/>
        </w:rPr>
      </w:r>
    </w:p>
    <w:p>
      <w:pPr>
        <w:spacing w:line="240" w:lineRule="auto" w:before="6"/>
        <w:rPr>
          <w:rFonts w:ascii="宋体" w:hAnsi="宋体" w:cs="宋体" w:eastAsia="宋体" w:hint="default"/>
          <w:sz w:val="21"/>
          <w:szCs w:val="21"/>
        </w:rPr>
      </w:pPr>
    </w:p>
    <w:p>
      <w:pPr>
        <w:spacing w:before="0"/>
        <w:ind w:left="153"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12"/>
        <w:rPr>
          <w:rFonts w:ascii="宋体" w:hAnsi="宋体" w:cs="宋体" w:eastAsia="宋体" w:hint="default"/>
          <w:sz w:val="18"/>
          <w:szCs w:val="18"/>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before="0"/>
        <w:ind w:right="0"/>
        <w:jc w:val="left"/>
        <w:rPr>
          <w:b w:val="0"/>
          <w:bCs w:val="0"/>
        </w:rPr>
      </w:pP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_TOC_250004" w:id="7"/>
      <w:r>
        <w:rPr/>
        <w:t>第七节</w:t>
      </w:r>
      <w:r>
        <w:rPr>
          <w:spacing w:val="-8"/>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spacing w:line="338" w:lineRule="auto" w:before="44"/>
        <w:ind w:left="154" w:right="76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_TOC_250003" w:id="8"/>
      <w:r>
        <w:rPr/>
        <w:t>第八节</w:t>
      </w:r>
      <w:r>
        <w:rPr>
          <w:spacing w:val="-17"/>
        </w:rPr>
        <w:t> </w:t>
      </w:r>
      <w:r>
        <w:rPr/>
        <w:t>董事、监事、高级管理人员和员工情况</w:t>
      </w:r>
      <w:bookmarkEnd w:id="8"/>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left"/>
        <w:rPr>
          <w:b w:val="0"/>
          <w:bCs w:val="0"/>
        </w:rPr>
      </w:pPr>
      <w:r>
        <w:rPr/>
        <w:pict>
          <v:shape style="position:absolute;margin-left:471.480011pt;margin-top:33.035938pt;width:63.55pt;height:50.8pt;mso-position-horizontal-relative:page;mso-position-vertical-relative:paragraph;z-index:-1027576"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32" w:firstLine="10"/>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58,589,73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58,589,73</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2</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127,596,5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127,596,5</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33</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15,324,18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15,324,18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9</w:t>
            </w: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马成家</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刘泉军</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王泽全</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70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赵柏品</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杨贵发</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赵殿波</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董事会秘</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3,719,025</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91,200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0"/>
              <w:jc w:val="right"/>
              <w:rPr>
                <w:rFonts w:ascii="Times New Roman" w:hAnsi="Times New Roman" w:cs="Times New Roman" w:eastAsia="Times New Roman" w:hint="default"/>
                <w:sz w:val="18"/>
                <w:szCs w:val="18"/>
              </w:rPr>
            </w:pPr>
            <w:r>
              <w:rPr>
                <w:rFonts w:ascii="Times New Roman"/>
                <w:sz w:val="18"/>
              </w:rPr>
              <w:t>929,759</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44" w:right="0"/>
              <w:jc w:val="left"/>
              <w:rPr>
                <w:rFonts w:ascii="Times New Roman" w:hAnsi="Times New Roman" w:cs="Times New Roman" w:eastAsia="Times New Roman" w:hint="default"/>
                <w:sz w:val="18"/>
                <w:szCs w:val="18"/>
              </w:rPr>
            </w:pPr>
            <w:r>
              <w:rPr>
                <w:rFonts w:ascii="Times New Roman"/>
                <w:sz w:val="18"/>
              </w:rPr>
              <w:t>2,880,466</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书</w:t>
            </w: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王岱岩</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销售总监</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3"/>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16</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2,073,000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51,200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right="20"/>
              <w:jc w:val="right"/>
              <w:rPr>
                <w:rFonts w:ascii="Times New Roman" w:hAnsi="Times New Roman" w:cs="Times New Roman" w:eastAsia="Times New Roman" w:hint="default"/>
                <w:sz w:val="18"/>
                <w:szCs w:val="18"/>
              </w:rPr>
            </w:pPr>
            <w:r>
              <w:rPr>
                <w:rFonts w:ascii="Times New Roman"/>
                <w:sz w:val="18"/>
              </w:rPr>
              <w:t>518,250</w:t>
            </w:r>
          </w:p>
        </w:tc>
        <w:tc>
          <w:tcPr>
            <w:tcW w:w="798" w:type="dxa"/>
            <w:vMerge/>
            <w:tcBorders>
              <w:left w:val="single" w:sz="4" w:space="0" w:color="000000"/>
              <w:right w:val="single" w:sz="4" w:space="0" w:color="000000"/>
            </w:tcBorders>
          </w:tcPr>
          <w:p>
            <w:pP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5"/>
              <w:ind w:left="44" w:right="0"/>
              <w:jc w:val="left"/>
              <w:rPr>
                <w:rFonts w:ascii="Times New Roman" w:hAnsi="Times New Roman" w:cs="Times New Roman" w:eastAsia="Times New Roman" w:hint="default"/>
                <w:sz w:val="18"/>
                <w:szCs w:val="18"/>
              </w:rPr>
            </w:pPr>
            <w:r>
              <w:rPr>
                <w:rFonts w:ascii="Times New Roman"/>
                <w:sz w:val="18"/>
              </w:rPr>
              <w:t>1,605,950</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戴东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财务总 监、董事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64,381,75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143,063,1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1,448,009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205,996,8</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70</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二、公司董事、监事、高级管理人员变动情况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2"/>
              <w:jc w:val="left"/>
              <w:rPr>
                <w:rFonts w:ascii="宋体" w:hAnsi="宋体" w:cs="宋体" w:eastAsia="宋体" w:hint="default"/>
                <w:sz w:val="18"/>
                <w:szCs w:val="18"/>
              </w:rPr>
            </w:pPr>
            <w:r>
              <w:rPr>
                <w:rFonts w:ascii="宋体" w:hAnsi="宋体" w:cs="宋体" w:eastAsia="宋体" w:hint="default"/>
                <w:sz w:val="18"/>
                <w:szCs w:val="18"/>
              </w:rPr>
              <w:t>因工作原因辞去独立董事职务，辞职申请将在公司选 举新任独立董事后生效。</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r>
        <w:rPr/>
        <w:t>三、任职情况</w:t>
      </w:r>
      <w:r>
        <w:rPr>
          <w:b w:val="0"/>
          <w:bCs w:val="0"/>
        </w:rPr>
      </w:r>
    </w:p>
    <w:p>
      <w:pPr>
        <w:spacing w:line="240" w:lineRule="auto" w:before="8"/>
        <w:rPr>
          <w:rFonts w:ascii="宋体" w:hAnsi="宋体" w:cs="宋体" w:eastAsia="宋体" w:hint="default"/>
          <w:b/>
          <w:bCs/>
          <w:sz w:val="30"/>
          <w:szCs w:val="30"/>
        </w:rPr>
      </w:pPr>
    </w:p>
    <w:p>
      <w:pPr>
        <w:pStyle w:val="BodyText"/>
        <w:spacing w:line="444" w:lineRule="auto"/>
        <w:ind w:left="622" w:right="272" w:hanging="468"/>
        <w:jc w:val="left"/>
      </w:pPr>
      <w:r>
        <w:rPr/>
        <w:t>公司现任董事、监事、高级管理人员专业背景、主要工作经历以及目前在公司的主要职责 左强，男，中国国籍，</w:t>
      </w:r>
      <w:r>
        <w:rPr>
          <w:rFonts w:ascii="Times New Roman" w:hAnsi="Times New Roman" w:cs="Times New Roman" w:eastAsia="Times New Roman" w:hint="default"/>
        </w:rPr>
        <w:t>1970</w:t>
      </w:r>
      <w:r>
        <w:rPr/>
        <w:t>年出生，清华大学机械工程系本科毕业，清华大学高级工商管理学硕士</w:t>
      </w:r>
    </w:p>
    <w:p>
      <w:pPr>
        <w:pStyle w:val="BodyText"/>
        <w:spacing w:line="270" w:lineRule="exact"/>
        <w:ind w:right="0"/>
        <w:jc w:val="left"/>
      </w:pPr>
      <w:r>
        <w:rPr/>
        <w:t>（</w:t>
      </w:r>
      <w:r>
        <w:rPr>
          <w:rFonts w:ascii="Times New Roman" w:hAnsi="Times New Roman" w:cs="Times New Roman" w:eastAsia="Times New Roman" w:hint="default"/>
        </w:rPr>
        <w:t>EMBA</w:t>
      </w:r>
      <w:r>
        <w:rPr/>
        <w:t>），高级工程师，自</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11</w:t>
      </w:r>
      <w:r>
        <w:rPr/>
        <w:t>月起任公司董事，现任公司董事长、总裁，兼任荣信嘉时（北京）</w:t>
      </w:r>
    </w:p>
    <w:p>
      <w:pPr>
        <w:pStyle w:val="BodyText"/>
        <w:spacing w:line="408" w:lineRule="auto" w:before="177"/>
        <w:ind w:right="0"/>
        <w:jc w:val="left"/>
      </w:pPr>
      <w:r>
        <w:rPr>
          <w:spacing w:val="-1"/>
        </w:rPr>
        <w:t>科技发展有限公司董事长、辽宁荣信电气传动技术有限责任公司董事长、北京荣信中科电气设备有限公司</w:t>
      </w:r>
      <w:r>
        <w:rPr>
          <w:spacing w:val="-81"/>
        </w:rPr>
        <w:t> </w:t>
      </w:r>
      <w:r>
        <w:rPr>
          <w:spacing w:val="-81"/>
        </w:rPr>
      </w:r>
      <w:r>
        <w:rPr/>
        <w:t>董事长、荣西电力传输技术有限公司执行董事。</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BodyText"/>
        <w:spacing w:line="386" w:lineRule="auto"/>
        <w:ind w:right="151" w:firstLine="300"/>
        <w:jc w:val="both"/>
      </w:pPr>
      <w:r>
        <w:rPr>
          <w:spacing w:val="-7"/>
        </w:rPr>
        <w:t>余文胜，男，中国国籍，</w:t>
      </w:r>
      <w:r>
        <w:rPr>
          <w:rFonts w:ascii="Times New Roman" w:hAnsi="Times New Roman" w:cs="Times New Roman" w:eastAsia="Times New Roman" w:hint="default"/>
          <w:spacing w:val="-7"/>
        </w:rPr>
        <w:t>1968</w:t>
      </w:r>
      <w:r>
        <w:rPr>
          <w:spacing w:val="-7"/>
        </w:rPr>
        <w:t>年出生。江西大学数学系本科毕业，曾就读于清华大学</w:t>
      </w:r>
      <w:r>
        <w:rPr>
          <w:rFonts w:ascii="Times New Roman" w:hAnsi="Times New Roman" w:cs="Times New Roman" w:eastAsia="Times New Roman" w:hint="default"/>
          <w:spacing w:val="-7"/>
        </w:rPr>
        <w:t>EMBA</w:t>
      </w:r>
      <w:r>
        <w:rPr>
          <w:spacing w:val="-7"/>
        </w:rPr>
        <w:t>总裁班，</w:t>
      </w:r>
      <w:r>
        <w:rPr>
          <w:rFonts w:ascii="Times New Roman" w:hAnsi="Times New Roman" w:cs="Times New Roman" w:eastAsia="Times New Roman" w:hint="default"/>
          <w:spacing w:val="-7"/>
        </w:rPr>
        <w:t>1992</w:t>
      </w:r>
      <w:r>
        <w:rPr>
          <w:rFonts w:ascii="Times New Roman" w:hAnsi="Times New Roman" w:cs="Times New Roman" w:eastAsia="Times New Roman" w:hint="default"/>
        </w:rPr>
        <w:t> </w:t>
      </w:r>
      <w:r>
        <w:rPr>
          <w:spacing w:val="-1"/>
        </w:rPr>
        <w:t>年在澳大利亚悉尼</w:t>
      </w:r>
      <w:r>
        <w:rPr>
          <w:rFonts w:ascii="Times New Roman" w:hAnsi="Times New Roman" w:cs="Times New Roman" w:eastAsia="Times New Roman" w:hint="default"/>
          <w:spacing w:val="-1"/>
        </w:rPr>
        <w:t>KIRBY</w:t>
      </w:r>
      <w:r>
        <w:rPr>
          <w:spacing w:val="-1"/>
        </w:rPr>
        <w:t>公司从事电机自动化研究及设计工作；</w:t>
      </w:r>
      <w:r>
        <w:rPr>
          <w:rFonts w:ascii="Times New Roman" w:hAnsi="Times New Roman" w:cs="Times New Roman" w:eastAsia="Times New Roman" w:hint="default"/>
          <w:spacing w:val="-1"/>
        </w:rPr>
        <w:t>1994</w:t>
      </w:r>
      <w:r>
        <w:rPr>
          <w:spacing w:val="-1"/>
        </w:rPr>
        <w:t>年在美国协和集团电信研究院从事软</w:t>
      </w:r>
      <w:r>
        <w:rPr/>
        <w:t> </w:t>
      </w:r>
      <w:r>
        <w:rPr>
          <w:spacing w:val="-1"/>
        </w:rPr>
        <w:t>件设计工作；</w:t>
      </w:r>
      <w:r>
        <w:rPr>
          <w:rFonts w:ascii="Times New Roman" w:hAnsi="Times New Roman" w:cs="Times New Roman" w:eastAsia="Times New Roman" w:hint="default"/>
          <w:spacing w:val="-1"/>
        </w:rPr>
        <w:t>1997</w:t>
      </w:r>
      <w:r>
        <w:rPr>
          <w:spacing w:val="-1"/>
        </w:rPr>
        <w:t>年创办珠海亚强电子有限公司，开发系列寻呼软件和各种型号的无线设备，占有国内近</w:t>
      </w:r>
      <w:r>
        <w:rPr>
          <w:spacing w:val="-84"/>
        </w:rPr>
        <w:t> </w:t>
      </w:r>
      <w:r>
        <w:rPr>
          <w:spacing w:val="-84"/>
        </w:rPr>
      </w:r>
      <w:r>
        <w:rPr>
          <w:rFonts w:ascii="Times New Roman" w:hAnsi="Times New Roman" w:cs="Times New Roman" w:eastAsia="Times New Roman" w:hint="default"/>
        </w:rPr>
        <w:t>90%</w:t>
      </w:r>
      <w:r>
        <w:rPr/>
        <w:t>的铁路寻呼台市场。</w:t>
      </w:r>
      <w:r>
        <w:rPr>
          <w:rFonts w:ascii="Times New Roman" w:hAnsi="Times New Roman" w:cs="Times New Roman" w:eastAsia="Times New Roman" w:hint="default"/>
        </w:rPr>
        <w:t>2001</w:t>
      </w:r>
      <w:r>
        <w:rPr/>
        <w:t>年，创办深圳市梦网科技发展有限公司，并担任董事长兼总裁职务至今，目 前兼任珠海亚强电子有限公司执行董事。</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386" w:lineRule="auto"/>
        <w:ind w:right="181" w:firstLine="300"/>
        <w:jc w:val="both"/>
      </w:pPr>
      <w:r>
        <w:rPr/>
        <w:t>陈新，男，中国国籍，</w:t>
      </w:r>
      <w:r>
        <w:rPr>
          <w:rFonts w:ascii="Times New Roman" w:hAnsi="Times New Roman" w:cs="Times New Roman" w:eastAsia="Times New Roman" w:hint="default"/>
        </w:rPr>
        <w:t>1971</w:t>
      </w:r>
      <w:r>
        <w:rPr/>
        <w:t>年出生。电子科技大学计算机软件专业本科毕业，</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8</w:t>
      </w:r>
      <w:r>
        <w:rPr/>
        <w:t>月 服务于星传通信科技有限公司</w:t>
      </w:r>
      <w:r>
        <w:rPr>
          <w:rFonts w:ascii="Times New Roman" w:hAnsi="Times New Roman" w:cs="Times New Roman" w:eastAsia="Times New Roman" w:hint="default"/>
        </w:rPr>
        <w:t>,</w:t>
      </w:r>
      <w:r>
        <w:rPr/>
        <w:t>任研发部经理。</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9</w:t>
      </w:r>
      <w:r>
        <w:rPr/>
        <w:t>月，协助余文胜先生创办深圳市梦网科技发展有限</w:t>
      </w:r>
    </w:p>
    <w:p>
      <w:pPr>
        <w:spacing w:after="0" w:line="386" w:lineRule="auto"/>
        <w:jc w:val="both"/>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spacing w:val="-3"/>
        </w:rPr>
        <w:t>公司，现任深圳市梦网科技发展有限公司副总裁兼首席技术官（</w:t>
      </w:r>
      <w:r>
        <w:rPr>
          <w:rFonts w:ascii="Times New Roman" w:hAnsi="Times New Roman" w:cs="Times New Roman" w:eastAsia="Times New Roman" w:hint="default"/>
          <w:spacing w:val="-3"/>
        </w:rPr>
        <w:t>CTO</w:t>
      </w:r>
      <w:r>
        <w:rPr>
          <w:spacing w:val="-3"/>
        </w:rPr>
        <w:t>）及移动信息化技术研发中心总经理。</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7"/>
          <w:szCs w:val="27"/>
        </w:rPr>
      </w:pPr>
    </w:p>
    <w:p>
      <w:pPr>
        <w:pStyle w:val="BodyText"/>
        <w:spacing w:line="386" w:lineRule="auto"/>
        <w:ind w:left="153" w:right="210" w:firstLine="468"/>
        <w:jc w:val="both"/>
      </w:pPr>
      <w:r>
        <w:rPr>
          <w:spacing w:val="-1"/>
        </w:rPr>
        <w:t>马成家，男，中国国籍，</w:t>
      </w:r>
      <w:r>
        <w:rPr>
          <w:rFonts w:ascii="Times New Roman" w:hAnsi="Times New Roman" w:cs="Times New Roman" w:eastAsia="Times New Roman" w:hint="default"/>
          <w:spacing w:val="-1"/>
        </w:rPr>
        <w:t>1954</w:t>
      </w:r>
      <w:r>
        <w:rPr>
          <w:spacing w:val="-1"/>
        </w:rPr>
        <w:t>年出生，吉林大学本科毕业。</w:t>
      </w:r>
      <w:r>
        <w:rPr>
          <w:rFonts w:ascii="Times New Roman" w:hAnsi="Times New Roman" w:cs="Times New Roman" w:eastAsia="Times New Roman" w:hint="default"/>
          <w:spacing w:val="-1"/>
        </w:rPr>
        <w:t>1980</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-1989</w:t>
      </w:r>
      <w:r>
        <w:rPr>
          <w:spacing w:val="-1"/>
        </w:rPr>
        <w:t>年</w:t>
      </w:r>
      <w:r>
        <w:rPr>
          <w:rFonts w:ascii="Times New Roman" w:hAnsi="Times New Roman" w:cs="Times New Roman" w:eastAsia="Times New Roman" w:hint="default"/>
          <w:spacing w:val="-1"/>
        </w:rPr>
        <w:t>11</w:t>
      </w:r>
      <w:r>
        <w:rPr>
          <w:spacing w:val="-1"/>
        </w:rPr>
        <w:t>月任鞍山市半导体器</w:t>
      </w:r>
      <w:r>
        <w:rPr/>
        <w:t> </w:t>
      </w:r>
      <w:r>
        <w:rPr>
          <w:spacing w:val="-2"/>
        </w:rPr>
        <w:t>件总厂技改办副主任，</w:t>
      </w:r>
      <w:r>
        <w:rPr>
          <w:rFonts w:ascii="Times New Roman" w:hAnsi="Times New Roman" w:cs="Times New Roman" w:eastAsia="Times New Roman" w:hint="default"/>
          <w:spacing w:val="-2"/>
        </w:rPr>
        <w:t>1989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1</w:t>
      </w:r>
      <w:r>
        <w:rPr>
          <w:spacing w:val="-2"/>
        </w:rPr>
        <w:t>月任鞍山市半导体器件总厂厂长，</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6</w:t>
      </w:r>
      <w:r>
        <w:rPr>
          <w:spacing w:val="-2"/>
        </w:rPr>
        <w:t>月任鞍山</w:t>
      </w:r>
      <w:r>
        <w:rPr>
          <w:spacing w:val="-58"/>
        </w:rPr>
        <w:t> </w:t>
      </w:r>
      <w:r>
        <w:rPr>
          <w:spacing w:val="-58"/>
        </w:rPr>
      </w:r>
      <w:r>
        <w:rPr/>
        <w:t>市电子电力公司副总经理、总经理、党委副书记，自</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11</w:t>
      </w:r>
      <w:r>
        <w:rPr/>
        <w:t>月起担任本公司董事。</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6"/>
          <w:szCs w:val="16"/>
        </w:rPr>
      </w:pPr>
    </w:p>
    <w:p>
      <w:pPr>
        <w:pStyle w:val="BodyText"/>
        <w:spacing w:line="386" w:lineRule="auto"/>
        <w:ind w:left="153" w:right="304" w:firstLine="468"/>
        <w:jc w:val="both"/>
      </w:pPr>
      <w:r>
        <w:rPr/>
        <w:t>戴东，男，中国国籍，</w:t>
      </w:r>
      <w:r>
        <w:rPr>
          <w:rFonts w:ascii="Times New Roman" w:hAnsi="Times New Roman" w:cs="Times New Roman" w:eastAsia="Times New Roman" w:hint="default"/>
        </w:rPr>
        <w:t>1968</w:t>
      </w:r>
      <w:r>
        <w:rPr/>
        <w:t>年出生，东北财经大学</w:t>
      </w:r>
      <w:r>
        <w:rPr>
          <w:rFonts w:ascii="Times New Roman" w:hAnsi="Times New Roman" w:cs="Times New Roman" w:eastAsia="Times New Roman" w:hint="default"/>
        </w:rPr>
        <w:t>EMBA</w:t>
      </w:r>
      <w:r>
        <w:rPr/>
        <w:t>。</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月任北京信力筑正新 能源技术股份有限公司财务总监，自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月起任本公司董事、财务总监。</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6"/>
          <w:szCs w:val="16"/>
        </w:rPr>
      </w:pPr>
    </w:p>
    <w:p>
      <w:pPr>
        <w:pStyle w:val="BodyText"/>
        <w:spacing w:line="398" w:lineRule="auto"/>
        <w:ind w:left="153" w:right="207" w:firstLine="384"/>
        <w:jc w:val="both"/>
      </w:pPr>
      <w:r>
        <w:rPr>
          <w:spacing w:val="-2"/>
        </w:rPr>
        <w:t>张云鹏，男，中国国籍，</w:t>
      </w:r>
      <w:r>
        <w:rPr>
          <w:rFonts w:ascii="Times New Roman" w:hAnsi="Times New Roman" w:cs="Times New Roman" w:eastAsia="Times New Roman" w:hint="default"/>
          <w:spacing w:val="-2"/>
        </w:rPr>
        <w:t>1979</w:t>
      </w:r>
      <w:r>
        <w:rPr>
          <w:spacing w:val="-2"/>
        </w:rPr>
        <w:t>年出生，西安交通大学本科毕业，中科院广州能源所硕士。</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3</w:t>
      </w:r>
      <w:r>
        <w:rPr>
          <w:spacing w:val="-2"/>
        </w:rPr>
        <w:t>月至</w:t>
      </w:r>
      <w:r>
        <w:rPr>
          <w:spacing w:val="1"/>
        </w:rPr>
        <w:t> </w:t>
      </w:r>
      <w:r>
        <w:rPr>
          <w:spacing w:val="-1"/>
        </w:rPr>
        <w:t>今任深圳市松禾资本管理有限公司业务合伙人，兼任辽宁科隆精细化工股份有限公司董事、深圳市今日标</w:t>
      </w:r>
      <w:r>
        <w:rPr>
          <w:spacing w:val="-81"/>
        </w:rPr>
        <w:t> </w:t>
      </w:r>
      <w:r>
        <w:rPr>
          <w:spacing w:val="-81"/>
        </w:rPr>
      </w:r>
      <w:r>
        <w:rPr>
          <w:spacing w:val="-1"/>
        </w:rPr>
        <w:t>准精密机器有限公司董事、深圳市德方纳米科技有限公司监事、深圳市常兴技术股份有限公司董事、东莞</w:t>
      </w:r>
      <w:r>
        <w:rPr>
          <w:spacing w:val="-83"/>
        </w:rPr>
        <w:t> </w:t>
      </w:r>
      <w:r>
        <w:rPr>
          <w:spacing w:val="-83"/>
        </w:rPr>
      </w:r>
      <w:r>
        <w:rPr>
          <w:spacing w:val="-5"/>
        </w:rPr>
        <w:t>市华轩幕墙材料有限公司董事、南通海星电子有限公司董事、广州迪森热能技术股份有限公司监事，自</w:t>
      </w:r>
      <w:r>
        <w:rPr>
          <w:rFonts w:ascii="Times New Roman" w:hAnsi="Times New Roman" w:cs="Times New Roman" w:eastAsia="Times New Roman" w:hint="default"/>
          <w:spacing w:val="-5"/>
        </w:rPr>
        <w:t>2013</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40"/>
        </w:rPr>
      </w:r>
      <w:r>
        <w:rPr/>
        <w:t>年</w:t>
      </w:r>
      <w:r>
        <w:rPr>
          <w:rFonts w:ascii="Times New Roman" w:hAnsi="Times New Roman" w:cs="Times New Roman" w:eastAsia="Times New Roman" w:hint="default"/>
        </w:rPr>
        <w:t>6</w:t>
      </w:r>
      <w:r>
        <w:rPr/>
        <w:t>月开始任本公司董事。</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5"/>
          <w:szCs w:val="15"/>
        </w:rPr>
      </w:pPr>
    </w:p>
    <w:p>
      <w:pPr>
        <w:pStyle w:val="BodyText"/>
        <w:spacing w:line="398" w:lineRule="auto"/>
        <w:ind w:left="153" w:right="211" w:firstLine="384"/>
        <w:jc w:val="both"/>
      </w:pPr>
      <w:r>
        <w:rPr/>
        <w:t>刘泉军，男，中国国籍，</w:t>
      </w:r>
      <w:r>
        <w:rPr>
          <w:rFonts w:ascii="Times New Roman" w:hAnsi="Times New Roman" w:cs="Times New Roman" w:eastAsia="Times New Roman" w:hint="default"/>
        </w:rPr>
        <w:t>1972</w:t>
      </w:r>
      <w:r>
        <w:rPr/>
        <w:t>年出生，博士，中国注册会计师，中国会计学会会员。现任中国青年政 </w:t>
      </w:r>
      <w:r>
        <w:rPr>
          <w:spacing w:val="-1"/>
        </w:rPr>
        <w:t>治学院副教授，长期从事于财务、会计的理论教学、研究与实务工作，具有扎实的理论功底与丰富的工作</w:t>
      </w:r>
      <w:r>
        <w:rPr>
          <w:spacing w:val="-82"/>
        </w:rPr>
        <w:t> </w:t>
      </w:r>
      <w:r>
        <w:rPr>
          <w:spacing w:val="-82"/>
        </w:rPr>
      </w:r>
      <w:r>
        <w:rPr/>
        <w:t>经验，自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月起任本公司独立董事。</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5"/>
          <w:szCs w:val="15"/>
        </w:rPr>
      </w:pPr>
    </w:p>
    <w:p>
      <w:pPr>
        <w:pStyle w:val="BodyText"/>
        <w:spacing w:line="398" w:lineRule="auto"/>
        <w:ind w:left="153" w:right="210" w:firstLine="384"/>
        <w:jc w:val="both"/>
      </w:pPr>
      <w:r>
        <w:rPr/>
        <w:t>肖星，女，中国国籍，</w:t>
      </w:r>
      <w:r>
        <w:rPr>
          <w:rFonts w:ascii="Times New Roman" w:hAnsi="Times New Roman" w:cs="Times New Roman" w:eastAsia="Times New Roman" w:hint="default"/>
        </w:rPr>
        <w:t>1971</w:t>
      </w:r>
      <w:r>
        <w:rPr/>
        <w:t>年出生，博士，中国注册会计师。现任清华大学经济管理学院副教授、会 </w:t>
      </w:r>
      <w:r>
        <w:rPr>
          <w:spacing w:val="-1"/>
        </w:rPr>
        <w:t>计系副主任、中国会计学会财务成本分会理事，兼任紫光华宇股份有限公司独立董事、湖南多喜爱股份有</w:t>
      </w:r>
      <w:r>
        <w:rPr>
          <w:spacing w:val="-83"/>
        </w:rPr>
        <w:t> </w:t>
      </w:r>
      <w:r>
        <w:rPr>
          <w:spacing w:val="-83"/>
        </w:rPr>
      </w:r>
      <w:r>
        <w:rPr/>
        <w:t>限公司独立董事、安徽六国化工股份有限公司独立董事，自</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月起任本公司独立董事。</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5"/>
          <w:szCs w:val="15"/>
        </w:rPr>
      </w:pPr>
    </w:p>
    <w:p>
      <w:pPr>
        <w:pStyle w:val="BodyText"/>
        <w:spacing w:line="398" w:lineRule="auto"/>
        <w:ind w:right="209" w:firstLine="441"/>
        <w:jc w:val="both"/>
      </w:pPr>
      <w:r>
        <w:rPr>
          <w:spacing w:val="-2"/>
        </w:rPr>
        <w:t>朱武祥，男，中国国籍，清华大学博士，</w:t>
      </w:r>
      <w:r>
        <w:rPr>
          <w:rFonts w:ascii="Times New Roman" w:hAnsi="Times New Roman" w:cs="Times New Roman" w:eastAsia="Times New Roman" w:hint="default"/>
          <w:spacing w:val="-2"/>
        </w:rPr>
        <w:t>1965</w:t>
      </w:r>
      <w:r>
        <w:rPr>
          <w:spacing w:val="-2"/>
        </w:rPr>
        <w:t>年出生，现任清华大学经济管理学院金融系公司金融学</w:t>
      </w:r>
      <w:r>
        <w:rPr/>
        <w:t> </w:t>
      </w:r>
      <w:r>
        <w:rPr>
          <w:spacing w:val="-1"/>
        </w:rPr>
        <w:t>教授，博士生导师。兼任歌尔声学股份有限公司、北京建设（控股）有限公司、华夏基金管理有限公司独</w:t>
      </w:r>
      <w:r>
        <w:rPr>
          <w:spacing w:val="-83"/>
        </w:rPr>
        <w:t> </w:t>
      </w:r>
      <w:r>
        <w:rPr>
          <w:spacing w:val="-83"/>
        </w:rPr>
      </w:r>
      <w:r>
        <w:rPr/>
        <w:t>立董事，紫光股份有限公司监事会主席，自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月开始任本公司独立董事。</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15"/>
          <w:szCs w:val="15"/>
        </w:rPr>
      </w:pPr>
    </w:p>
    <w:p>
      <w:pPr>
        <w:pStyle w:val="BodyText"/>
        <w:spacing w:line="386" w:lineRule="auto"/>
        <w:ind w:right="102" w:firstLine="336"/>
        <w:jc w:val="left"/>
      </w:pPr>
      <w:r>
        <w:rPr>
          <w:spacing w:val="-3"/>
        </w:rPr>
        <w:t>王泽全，男，中国国籍，</w:t>
      </w:r>
      <w:r>
        <w:rPr>
          <w:rFonts w:ascii="Times New Roman" w:hAnsi="Times New Roman" w:cs="Times New Roman" w:eastAsia="Times New Roman" w:hint="default"/>
          <w:spacing w:val="-3"/>
        </w:rPr>
        <w:t>1946</w:t>
      </w:r>
      <w:r>
        <w:rPr>
          <w:spacing w:val="-3"/>
        </w:rPr>
        <w:t>年出生，大专学历，</w:t>
      </w:r>
      <w:r>
        <w:rPr>
          <w:rFonts w:ascii="Times New Roman" w:hAnsi="Times New Roman" w:cs="Times New Roman" w:eastAsia="Times New Roman" w:hint="default"/>
          <w:spacing w:val="-3"/>
        </w:rPr>
        <w:t>1971</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-2004</w:t>
      </w:r>
      <w:r>
        <w:rPr>
          <w:spacing w:val="-3"/>
        </w:rPr>
        <w:t>年</w:t>
      </w:r>
      <w:r>
        <w:rPr>
          <w:rFonts w:ascii="Times New Roman" w:hAnsi="Times New Roman" w:cs="Times New Roman" w:eastAsia="Times New Roman" w:hint="default"/>
          <w:spacing w:val="-3"/>
        </w:rPr>
        <w:t>6</w:t>
      </w:r>
      <w:r>
        <w:rPr>
          <w:spacing w:val="-3"/>
        </w:rPr>
        <w:t>月先后任职于营口市通风机械厂、</w:t>
      </w:r>
      <w:r>
        <w:rPr/>
        <w:t> 鞍山市半导体器件总厂和鞍山市电子电力公司，曾任鞍山市电子电力公司副总经济师、总经济师，自</w:t>
      </w:r>
      <w:r>
        <w:rPr>
          <w:rFonts w:ascii="Times New Roman" w:hAnsi="Times New Roman" w:cs="Times New Roman" w:eastAsia="Times New Roman" w:hint="default"/>
        </w:rPr>
        <w:t>2000</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11</w:t>
      </w:r>
      <w:r>
        <w:rPr/>
        <w:t>月起任本公司监事。</w:t>
      </w:r>
    </w:p>
    <w:p>
      <w:pPr>
        <w:spacing w:after="0" w:line="386" w:lineRule="auto"/>
        <w:jc w:val="left"/>
        <w:sectPr>
          <w:footerReference w:type="default" r:id="rId15"/>
          <w:pgSz w:w="11910" w:h="16840"/>
          <w:pgMar w:footer="982" w:header="747" w:top="1060" w:bottom="1180" w:left="980" w:right="920"/>
          <w:pgNumType w:start="7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BodyText"/>
        <w:spacing w:line="386" w:lineRule="auto" w:before="35"/>
        <w:ind w:right="177" w:firstLine="384"/>
        <w:jc w:val="both"/>
      </w:pPr>
      <w:r>
        <w:rPr/>
        <w:t>赵柏品，男，中国国籍，</w:t>
      </w:r>
      <w:r>
        <w:rPr>
          <w:rFonts w:ascii="Times New Roman" w:hAnsi="Times New Roman" w:cs="Times New Roman" w:eastAsia="Times New Roman" w:hint="default"/>
        </w:rPr>
        <w:t>1956</w:t>
      </w:r>
      <w:r>
        <w:rPr/>
        <w:t>年出生，本科学历，工程师。自</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11</w:t>
      </w:r>
      <w:r>
        <w:rPr/>
        <w:t>月起在本公司从事</w:t>
      </w:r>
      <w:r>
        <w:rPr>
          <w:rFonts w:ascii="Times New Roman" w:hAnsi="Times New Roman" w:cs="Times New Roman" w:eastAsia="Times New Roman" w:hint="default"/>
        </w:rPr>
        <w:t>SVC</w:t>
      </w:r>
      <w:r>
        <w:rPr/>
        <w:t>控制系 统设计、调试工作，现任本公司</w:t>
      </w:r>
      <w:r>
        <w:rPr>
          <w:rFonts w:ascii="Times New Roman" w:hAnsi="Times New Roman" w:cs="Times New Roman" w:eastAsia="Times New Roman" w:hint="default"/>
        </w:rPr>
        <w:t>SVC</w:t>
      </w:r>
      <w:r>
        <w:rPr/>
        <w:t>事业部部长，兼任北京荣科恒阳整流技术有限公司董事，自</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 </w:t>
      </w:r>
      <w:r>
        <w:rPr/>
        <w:t>月起任本公司职工监事。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98" w:lineRule="auto" w:before="167"/>
        <w:ind w:right="151" w:firstLine="384"/>
        <w:jc w:val="both"/>
      </w:pPr>
      <w:r>
        <w:rPr/>
        <w:t>杨贵发，男，中国国籍，</w:t>
      </w:r>
      <w:r>
        <w:rPr>
          <w:rFonts w:ascii="Times New Roman" w:hAnsi="Times New Roman" w:cs="Times New Roman" w:eastAsia="Times New Roman" w:hint="default"/>
        </w:rPr>
        <w:t>1971</w:t>
      </w:r>
      <w:r>
        <w:rPr/>
        <w:t>年出生，本科学历，工程师。自</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11</w:t>
      </w:r>
      <w:r>
        <w:rPr/>
        <w:t>月起在本公司从事变频技术开 </w:t>
      </w:r>
      <w:r>
        <w:rPr>
          <w:spacing w:val="-1"/>
        </w:rPr>
        <w:t>发及管理工作，现任辽宁荣信防爆电气技术有限公司董事、副总经理，兼任上海地澳自动化科技有限公司</w:t>
      </w:r>
      <w:r>
        <w:rPr>
          <w:spacing w:val="-83"/>
        </w:rPr>
        <w:t> </w:t>
      </w:r>
      <w:r>
        <w:rPr>
          <w:spacing w:val="-83"/>
        </w:rPr>
      </w:r>
      <w:r>
        <w:rPr/>
        <w:t>监事，自</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11</w:t>
      </w:r>
      <w:r>
        <w:rPr/>
        <w:t>月起任本公司职工监事。</w:t>
      </w:r>
    </w:p>
    <w:p>
      <w:pPr>
        <w:spacing w:line="240" w:lineRule="auto" w:before="0"/>
        <w:rPr>
          <w:rFonts w:ascii="宋体" w:hAnsi="宋体" w:cs="宋体" w:eastAsia="宋体" w:hint="default"/>
          <w:sz w:val="22"/>
          <w:szCs w:val="22"/>
        </w:rPr>
      </w:pPr>
    </w:p>
    <w:p>
      <w:pPr>
        <w:spacing w:line="240" w:lineRule="auto" w:before="8"/>
        <w:rPr>
          <w:rFonts w:ascii="宋体" w:hAnsi="宋体" w:cs="宋体" w:eastAsia="宋体" w:hint="default"/>
          <w:sz w:val="27"/>
          <w:szCs w:val="27"/>
        </w:rPr>
      </w:pPr>
    </w:p>
    <w:p>
      <w:pPr>
        <w:pStyle w:val="BodyText"/>
        <w:spacing w:line="398" w:lineRule="auto"/>
        <w:ind w:right="149" w:firstLine="384"/>
        <w:jc w:val="both"/>
      </w:pPr>
      <w:r>
        <w:rPr/>
        <w:t>赵殿波，男，中国国籍，</w:t>
      </w:r>
      <w:r>
        <w:rPr>
          <w:rFonts w:ascii="Times New Roman" w:hAnsi="Times New Roman" w:cs="Times New Roman" w:eastAsia="Times New Roman" w:hint="default"/>
        </w:rPr>
        <w:t>1969</w:t>
      </w:r>
      <w:r>
        <w:rPr/>
        <w:t>年出生，毕业于清华大学机械工程系，复旦大学</w:t>
      </w:r>
      <w:r>
        <w:rPr>
          <w:rFonts w:ascii="Times New Roman" w:hAnsi="Times New Roman" w:cs="Times New Roman" w:eastAsia="Times New Roman" w:hint="default"/>
        </w:rPr>
        <w:t>EMBA</w:t>
      </w:r>
      <w:r>
        <w:rPr/>
        <w:t>，</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11</w:t>
      </w:r>
      <w:r>
        <w:rPr/>
        <w:t>月至 </w:t>
      </w:r>
      <w:r>
        <w:rPr>
          <w:spacing w:val="-1"/>
        </w:rPr>
        <w:t>今，历任本公司研发工程师、部长、总经理助理，现任本公司董事会秘书、副总裁，兼任辽宁荣信防爆电</w:t>
      </w:r>
      <w:r>
        <w:rPr>
          <w:spacing w:val="-83"/>
        </w:rPr>
        <w:t> </w:t>
      </w:r>
      <w:r>
        <w:rPr>
          <w:spacing w:val="-83"/>
        </w:rPr>
      </w:r>
      <w:r>
        <w:rPr/>
        <w:t>气技术有限公司董事长，上海地澳自动化科技有限公司董事。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86" w:lineRule="auto" w:before="155"/>
        <w:ind w:left="156" w:right="151" w:firstLine="423"/>
        <w:jc w:val="both"/>
      </w:pPr>
      <w:r>
        <w:rPr>
          <w:spacing w:val="-1"/>
        </w:rPr>
        <w:t>王岱岩，男，中国国籍，</w:t>
      </w:r>
      <w:r>
        <w:rPr>
          <w:rFonts w:ascii="Times New Roman" w:hAnsi="Times New Roman" w:cs="Times New Roman" w:eastAsia="Times New Roman" w:hint="default"/>
          <w:spacing w:val="-1"/>
        </w:rPr>
        <w:t>1963</w:t>
      </w:r>
      <w:r>
        <w:rPr>
          <w:spacing w:val="-1"/>
        </w:rPr>
        <w:t>年出生，毕业于东北大学自动化控制系，本科学历。</w:t>
      </w:r>
      <w:r>
        <w:rPr>
          <w:rFonts w:ascii="Times New Roman" w:hAnsi="Times New Roman" w:cs="Times New Roman" w:eastAsia="Times New Roman" w:hint="default"/>
          <w:spacing w:val="-1"/>
        </w:rPr>
        <w:t>2001</w:t>
      </w:r>
      <w:r>
        <w:rPr>
          <w:spacing w:val="-1"/>
        </w:rPr>
        <w:t>年至今任本公</w:t>
      </w:r>
      <w:r>
        <w:rPr/>
        <w:t> 司市场部销售总监，兼任辽宁荣信电机控制技术有限公司董事长。</w:t>
      </w:r>
    </w:p>
    <w:p>
      <w:pPr>
        <w:spacing w:line="240" w:lineRule="auto" w:before="0"/>
        <w:rPr>
          <w:rFonts w:ascii="宋体" w:hAnsi="宋体" w:cs="宋体" w:eastAsia="宋体" w:hint="default"/>
          <w:sz w:val="20"/>
          <w:szCs w:val="20"/>
        </w:rPr>
      </w:pPr>
    </w:p>
    <w:p>
      <w:pPr>
        <w:spacing w:before="143"/>
        <w:ind w:left="154"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line="340" w:lineRule="auto" w:before="116"/>
        <w:ind w:left="154" w:right="81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在其他单位任职情况</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3" w:hRule="exact"/>
        </w:trPr>
        <w:tc>
          <w:tcPr>
            <w:tcW w:w="1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pacing w:val="-2"/>
                <w:sz w:val="18"/>
                <w:szCs w:val="18"/>
              </w:rPr>
              <w:t>荣信嘉时（北京）科技发展有限公司董事</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长</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辽宁荣信电气传动技术有限责任公司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北京荣信中科电气设备有限公司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荣西电力传输技术有限公司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珠海亚强电子有限公司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深圳市梦网科技发展有限公司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深圳市梦网科技发展有限公司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深圳市松禾资本管理有限公司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业务合伙人</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辽宁科隆精细化工股份有限公司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深圳市今日标准精密机器有限公司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深圳市德方纳米科技有限公司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深圳市常兴技术股份有限公司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东莞市华轩幕墙材料有限公司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南通海星电子有限公司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广州迪森热能技术股份有限公司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刘泉军</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中国青年政治学院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清华大学经济管理学院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北京紫光华宇软件股份有限公司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湖南多喜爱股份有限公司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肖星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安徽六国化工股份有限公司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清华大学经济管理学院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歌尔声学股份有限公司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北京建设（控股）有限公司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华夏基金管理有限公司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紫光股份有限公司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赵柏品</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北京荣科恒阳整流技术有限公司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杨贵发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辽宁荣信防爆电气技术有限公司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董事、副总经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杨贵发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上海地澳自动化科技有限公司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赵殿波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辽宁荣信防爆电气技术有限公司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赵殿波</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上海地澳自动化科技有限公司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8"/>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王岱岩</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辽宁荣信电机控制技术有限公司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3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四、董事、监事、高级管理人员报酬情况</w:t>
      </w:r>
      <w:r>
        <w:rPr>
          <w:b w:val="0"/>
          <w:bCs w:val="0"/>
        </w:rPr>
      </w:r>
    </w:p>
    <w:p>
      <w:pPr>
        <w:spacing w:line="240" w:lineRule="auto" w:before="9"/>
        <w:rPr>
          <w:rFonts w:ascii="宋体" w:hAnsi="宋体" w:cs="宋体" w:eastAsia="宋体" w:hint="default"/>
          <w:b/>
          <w:bCs/>
          <w:sz w:val="30"/>
          <w:szCs w:val="30"/>
        </w:rPr>
      </w:pPr>
    </w:p>
    <w:p>
      <w:pPr>
        <w:pStyle w:val="BodyText"/>
        <w:spacing w:line="434" w:lineRule="auto"/>
        <w:ind w:left="153" w:right="1161"/>
        <w:jc w:val="left"/>
      </w:pPr>
      <w:r>
        <w:rPr/>
        <w:t>董事、监事、高级管理人员报酬的决策程序、确定依据、实际支付情况 董事、监事、高级管理人员报酬的决策程序、确定依据 </w:t>
      </w:r>
      <w:r>
        <w:rPr>
          <w:rFonts w:ascii="Times New Roman" w:hAnsi="Times New Roman" w:cs="Times New Roman" w:eastAsia="Times New Roman" w:hint="default"/>
        </w:rPr>
        <w:t>1</w:t>
      </w:r>
      <w:r>
        <w:rPr/>
        <w:t>、董事、监事、高级管理人员报酬决策程序 公司独立董事津贴由董事会薪酬与考核委员会制定并经</w:t>
      </w:r>
      <w:r>
        <w:rPr>
          <w:rFonts w:ascii="Times New Roman" w:hAnsi="Times New Roman" w:cs="Times New Roman" w:eastAsia="Times New Roman" w:hint="default"/>
        </w:rPr>
        <w:t>2013</w:t>
      </w:r>
      <w:r>
        <w:rPr/>
        <w:t>年第二次临时股东大会审议批准。 公司高级管理人员薪酬由董事会薪酬与考核委员会制定与考核并经董事会批准。 </w:t>
      </w:r>
      <w:r>
        <w:rPr>
          <w:rFonts w:ascii="Times New Roman" w:hAnsi="Times New Roman" w:cs="Times New Roman" w:eastAsia="Times New Roman" w:hint="default"/>
        </w:rPr>
        <w:t>2</w:t>
      </w:r>
      <w:r>
        <w:rPr/>
        <w:t>、董事、监事、高级管理人员报酬确定依据</w:t>
      </w:r>
    </w:p>
    <w:p>
      <w:pPr>
        <w:pStyle w:val="BodyText"/>
        <w:spacing w:line="429" w:lineRule="auto" w:before="27"/>
        <w:ind w:right="0" w:firstLine="420"/>
        <w:jc w:val="left"/>
      </w:pPr>
      <w:r>
        <w:rPr>
          <w:spacing w:val="-1"/>
        </w:rPr>
        <w:t>公司董事会薪酬与考核委员会依据公司主要经济指标和管理指标的完成情况对董事、监事和高级管理</w:t>
      </w:r>
      <w:r>
        <w:rPr/>
        <w:t> 人员的业绩、工作能力、履职情况进行考评，制定薪酬方案。 </w:t>
      </w:r>
      <w:r>
        <w:rPr>
          <w:rFonts w:ascii="Times New Roman" w:hAnsi="Times New Roman" w:cs="Times New Roman" w:eastAsia="Times New Roman" w:hint="default"/>
        </w:rPr>
        <w:t>3</w:t>
      </w:r>
      <w:r>
        <w:rPr/>
        <w:t>、董事、监事、高级管理人员从公司报酬的实际支付情况 报告期，公司按股东大会和董事会批准的薪酬支付给董事、高级管理人员。 公司报告期内董事、监事和高级管理人员报酬情况</w:t>
      </w:r>
    </w:p>
    <w:p>
      <w:pPr>
        <w:spacing w:before="1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47" w:right="0"/>
              <w:jc w:val="left"/>
              <w:rPr>
                <w:rFonts w:ascii="宋体" w:hAnsi="宋体" w:cs="宋体" w:eastAsia="宋体" w:hint="default"/>
                <w:sz w:val="18"/>
                <w:szCs w:val="18"/>
              </w:rPr>
            </w:pPr>
            <w:r>
              <w:rPr>
                <w:rFonts w:ascii="宋体" w:hAnsi="宋体" w:cs="宋体" w:eastAsia="宋体" w:hint="default"/>
                <w:sz w:val="18"/>
                <w:szCs w:val="18"/>
              </w:rPr>
              <w:t>从公司获得的税</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48" w:right="0"/>
              <w:jc w:val="left"/>
              <w:rPr>
                <w:rFonts w:ascii="宋体" w:hAnsi="宋体" w:cs="宋体" w:eastAsia="宋体" w:hint="default"/>
                <w:sz w:val="18"/>
                <w:szCs w:val="18"/>
              </w:rPr>
            </w:pPr>
            <w:r>
              <w:rPr>
                <w:rFonts w:ascii="宋体" w:hAnsi="宋体" w:cs="宋体" w:eastAsia="宋体" w:hint="default"/>
                <w:sz w:val="18"/>
                <w:szCs w:val="18"/>
              </w:rPr>
              <w:t>是否在公司关联</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36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7" w:right="0"/>
              <w:jc w:val="left"/>
              <w:rPr>
                <w:rFonts w:ascii="宋体" w:hAnsi="宋体" w:cs="宋体" w:eastAsia="宋体" w:hint="default"/>
                <w:sz w:val="18"/>
                <w:szCs w:val="18"/>
              </w:rPr>
            </w:pPr>
            <w:r>
              <w:rPr>
                <w:rFonts w:ascii="宋体" w:hAnsi="宋体" w:cs="宋体" w:eastAsia="宋体" w:hint="default"/>
                <w:sz w:val="18"/>
                <w:szCs w:val="18"/>
              </w:rPr>
              <w:t>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8" w:right="0"/>
              <w:jc w:val="left"/>
              <w:rPr>
                <w:rFonts w:ascii="宋体" w:hAnsi="宋体" w:cs="宋体" w:eastAsia="宋体" w:hint="default"/>
                <w:sz w:val="18"/>
                <w:szCs w:val="18"/>
              </w:rPr>
            </w:pPr>
            <w:r>
              <w:rPr>
                <w:rFonts w:ascii="宋体" w:hAnsi="宋体" w:cs="宋体" w:eastAsia="宋体" w:hint="default"/>
                <w:sz w:val="18"/>
                <w:szCs w:val="18"/>
              </w:rPr>
              <w:t>方获取报酬</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左强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余文胜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3"/>
                <w:sz w:val="18"/>
              </w:rPr>
              <w:t>112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马成家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刘泉军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王泽全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赵柏品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杨贵发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赵殿波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副总裁、董事会 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王岱岩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张云鹏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戴东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325.24</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before="0"/>
        <w:ind w:right="0"/>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378</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737</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1,769</w:t>
            </w:r>
          </w:p>
        </w:tc>
      </w:tr>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教育程度类别</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本科以上</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474</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大专以下</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1,769</w:t>
            </w:r>
          </w:p>
        </w:tc>
      </w:tr>
    </w:tbl>
    <w:p>
      <w:pPr>
        <w:spacing w:line="240" w:lineRule="auto" w:before="2"/>
        <w:rPr>
          <w:rFonts w:ascii="宋体" w:hAnsi="宋体" w:cs="宋体" w:eastAsia="宋体" w:hint="default"/>
          <w:b/>
          <w:bCs/>
          <w:sz w:val="19"/>
          <w:szCs w:val="19"/>
        </w:rPr>
      </w:pPr>
    </w:p>
    <w:p>
      <w:pPr>
        <w:pStyle w:val="Heading3"/>
        <w:spacing w:line="240" w:lineRule="auto"/>
        <w:ind w:right="102"/>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210" w:firstLine="418"/>
        <w:jc w:val="both"/>
      </w:pPr>
      <w:r>
        <w:rPr>
          <w:spacing w:val="-1"/>
        </w:rPr>
        <w:t>公司在严格遵守《劳动合同法》等有关法律法规、部门规章和规范性文件的基础上，结合行业及公司</w:t>
      </w:r>
      <w:r>
        <w:rPr/>
        <w:t> </w:t>
      </w:r>
      <w:r>
        <w:rPr>
          <w:spacing w:val="-1"/>
        </w:rPr>
        <w:t>经营特点，充分考虑公平性和竞争力，实行激励与约束并存的薪酬制度，员工薪酬由基本薪酬和绩效薪酬</w:t>
      </w:r>
      <w:r>
        <w:rPr>
          <w:spacing w:val="-83"/>
        </w:rPr>
        <w:t> </w:t>
      </w:r>
      <w:r>
        <w:rPr>
          <w:spacing w:val="-83"/>
        </w:rPr>
      </w:r>
      <w:r>
        <w:rPr>
          <w:spacing w:val="-1"/>
        </w:rPr>
        <w:t>构成。报告期内，公司深入推进绩效考核工作，充分评价团队和个人的工作业绩，形成奖惩分明的考核机</w:t>
      </w:r>
      <w:r>
        <w:rPr>
          <w:spacing w:val="-82"/>
        </w:rPr>
        <w:t> </w:t>
      </w:r>
      <w:r>
        <w:rPr>
          <w:spacing w:val="-82"/>
        </w:rPr>
      </w:r>
      <w:r>
        <w:rPr>
          <w:spacing w:val="-1"/>
        </w:rPr>
        <w:t>制，向员工提供富有竞争力的薪酬，有效提升了员工执行力和责任意识，有利于留住和吸引优秀人才，为</w:t>
      </w:r>
      <w:r>
        <w:rPr>
          <w:spacing w:val="-82"/>
        </w:rPr>
        <w:t> </w:t>
      </w:r>
      <w:r>
        <w:rPr>
          <w:spacing w:val="-82"/>
        </w:rPr>
      </w:r>
      <w:r>
        <w:rPr/>
        <w:t>公司发展提供人力资源保障。</w:t>
      </w:r>
    </w:p>
    <w:p>
      <w:pPr>
        <w:spacing w:line="240" w:lineRule="auto" w:before="8"/>
        <w:rPr>
          <w:rFonts w:ascii="宋体" w:hAnsi="宋体" w:cs="宋体" w:eastAsia="宋体" w:hint="default"/>
          <w:sz w:val="20"/>
          <w:szCs w:val="20"/>
        </w:rPr>
      </w:pPr>
    </w:p>
    <w:p>
      <w:pPr>
        <w:pStyle w:val="Heading3"/>
        <w:spacing w:line="240" w:lineRule="auto" w:before="0"/>
        <w:ind w:right="102"/>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101" w:firstLine="380"/>
        <w:jc w:val="left"/>
      </w:pPr>
      <w:r>
        <w:rPr/>
        <w:t>公司非常重视员工培训，人力资源部每年结合企业发展战略、岗位要求、企业文化及个人职业发展路 径，会同各业务部门分析、研究培训需求，充分利用内部讲师资源，同时借助第三方外部资源，制定针对 性强、专业性高的培训计划，包括但不限于：企业文化、岗位操作技能、专业技术、经营管理等方面。报 </w:t>
      </w:r>
      <w:r>
        <w:rPr>
          <w:spacing w:val="-3"/>
        </w:rPr>
        <w:t>告期内，各部门严格执行年初制定的培训计划，并根据工作过程中遇到的问题或困难，及时展开专题培训。</w:t>
      </w:r>
      <w:r>
        <w:rPr>
          <w:spacing w:val="-90"/>
        </w:rPr>
        <w:t> </w:t>
      </w:r>
      <w:r>
        <w:rPr>
          <w:spacing w:val="-90"/>
        </w:rPr>
      </w:r>
      <w:r>
        <w:rPr/>
        <w:t>通过培训，员工整体职业素质、专业技能提高，实现了自身职业能力提升和公司可持续发展的共赢。</w:t>
      </w:r>
    </w:p>
    <w:p>
      <w:pPr>
        <w:spacing w:line="240" w:lineRule="auto" w:before="8"/>
        <w:rPr>
          <w:rFonts w:ascii="宋体" w:hAnsi="宋体" w:cs="宋体" w:eastAsia="宋体" w:hint="default"/>
          <w:sz w:val="20"/>
          <w:szCs w:val="20"/>
        </w:rPr>
      </w:pPr>
    </w:p>
    <w:p>
      <w:pPr>
        <w:pStyle w:val="Heading3"/>
        <w:spacing w:line="240" w:lineRule="auto" w:before="0"/>
        <w:ind w:right="102"/>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8"/>
        <w:rPr>
          <w:rFonts w:ascii="宋体" w:hAnsi="宋体" w:cs="宋体" w:eastAsia="宋体" w:hint="default"/>
          <w:b/>
          <w:bCs/>
          <w:sz w:val="26"/>
          <w:szCs w:val="26"/>
        </w:rPr>
      </w:pPr>
    </w:p>
    <w:p>
      <w:pPr>
        <w:spacing w:before="0"/>
        <w:ind w:left="154" w:right="10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2" w:top="1060" w:bottom="1180" w:left="980" w:right="9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927"/>
        <w:jc w:val="center"/>
        <w:rPr>
          <w:b w:val="0"/>
          <w:bCs w:val="0"/>
        </w:rPr>
      </w:pPr>
      <w:bookmarkStart w:name="_TOC_250002" w:id="9"/>
      <w:r>
        <w:rPr/>
        <w:t>第九节</w:t>
      </w:r>
      <w:r>
        <w:rPr>
          <w:spacing w:val="-5"/>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377"/>
        <w:jc w:val="left"/>
        <w:rPr>
          <w:b w:val="0"/>
          <w:bCs w:val="0"/>
        </w:rPr>
      </w:pPr>
      <w:r>
        <w:rPr/>
        <w:t>一、公司治理的基本状况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328" w:firstLine="420"/>
        <w:jc w:val="both"/>
      </w:pPr>
      <w:r>
        <w:rPr>
          <w:spacing w:val="-1"/>
        </w:rPr>
        <w:t>公司严格按照《公司法》、《证券法》、《上市公司治理准则》及中国证监会、深圳证券交易所发布</w:t>
      </w:r>
      <w:r>
        <w:rPr/>
        <w:t> </w:t>
      </w:r>
      <w:r>
        <w:rPr>
          <w:spacing w:val="-1"/>
        </w:rPr>
        <w:t>的有关上市公司治理的规范性文件要求，不断完善公司法人治理结构，规范公司运作。比照中国证监会发</w:t>
      </w:r>
      <w:r>
        <w:rPr>
          <w:spacing w:val="-83"/>
        </w:rPr>
        <w:t> </w:t>
      </w:r>
      <w:r>
        <w:rPr>
          <w:spacing w:val="-83"/>
        </w:rPr>
      </w:r>
      <w:r>
        <w:rPr>
          <w:spacing w:val="-1"/>
        </w:rPr>
        <w:t>布的有关上市公司治理的规范性文件，公司法人治理结构的实际情况基本符合《上市公司治理准则》的要</w:t>
      </w:r>
      <w:r>
        <w:rPr>
          <w:spacing w:val="-83"/>
        </w:rPr>
        <w:t> </w:t>
      </w:r>
      <w:r>
        <w:rPr>
          <w:spacing w:val="-83"/>
        </w:rPr>
      </w:r>
      <w:r>
        <w:rPr/>
        <w:t>求。</w:t>
      </w:r>
    </w:p>
    <w:p>
      <w:pPr>
        <w:pStyle w:val="BodyText"/>
        <w:spacing w:line="240" w:lineRule="auto" w:before="46"/>
        <w:ind w:left="574" w:right="377"/>
        <w:jc w:val="left"/>
      </w:pPr>
      <w:r>
        <w:rPr/>
        <w:t>报告期内，公司制定和修订的公司制度如下：</w:t>
      </w:r>
    </w:p>
    <w:p>
      <w:pPr>
        <w:spacing w:line="240" w:lineRule="auto" w:before="12"/>
        <w:rPr>
          <w:rFonts w:ascii="宋体" w:hAnsi="宋体" w:cs="宋体" w:eastAsia="宋体" w:hint="default"/>
          <w:sz w:val="9"/>
          <w:szCs w:val="9"/>
        </w:rPr>
      </w:pPr>
    </w:p>
    <w:tbl>
      <w:tblPr>
        <w:tblW w:w="0" w:type="auto"/>
        <w:jc w:val="left"/>
        <w:tblInd w:w="146" w:type="dxa"/>
        <w:tblLayout w:type="fixed"/>
        <w:tblCellMar>
          <w:top w:w="0" w:type="dxa"/>
          <w:left w:w="0" w:type="dxa"/>
          <w:bottom w:w="0" w:type="dxa"/>
          <w:right w:w="0" w:type="dxa"/>
        </w:tblCellMar>
        <w:tblLook w:val="01E0"/>
      </w:tblPr>
      <w:tblGrid>
        <w:gridCol w:w="648"/>
        <w:gridCol w:w="3942"/>
        <w:gridCol w:w="1998"/>
        <w:gridCol w:w="3266"/>
      </w:tblGrid>
      <w:tr>
        <w:trPr>
          <w:trHeight w:val="503"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05"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3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1"/>
              <w:jc w:val="center"/>
              <w:rPr>
                <w:rFonts w:ascii="宋体" w:hAnsi="宋体" w:cs="宋体" w:eastAsia="宋体" w:hint="default"/>
                <w:sz w:val="21"/>
                <w:szCs w:val="21"/>
              </w:rPr>
            </w:pPr>
            <w:r>
              <w:rPr>
                <w:rFonts w:ascii="宋体" w:hAnsi="宋体" w:cs="宋体" w:eastAsia="宋体" w:hint="default"/>
                <w:sz w:val="21"/>
                <w:szCs w:val="21"/>
              </w:rPr>
              <w:t>制度名称</w:t>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151" w:right="0"/>
              <w:jc w:val="left"/>
              <w:rPr>
                <w:rFonts w:ascii="宋体" w:hAnsi="宋体" w:cs="宋体" w:eastAsia="宋体" w:hint="default"/>
                <w:sz w:val="21"/>
                <w:szCs w:val="21"/>
              </w:rPr>
            </w:pPr>
            <w:r>
              <w:rPr>
                <w:rFonts w:ascii="宋体" w:hAnsi="宋体" w:cs="宋体" w:eastAsia="宋体" w:hint="default"/>
                <w:sz w:val="21"/>
                <w:szCs w:val="21"/>
              </w:rPr>
              <w:t>最近一次修订时间</w:t>
            </w:r>
          </w:p>
        </w:tc>
        <w:tc>
          <w:tcPr>
            <w:tcW w:w="3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right="0"/>
              <w:jc w:val="center"/>
              <w:rPr>
                <w:rFonts w:ascii="宋体" w:hAnsi="宋体" w:cs="宋体" w:eastAsia="宋体" w:hint="default"/>
                <w:sz w:val="21"/>
                <w:szCs w:val="21"/>
              </w:rPr>
            </w:pPr>
            <w:r>
              <w:rPr>
                <w:rFonts w:ascii="宋体" w:hAnsi="宋体" w:cs="宋体" w:eastAsia="宋体" w:hint="default"/>
                <w:sz w:val="21"/>
                <w:szCs w:val="21"/>
              </w:rPr>
              <w:t>会议名称</w:t>
            </w:r>
          </w:p>
        </w:tc>
      </w:tr>
      <w:tr>
        <w:trPr>
          <w:trHeight w:val="504"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3"/>
              <w:ind w:left="2" w:right="0"/>
              <w:jc w:val="left"/>
              <w:rPr>
                <w:rFonts w:ascii="Times New Roman" w:hAnsi="Times New Roman" w:cs="Times New Roman" w:eastAsia="Times New Roman" w:hint="default"/>
                <w:sz w:val="21"/>
                <w:szCs w:val="21"/>
              </w:rPr>
            </w:pPr>
            <w:r>
              <w:rPr>
                <w:rFonts w:ascii="Times New Roman"/>
                <w:sz w:val="21"/>
              </w:rPr>
              <w:t>1</w:t>
            </w:r>
          </w:p>
        </w:tc>
        <w:tc>
          <w:tcPr>
            <w:tcW w:w="3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 w:right="0"/>
              <w:jc w:val="left"/>
              <w:rPr>
                <w:rFonts w:ascii="宋体" w:hAnsi="宋体" w:cs="宋体" w:eastAsia="宋体" w:hint="default"/>
                <w:sz w:val="21"/>
                <w:szCs w:val="21"/>
              </w:rPr>
            </w:pPr>
            <w:r>
              <w:rPr>
                <w:rFonts w:ascii="宋体" w:hAnsi="宋体" w:cs="宋体" w:eastAsia="宋体" w:hint="default"/>
                <w:sz w:val="21"/>
                <w:szCs w:val="21"/>
              </w:rPr>
              <w:t>修改《公司章程》</w:t>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4</w:t>
            </w:r>
            <w:r>
              <w:rPr>
                <w:rFonts w:ascii="宋体" w:hAnsi="宋体" w:cs="宋体" w:eastAsia="宋体" w:hint="default"/>
                <w:sz w:val="21"/>
                <w:szCs w:val="21"/>
              </w:rPr>
              <w:t>月</w:t>
            </w:r>
            <w:r>
              <w:rPr>
                <w:rFonts w:ascii="Times New Roman" w:hAnsi="Times New Roman" w:cs="Times New Roman" w:eastAsia="Times New Roman" w:hint="default"/>
                <w:sz w:val="21"/>
                <w:szCs w:val="21"/>
              </w:rPr>
              <w:t>10</w:t>
            </w:r>
            <w:r>
              <w:rPr>
                <w:rFonts w:ascii="宋体" w:hAnsi="宋体" w:cs="宋体" w:eastAsia="宋体" w:hint="default"/>
                <w:sz w:val="21"/>
                <w:szCs w:val="21"/>
              </w:rPr>
              <w:t>日</w:t>
            </w:r>
          </w:p>
        </w:tc>
        <w:tc>
          <w:tcPr>
            <w:tcW w:w="3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4"/>
              <w:ind w:left="2"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Times New Roman" w:hAnsi="Times New Roman" w:cs="Times New Roman" w:eastAsia="Times New Roman" w:hint="default"/>
                <w:sz w:val="21"/>
                <w:szCs w:val="21"/>
              </w:rPr>
              <w:t>2015</w:t>
            </w:r>
            <w:r>
              <w:rPr>
                <w:rFonts w:ascii="宋体" w:hAnsi="宋体" w:cs="宋体" w:eastAsia="宋体" w:hint="default"/>
                <w:sz w:val="21"/>
                <w:szCs w:val="21"/>
              </w:rPr>
              <w:t>年第一次临时股东大会</w:t>
            </w:r>
          </w:p>
        </w:tc>
      </w:tr>
      <w:tr>
        <w:trPr>
          <w:trHeight w:val="503" w:hRule="exact"/>
        </w:trPr>
        <w:tc>
          <w:tcPr>
            <w:tcW w:w="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2"/>
              <w:ind w:left="2" w:right="0"/>
              <w:jc w:val="left"/>
              <w:rPr>
                <w:rFonts w:ascii="Times New Roman" w:hAnsi="Times New Roman" w:cs="Times New Roman" w:eastAsia="Times New Roman" w:hint="default"/>
                <w:sz w:val="21"/>
                <w:szCs w:val="21"/>
              </w:rPr>
            </w:pPr>
            <w:r>
              <w:rPr>
                <w:rFonts w:ascii="Times New Roman"/>
                <w:sz w:val="21"/>
              </w:rPr>
              <w:t>2</w:t>
            </w:r>
          </w:p>
        </w:tc>
        <w:tc>
          <w:tcPr>
            <w:tcW w:w="3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 w:right="0"/>
              <w:jc w:val="left"/>
              <w:rPr>
                <w:rFonts w:ascii="宋体" w:hAnsi="宋体" w:cs="宋体" w:eastAsia="宋体" w:hint="default"/>
                <w:sz w:val="21"/>
                <w:szCs w:val="21"/>
              </w:rPr>
            </w:pPr>
            <w:r>
              <w:rPr>
                <w:rFonts w:ascii="宋体" w:hAnsi="宋体" w:cs="宋体" w:eastAsia="宋体" w:hint="default"/>
                <w:sz w:val="21"/>
                <w:szCs w:val="21"/>
              </w:rPr>
              <w:t>修改《公司章程》</w:t>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2015</w:t>
            </w:r>
            <w:r>
              <w:rPr>
                <w:rFonts w:ascii="宋体" w:hAnsi="宋体" w:cs="宋体" w:eastAsia="宋体" w:hint="default"/>
                <w:sz w:val="21"/>
                <w:szCs w:val="21"/>
              </w:rPr>
              <w:t>年</w:t>
            </w:r>
            <w:r>
              <w:rPr>
                <w:rFonts w:ascii="Times New Roman" w:hAnsi="Times New Roman" w:cs="Times New Roman" w:eastAsia="Times New Roman" w:hint="default"/>
                <w:sz w:val="21"/>
                <w:szCs w:val="21"/>
              </w:rPr>
              <w:t>11</w:t>
            </w:r>
            <w:r>
              <w:rPr>
                <w:rFonts w:ascii="宋体" w:hAnsi="宋体" w:cs="宋体" w:eastAsia="宋体" w:hint="default"/>
                <w:sz w:val="21"/>
                <w:szCs w:val="21"/>
              </w:rPr>
              <w:t>月</w:t>
            </w:r>
            <w:r>
              <w:rPr>
                <w:rFonts w:ascii="Times New Roman" w:hAnsi="Times New Roman" w:cs="Times New Roman" w:eastAsia="Times New Roman" w:hint="default"/>
                <w:sz w:val="21"/>
                <w:szCs w:val="21"/>
              </w:rPr>
              <w:t>17</w:t>
            </w:r>
            <w:r>
              <w:rPr>
                <w:rFonts w:ascii="宋体" w:hAnsi="宋体" w:cs="宋体" w:eastAsia="宋体" w:hint="default"/>
                <w:sz w:val="21"/>
                <w:szCs w:val="21"/>
              </w:rPr>
              <w:t>日</w:t>
            </w:r>
          </w:p>
        </w:tc>
        <w:tc>
          <w:tcPr>
            <w:tcW w:w="32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2"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Times New Roman" w:hAnsi="Times New Roman" w:cs="Times New Roman" w:eastAsia="Times New Roman" w:hint="default"/>
                <w:sz w:val="21"/>
                <w:szCs w:val="21"/>
              </w:rPr>
              <w:t>2015</w:t>
            </w:r>
            <w:r>
              <w:rPr>
                <w:rFonts w:ascii="宋体" w:hAnsi="宋体" w:cs="宋体" w:eastAsia="宋体" w:hint="default"/>
                <w:sz w:val="21"/>
                <w:szCs w:val="21"/>
              </w:rPr>
              <w:t>年度第二次临时股东大会</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98" w:lineRule="auto" w:before="35"/>
        <w:ind w:right="331" w:firstLine="480"/>
        <w:jc w:val="both"/>
      </w:pPr>
      <w:r>
        <w:rPr>
          <w:rFonts w:ascii="Times New Roman" w:hAnsi="Times New Roman" w:cs="Times New Roman" w:eastAsia="Times New Roman" w:hint="default"/>
        </w:rPr>
        <w:t>1</w:t>
      </w:r>
      <w:r>
        <w:rPr/>
        <w:t>、关于股东与股东大会：公司能够按照《上市公司股东大会规范意见》、《公司章程》、《公司股 </w:t>
      </w:r>
      <w:r>
        <w:rPr>
          <w:spacing w:val="-1"/>
        </w:rPr>
        <w:t>东大会议事规则》等规定，规范地召集、召开股东大会；公司能够确保所有股东享有平等地位，确保所有</w:t>
      </w:r>
      <w:r>
        <w:rPr>
          <w:spacing w:val="-83"/>
        </w:rPr>
        <w:t> </w:t>
      </w:r>
      <w:r>
        <w:rPr>
          <w:spacing w:val="-83"/>
        </w:rPr>
      </w:r>
      <w:r>
        <w:rPr/>
        <w:t>股东能够充分行使自己的权利，不存在损害中小股东利益的情形。</w:t>
      </w:r>
    </w:p>
    <w:p>
      <w:pPr>
        <w:pStyle w:val="BodyText"/>
        <w:spacing w:line="393" w:lineRule="auto" w:before="54"/>
        <w:ind w:right="215" w:firstLine="480"/>
        <w:jc w:val="left"/>
      </w:pPr>
      <w:r>
        <w:rPr>
          <w:rFonts w:ascii="Times New Roman" w:hAnsi="Times New Roman" w:cs="Times New Roman" w:eastAsia="Times New Roman" w:hint="default"/>
          <w:spacing w:val="-2"/>
        </w:rPr>
        <w:t>2</w:t>
      </w:r>
      <w:r>
        <w:rPr>
          <w:spacing w:val="-2"/>
        </w:rPr>
        <w:t>、关于公司与控股股东：公司与控股股东在人员、资产、财务、机构和业务方面实行</w:t>
      </w:r>
      <w:r>
        <w:rPr>
          <w:rFonts w:ascii="Times New Roman" w:hAnsi="Times New Roman" w:cs="Times New Roman" w:eastAsia="Times New Roman" w:hint="default"/>
          <w:spacing w:val="-2"/>
        </w:rPr>
        <w:t>“</w:t>
      </w:r>
      <w:r>
        <w:rPr>
          <w:spacing w:val="-2"/>
        </w:rPr>
        <w:t>三分开</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两</w:t>
      </w:r>
      <w:r>
        <w:rPr/>
        <w:t> 独立</w:t>
      </w:r>
      <w:r>
        <w:rPr>
          <w:rFonts w:ascii="Times New Roman" w:hAnsi="Times New Roman" w:cs="Times New Roman" w:eastAsia="Times New Roman" w:hint="default"/>
        </w:rPr>
        <w:t>”</w:t>
      </w:r>
      <w:r>
        <w:rPr/>
        <w:t>，公司拥有独立完整的业务和自主经营能力；公司董事会、监事会及其他内部机构独立运作。公司 </w:t>
      </w:r>
      <w:r>
        <w:rPr>
          <w:spacing w:val="-1"/>
        </w:rPr>
        <w:t>控股股东没有超越股东大会直接或间接干预公司的决策及依法开展的生产经营活动，不存在控股股东占用</w:t>
      </w:r>
      <w:r>
        <w:rPr>
          <w:spacing w:val="-81"/>
        </w:rPr>
        <w:t> </w:t>
      </w:r>
      <w:r>
        <w:rPr>
          <w:spacing w:val="-81"/>
        </w:rPr>
      </w:r>
      <w:r>
        <w:rPr/>
        <w:t>公司资金的现象，公司也无为控股股东及其子公司提供担保的情形。</w:t>
      </w:r>
    </w:p>
    <w:p>
      <w:pPr>
        <w:pStyle w:val="BodyText"/>
        <w:spacing w:line="400" w:lineRule="auto" w:before="59"/>
        <w:ind w:right="331" w:firstLine="480"/>
        <w:jc w:val="both"/>
      </w:pPr>
      <w:r>
        <w:rPr>
          <w:rFonts w:ascii="Times New Roman" w:hAnsi="Times New Roman" w:cs="Times New Roman" w:eastAsia="Times New Roman" w:hint="default"/>
        </w:rPr>
        <w:t>3</w:t>
      </w:r>
      <w:r>
        <w:rPr/>
        <w:t>、关于董事和董事会：公司严格按照《公司章程》规定的董事选聘程序选举董事；公司董事会的人 </w:t>
      </w:r>
      <w:r>
        <w:rPr>
          <w:spacing w:val="-1"/>
        </w:rPr>
        <w:t>数及人员构成符合有关法律、法规的要求。各位董事能够遵照《深圳证券交易所中小企业板块上市公司规</w:t>
      </w:r>
      <w:r>
        <w:rPr>
          <w:spacing w:val="-83"/>
        </w:rPr>
        <w:t> </w:t>
      </w:r>
      <w:r>
        <w:rPr>
          <w:spacing w:val="-83"/>
        </w:rPr>
      </w:r>
      <w:r>
        <w:rPr>
          <w:spacing w:val="-1"/>
        </w:rPr>
        <w:t>范运作指引》、《公司董事会议事规则》、《公司独立董事工作制度》的要求忠实、诚信、勤勉地履行职</w:t>
      </w:r>
      <w:r>
        <w:rPr>
          <w:spacing w:val="-84"/>
        </w:rPr>
        <w:t> </w:t>
      </w:r>
      <w:r>
        <w:rPr>
          <w:spacing w:val="-84"/>
        </w:rPr>
      </w:r>
      <w:r>
        <w:rPr/>
        <w:t>责。</w:t>
      </w:r>
    </w:p>
    <w:p>
      <w:pPr>
        <w:pStyle w:val="BodyText"/>
        <w:spacing w:line="398" w:lineRule="auto" w:before="52"/>
        <w:ind w:right="221" w:firstLine="479"/>
        <w:jc w:val="left"/>
      </w:pPr>
      <w:r>
        <w:rPr>
          <w:rFonts w:ascii="Times New Roman" w:hAnsi="Times New Roman" w:cs="Times New Roman" w:eastAsia="Times New Roman" w:hint="default"/>
        </w:rPr>
        <w:t>4</w:t>
      </w:r>
      <w:r>
        <w:rPr/>
        <w:t>、关于监事和监事会：公司监事会设监事</w:t>
      </w:r>
      <w:r>
        <w:rPr>
          <w:rFonts w:ascii="Times New Roman" w:hAnsi="Times New Roman" w:cs="Times New Roman" w:eastAsia="Times New Roman" w:hint="default"/>
        </w:rPr>
        <w:t>3</w:t>
      </w:r>
      <w:r>
        <w:rPr/>
        <w:t>名，其中职工监事</w:t>
      </w:r>
      <w:r>
        <w:rPr>
          <w:rFonts w:ascii="Times New Roman" w:hAnsi="Times New Roman" w:cs="Times New Roman" w:eastAsia="Times New Roman" w:hint="default"/>
        </w:rPr>
        <w:t>2</w:t>
      </w:r>
      <w:r>
        <w:rPr/>
        <w:t>名，监事会的人数和构成符合有关法 </w:t>
      </w:r>
      <w:r>
        <w:rPr>
          <w:spacing w:val="-3"/>
        </w:rPr>
        <w:t>律、法规的要求；公司监事能够本着对股东负责的态度，严格按照《公司章程》、《公司监事会议事规则》</w:t>
      </w:r>
      <w:r>
        <w:rPr>
          <w:spacing w:val="-90"/>
        </w:rPr>
        <w:t> </w:t>
      </w:r>
      <w:r>
        <w:rPr>
          <w:spacing w:val="-90"/>
        </w:rPr>
      </w:r>
      <w:r>
        <w:rPr/>
        <w:t>等制度要求，认真履行自己的职责。</w:t>
      </w:r>
    </w:p>
    <w:p>
      <w:pPr>
        <w:pStyle w:val="BodyText"/>
        <w:spacing w:line="386" w:lineRule="auto" w:before="54"/>
        <w:ind w:right="215" w:firstLine="480"/>
        <w:jc w:val="left"/>
      </w:pPr>
      <w:r>
        <w:rPr>
          <w:rFonts w:ascii="Times New Roman" w:hAnsi="Times New Roman" w:cs="Times New Roman" w:eastAsia="Times New Roman" w:hint="default"/>
        </w:rPr>
        <w:t>5</w:t>
      </w:r>
      <w:r>
        <w:rPr/>
        <w:t>、关于绩效评价与激励约束机制：公司已建立有效的绩效评价激励体系，董事、监事以及高级管理 </w:t>
      </w:r>
      <w:r>
        <w:rPr>
          <w:spacing w:val="-1"/>
        </w:rPr>
        <w:t>人员的薪酬与公司绩效和个人业绩挂钩；高级管理人员的聘任公开、透明，严格遵循《公司章程》及有关</w:t>
      </w:r>
    </w:p>
    <w:p>
      <w:pPr>
        <w:spacing w:after="0" w:line="386" w:lineRule="auto"/>
        <w:jc w:val="left"/>
        <w:sectPr>
          <w:pgSz w:w="11910" w:h="16840"/>
          <w:pgMar w:header="747" w:footer="982" w:top="1060" w:bottom="1180" w:left="980" w:right="80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法律、法规的规定。</w:t>
      </w:r>
    </w:p>
    <w:p>
      <w:pPr>
        <w:spacing w:line="240" w:lineRule="auto" w:before="10"/>
        <w:rPr>
          <w:rFonts w:ascii="宋体" w:hAnsi="宋体" w:cs="宋体" w:eastAsia="宋体" w:hint="default"/>
          <w:sz w:val="14"/>
          <w:szCs w:val="14"/>
        </w:rPr>
      </w:pPr>
    </w:p>
    <w:p>
      <w:pPr>
        <w:pStyle w:val="BodyText"/>
        <w:spacing w:line="393" w:lineRule="auto"/>
        <w:ind w:left="153" w:right="0" w:firstLine="756"/>
        <w:jc w:val="left"/>
      </w:pPr>
      <w:r>
        <w:rPr>
          <w:rFonts w:ascii="Times New Roman" w:hAnsi="Times New Roman" w:cs="Times New Roman" w:eastAsia="Times New Roman" w:hint="default"/>
          <w:spacing w:val="-2"/>
        </w:rPr>
        <w:t>6</w:t>
      </w:r>
      <w:r>
        <w:rPr>
          <w:spacing w:val="-2"/>
        </w:rPr>
        <w:t>、关于信息披露与透明度：公司指定董事会秘书负责公司信息披露工作，协调公司与投资者的关</w:t>
      </w:r>
      <w:r>
        <w:rPr/>
        <w:t> 系</w:t>
      </w:r>
      <w:r>
        <w:rPr>
          <w:rFonts w:ascii="Times New Roman" w:hAnsi="Times New Roman" w:cs="Times New Roman" w:eastAsia="Times New Roman" w:hint="default"/>
        </w:rPr>
        <w:t>,</w:t>
      </w:r>
      <w:r>
        <w:rPr/>
        <w:t>接待股东来访</w:t>
      </w:r>
      <w:r>
        <w:rPr>
          <w:rFonts w:ascii="Times New Roman" w:hAnsi="Times New Roman" w:cs="Times New Roman" w:eastAsia="Times New Roman" w:hint="default"/>
        </w:rPr>
        <w:t>,</w:t>
      </w:r>
      <w:r>
        <w:rPr/>
        <w:t>回答投资者咨询；公司能够严格按照有关法律、法规和《公司章程》、《公司信息披露 </w:t>
      </w:r>
      <w:r>
        <w:rPr>
          <w:spacing w:val="-1"/>
        </w:rPr>
        <w:t>管理制度》、《公司投资者关系管理办法》的要求，真实、准确、及时、完整地披露有关信息，确保公司</w:t>
      </w:r>
      <w:r>
        <w:rPr>
          <w:spacing w:val="-85"/>
        </w:rPr>
        <w:t> </w:t>
      </w:r>
      <w:r>
        <w:rPr>
          <w:spacing w:val="-85"/>
        </w:rPr>
      </w:r>
      <w:r>
        <w:rPr/>
        <w:t>所有股东能够以平等的机会获得信息。</w:t>
      </w:r>
    </w:p>
    <w:p>
      <w:pPr>
        <w:pStyle w:val="BodyText"/>
        <w:spacing w:line="398" w:lineRule="auto" w:before="59"/>
        <w:ind w:left="153" w:right="149" w:firstLine="480"/>
        <w:jc w:val="both"/>
      </w:pPr>
      <w:r>
        <w:rPr>
          <w:rFonts w:ascii="Times New Roman" w:hAnsi="Times New Roman" w:cs="Times New Roman" w:eastAsia="Times New Roman" w:hint="default"/>
        </w:rPr>
        <w:t>7</w:t>
      </w:r>
      <w:r>
        <w:rPr/>
        <w:t>、关于相关利益者：公司具有较强的社会责任感，能够充分尊重和维护相关利益者的合法权益，实 </w:t>
      </w:r>
      <w:r>
        <w:rPr>
          <w:spacing w:val="-1"/>
        </w:rPr>
        <w:t>现公司、股东、员工、社会等各方利益的协调平衡，能够与利益相关者积极合作，共同推动公司持续、健</w:t>
      </w:r>
      <w:r>
        <w:rPr>
          <w:spacing w:val="-83"/>
        </w:rPr>
        <w:t> </w:t>
      </w:r>
      <w:r>
        <w:rPr>
          <w:spacing w:val="-83"/>
        </w:rPr>
      </w:r>
      <w:r>
        <w:rPr/>
        <w:t>康的发展。</w:t>
      </w:r>
    </w:p>
    <w:p>
      <w:pPr>
        <w:pStyle w:val="BodyText"/>
        <w:spacing w:line="240" w:lineRule="auto" w:before="95"/>
        <w:ind w:left="153" w:right="0"/>
        <w:jc w:val="left"/>
      </w:pPr>
      <w:r>
        <w:rPr/>
        <w:t>公司治理的实际状况与中国证监会发布的有关上市公司治理的规范性文件是否存在重大差异</w:t>
      </w:r>
    </w:p>
    <w:p>
      <w:pPr>
        <w:spacing w:line="240" w:lineRule="auto" w:before="12"/>
        <w:rPr>
          <w:rFonts w:ascii="宋体" w:hAnsi="宋体" w:cs="宋体" w:eastAsia="宋体" w:hint="default"/>
          <w:sz w:val="17"/>
          <w:szCs w:val="17"/>
        </w:rPr>
      </w:pPr>
    </w:p>
    <w:p>
      <w:pPr>
        <w:pStyle w:val="BodyText"/>
        <w:spacing w:line="420" w:lineRule="auto"/>
        <w:ind w:right="1370" w:hanging="1"/>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否 公司治理的实际状况与中国证监会发布的有关上市公司治理的规范性文件不存在重大差异。</w:t>
      </w:r>
    </w:p>
    <w:p>
      <w:pPr>
        <w:spacing w:line="240" w:lineRule="auto" w:before="11"/>
        <w:rPr>
          <w:rFonts w:ascii="宋体" w:hAnsi="宋体" w:cs="宋体" w:eastAsia="宋体" w:hint="default"/>
          <w:sz w:val="17"/>
          <w:szCs w:val="17"/>
        </w:rPr>
      </w:pPr>
    </w:p>
    <w:p>
      <w:pPr>
        <w:pStyle w:val="Heading2"/>
        <w:spacing w:line="240" w:lineRule="auto"/>
        <w:ind w:right="0"/>
        <w:jc w:val="left"/>
        <w:rPr>
          <w:b w:val="0"/>
          <w:bCs w:val="0"/>
        </w:rPr>
      </w:pP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30"/>
          <w:szCs w:val="30"/>
        </w:rPr>
      </w:pPr>
    </w:p>
    <w:p>
      <w:pPr>
        <w:pStyle w:val="BodyText"/>
        <w:spacing w:line="410" w:lineRule="auto"/>
        <w:ind w:right="0" w:firstLine="420"/>
        <w:jc w:val="left"/>
      </w:pPr>
      <w:r>
        <w:rPr>
          <w:spacing w:val="-1"/>
        </w:rPr>
        <w:t>公司在业务、人员、资产、机构、财务等方面与控股股东完全分开，具有独立、完整的资产和业务及</w:t>
      </w:r>
      <w:r>
        <w:rPr/>
        <w:t> 自主经营的能力。</w:t>
      </w:r>
    </w:p>
    <w:p>
      <w:pPr>
        <w:pStyle w:val="BodyText"/>
        <w:spacing w:line="398" w:lineRule="auto" w:before="82"/>
        <w:ind w:left="153" w:right="0" w:firstLine="420"/>
        <w:jc w:val="left"/>
      </w:pPr>
      <w:r>
        <w:rPr>
          <w:rFonts w:ascii="Times New Roman" w:hAnsi="Times New Roman" w:cs="Times New Roman" w:eastAsia="Times New Roman" w:hint="default"/>
        </w:rPr>
        <w:t>1</w:t>
      </w:r>
      <w:r>
        <w:rPr/>
        <w:t>、业务：公司业务结构完整，所需材料设备的采购及客户群、市场均不依赖于控股股东，具有独立 </w:t>
      </w:r>
      <w:r>
        <w:rPr>
          <w:spacing w:val="-1"/>
        </w:rPr>
        <w:t>的产供销系统，具备独立面向市场并自主经营的业务能力，与控股股东之间无同业竞争，控股股东不存在</w:t>
      </w:r>
      <w:r>
        <w:rPr>
          <w:spacing w:val="-83"/>
        </w:rPr>
        <w:t> </w:t>
      </w:r>
      <w:r>
        <w:rPr>
          <w:spacing w:val="-83"/>
        </w:rPr>
      </w:r>
      <w:r>
        <w:rPr/>
        <w:t>直接或间接干预公司经营的情形。</w:t>
      </w:r>
    </w:p>
    <w:p>
      <w:pPr>
        <w:pStyle w:val="BodyText"/>
        <w:spacing w:line="386" w:lineRule="auto" w:before="94"/>
        <w:ind w:left="153" w:right="216" w:firstLine="420"/>
        <w:jc w:val="left"/>
      </w:pPr>
      <w:r>
        <w:rPr>
          <w:rFonts w:ascii="Times New Roman" w:hAnsi="Times New Roman" w:cs="Times New Roman" w:eastAsia="Times New Roman" w:hint="default"/>
        </w:rPr>
        <w:t>2</w:t>
      </w:r>
      <w:r>
        <w:rPr/>
        <w:t>、人员：公司人员、劳动、人事、工资完全独立；公司高管人员未在控股股东及其下属企业担任除 董事、监事以外的任何职务，也未在控股股东及其下属企业领薪。</w:t>
      </w:r>
    </w:p>
    <w:p>
      <w:pPr>
        <w:pStyle w:val="BodyText"/>
        <w:spacing w:line="386" w:lineRule="auto" w:before="103"/>
        <w:ind w:left="153" w:right="216" w:firstLine="420"/>
        <w:jc w:val="left"/>
      </w:pPr>
      <w:r>
        <w:rPr>
          <w:rFonts w:ascii="Times New Roman" w:hAnsi="Times New Roman" w:cs="Times New Roman" w:eastAsia="Times New Roman" w:hint="default"/>
        </w:rPr>
        <w:t>3</w:t>
      </w:r>
      <w:r>
        <w:rPr/>
        <w:t>、资产：公司拥有独立的生产经营场所和完整的资产结构，拥有生产经营活动所必须的生产系统、 辅助生产系统和配套设施，公司专利权以及商标、土地、房屋等资产拥有完全的控制权和支配权。</w:t>
      </w:r>
    </w:p>
    <w:p>
      <w:pPr>
        <w:pStyle w:val="BodyText"/>
        <w:spacing w:line="398" w:lineRule="auto" w:before="103"/>
        <w:ind w:left="153" w:right="0" w:firstLine="420"/>
        <w:jc w:val="left"/>
      </w:pPr>
      <w:r>
        <w:rPr>
          <w:rFonts w:ascii="Times New Roman" w:hAnsi="Times New Roman" w:cs="Times New Roman" w:eastAsia="Times New Roman" w:hint="default"/>
        </w:rPr>
        <w:t>4</w:t>
      </w:r>
      <w:r>
        <w:rPr/>
        <w:t>、机构：公司设有健全的组织机构体系，股东大会、董事会、监事会、经理层、生产、技术等部门 </w:t>
      </w:r>
      <w:r>
        <w:rPr>
          <w:spacing w:val="-1"/>
        </w:rPr>
        <w:t>独立运作，并制定了相应的内部管理和控制制度，使各部门之间分工明确、各司其职、相互配合，从而构</w:t>
      </w:r>
      <w:r>
        <w:rPr>
          <w:spacing w:val="-83"/>
        </w:rPr>
        <w:t> </w:t>
      </w:r>
      <w:r>
        <w:rPr>
          <w:spacing w:val="-83"/>
        </w:rPr>
      </w:r>
      <w:r>
        <w:rPr/>
        <w:t>成了一个有机的整体，保证了公司的依法运作，不存在与控股股东职能部门之间的从属关系。</w:t>
      </w:r>
    </w:p>
    <w:p>
      <w:pPr>
        <w:pStyle w:val="BodyText"/>
        <w:spacing w:line="386" w:lineRule="auto" w:before="94"/>
        <w:ind w:left="153" w:right="216" w:firstLine="420"/>
        <w:jc w:val="left"/>
      </w:pPr>
      <w:r>
        <w:rPr>
          <w:rFonts w:ascii="Times New Roman" w:hAnsi="Times New Roman" w:cs="Times New Roman" w:eastAsia="Times New Roman" w:hint="default"/>
        </w:rPr>
        <w:t>5</w:t>
      </w:r>
      <w:r>
        <w:rPr/>
        <w:t>、财务：公司设有独立的财务管理部门，建立了独立的会计核算体系和财务管理制度以及内部审计 制度，独立进行财务决策，独立开设银行账户，独立纳税。</w:t>
      </w:r>
    </w:p>
    <w:p>
      <w:pPr>
        <w:spacing w:after="0" w:line="386" w:lineRule="auto"/>
        <w:jc w:val="left"/>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before="0"/>
        <w:ind w:right="0"/>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63"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w:t>
            </w:r>
          </w:p>
        </w:tc>
      </w:tr>
      <w:tr>
        <w:trPr>
          <w:trHeight w:val="936"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0.08%</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74"/>
              <w:jc w:val="left"/>
              <w:rPr>
                <w:rFonts w:ascii="Times New Roman" w:hAnsi="Times New Roman" w:cs="Times New Roman" w:eastAsia="Times New Roman" w:hint="default"/>
                <w:sz w:val="18"/>
                <w:szCs w:val="18"/>
              </w:rPr>
            </w:pPr>
            <w:r>
              <w:rPr>
                <w:rFonts w:ascii="宋体" w:hAnsi="宋体" w:cs="宋体" w:eastAsia="宋体" w:hint="default"/>
                <w:sz w:val="18"/>
                <w:szCs w:val="18"/>
              </w:rPr>
              <w:t>时股东大会决议公 告》全文详见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日巨潮资</w:t>
            </w:r>
          </w:p>
        </w:tc>
      </w:tr>
      <w:tr>
        <w:trPr>
          <w:trHeight w:val="351"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讯网。</w:t>
            </w:r>
          </w:p>
        </w:tc>
      </w:tr>
      <w:tr>
        <w:trPr>
          <w:trHeight w:val="363"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w:t>
            </w:r>
          </w:p>
        </w:tc>
      </w:tr>
      <w:tr>
        <w:trPr>
          <w:trHeight w:val="624"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54"/>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20"/>
              <w:jc w:val="left"/>
              <w:rPr>
                <w:rFonts w:ascii="Times New Roman" w:hAnsi="Times New Roman" w:cs="Times New Roman" w:eastAsia="Times New Roman" w:hint="default"/>
                <w:sz w:val="18"/>
                <w:szCs w:val="18"/>
              </w:rPr>
            </w:pPr>
            <w:r>
              <w:rPr>
                <w:rFonts w:ascii="宋体" w:hAnsi="宋体" w:cs="宋体" w:eastAsia="宋体" w:hint="default"/>
                <w:spacing w:val="-10"/>
                <w:sz w:val="18"/>
                <w:szCs w:val="18"/>
              </w:rPr>
              <w:t>会决议公告》全文详</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tc>
      </w:tr>
      <w:tr>
        <w:trPr>
          <w:trHeight w:val="351"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日巨潮资讯网。</w:t>
            </w:r>
          </w:p>
        </w:tc>
      </w:tr>
      <w:tr>
        <w:trPr>
          <w:trHeight w:val="363" w:hRule="exact"/>
        </w:trPr>
        <w:tc>
          <w:tcPr>
            <w:tcW w:w="1596"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w:t>
            </w:r>
          </w:p>
        </w:tc>
      </w:tr>
      <w:tr>
        <w:trPr>
          <w:trHeight w:val="936" w:hRule="exact"/>
        </w:trPr>
        <w:tc>
          <w:tcPr>
            <w:tcW w:w="15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b/>
                <w:bCs/>
                <w:sz w:val="12"/>
                <w:szCs w:val="12"/>
              </w:rPr>
            </w:pPr>
          </w:p>
          <w:p>
            <w:pPr>
              <w:pStyle w:val="TableParagraph"/>
              <w:spacing w:line="300" w:lineRule="auto"/>
              <w:ind w:left="22"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 股东大会</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right="0"/>
              <w:jc w:val="left"/>
              <w:rPr>
                <w:rFonts w:ascii="宋体" w:hAnsi="宋体" w:cs="宋体" w:eastAsia="宋体" w:hint="default"/>
                <w:b/>
                <w:bCs/>
                <w:sz w:val="24"/>
                <w:szCs w:val="24"/>
              </w:rPr>
            </w:pPr>
          </w:p>
          <w:p>
            <w:pPr>
              <w:pStyle w:val="TableParagraph"/>
              <w:spacing w:line="240" w:lineRule="auto"/>
              <w:ind w:right="59"/>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74"/>
              <w:jc w:val="left"/>
              <w:rPr>
                <w:rFonts w:ascii="Times New Roman" w:hAnsi="Times New Roman" w:cs="Times New Roman" w:eastAsia="Times New Roman" w:hint="default"/>
                <w:sz w:val="18"/>
                <w:szCs w:val="18"/>
              </w:rPr>
            </w:pPr>
            <w:r>
              <w:rPr>
                <w:rFonts w:ascii="宋体" w:hAnsi="宋体" w:cs="宋体" w:eastAsia="宋体" w:hint="default"/>
                <w:sz w:val="18"/>
                <w:szCs w:val="18"/>
              </w:rPr>
              <w:t>时股东大会决议公 告》全文详见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日巨潮资</w:t>
            </w:r>
          </w:p>
        </w:tc>
      </w:tr>
      <w:tr>
        <w:trPr>
          <w:trHeight w:val="352" w:hRule="exact"/>
        </w:trPr>
        <w:tc>
          <w:tcPr>
            <w:tcW w:w="1596"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讯网。</w:t>
            </w:r>
          </w:p>
        </w:tc>
      </w:tr>
    </w:tbl>
    <w:p>
      <w:pPr>
        <w:spacing w:line="240" w:lineRule="auto" w:before="2"/>
        <w:rPr>
          <w:rFonts w:ascii="宋体" w:hAnsi="宋体" w:cs="宋体" w:eastAsia="宋体" w:hint="default"/>
          <w:b/>
          <w:bCs/>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before="0"/>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624"/>
        <w:gridCol w:w="1325"/>
        <w:gridCol w:w="1324"/>
        <w:gridCol w:w="1324"/>
        <w:gridCol w:w="1325"/>
        <w:gridCol w:w="1324"/>
        <w:gridCol w:w="1324"/>
      </w:tblGrid>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4" w:hRule="exact"/>
        </w:trPr>
        <w:tc>
          <w:tcPr>
            <w:tcW w:w="1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07" w:right="25"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现场出席次数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76" w:right="25" w:hanging="450"/>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委托出席次数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96" w:right="0"/>
              <w:jc w:val="left"/>
              <w:rPr>
                <w:rFonts w:ascii="宋体" w:hAnsi="宋体" w:cs="宋体" w:eastAsia="宋体" w:hint="default"/>
                <w:sz w:val="18"/>
                <w:szCs w:val="18"/>
              </w:rPr>
            </w:pPr>
            <w:r>
              <w:rPr>
                <w:rFonts w:ascii="宋体" w:hAnsi="宋体" w:cs="宋体" w:eastAsia="宋体" w:hint="default"/>
                <w:sz w:val="18"/>
                <w:szCs w:val="18"/>
              </w:rPr>
              <w:t>缺席次数</w:t>
            </w:r>
          </w:p>
        </w:tc>
        <w:tc>
          <w:tcPr>
            <w:tcW w:w="1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6" w:right="25" w:hanging="90"/>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刘泉军</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朱武祥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肖星</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w:t>
            </w:r>
          </w:p>
        </w:tc>
        <w:tc>
          <w:tcPr>
            <w:tcW w:w="1325"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
        </w:tc>
        <w:tc>
          <w:tcPr>
            <w:tcW w:w="1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40" w:lineRule="auto" w:before="116"/>
        <w:ind w:left="154" w:right="599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13"/>
        <w:rPr>
          <w:rFonts w:ascii="宋体" w:hAnsi="宋体" w:cs="宋体" w:eastAsia="宋体" w:hint="default"/>
          <w:sz w:val="20"/>
          <w:szCs w:val="20"/>
        </w:rPr>
      </w:pPr>
    </w:p>
    <w:p>
      <w:pPr>
        <w:pStyle w:val="Heading3"/>
        <w:spacing w:line="240" w:lineRule="auto" w:before="0"/>
        <w:ind w:right="0"/>
        <w:jc w:val="both"/>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6"/>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pStyle w:val="BodyText"/>
        <w:spacing w:line="400" w:lineRule="auto" w:before="95"/>
        <w:ind w:right="128" w:firstLine="420"/>
        <w:jc w:val="both"/>
      </w:pPr>
      <w:r>
        <w:rPr>
          <w:spacing w:val="-1"/>
        </w:rPr>
        <w:t>独立董事对公司</w:t>
      </w:r>
      <w:r>
        <w:rPr>
          <w:rFonts w:ascii="Times New Roman" w:hAnsi="Times New Roman" w:cs="Times New Roman" w:eastAsia="Times New Roman" w:hint="default"/>
          <w:spacing w:val="-1"/>
        </w:rPr>
        <w:t>2015</w:t>
      </w:r>
      <w:r>
        <w:rPr>
          <w:spacing w:val="-1"/>
        </w:rPr>
        <w:t>年度经营活动情况进行了认真的了解和查验，深入了解公司的生产经营和内部控</w:t>
      </w:r>
      <w:r>
        <w:rPr/>
        <w:t> 制等制度的完善及执行情况、董事会决议执行情况、财务管理、业务发展和投资项目的进展等相关事项， 查阅有关资料，与相关人员沟通，关注公司的经营、治理情况，并对公司重大资产重组、对外担保情况， 内控执行情况，利润分配方案提出合理的建议，独立董事的建议得到了公司的采纳。</w:t>
      </w:r>
    </w:p>
    <w:p>
      <w:pPr>
        <w:spacing w:line="240" w:lineRule="auto" w:before="4"/>
        <w:rPr>
          <w:rFonts w:ascii="宋体" w:hAnsi="宋体" w:cs="宋体" w:eastAsia="宋体" w:hint="default"/>
          <w:sz w:val="19"/>
          <w:szCs w:val="19"/>
        </w:rPr>
      </w:pPr>
    </w:p>
    <w:p>
      <w:pPr>
        <w:pStyle w:val="Heading2"/>
        <w:spacing w:line="240" w:lineRule="auto"/>
        <w:ind w:right="0"/>
        <w:jc w:val="both"/>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left="633" w:right="156" w:hanging="120"/>
        <w:jc w:val="left"/>
      </w:pPr>
      <w:r>
        <w:rPr/>
        <w:t>（一）董事会战略委员会 报告期，根据《董事会战略委员会议事规则》董事会战略委员会召开</w:t>
      </w:r>
      <w:r>
        <w:rPr>
          <w:rFonts w:ascii="Times New Roman" w:hAnsi="Times New Roman" w:cs="Times New Roman" w:eastAsia="Times New Roman" w:hint="default"/>
        </w:rPr>
        <w:t>2</w:t>
      </w:r>
      <w:r>
        <w:rPr/>
        <w:t>次会议，根据国内外经济形势</w:t>
      </w:r>
    </w:p>
    <w:p>
      <w:pPr>
        <w:pStyle w:val="BodyText"/>
        <w:spacing w:line="408" w:lineRule="auto" w:before="14"/>
        <w:ind w:left="153" w:right="0"/>
        <w:jc w:val="left"/>
      </w:pPr>
      <w:r>
        <w:rPr>
          <w:spacing w:val="-1"/>
        </w:rPr>
        <w:t>和公司运营情况，结合公司战略发展要求，向公司董事会提出有关业务优化整合、重大资产重组、长远发</w:t>
      </w:r>
      <w:r>
        <w:rPr>
          <w:spacing w:val="-82"/>
        </w:rPr>
        <w:t> </w:t>
      </w:r>
      <w:r>
        <w:rPr>
          <w:spacing w:val="-82"/>
        </w:rPr>
      </w:r>
      <w:r>
        <w:rPr/>
        <w:t>展等事项的建议。</w:t>
      </w:r>
    </w:p>
    <w:p>
      <w:pPr>
        <w:pStyle w:val="BodyText"/>
        <w:spacing w:line="408" w:lineRule="auto" w:before="46"/>
        <w:ind w:left="633" w:right="139" w:hanging="240"/>
        <w:jc w:val="left"/>
      </w:pPr>
      <w:r>
        <w:rPr/>
        <w:t>（二）董事会审计委员会 </w:t>
      </w:r>
      <w:r>
        <w:rPr>
          <w:spacing w:val="-2"/>
        </w:rPr>
        <w:t>报告期内，审计委员会根据《审计委员会议事规则》赋予的职责和权限切实履行了审议内部审计部门</w:t>
      </w:r>
    </w:p>
    <w:p>
      <w:pPr>
        <w:pStyle w:val="BodyText"/>
        <w:spacing w:line="398" w:lineRule="auto" w:before="46"/>
        <w:ind w:left="153" w:right="150"/>
        <w:jc w:val="both"/>
      </w:pPr>
      <w:r>
        <w:rPr>
          <w:spacing w:val="-1"/>
        </w:rPr>
        <w:t>提交的审计计划和工作报告、审核公司的财务信息及其披露、监督公司的内部审计制度及其实施、负责内</w:t>
      </w:r>
      <w:r>
        <w:rPr>
          <w:spacing w:val="-83"/>
        </w:rPr>
        <w:t> </w:t>
      </w:r>
      <w:r>
        <w:rPr>
          <w:spacing w:val="-83"/>
        </w:rPr>
      </w:r>
      <w:r>
        <w:rPr>
          <w:spacing w:val="-1"/>
        </w:rPr>
        <w:t>部审计与外部审计沟通等职责。公司制定了《董事会审计委员会年报工作规程》，在</w:t>
      </w:r>
      <w:r>
        <w:rPr>
          <w:rFonts w:ascii="Times New Roman" w:hAnsi="Times New Roman" w:cs="Times New Roman" w:eastAsia="Times New Roman" w:hint="default"/>
          <w:spacing w:val="-1"/>
        </w:rPr>
        <w:t>2015</w:t>
      </w:r>
      <w:r>
        <w:rPr>
          <w:spacing w:val="-1"/>
        </w:rPr>
        <w:t>年公司财务报告</w:t>
      </w:r>
      <w:r>
        <w:rPr>
          <w:spacing w:val="-83"/>
        </w:rPr>
        <w:t> </w:t>
      </w:r>
      <w:r>
        <w:rPr>
          <w:spacing w:val="-83"/>
        </w:rPr>
      </w:r>
      <w:r>
        <w:rPr/>
        <w:t>审计工作中做了如下工作：</w:t>
      </w:r>
    </w:p>
    <w:p>
      <w:pPr>
        <w:pStyle w:val="BodyText"/>
        <w:spacing w:line="240" w:lineRule="auto" w:before="54"/>
        <w:ind w:left="633" w:right="0"/>
        <w:jc w:val="left"/>
      </w:pPr>
      <w:r>
        <w:rPr>
          <w:rFonts w:ascii="Times New Roman" w:hAnsi="Times New Roman" w:cs="Times New Roman" w:eastAsia="Times New Roman" w:hint="default"/>
        </w:rPr>
        <w:t>1</w:t>
      </w:r>
      <w:r>
        <w:rPr/>
        <w:t>、审计委员会与公司</w:t>
      </w:r>
      <w:r>
        <w:rPr>
          <w:rFonts w:ascii="Times New Roman" w:hAnsi="Times New Roman" w:cs="Times New Roman" w:eastAsia="Times New Roman" w:hint="default"/>
        </w:rPr>
        <w:t>2015</w:t>
      </w:r>
      <w:r>
        <w:rPr/>
        <w:t>年度审计机构天健会计师事务所有限公司充分沟通的基础上协商确定了</w:t>
      </w:r>
    </w:p>
    <w:p>
      <w:pPr>
        <w:pStyle w:val="BodyText"/>
        <w:spacing w:line="240" w:lineRule="auto" w:before="177"/>
        <w:ind w:left="153" w:right="0"/>
        <w:jc w:val="both"/>
      </w:pPr>
      <w:r>
        <w:rPr>
          <w:rFonts w:ascii="Times New Roman" w:hAnsi="Times New Roman" w:cs="Times New Roman" w:eastAsia="Times New Roman" w:hint="default"/>
        </w:rPr>
        <w:t>2015</w:t>
      </w:r>
      <w:r>
        <w:rPr/>
        <w:t>年度财务报告审计的进度安排；</w:t>
      </w:r>
    </w:p>
    <w:p>
      <w:pPr>
        <w:pStyle w:val="BodyText"/>
        <w:spacing w:line="386" w:lineRule="auto" w:before="177"/>
        <w:ind w:left="153" w:right="175" w:firstLine="480"/>
        <w:jc w:val="both"/>
      </w:pPr>
      <w:r>
        <w:rPr>
          <w:rFonts w:ascii="Times New Roman" w:hAnsi="Times New Roman" w:cs="Times New Roman" w:eastAsia="Times New Roman" w:hint="default"/>
        </w:rPr>
        <w:t>2</w:t>
      </w:r>
      <w:r>
        <w:rPr/>
        <w:t>、审计委员会在年审注册会计师进场前审阅了公司编制的财务会计报告后，发表意见如下：同意将 公司按照《企业会计准则》及有关补充规定编制的财务报告提交天健会计师事务所有限公司审计。</w:t>
      </w:r>
    </w:p>
    <w:p>
      <w:pPr>
        <w:pStyle w:val="BodyText"/>
        <w:spacing w:line="386" w:lineRule="auto" w:before="65"/>
        <w:ind w:left="153" w:right="175" w:firstLine="480"/>
        <w:jc w:val="both"/>
      </w:pPr>
      <w:r>
        <w:rPr>
          <w:rFonts w:ascii="Times New Roman" w:hAnsi="Times New Roman" w:cs="Times New Roman" w:eastAsia="Times New Roman" w:hint="default"/>
        </w:rPr>
        <w:t>3</w:t>
      </w:r>
      <w:r>
        <w:rPr/>
        <w:t>、审计委员会在年审注册会计师审计期间与其针对审计过程中的问题进行了充分的交流与沟通，并 对其发出《关于按时提交审计报告的督促函》，督促其在约定的时限内提交审计报告。</w:t>
      </w:r>
    </w:p>
    <w:p>
      <w:pPr>
        <w:pStyle w:val="BodyText"/>
        <w:spacing w:line="240" w:lineRule="auto" w:before="65"/>
        <w:ind w:left="633" w:right="0"/>
        <w:jc w:val="left"/>
      </w:pPr>
      <w:r>
        <w:rPr>
          <w:rFonts w:ascii="Times New Roman" w:hAnsi="Times New Roman" w:cs="Times New Roman" w:eastAsia="Times New Roman" w:hint="default"/>
        </w:rPr>
        <w:t>4</w:t>
      </w:r>
      <w:r>
        <w:rPr/>
        <w:t>、审计委员会审阅了注册会计师出具的初步审计意见后形成书面审核意见：经天健会计师事务所初</w:t>
      </w:r>
    </w:p>
    <w:p>
      <w:pPr>
        <w:spacing w:after="0" w:line="240" w:lineRule="auto"/>
        <w:jc w:val="left"/>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pStyle w:val="BodyText"/>
        <w:spacing w:line="386" w:lineRule="auto" w:before="174"/>
        <w:ind w:right="0"/>
        <w:jc w:val="left"/>
      </w:pPr>
      <w:r>
        <w:rPr>
          <w:spacing w:val="-1"/>
        </w:rPr>
        <w:t>步审计，对公司在</w:t>
      </w:r>
      <w:r>
        <w:rPr>
          <w:rFonts w:ascii="Times New Roman" w:hAnsi="Times New Roman" w:cs="Times New Roman" w:eastAsia="Times New Roman" w:hint="default"/>
          <w:spacing w:val="-1"/>
        </w:rPr>
        <w:t>2015</w:t>
      </w:r>
      <w:r>
        <w:rPr>
          <w:spacing w:val="-1"/>
        </w:rPr>
        <w:t>年财务报告编制过程中存在的会计估计、会计重分类等差错予以认同，并同意根据</w:t>
      </w:r>
      <w:r>
        <w:rPr>
          <w:spacing w:val="-83"/>
        </w:rPr>
        <w:t> </w:t>
      </w:r>
      <w:r>
        <w:rPr>
          <w:spacing w:val="-83"/>
        </w:rPr>
      </w:r>
      <w:r>
        <w:rPr/>
        <w:t>初步审计意见进行相应调整。</w:t>
      </w:r>
    </w:p>
    <w:p>
      <w:pPr>
        <w:pStyle w:val="BodyText"/>
        <w:spacing w:line="386" w:lineRule="auto" w:before="65"/>
        <w:ind w:right="150" w:firstLine="480"/>
        <w:jc w:val="both"/>
      </w:pPr>
      <w:r>
        <w:rPr>
          <w:rFonts w:ascii="Times New Roman" w:hAnsi="Times New Roman" w:cs="Times New Roman" w:eastAsia="Times New Roman" w:hint="default"/>
        </w:rPr>
        <w:t>5</w:t>
      </w:r>
      <w:r>
        <w:rPr/>
        <w:t>、审计委员会召开临时会议，并形成如下决议：①同意天健会计师事务所对本公司</w:t>
      </w:r>
      <w:r>
        <w:rPr>
          <w:rFonts w:ascii="Times New Roman" w:hAnsi="Times New Roman" w:cs="Times New Roman" w:eastAsia="Times New Roman" w:hint="default"/>
        </w:rPr>
        <w:t>2015</w:t>
      </w:r>
      <w:r>
        <w:rPr/>
        <w:t>年财务报告 </w:t>
      </w:r>
      <w:r>
        <w:rPr>
          <w:spacing w:val="-1"/>
        </w:rPr>
        <w:t>的审计结果的议案，并将财务审计结果提交公司董事会审议；②关于天健会计师事务所</w:t>
      </w:r>
      <w:r>
        <w:rPr>
          <w:rFonts w:ascii="Times New Roman" w:hAnsi="Times New Roman" w:cs="Times New Roman" w:eastAsia="Times New Roman" w:hint="default"/>
          <w:spacing w:val="-1"/>
        </w:rPr>
        <w:t>2015</w:t>
      </w:r>
      <w:r>
        <w:rPr>
          <w:spacing w:val="-1"/>
        </w:rPr>
        <w:t>年度审计工作</w:t>
      </w:r>
      <w:r>
        <w:rPr>
          <w:spacing w:val="-82"/>
        </w:rPr>
        <w:t> </w:t>
      </w:r>
      <w:r>
        <w:rPr>
          <w:spacing w:val="-1"/>
        </w:rPr>
        <w:t>总结的议案③同意聘请天健会计师事务所有限公司为本公司</w:t>
      </w:r>
      <w:r>
        <w:rPr>
          <w:rFonts w:ascii="Times New Roman" w:hAnsi="Times New Roman" w:cs="Times New Roman" w:eastAsia="Times New Roman" w:hint="default"/>
          <w:spacing w:val="-1"/>
        </w:rPr>
        <w:t>2016</w:t>
      </w:r>
      <w:r>
        <w:rPr>
          <w:spacing w:val="-1"/>
        </w:rPr>
        <w:t>年度审计机构的议案，并提交公司董事会</w:t>
      </w:r>
      <w:r>
        <w:rPr>
          <w:spacing w:val="-82"/>
        </w:rPr>
        <w:t> </w:t>
      </w:r>
      <w:r>
        <w:rPr>
          <w:spacing w:val="-82"/>
        </w:rPr>
      </w:r>
      <w:r>
        <w:rPr/>
        <w:t>审议。</w:t>
      </w:r>
    </w:p>
    <w:p>
      <w:pPr>
        <w:pStyle w:val="BodyText"/>
        <w:spacing w:line="408" w:lineRule="auto" w:before="65"/>
        <w:ind w:left="633" w:right="139"/>
        <w:jc w:val="left"/>
      </w:pPr>
      <w:r>
        <w:rPr/>
        <w:t>（三）董事会薪酬与考核委员会 </w:t>
      </w:r>
      <w:r>
        <w:rPr>
          <w:spacing w:val="-2"/>
        </w:rPr>
        <w:t>报告期末，公司董事会薪酬与考核委员会依据公司年初制定的经营目标及主要经济指标和管理指标的</w:t>
      </w:r>
    </w:p>
    <w:p>
      <w:pPr>
        <w:pStyle w:val="BodyText"/>
        <w:spacing w:line="408" w:lineRule="auto" w:before="46"/>
        <w:ind w:right="0"/>
        <w:jc w:val="left"/>
      </w:pPr>
      <w:r>
        <w:rPr>
          <w:spacing w:val="-1"/>
        </w:rPr>
        <w:t>完成情况对董事、监事和高级管理人员的业绩、工作能力、履职情况进行考评并发表审核意见如下：公司</w:t>
      </w:r>
      <w:r>
        <w:rPr>
          <w:spacing w:val="-82"/>
        </w:rPr>
        <w:t> </w:t>
      </w:r>
      <w:r>
        <w:rPr>
          <w:spacing w:val="-82"/>
        </w:rPr>
      </w:r>
      <w:r>
        <w:rPr/>
        <w:t>董事、监事、高级管理人员勤勉尽责，领取的薪酬与公司披露的情况相符。</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6"/>
        <w:ind w:left="154" w:right="67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8"/>
        <w:rPr>
          <w:rFonts w:ascii="宋体" w:hAnsi="宋体" w:cs="宋体" w:eastAsia="宋体" w:hint="default"/>
          <w:b/>
          <w:bCs/>
          <w:sz w:val="30"/>
          <w:szCs w:val="30"/>
        </w:rPr>
      </w:pPr>
    </w:p>
    <w:p>
      <w:pPr>
        <w:pStyle w:val="BodyText"/>
        <w:spacing w:line="410" w:lineRule="auto"/>
        <w:ind w:right="150" w:firstLine="420"/>
        <w:jc w:val="both"/>
      </w:pPr>
      <w:r>
        <w:rPr>
          <w:spacing w:val="-1"/>
        </w:rPr>
        <w:t>公司建立了完善的绩效考评体系，高级管理人员的工作绩效与其收入直接挂钩并引入重大失误问责制</w:t>
      </w:r>
      <w:r>
        <w:rPr/>
        <w:t> </w:t>
      </w:r>
      <w:r>
        <w:rPr>
          <w:spacing w:val="-1"/>
        </w:rPr>
        <w:t>度。公司董事会薪酬与考核委员会负责根据公司主要经济指标和管理指标的完成情况对高级管理人员的业</w:t>
      </w:r>
      <w:r>
        <w:rPr>
          <w:spacing w:val="-81"/>
        </w:rPr>
        <w:t> </w:t>
      </w:r>
      <w:r>
        <w:rPr>
          <w:spacing w:val="-81"/>
        </w:rPr>
      </w:r>
      <w:r>
        <w:rPr/>
        <w:t>绩、工作能力、履职情况进行考评，制定薪酬方案报公司董事会审批。</w:t>
      </w:r>
    </w:p>
    <w:p>
      <w:pPr>
        <w:pStyle w:val="BodyText"/>
        <w:spacing w:line="410" w:lineRule="auto" w:before="82"/>
        <w:ind w:left="153" w:right="128" w:firstLine="420"/>
        <w:jc w:val="both"/>
      </w:pPr>
      <w:r>
        <w:rPr>
          <w:spacing w:val="-1"/>
        </w:rPr>
        <w:t>公司已实现了高级管理人员持股计划，初步建立了高管层股权激励机制，公司还将根据中国证监会和</w:t>
      </w:r>
      <w:r>
        <w:rPr/>
        <w:t> 深圳证券交易所有关规定，进一步建立和完善骨干层的激励机制。报告期，公司继续完善绩效考核制度， 制定了详尽的工作量化标准和奖惩制度。</w:t>
      </w:r>
    </w:p>
    <w:p>
      <w:pPr>
        <w:spacing w:line="240" w:lineRule="auto" w:before="6"/>
        <w:rPr>
          <w:rFonts w:ascii="宋体" w:hAnsi="宋体" w:cs="宋体" w:eastAsia="宋体" w:hint="default"/>
          <w:sz w:val="18"/>
          <w:szCs w:val="18"/>
        </w:rPr>
      </w:pPr>
    </w:p>
    <w:p>
      <w:pPr>
        <w:pStyle w:val="Heading2"/>
        <w:spacing w:line="240" w:lineRule="auto"/>
        <w:ind w:right="0"/>
        <w:jc w:val="left"/>
        <w:rPr>
          <w:b w:val="0"/>
          <w:bCs w:val="0"/>
        </w:rPr>
      </w:pP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before="0"/>
        <w:ind w:right="0"/>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pStyle w:val="Heading3"/>
        <w:spacing w:line="240" w:lineRule="auto" w:before="0"/>
        <w:ind w:right="0"/>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7"/>
          <w:szCs w:val="17"/>
        </w:rPr>
      </w:pPr>
    </w:p>
    <w:p>
      <w:pPr>
        <w:spacing w:before="44"/>
        <w:ind w:left="0" w:right="158" w:firstLine="0"/>
        <w:jc w:val="right"/>
        <w:rPr>
          <w:rFonts w:ascii="宋体" w:hAnsi="宋体" w:cs="宋体" w:eastAsia="宋体" w:hint="default"/>
          <w:sz w:val="18"/>
          <w:szCs w:val="18"/>
        </w:rPr>
      </w:pPr>
      <w:r>
        <w:rPr/>
        <w:pict>
          <v:shape style="position:absolute;margin-left:56.459999pt;margin-top:-21.007963pt;width:479.1pt;height:40.75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6374"/>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《荣信股份</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年度内部控制评价报告</w:t>
                        </w:r>
                        <w:r>
                          <w:rPr>
                            <w:rFonts w:ascii="宋体" w:hAnsi="宋体" w:cs="宋体" w:eastAsia="宋体" w:hint="default"/>
                            <w:spacing w:val="-90"/>
                            <w:sz w:val="18"/>
                            <w:szCs w:val="18"/>
                          </w:rPr>
                          <w:t>》</w:t>
                        </w:r>
                        <w:r>
                          <w:rPr>
                            <w:rFonts w:ascii="宋体" w:hAnsi="宋体" w:cs="宋体" w:eastAsia="宋体" w:hint="default"/>
                            <w:sz w:val="18"/>
                            <w:szCs w:val="18"/>
                          </w:rPr>
                          <w:t>全文详见</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日巨潮资讯网</w:t>
                        </w: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r>
        <w:rPr/>
        <w:pict>
          <v:shape style="position:absolute;margin-left:56.459999pt;margin-top:71.999962pt;width:479.1pt;height:682.7pt;mso-position-horizontal-relative:page;mso-position-vertical-relative:page;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8"/>
                    <w:gridCol w:w="3329"/>
                    <w:gridCol w:w="3050"/>
                  </w:tblGrid>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813" w:hRule="exact"/>
                    </w:trPr>
                    <w:tc>
                      <w:tcPr>
                        <w:tcW w:w="3188" w:type="dxa"/>
                        <w:tcBorders>
                          <w:top w:val="single" w:sz="4" w:space="0" w:color="000000"/>
                          <w:left w:val="single" w:sz="4" w:space="0" w:color="000000"/>
                          <w:bottom w:val="nil" w:sz="6" w:space="0" w:color="auto"/>
                          <w:right w:val="single" w:sz="4" w:space="0" w:color="000000"/>
                        </w:tcBorders>
                        <w:shd w:val="clear" w:color="auto" w:fill="D3D3D3"/>
                      </w:tcPr>
                      <w:p>
                        <w:pPr/>
                      </w:p>
                    </w:tc>
                    <w:tc>
                      <w:tcPr>
                        <w:tcW w:w="3329" w:type="dxa"/>
                        <w:vMerge w:val="restart"/>
                        <w:tcBorders>
                          <w:top w:val="single" w:sz="4" w:space="0" w:color="000000"/>
                          <w:left w:val="single" w:sz="4" w:space="0" w:color="000000"/>
                          <w:right w:val="single" w:sz="4" w:space="0" w:color="000000"/>
                        </w:tcBorders>
                      </w:tcPr>
                      <w:p>
                        <w:pPr>
                          <w:pStyle w:val="TableParagraph"/>
                          <w:spacing w:line="309" w:lineRule="auto" w:before="51"/>
                          <w:ind w:left="28" w:right="20"/>
                          <w:jc w:val="left"/>
                          <w:rPr>
                            <w:rFonts w:ascii="宋体" w:hAnsi="宋体" w:cs="宋体" w:eastAsia="宋体" w:hint="default"/>
                            <w:sz w:val="18"/>
                            <w:szCs w:val="18"/>
                          </w:rPr>
                        </w:pPr>
                        <w:r>
                          <w:rPr>
                            <w:rFonts w:ascii="宋体" w:hAnsi="宋体" w:cs="宋体" w:eastAsia="宋体" w:hint="default"/>
                            <w:sz w:val="18"/>
                            <w:szCs w:val="18"/>
                          </w:rPr>
                          <w:t>公司确定的财务报告内部控制缺陷评价的 定性标准如下：</w:t>
                        </w:r>
                        <w:r>
                          <w:rPr>
                            <w:rFonts w:ascii="宋体" w:hAnsi="宋体" w:cs="宋体" w:eastAsia="宋体" w:hint="default"/>
                            <w:spacing w:val="-64"/>
                            <w:sz w:val="18"/>
                            <w:szCs w:val="18"/>
                          </w:rPr>
                          <w:t> </w:t>
                        </w:r>
                        <w:r>
                          <w:rPr>
                            <w:rFonts w:ascii="宋体" w:hAnsi="宋体" w:cs="宋体" w:eastAsia="宋体" w:hint="default"/>
                            <w:sz w:val="18"/>
                            <w:szCs w:val="18"/>
                          </w:rPr>
                          <w:t>财务报告重大缺陷的迹象</w:t>
                        </w:r>
                        <w:r>
                          <w:rPr>
                            <w:rFonts w:ascii="宋体" w:hAnsi="宋体" w:cs="宋体" w:eastAsia="宋体" w:hint="default"/>
                            <w:sz w:val="18"/>
                            <w:szCs w:val="18"/>
                          </w:rPr>
                          <w:t> 包括： （</w:t>
                        </w:r>
                        <w:r>
                          <w:rPr>
                            <w:rFonts w:ascii="Times New Roman" w:hAnsi="Times New Roman" w:cs="Times New Roman" w:eastAsia="Times New Roman" w:hint="default"/>
                            <w:sz w:val="18"/>
                            <w:szCs w:val="18"/>
                          </w:rPr>
                          <w:t>1</w:t>
                        </w:r>
                        <w:r>
                          <w:rPr>
                            <w:rFonts w:ascii="宋体" w:hAnsi="宋体" w:cs="宋体" w:eastAsia="宋体" w:hint="default"/>
                            <w:sz w:val="18"/>
                            <w:szCs w:val="18"/>
                          </w:rPr>
                          <w:t>）公司董事、监事和高级管理 人员的舞弊行为； （</w:t>
                        </w:r>
                        <w:r>
                          <w:rPr>
                            <w:rFonts w:ascii="Times New Roman" w:hAnsi="Times New Roman" w:cs="Times New Roman" w:eastAsia="Times New Roman" w:hint="default"/>
                            <w:sz w:val="18"/>
                            <w:szCs w:val="18"/>
                          </w:rPr>
                          <w:t>2</w:t>
                        </w:r>
                        <w:r>
                          <w:rPr>
                            <w:rFonts w:ascii="宋体" w:hAnsi="宋体" w:cs="宋体" w:eastAsia="宋体" w:hint="default"/>
                            <w:sz w:val="18"/>
                            <w:szCs w:val="18"/>
                          </w:rPr>
                          <w:t>）公司更正已公布 的财务报告； （</w:t>
                        </w:r>
                        <w:r>
                          <w:rPr>
                            <w:rFonts w:ascii="Times New Roman" w:hAnsi="Times New Roman" w:cs="Times New Roman" w:eastAsia="Times New Roman" w:hint="default"/>
                            <w:sz w:val="18"/>
                            <w:szCs w:val="18"/>
                          </w:rPr>
                          <w:t>3</w:t>
                        </w:r>
                        <w:r>
                          <w:rPr>
                            <w:rFonts w:ascii="宋体" w:hAnsi="宋体" w:cs="宋体" w:eastAsia="宋体" w:hint="default"/>
                            <w:sz w:val="18"/>
                            <w:szCs w:val="18"/>
                          </w:rPr>
                          <w:t>）注册会计师发现的却 未被公司内部控制识别的当期财务报告中 的重大错报； （</w:t>
                        </w:r>
                        <w:r>
                          <w:rPr>
                            <w:rFonts w:ascii="Times New Roman" w:hAnsi="Times New Roman" w:cs="Times New Roman" w:eastAsia="Times New Roman" w:hint="default"/>
                            <w:sz w:val="18"/>
                            <w:szCs w:val="18"/>
                          </w:rPr>
                          <w:t>4</w:t>
                        </w:r>
                        <w:r>
                          <w:rPr>
                            <w:rFonts w:ascii="宋体" w:hAnsi="宋体" w:cs="宋体" w:eastAsia="宋体" w:hint="default"/>
                            <w:sz w:val="18"/>
                            <w:szCs w:val="18"/>
                          </w:rPr>
                          <w:t>）审计委员会和审计部 门对公司的对外财务报告和财务报告内部 控制监督无效。</w:t>
                        </w:r>
                        <w:r>
                          <w:rPr>
                            <w:rFonts w:ascii="宋体" w:hAnsi="宋体" w:cs="宋体" w:eastAsia="宋体" w:hint="default"/>
                            <w:spacing w:val="-64"/>
                            <w:sz w:val="18"/>
                            <w:szCs w:val="18"/>
                          </w:rPr>
                          <w:t> </w:t>
                        </w:r>
                        <w:r>
                          <w:rPr>
                            <w:rFonts w:ascii="宋体" w:hAnsi="宋体" w:cs="宋体" w:eastAsia="宋体" w:hint="default"/>
                            <w:sz w:val="18"/>
                            <w:szCs w:val="18"/>
                          </w:rPr>
                          <w:t>财务报告重要缺陷的迹象</w:t>
                        </w:r>
                        <w:r>
                          <w:rPr>
                            <w:rFonts w:ascii="宋体" w:hAnsi="宋体" w:cs="宋体" w:eastAsia="宋体" w:hint="default"/>
                            <w:sz w:val="18"/>
                            <w:szCs w:val="18"/>
                          </w:rPr>
                          <w:t> 包括： （</w:t>
                        </w:r>
                        <w:r>
                          <w:rPr>
                            <w:rFonts w:ascii="Times New Roman" w:hAnsi="Times New Roman" w:cs="Times New Roman" w:eastAsia="Times New Roman" w:hint="default"/>
                            <w:sz w:val="18"/>
                            <w:szCs w:val="18"/>
                          </w:rPr>
                          <w:t>1</w:t>
                        </w:r>
                        <w:r>
                          <w:rPr>
                            <w:rFonts w:ascii="宋体" w:hAnsi="宋体" w:cs="宋体" w:eastAsia="宋体" w:hint="default"/>
                            <w:sz w:val="18"/>
                            <w:szCs w:val="18"/>
                          </w:rPr>
                          <w:t>）未依照公认会计准则选择和 应用会计政策； （</w:t>
                        </w:r>
                        <w:r>
                          <w:rPr>
                            <w:rFonts w:ascii="Times New Roman" w:hAnsi="Times New Roman" w:cs="Times New Roman" w:eastAsia="Times New Roman" w:hint="default"/>
                            <w:sz w:val="18"/>
                            <w:szCs w:val="18"/>
                          </w:rPr>
                          <w:t>2</w:t>
                        </w:r>
                        <w:r>
                          <w:rPr>
                            <w:rFonts w:ascii="宋体" w:hAnsi="宋体" w:cs="宋体" w:eastAsia="宋体" w:hint="default"/>
                            <w:sz w:val="18"/>
                            <w:szCs w:val="18"/>
                          </w:rPr>
                          <w:t>）未建立反舞弊程序 和控制措施； （</w:t>
                        </w:r>
                        <w:r>
                          <w:rPr>
                            <w:rFonts w:ascii="Times New Roman" w:hAnsi="Times New Roman" w:cs="Times New Roman" w:eastAsia="Times New Roman" w:hint="default"/>
                            <w:sz w:val="18"/>
                            <w:szCs w:val="18"/>
                          </w:rPr>
                          <w:t>3</w:t>
                        </w:r>
                        <w:r>
                          <w:rPr>
                            <w:rFonts w:ascii="宋体" w:hAnsi="宋体" w:cs="宋体" w:eastAsia="宋体" w:hint="default"/>
                            <w:sz w:val="18"/>
                            <w:szCs w:val="18"/>
                          </w:rPr>
                          <w:t>）对于非常规或特殊交 易的账务处理没有建立相应的控制机制或 没有实施且没有相应的补偿性控制；</w:t>
                        </w:r>
                        <w:r>
                          <w:rPr>
                            <w:rFonts w:ascii="宋体" w:hAnsi="宋体" w:cs="宋体" w:eastAsia="宋体" w:hint="default"/>
                            <w:spacing w:val="-63"/>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4 </w:t>
                        </w:r>
                        <w:r>
                          <w:rPr>
                            <w:rFonts w:ascii="宋体" w:hAnsi="宋体" w:cs="宋体" w:eastAsia="宋体" w:hint="default"/>
                            <w:sz w:val="18"/>
                            <w:szCs w:val="18"/>
                          </w:rPr>
                          <w:t>对于期末财务报告过程的控制存在一项或 多项缺陷且不能合理保证编制的财务报告 </w:t>
                        </w:r>
                        <w:r>
                          <w:rPr>
                            <w:rFonts w:ascii="宋体" w:hAnsi="宋体" w:cs="宋体" w:eastAsia="宋体" w:hint="default"/>
                            <w:spacing w:val="-3"/>
                            <w:sz w:val="18"/>
                            <w:szCs w:val="18"/>
                          </w:rPr>
                          <w:t>表达到真实、完整的目标。</w:t>
                        </w:r>
                        <w:r>
                          <w:rPr>
                            <w:rFonts w:ascii="宋体" w:hAnsi="宋体" w:cs="宋体" w:eastAsia="宋体" w:hint="default"/>
                            <w:spacing w:val="-29"/>
                            <w:sz w:val="18"/>
                            <w:szCs w:val="18"/>
                          </w:rPr>
                          <w:t> </w:t>
                        </w:r>
                        <w:r>
                          <w:rPr>
                            <w:rFonts w:ascii="宋体" w:hAnsi="宋体" w:cs="宋体" w:eastAsia="宋体" w:hint="default"/>
                            <w:sz w:val="18"/>
                            <w:szCs w:val="18"/>
                          </w:rPr>
                          <w:t>一般缺陷是指</w:t>
                        </w:r>
                        <w:r>
                          <w:rPr>
                            <w:rFonts w:ascii="宋体" w:hAnsi="宋体" w:cs="宋体" w:eastAsia="宋体" w:hint="default"/>
                            <w:sz w:val="18"/>
                            <w:szCs w:val="18"/>
                          </w:rPr>
                          <w:t> 除上述重大缺陷、重要缺陷之外的其他控 制缺陷。</w:t>
                        </w:r>
                      </w:p>
                    </w:tc>
                    <w:tc>
                      <w:tcPr>
                        <w:tcW w:w="30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20"/>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评价的定性标准如下： 非财务报告缺 陷认定主要以缺陷对业务流程有效性 </w:t>
                        </w:r>
                        <w:r>
                          <w:rPr>
                            <w:rFonts w:ascii="宋体" w:hAnsi="宋体" w:cs="宋体" w:eastAsia="宋体" w:hint="default"/>
                            <w:spacing w:val="-4"/>
                            <w:sz w:val="18"/>
                            <w:szCs w:val="18"/>
                          </w:rPr>
                          <w:t>的影响程度、发生的可能性作判定。如</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果缺陷发生的可能性较小，会降低工作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效率或效果、或加大效果的不确定性 或使之偏离预期目标为一般缺陷； 如 </w:t>
                        </w:r>
                        <w:r>
                          <w:rPr>
                            <w:rFonts w:ascii="宋体" w:hAnsi="宋体" w:cs="宋体" w:eastAsia="宋体" w:hint="default"/>
                            <w:spacing w:val="-4"/>
                            <w:sz w:val="18"/>
                            <w:szCs w:val="18"/>
                          </w:rPr>
                          <w:t>果缺陷发生的可能性较高，会显著降低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工作效率或效果、或显著加大效果的不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确定性、或使之显著偏离预期目标为重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要缺陷；如果缺陷发生的可能性高，会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严重降低工作效率或效果、或严重加大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效果的不确定性、或使之严重偏离预期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目标为重大缺陷。</w:t>
                        </w:r>
                      </w:p>
                    </w:tc>
                  </w:tr>
                  <w:tr>
                    <w:trPr>
                      <w:trHeight w:val="392" w:hRule="exact"/>
                    </w:trPr>
                    <w:tc>
                      <w:tcPr>
                        <w:tcW w:w="31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4" w:space="0" w:color="000000"/>
                          <w:right w:val="single" w:sz="4" w:space="0" w:color="000000"/>
                        </w:tcBorders>
                      </w:tcPr>
                      <w:p>
                        <w:pPr/>
                      </w:p>
                    </w:tc>
                    <w:tc>
                      <w:tcPr>
                        <w:tcW w:w="3050" w:type="dxa"/>
                        <w:vMerge/>
                        <w:tcBorders>
                          <w:left w:val="single" w:sz="4" w:space="0" w:color="000000"/>
                          <w:right w:val="single" w:sz="4" w:space="0" w:color="000000"/>
                        </w:tcBorders>
                      </w:tcPr>
                      <w:p>
                        <w:pPr/>
                      </w:p>
                    </w:tc>
                  </w:tr>
                  <w:tr>
                    <w:trPr>
                      <w:trHeight w:val="2813" w:hRule="exact"/>
                    </w:trPr>
                    <w:tc>
                      <w:tcPr>
                        <w:tcW w:w="3188" w:type="dxa"/>
                        <w:tcBorders>
                          <w:top w:val="nil" w:sz="6" w:space="0" w:color="auto"/>
                          <w:left w:val="single" w:sz="4" w:space="0" w:color="000000"/>
                          <w:bottom w:val="single" w:sz="4" w:space="0" w:color="000000"/>
                          <w:right w:val="single" w:sz="4" w:space="0" w:color="000000"/>
                        </w:tcBorders>
                        <w:shd w:val="clear" w:color="auto" w:fill="D3D3D3"/>
                      </w:tcPr>
                      <w:p>
                        <w:pPr/>
                      </w:p>
                    </w:tc>
                    <w:tc>
                      <w:tcPr>
                        <w:tcW w:w="3329" w:type="dxa"/>
                        <w:vMerge/>
                        <w:tcBorders>
                          <w:left w:val="single" w:sz="4" w:space="0" w:color="000000"/>
                          <w:bottom w:val="single" w:sz="4" w:space="0" w:color="000000"/>
                          <w:right w:val="single" w:sz="4" w:space="0" w:color="000000"/>
                        </w:tcBorders>
                      </w:tcPr>
                      <w:p>
                        <w:pPr/>
                      </w:p>
                    </w:tc>
                    <w:tc>
                      <w:tcPr>
                        <w:tcW w:w="3050" w:type="dxa"/>
                        <w:vMerge/>
                        <w:tcBorders>
                          <w:left w:val="single" w:sz="4" w:space="0" w:color="000000"/>
                          <w:bottom w:val="single" w:sz="4" w:space="0" w:color="000000"/>
                          <w:right w:val="single" w:sz="4" w:space="0" w:color="000000"/>
                        </w:tcBorders>
                      </w:tcPr>
                      <w:p>
                        <w:pPr/>
                      </w:p>
                    </w:tc>
                  </w:tr>
                  <w:tr>
                    <w:trPr>
                      <w:trHeight w:val="2501" w:hRule="exact"/>
                    </w:trPr>
                    <w:tc>
                      <w:tcPr>
                        <w:tcW w:w="3188" w:type="dxa"/>
                        <w:tcBorders>
                          <w:top w:val="single" w:sz="4" w:space="0" w:color="000000"/>
                          <w:left w:val="single" w:sz="4" w:space="0" w:color="000000"/>
                          <w:bottom w:val="nil" w:sz="6" w:space="0" w:color="auto"/>
                          <w:right w:val="single" w:sz="4" w:space="0" w:color="000000"/>
                        </w:tcBorders>
                        <w:shd w:val="clear" w:color="auto" w:fill="D3D3D3"/>
                      </w:tcPr>
                      <w:p>
                        <w:pPr/>
                      </w:p>
                    </w:tc>
                    <w:tc>
                      <w:tcPr>
                        <w:tcW w:w="3329" w:type="dxa"/>
                        <w:vMerge w:val="restart"/>
                        <w:tcBorders>
                          <w:top w:val="single" w:sz="4" w:space="0" w:color="000000"/>
                          <w:left w:val="single" w:sz="4" w:space="0" w:color="000000"/>
                          <w:right w:val="single" w:sz="4" w:space="0" w:color="000000"/>
                        </w:tcBorders>
                      </w:tcPr>
                      <w:p>
                        <w:pPr>
                          <w:pStyle w:val="TableParagraph"/>
                          <w:spacing w:line="312" w:lineRule="auto" w:before="51"/>
                          <w:ind w:left="28" w:right="-9"/>
                          <w:jc w:val="left"/>
                          <w:rPr>
                            <w:rFonts w:ascii="宋体" w:hAnsi="宋体" w:cs="宋体" w:eastAsia="宋体" w:hint="default"/>
                            <w:sz w:val="18"/>
                            <w:szCs w:val="18"/>
                          </w:rPr>
                        </w:pPr>
                        <w:r>
                          <w:rPr>
                            <w:rFonts w:ascii="宋体" w:hAnsi="宋体" w:cs="宋体" w:eastAsia="宋体" w:hint="default"/>
                            <w:sz w:val="18"/>
                            <w:szCs w:val="18"/>
                          </w:rPr>
                          <w:t>公司确定的财务报告内部控制缺陷评价的 定量标准如下：定量标准以营业收入、资 产总额作为衡量指标。内部控制缺陷可能 导致或导致的损失与利润表相关的，以营 业收入指标衡量。如果该缺陷单独或连同 其他缺陷可能导致的财务报告错报金额小 于营业收入的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 如果超过营业收入的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2"/>
                            <w:sz w:val="18"/>
                            <w:szCs w:val="18"/>
                          </w:rPr>
                          <w:t> </w:t>
                        </w:r>
                        <w:r>
                          <w:rPr>
                            <w:rFonts w:ascii="Times New Roman" w:hAnsi="Times New Roman" w:cs="Times New Roman" w:eastAsia="Times New Roman" w:hint="default"/>
                            <w:spacing w:val="-12"/>
                            <w:sz w:val="18"/>
                            <w:szCs w:val="18"/>
                          </w:rPr>
                          <w:t>1%</w:t>
                        </w:r>
                        <w:r>
                          <w:rPr>
                            <w:rFonts w:ascii="宋体" w:hAnsi="宋体" w:cs="宋体" w:eastAsia="宋体" w:hint="default"/>
                            <w:spacing w:val="-12"/>
                            <w:sz w:val="18"/>
                            <w:szCs w:val="18"/>
                          </w:rPr>
                          <w:t>，则</w:t>
                        </w:r>
                        <w:r>
                          <w:rPr>
                            <w:rFonts w:ascii="宋体" w:hAnsi="宋体" w:cs="宋体" w:eastAsia="宋体" w:hint="default"/>
                            <w:sz w:val="18"/>
                            <w:szCs w:val="18"/>
                          </w:rPr>
                          <w:t> </w:t>
                        </w:r>
                        <w:r>
                          <w:rPr>
                            <w:rFonts w:ascii="宋体" w:hAnsi="宋体" w:cs="宋体" w:eastAsia="宋体" w:hint="default"/>
                            <w:spacing w:val="-3"/>
                            <w:sz w:val="18"/>
                            <w:szCs w:val="18"/>
                          </w:rPr>
                          <w:t>为重要缺陷；如果超过营业收入的</w:t>
                        </w:r>
                        <w:r>
                          <w:rPr>
                            <w:rFonts w:ascii="宋体" w:hAnsi="宋体" w:cs="宋体" w:eastAsia="宋体" w:hint="default"/>
                            <w:spacing w:val="-44"/>
                            <w:sz w:val="18"/>
                            <w:szCs w:val="18"/>
                          </w:rPr>
                          <w:t> </w:t>
                        </w:r>
                        <w:r>
                          <w:rPr>
                            <w:rFonts w:ascii="Times New Roman" w:hAnsi="Times New Roman" w:cs="Times New Roman" w:eastAsia="Times New Roman" w:hint="default"/>
                            <w:spacing w:val="-20"/>
                            <w:sz w:val="18"/>
                            <w:szCs w:val="18"/>
                          </w:rPr>
                          <w:t>1%</w:t>
                        </w:r>
                        <w:r>
                          <w:rPr>
                            <w:rFonts w:ascii="宋体" w:hAnsi="宋体" w:cs="宋体" w:eastAsia="宋体" w:hint="default"/>
                            <w:spacing w:val="-20"/>
                            <w:sz w:val="18"/>
                            <w:szCs w:val="18"/>
                          </w:rPr>
                          <w:t>，则</w:t>
                        </w:r>
                        <w:r>
                          <w:rPr>
                            <w:rFonts w:ascii="宋体" w:hAnsi="宋体" w:cs="宋体" w:eastAsia="宋体" w:hint="default"/>
                            <w:spacing w:val="-86"/>
                            <w:sz w:val="18"/>
                            <w:szCs w:val="18"/>
                          </w:rPr>
                          <w:t> </w:t>
                        </w:r>
                        <w:r>
                          <w:rPr>
                            <w:rFonts w:ascii="宋体" w:hAnsi="宋体" w:cs="宋体" w:eastAsia="宋体" w:hint="default"/>
                            <w:sz w:val="18"/>
                            <w:szCs w:val="18"/>
                          </w:rPr>
                          <w:t>认定为重大缺陷。内部控制缺陷可能导致</w:t>
                        </w:r>
                        <w:r>
                          <w:rPr>
                            <w:rFonts w:ascii="宋体" w:hAnsi="宋体" w:cs="宋体" w:eastAsia="宋体" w:hint="default"/>
                            <w:sz w:val="18"/>
                            <w:szCs w:val="18"/>
                          </w:rPr>
                          <w:t> 或导致的损失与资产管理相关的，以资产 总额指标衡量。如果该缺陷单独或连同其 他缺陷可能导致的财务报告错报金额小于 资产总额的 </w:t>
                        </w:r>
                        <w:r>
                          <w:rPr>
                            <w:rFonts w:ascii="Times New Roman" w:hAnsi="Times New Roman" w:cs="Times New Roman" w:eastAsia="Times New Roman" w:hint="default"/>
                            <w:spacing w:val="-6"/>
                            <w:sz w:val="18"/>
                            <w:szCs w:val="18"/>
                          </w:rPr>
                          <w:t>0.5%</w:t>
                        </w:r>
                        <w:r>
                          <w:rPr>
                            <w:rFonts w:ascii="宋体" w:hAnsi="宋体" w:cs="宋体" w:eastAsia="宋体" w:hint="default"/>
                            <w:spacing w:val="-6"/>
                            <w:sz w:val="18"/>
                            <w:szCs w:val="18"/>
                          </w:rPr>
                          <w:t>，则认定为一般缺陷；如</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果超过资产总额的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认定 为重要缺陷；如果超过资产总额 </w:t>
                        </w:r>
                        <w:r>
                          <w:rPr>
                            <w:rFonts w:ascii="Times New Roman" w:hAnsi="Times New Roman" w:cs="Times New Roman" w:eastAsia="Times New Roman" w:hint="default"/>
                            <w:sz w:val="18"/>
                            <w:szCs w:val="18"/>
                          </w:rPr>
                          <w:t>1%</w:t>
                        </w:r>
                        <w:r>
                          <w:rPr>
                            <w:rFonts w:ascii="宋体" w:hAnsi="宋体" w:cs="宋体" w:eastAsia="宋体" w:hint="default"/>
                            <w:sz w:val="18"/>
                            <w:szCs w:val="18"/>
                          </w:rPr>
                          <w:t>，则 认定为重大缺陷。</w:t>
                        </w:r>
                      </w:p>
                    </w:tc>
                    <w:tc>
                      <w:tcPr>
                        <w:tcW w:w="30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公司确定的非财务报告内部控制缺陷 </w:t>
                        </w:r>
                        <w:r>
                          <w:rPr>
                            <w:rFonts w:ascii="宋体" w:hAnsi="宋体" w:cs="宋体" w:eastAsia="宋体" w:hint="default"/>
                            <w:spacing w:val="-4"/>
                            <w:sz w:val="18"/>
                            <w:szCs w:val="18"/>
                          </w:rPr>
                          <w:t>评价的定量标准如下：重大缺陷：直接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财产损失金额在人民币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 </w:t>
                        </w:r>
                        <w:r>
                          <w:rPr>
                            <w:rFonts w:ascii="宋体" w:hAnsi="宋体" w:cs="宋体" w:eastAsia="宋体" w:hint="default"/>
                            <w:sz w:val="18"/>
                            <w:szCs w:val="18"/>
                          </w:rPr>
                          <w:t>万元（含</w:t>
                        </w:r>
                      </w:p>
                      <w:p>
                        <w:pPr>
                          <w:pStyle w:val="TableParagraph"/>
                          <w:spacing w:line="309" w:lineRule="auto"/>
                          <w:ind w:left="22" w:right="47"/>
                          <w:jc w:val="both"/>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万元）以上，对公司造成重大负 面影响。 重要缺陷：直接财产损失金 额在人民币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 </w:t>
                        </w:r>
                        <w:r>
                          <w:rPr>
                            <w:rFonts w:ascii="宋体" w:hAnsi="宋体" w:cs="宋体" w:eastAsia="宋体" w:hint="default"/>
                            <w:sz w:val="18"/>
                            <w:szCs w:val="18"/>
                          </w:rPr>
                          <w:t>万元）</w:t>
                        </w:r>
                      </w:p>
                      <w:p>
                        <w:pPr>
                          <w:pStyle w:val="TableParagraph"/>
                          <w:spacing w:line="309" w:lineRule="auto" w:before="5"/>
                          <w:ind w:left="22"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万元或受到国家政府部门处罚 对公司造成较大负面影响。</w:t>
                        </w:r>
                        <w:r>
                          <w:rPr>
                            <w:rFonts w:ascii="宋体" w:hAnsi="宋体" w:cs="宋体" w:eastAsia="宋体" w:hint="default"/>
                            <w:spacing w:val="-65"/>
                            <w:sz w:val="18"/>
                            <w:szCs w:val="18"/>
                          </w:rPr>
                          <w:t> </w:t>
                        </w:r>
                        <w:r>
                          <w:rPr>
                            <w:rFonts w:ascii="宋体" w:hAnsi="宋体" w:cs="宋体" w:eastAsia="宋体" w:hint="default"/>
                            <w:sz w:val="18"/>
                            <w:szCs w:val="18"/>
                          </w:rPr>
                          <w:t>一般缺陷</w:t>
                        </w:r>
                        <w:r>
                          <w:rPr>
                            <w:rFonts w:ascii="宋体" w:hAnsi="宋体" w:cs="宋体" w:eastAsia="宋体" w:hint="default"/>
                            <w:sz w:val="18"/>
                            <w:szCs w:val="18"/>
                          </w:rPr>
                          <w:t> 直接财产损失金额在人民币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w:t>
                        </w:r>
                        <w:r>
                          <w:rPr>
                            <w:rFonts w:ascii="宋体" w:hAnsi="宋体" w:cs="宋体" w:eastAsia="宋体" w:hint="default"/>
                            <w:spacing w:val="-4"/>
                            <w:sz w:val="18"/>
                            <w:szCs w:val="18"/>
                          </w:rPr>
                          <w:t>以下或受到省级（含省级）以下政府部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门处罚，对公司造成负面影响较小。</w:t>
                        </w:r>
                      </w:p>
                    </w:tc>
                  </w:tr>
                  <w:tr>
                    <w:trPr>
                      <w:trHeight w:val="392" w:hRule="exact"/>
                    </w:trPr>
                    <w:tc>
                      <w:tcPr>
                        <w:tcW w:w="31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9" w:type="dxa"/>
                        <w:vMerge/>
                        <w:tcBorders>
                          <w:left w:val="single" w:sz="4" w:space="0" w:color="000000"/>
                          <w:right w:val="single" w:sz="4" w:space="0" w:color="000000"/>
                        </w:tcBorders>
                      </w:tcPr>
                      <w:p>
                        <w:pPr/>
                      </w:p>
                    </w:tc>
                    <w:tc>
                      <w:tcPr>
                        <w:tcW w:w="3050" w:type="dxa"/>
                        <w:vMerge/>
                        <w:tcBorders>
                          <w:left w:val="single" w:sz="4" w:space="0" w:color="000000"/>
                          <w:right w:val="single" w:sz="4" w:space="0" w:color="000000"/>
                        </w:tcBorders>
                      </w:tcPr>
                      <w:p>
                        <w:pPr/>
                      </w:p>
                    </w:tc>
                  </w:tr>
                  <w:tr>
                    <w:trPr>
                      <w:trHeight w:val="2501" w:hRule="exact"/>
                    </w:trPr>
                    <w:tc>
                      <w:tcPr>
                        <w:tcW w:w="3188" w:type="dxa"/>
                        <w:tcBorders>
                          <w:top w:val="nil" w:sz="6" w:space="0" w:color="auto"/>
                          <w:left w:val="single" w:sz="4" w:space="0" w:color="000000"/>
                          <w:bottom w:val="single" w:sz="4" w:space="0" w:color="000000"/>
                          <w:right w:val="single" w:sz="4" w:space="0" w:color="000000"/>
                        </w:tcBorders>
                        <w:shd w:val="clear" w:color="auto" w:fill="D3D3D3"/>
                      </w:tcPr>
                      <w:p>
                        <w:pPr/>
                      </w:p>
                    </w:tc>
                    <w:tc>
                      <w:tcPr>
                        <w:tcW w:w="3329" w:type="dxa"/>
                        <w:vMerge/>
                        <w:tcBorders>
                          <w:left w:val="single" w:sz="4" w:space="0" w:color="000000"/>
                          <w:bottom w:val="single" w:sz="4" w:space="0" w:color="000000"/>
                          <w:right w:val="single" w:sz="4" w:space="0" w:color="000000"/>
                        </w:tcBorders>
                      </w:tcPr>
                      <w:p>
                        <w:pPr/>
                      </w:p>
                    </w:tc>
                    <w:tc>
                      <w:tcPr>
                        <w:tcW w:w="3050" w:type="dxa"/>
                        <w:vMerge/>
                        <w:tcBorders>
                          <w:left w:val="single" w:sz="4" w:space="0" w:color="000000"/>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line="780" w:lineRule="exact"/>
        <w:ind w:left="6676"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152.050pt;height:39pt;mso-position-horizontal-relative:char;mso-position-vertical-relative:line" coordorigin="0,0" coordsize="3041,780">
            <v:group style="position:absolute;left:0;top:0;width:3041;height:780" coordorigin="0,0" coordsize="3041,780">
              <v:shape style="position:absolute;left:0;top:0;width:3041;height:780" coordorigin="0,0" coordsize="3041,780" path="m0,780l3041,780,3041,0,0,0,0,780xe" filled="true" fillcolor="#ffffff" stroked="false">
                <v:path arrowok="t"/>
                <v:fill type="solid"/>
              </v:shape>
            </v:group>
          </v:group>
        </w:pict>
      </w:r>
      <w:r>
        <w:rPr>
          <w:rFonts w:ascii="宋体" w:hAnsi="宋体" w:cs="宋体" w:eastAsia="宋体" w:hint="default"/>
          <w:position w:val="-1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spacing w:before="44"/>
        <w:ind w:left="0" w:right="183" w:firstLine="0"/>
        <w:jc w:val="right"/>
        <w:rPr>
          <w:rFonts w:ascii="宋体" w:hAnsi="宋体" w:cs="宋体" w:eastAsia="宋体" w:hint="default"/>
          <w:sz w:val="18"/>
          <w:szCs w:val="18"/>
        </w:rPr>
      </w:pPr>
      <w:r>
        <w:rPr/>
        <w:pict>
          <v:shape style="position:absolute;margin-left:376.680603pt;margin-top:-117.368011pt;width:158.2pt;height:300.45pt;mso-position-horizontal-relative:page;mso-position-vertical-relative:paragraph;z-index:-102748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5"/>
                      <w:szCs w:val="2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spacing w:line="780" w:lineRule="exact"/>
        <w:ind w:left="6676"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152.050pt;height:39pt;mso-position-horizontal-relative:char;mso-position-vertical-relative:line" coordorigin="0,0" coordsize="3041,780">
            <v:group style="position:absolute;left:0;top:0;width:3041;height:780" coordorigin="0,0" coordsize="3041,780">
              <v:shape style="position:absolute;left:0;top:0;width:3041;height:780" coordorigin="0,0" coordsize="3041,780" path="m0,780l3041,780,3041,0,0,0,0,780xe" filled="true" fillcolor="#ffffff" stroked="false">
                <v:path arrowok="t"/>
                <v:fill type="solid"/>
              </v:shape>
            </v:group>
          </v:group>
        </w:pict>
      </w:r>
      <w:r>
        <w:rPr>
          <w:rFonts w:ascii="宋体" w:hAnsi="宋体" w:cs="宋体" w:eastAsia="宋体" w:hint="default"/>
          <w:position w:val="-1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before="44"/>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158"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4"/>
        <w:gridCol w:w="6374"/>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内部控制审计报告</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6"/>
      </w:tblGrid>
      <w:tr>
        <w:trPr>
          <w:trHeight w:val="402"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天健会计师事务所认为，荣信股份公司按照深圳证券交易所《中小企业板上市公司规范运作指引》规定于</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日在所有重大方面保持了有效的财务报告内部控制。本结论是在受到审计报告中指出的固有限制的条件下形成的。</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《内部控制审计报告》全文详见巨潮资讯网。</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会计师事务所是否出具非标准意见的内部控制审计报告</w:t>
      </w:r>
    </w:p>
    <w:p>
      <w:pPr>
        <w:spacing w:line="338" w:lineRule="auto" w:before="117"/>
        <w:ind w:left="154" w:right="365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会计师事务所出具的内部控制审计报告与董事会的自我评价报告意见是否一致</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787"/>
        <w:jc w:val="center"/>
        <w:rPr>
          <w:b w:val="0"/>
          <w:bCs w:val="0"/>
        </w:rPr>
      </w:pPr>
      <w:bookmarkStart w:name="_TOC_250001" w:id="10"/>
      <w:r>
        <w:rPr/>
        <w:t>第十节</w:t>
      </w:r>
      <w:r>
        <w:rPr>
          <w:spacing w:val="-5"/>
        </w:rPr>
        <w:t> </w:t>
      </w:r>
      <w:r>
        <w:rPr/>
        <w:t>财务报告</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9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2016</w:t>
            </w:r>
            <w:r>
              <w:rPr>
                <w:rFonts w:ascii="宋体" w:hAnsi="宋体" w:cs="宋体" w:eastAsia="宋体" w:hint="default"/>
                <w:sz w:val="18"/>
                <w:szCs w:val="18"/>
              </w:rPr>
              <w:t>〕</w:t>
            </w:r>
            <w:r>
              <w:rPr>
                <w:rFonts w:ascii="Times New Roman" w:hAnsi="Times New Roman" w:cs="Times New Roman" w:eastAsia="Times New Roman" w:hint="default"/>
                <w:sz w:val="18"/>
                <w:szCs w:val="18"/>
              </w:rPr>
              <w:t>3-299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朱中伟 许治平</w:t>
            </w:r>
          </w:p>
        </w:tc>
      </w:tr>
    </w:tbl>
    <w:p>
      <w:pPr>
        <w:spacing w:before="51"/>
        <w:ind w:left="3750" w:right="3787"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before="115"/>
        <w:ind w:left="154" w:right="90" w:firstLine="0"/>
        <w:jc w:val="left"/>
        <w:rPr>
          <w:rFonts w:ascii="宋体" w:hAnsi="宋体" w:cs="宋体" w:eastAsia="宋体" w:hint="default"/>
          <w:sz w:val="18"/>
          <w:szCs w:val="18"/>
        </w:rPr>
      </w:pPr>
      <w:r>
        <w:rPr>
          <w:rFonts w:ascii="宋体" w:hAnsi="宋体" w:cs="宋体" w:eastAsia="宋体" w:hint="default"/>
          <w:sz w:val="18"/>
          <w:szCs w:val="18"/>
        </w:rPr>
        <w:t>荣信电力电子股份有限公司全体股东：</w:t>
      </w:r>
    </w:p>
    <w:p>
      <w:pPr>
        <w:spacing w:line="300" w:lineRule="auto" w:before="76"/>
        <w:ind w:left="154" w:right="189" w:firstLine="480"/>
        <w:jc w:val="both"/>
        <w:rPr>
          <w:rFonts w:ascii="宋体" w:hAnsi="宋体" w:cs="宋体" w:eastAsia="宋体" w:hint="default"/>
          <w:sz w:val="18"/>
          <w:szCs w:val="18"/>
        </w:rPr>
      </w:pPr>
      <w:r>
        <w:rPr>
          <w:rFonts w:ascii="宋体" w:hAnsi="宋体" w:cs="宋体" w:eastAsia="宋体" w:hint="default"/>
          <w:spacing w:val="-1"/>
          <w:sz w:val="18"/>
          <w:szCs w:val="18"/>
        </w:rPr>
        <w:t>我们审计了后附的荣信电力电子股份有限公司（以下简称荣信股份公司）财务报表，包括</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日的合并及母</w:t>
      </w:r>
      <w:r>
        <w:rPr>
          <w:rFonts w:ascii="宋体" w:hAnsi="宋体" w:cs="宋体" w:eastAsia="宋体" w:hint="default"/>
          <w:sz w:val="18"/>
          <w:szCs w:val="18"/>
        </w:rPr>
        <w:t> </w:t>
      </w:r>
      <w:r>
        <w:rPr>
          <w:rFonts w:ascii="宋体" w:hAnsi="宋体" w:cs="宋体" w:eastAsia="宋体" w:hint="default"/>
          <w:spacing w:val="-2"/>
          <w:sz w:val="18"/>
          <w:szCs w:val="18"/>
        </w:rPr>
        <w:t>公司资产负债表，</w:t>
      </w:r>
      <w:r>
        <w:rPr>
          <w:rFonts w:ascii="Times New Roman" w:hAnsi="Times New Roman" w:cs="Times New Roman" w:eastAsia="Times New Roman" w:hint="default"/>
          <w:spacing w:val="-2"/>
          <w:sz w:val="18"/>
          <w:szCs w:val="18"/>
        </w:rPr>
        <w:t>2015</w:t>
      </w:r>
      <w:r>
        <w:rPr>
          <w:rFonts w:ascii="宋体" w:hAnsi="宋体" w:cs="宋体" w:eastAsia="宋体" w:hint="default"/>
          <w:spacing w:val="-2"/>
          <w:sz w:val="18"/>
          <w:szCs w:val="18"/>
        </w:rPr>
        <w:t>年度的合并及母公司利润表、合并及母公司现金流量表、合并及母公司所有者权益变动表，以及财务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报表附注。</w:t>
      </w:r>
    </w:p>
    <w:p>
      <w:pPr>
        <w:spacing w:line="240" w:lineRule="auto" w:before="3"/>
        <w:rPr>
          <w:rFonts w:ascii="宋体" w:hAnsi="宋体" w:cs="宋体" w:eastAsia="宋体" w:hint="default"/>
          <w:sz w:val="26"/>
          <w:szCs w:val="26"/>
        </w:rPr>
      </w:pPr>
    </w:p>
    <w:p>
      <w:pPr>
        <w:spacing w:line="316" w:lineRule="auto" w:before="0"/>
        <w:ind w:left="634" w:right="90" w:firstLine="2"/>
        <w:jc w:val="left"/>
        <w:rPr>
          <w:rFonts w:ascii="宋体" w:hAnsi="宋体" w:cs="宋体" w:eastAsia="宋体" w:hint="default"/>
          <w:sz w:val="18"/>
          <w:szCs w:val="18"/>
        </w:rPr>
      </w:pPr>
      <w:r>
        <w:rPr>
          <w:rFonts w:ascii="宋体" w:hAnsi="宋体" w:cs="宋体" w:eastAsia="宋体" w:hint="default"/>
          <w:b/>
          <w:bCs/>
          <w:sz w:val="18"/>
          <w:szCs w:val="18"/>
        </w:rPr>
        <w:t>一、管理层对财务报表的责任</w:t>
      </w:r>
      <w:r>
        <w:rPr>
          <w:rFonts w:ascii="宋体" w:hAnsi="宋体" w:cs="宋体" w:eastAsia="宋体" w:hint="default"/>
          <w:b/>
          <w:bCs/>
          <w:w w:val="99"/>
          <w:sz w:val="18"/>
          <w:szCs w:val="18"/>
        </w:rPr>
        <w:t> </w:t>
      </w:r>
      <w:r>
        <w:rPr>
          <w:rFonts w:ascii="宋体" w:hAnsi="宋体" w:cs="宋体" w:eastAsia="宋体" w:hint="default"/>
          <w:sz w:val="18"/>
          <w:szCs w:val="18"/>
        </w:rPr>
        <w:t>编制和公允列报财务报表是荣信股份公司管理层的责任，这种责任包括：（</w:t>
      </w:r>
      <w:r>
        <w:rPr>
          <w:rFonts w:ascii="Times New Roman" w:hAnsi="Times New Roman" w:cs="Times New Roman" w:eastAsia="Times New Roman" w:hint="default"/>
          <w:sz w:val="18"/>
          <w:szCs w:val="18"/>
        </w:rPr>
        <w:t>1</w:t>
      </w:r>
      <w:r>
        <w:rPr>
          <w:rFonts w:ascii="宋体" w:hAnsi="宋体" w:cs="宋体" w:eastAsia="宋体" w:hint="default"/>
          <w:sz w:val="18"/>
          <w:szCs w:val="18"/>
        </w:rPr>
        <w:t>）按照企业会计准则的规定编制财务报</w:t>
      </w:r>
    </w:p>
    <w:p>
      <w:pPr>
        <w:spacing w:line="248" w:lineRule="exact" w:before="0"/>
        <w:ind w:left="154" w:right="90" w:firstLine="0"/>
        <w:jc w:val="left"/>
        <w:rPr>
          <w:rFonts w:ascii="宋体" w:hAnsi="宋体" w:cs="宋体" w:eastAsia="宋体" w:hint="default"/>
          <w:sz w:val="18"/>
          <w:szCs w:val="18"/>
        </w:rPr>
      </w:pPr>
      <w:r>
        <w:rPr>
          <w:rFonts w:ascii="宋体" w:hAnsi="宋体" w:cs="宋体" w:eastAsia="宋体" w:hint="default"/>
          <w:spacing w:val="-2"/>
          <w:sz w:val="18"/>
          <w:szCs w:val="18"/>
        </w:rPr>
        <w:t>表，并使其实现公允反映；（</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）设计、执行和维护必要的内部控制，以使财务报表不存在由于舞弊或错误导致的重大错报。</w:t>
      </w:r>
    </w:p>
    <w:p>
      <w:pPr>
        <w:spacing w:line="240" w:lineRule="auto" w:before="0"/>
        <w:rPr>
          <w:rFonts w:ascii="宋体" w:hAnsi="宋体" w:cs="宋体" w:eastAsia="宋体" w:hint="default"/>
          <w:sz w:val="18"/>
          <w:szCs w:val="18"/>
        </w:rPr>
      </w:pPr>
    </w:p>
    <w:p>
      <w:pPr>
        <w:spacing w:line="316" w:lineRule="auto" w:before="139"/>
        <w:ind w:left="633" w:right="90" w:firstLine="2"/>
        <w:jc w:val="left"/>
        <w:rPr>
          <w:rFonts w:ascii="宋体" w:hAnsi="宋体" w:cs="宋体" w:eastAsia="宋体" w:hint="default"/>
          <w:sz w:val="18"/>
          <w:szCs w:val="18"/>
        </w:rPr>
      </w:pPr>
      <w:r>
        <w:rPr>
          <w:rFonts w:ascii="宋体" w:hAnsi="宋体" w:cs="宋体" w:eastAsia="宋体" w:hint="default"/>
          <w:b/>
          <w:bCs/>
          <w:sz w:val="18"/>
          <w:szCs w:val="18"/>
        </w:rPr>
        <w:t>二、注册会计师的责任</w:t>
      </w:r>
      <w:r>
        <w:rPr>
          <w:rFonts w:ascii="宋体" w:hAnsi="宋体" w:cs="宋体" w:eastAsia="宋体" w:hint="default"/>
          <w:b/>
          <w:bCs/>
          <w:w w:val="99"/>
          <w:sz w:val="18"/>
          <w:szCs w:val="18"/>
        </w:rPr>
        <w:t> </w:t>
      </w:r>
      <w:r>
        <w:rPr>
          <w:rFonts w:ascii="宋体" w:hAnsi="宋体" w:cs="宋体" w:eastAsia="宋体" w:hint="default"/>
          <w:spacing w:val="-1"/>
          <w:sz w:val="18"/>
          <w:szCs w:val="18"/>
        </w:rPr>
        <w:t>我们的责任是在执行审计工作的基础上对财务报表发表审计意见。我们按照中国注册会计师审计准则的规定执行了审</w:t>
      </w:r>
    </w:p>
    <w:p>
      <w:pPr>
        <w:spacing w:line="316" w:lineRule="auto" w:before="19"/>
        <w:ind w:left="153" w:right="90" w:firstLine="0"/>
        <w:jc w:val="left"/>
        <w:rPr>
          <w:rFonts w:ascii="宋体" w:hAnsi="宋体" w:cs="宋体" w:eastAsia="宋体" w:hint="default"/>
          <w:sz w:val="18"/>
          <w:szCs w:val="18"/>
        </w:rPr>
      </w:pPr>
      <w:r>
        <w:rPr>
          <w:rFonts w:ascii="宋体" w:hAnsi="宋体" w:cs="宋体" w:eastAsia="宋体" w:hint="default"/>
          <w:spacing w:val="-2"/>
          <w:sz w:val="18"/>
          <w:szCs w:val="18"/>
        </w:rPr>
        <w:t>计工作。中国注册会计师审计准则要求我们遵守中国注册会计师职业道德守则，计划和执行审计工作以对财务报表是否不存</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在重大错报获取合理保证。</w:t>
      </w:r>
    </w:p>
    <w:p>
      <w:pPr>
        <w:spacing w:line="312" w:lineRule="auto" w:before="19"/>
        <w:ind w:left="154" w:right="90" w:firstLine="480"/>
        <w:jc w:val="left"/>
        <w:rPr>
          <w:rFonts w:ascii="宋体" w:hAnsi="宋体" w:cs="宋体" w:eastAsia="宋体" w:hint="default"/>
          <w:sz w:val="18"/>
          <w:szCs w:val="18"/>
        </w:rPr>
      </w:pPr>
      <w:r>
        <w:rPr>
          <w:rFonts w:ascii="宋体" w:hAnsi="宋体" w:cs="宋体" w:eastAsia="宋体" w:hint="default"/>
          <w:spacing w:val="-3"/>
          <w:sz w:val="18"/>
          <w:szCs w:val="18"/>
        </w:rPr>
        <w:t>审计工作涉及实施审计程序，以获取有关财务报表金额和披露的审计证据。选择的审计程序取决于注册会计师的判断，</w:t>
      </w:r>
      <w:r>
        <w:rPr>
          <w:rFonts w:ascii="宋体" w:hAnsi="宋体" w:cs="宋体" w:eastAsia="宋体" w:hint="default"/>
          <w:sz w:val="18"/>
          <w:szCs w:val="18"/>
        </w:rPr>
        <w:t> </w:t>
      </w:r>
      <w:r>
        <w:rPr>
          <w:rFonts w:ascii="宋体" w:hAnsi="宋体" w:cs="宋体" w:eastAsia="宋体" w:hint="default"/>
          <w:spacing w:val="-2"/>
          <w:sz w:val="18"/>
          <w:szCs w:val="18"/>
        </w:rPr>
        <w:t>包括对由于舞弊或错误导致的财务报表重大错报风险的评估。在进行风险评估时，注册会计师考虑与财务报表编制和公允列</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报相关的内部控制，以设计恰当的审计程序</w:t>
      </w:r>
      <w:r>
        <w:rPr>
          <w:rFonts w:ascii="宋体" w:hAnsi="宋体" w:cs="宋体" w:eastAsia="宋体" w:hint="default"/>
          <w:i/>
          <w:spacing w:val="-2"/>
          <w:sz w:val="19"/>
          <w:szCs w:val="19"/>
        </w:rPr>
        <w:t>，</w:t>
      </w:r>
      <w:r>
        <w:rPr>
          <w:rFonts w:ascii="宋体" w:hAnsi="宋体" w:cs="宋体" w:eastAsia="宋体" w:hint="default"/>
          <w:spacing w:val="-2"/>
          <w:sz w:val="18"/>
          <w:szCs w:val="18"/>
        </w:rPr>
        <w:t>但目的并非对内部控制的有效性发表意见。审计工作还包括评价管理层选用会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计政策的恰当性和作出会计估计的合理性，以及评价财务报表的总体列报。</w:t>
      </w:r>
    </w:p>
    <w:p>
      <w:pPr>
        <w:spacing w:before="22"/>
        <w:ind w:left="634" w:right="90" w:firstLine="0"/>
        <w:jc w:val="left"/>
        <w:rPr>
          <w:rFonts w:ascii="宋体" w:hAnsi="宋体" w:cs="宋体" w:eastAsia="宋体" w:hint="default"/>
          <w:sz w:val="18"/>
          <w:szCs w:val="18"/>
        </w:rPr>
      </w:pPr>
      <w:r>
        <w:rPr>
          <w:rFonts w:ascii="宋体" w:hAnsi="宋体" w:cs="宋体" w:eastAsia="宋体" w:hint="default"/>
          <w:sz w:val="18"/>
          <w:szCs w:val="18"/>
        </w:rPr>
        <w:t>我们相信，我们获取的审计证据是充分、适当的，为发表审计意见提供了基础。</w:t>
      </w:r>
    </w:p>
    <w:p>
      <w:pPr>
        <w:spacing w:line="240" w:lineRule="auto" w:before="0"/>
        <w:rPr>
          <w:rFonts w:ascii="宋体" w:hAnsi="宋体" w:cs="宋体" w:eastAsia="宋体" w:hint="default"/>
          <w:sz w:val="18"/>
          <w:szCs w:val="18"/>
        </w:rPr>
      </w:pPr>
    </w:p>
    <w:p>
      <w:pPr>
        <w:spacing w:line="316" w:lineRule="auto" w:before="153"/>
        <w:ind w:left="634" w:right="90" w:firstLine="2"/>
        <w:jc w:val="left"/>
        <w:rPr>
          <w:rFonts w:ascii="Times New Roman" w:hAnsi="Times New Roman" w:cs="Times New Roman" w:eastAsia="Times New Roman" w:hint="default"/>
          <w:sz w:val="18"/>
          <w:szCs w:val="18"/>
        </w:rPr>
      </w:pPr>
      <w:r>
        <w:rPr>
          <w:rFonts w:ascii="宋体" w:hAnsi="宋体" w:cs="宋体" w:eastAsia="宋体" w:hint="default"/>
          <w:b/>
          <w:bCs/>
          <w:sz w:val="18"/>
          <w:szCs w:val="18"/>
        </w:rPr>
        <w:t>三、审计意见</w:t>
      </w:r>
      <w:r>
        <w:rPr>
          <w:rFonts w:ascii="宋体" w:hAnsi="宋体" w:cs="宋体" w:eastAsia="宋体" w:hint="default"/>
          <w:b/>
          <w:bCs/>
          <w:w w:val="99"/>
          <w:sz w:val="18"/>
          <w:szCs w:val="18"/>
        </w:rPr>
        <w:t> </w:t>
      </w:r>
      <w:r>
        <w:rPr>
          <w:rFonts w:ascii="宋体" w:hAnsi="宋体" w:cs="宋体" w:eastAsia="宋体" w:hint="default"/>
          <w:spacing w:val="-1"/>
          <w:sz w:val="18"/>
          <w:szCs w:val="18"/>
        </w:rPr>
        <w:t>我们认为，荣信股份公司财务报表在所有重大方面按照企业会计准则的规定编制，公允反映了荣信股份公司</w:t>
      </w:r>
      <w:r>
        <w:rPr>
          <w:rFonts w:ascii="Times New Roman" w:hAnsi="Times New Roman" w:cs="Times New Roman" w:eastAsia="Times New Roman" w:hint="default"/>
          <w:spacing w:val="-1"/>
          <w:sz w:val="18"/>
          <w:szCs w:val="18"/>
        </w:rPr>
        <w:t>2015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p>
    <w:p>
      <w:pPr>
        <w:spacing w:line="248" w:lineRule="exact" w:before="0"/>
        <w:ind w:left="154" w:right="90" w:firstLine="0"/>
        <w:jc w:val="left"/>
        <w:rPr>
          <w:rFonts w:ascii="宋体" w:hAnsi="宋体" w:cs="宋体" w:eastAsia="宋体" w:hint="default"/>
          <w:sz w:val="18"/>
          <w:szCs w:val="18"/>
        </w:rPr>
      </w:pP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日的合并及母公司财务状况，以及</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年度的合并及母公司经营成果和现金流量。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6"/>
          <w:szCs w:val="16"/>
        </w:rPr>
      </w:pPr>
    </w:p>
    <w:p>
      <w:pPr>
        <w:tabs>
          <w:tab w:pos="5880" w:val="left" w:leader="none"/>
        </w:tabs>
        <w:spacing w:line="636" w:lineRule="auto" w:before="0"/>
        <w:ind w:left="1083" w:right="2118" w:hanging="57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tab/>
        <w:t>中国注册会计师：朱中伟 </w:t>
      </w:r>
      <w:r>
        <w:rPr>
          <w:rFonts w:ascii="宋体" w:hAnsi="宋体" w:cs="宋体" w:eastAsia="宋体" w:hint="default"/>
          <w:w w:val="95"/>
          <w:sz w:val="18"/>
          <w:szCs w:val="18"/>
        </w:rPr>
        <w:t>中国</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杭州</w:t>
        <w:tab/>
      </w:r>
      <w:r>
        <w:rPr>
          <w:rFonts w:ascii="宋体" w:hAnsi="宋体" w:cs="宋体" w:eastAsia="宋体" w:hint="default"/>
          <w:sz w:val="18"/>
          <w:szCs w:val="18"/>
        </w:rPr>
        <w:t>中国注册会计师：许治平</w:t>
      </w:r>
    </w:p>
    <w:p>
      <w:pPr>
        <w:spacing w:before="46"/>
        <w:ind w:left="5994" w:right="90" w:firstLine="0"/>
        <w:jc w:val="left"/>
        <w:rPr>
          <w:rFonts w:ascii="宋体" w:hAnsi="宋体" w:cs="宋体" w:eastAsia="宋体" w:hint="default"/>
          <w:sz w:val="18"/>
          <w:szCs w:val="18"/>
        </w:rPr>
      </w:pPr>
      <w:r>
        <w:rPr>
          <w:rFonts w:ascii="宋体" w:hAnsi="宋体" w:cs="宋体" w:eastAsia="宋体" w:hint="default"/>
          <w:sz w:val="18"/>
          <w:szCs w:val="18"/>
        </w:rPr>
        <w:t>二〇一六年四月十四日</w:t>
      </w:r>
    </w:p>
    <w:p>
      <w:pPr>
        <w:spacing w:after="0"/>
        <w:jc w:val="left"/>
        <w:rPr>
          <w:rFonts w:ascii="宋体" w:hAnsi="宋体" w:cs="宋体" w:eastAsia="宋体" w:hint="default"/>
          <w:sz w:val="18"/>
          <w:szCs w:val="18"/>
        </w:rPr>
        <w:sectPr>
          <w:pgSz w:w="11910" w:h="16840"/>
          <w:pgMar w:header="747" w:footer="982" w:top="1060" w:bottom="1180" w:left="980" w:right="94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before="0"/>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编制单位：荣信电力电子股份有限公司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80" w:left="980" w:right="980"/>
          <w:cols w:num="3" w:equalWidth="0">
            <w:col w:w="3215" w:space="862"/>
            <w:col w:w="1639" w:space="3203"/>
            <w:col w:w="103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1,127,029,625.49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537,614,403.66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151,296,587.35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172,035,954.12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1,586,304,815.86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1,077,966,375.09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174,140,052.84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56,597,044.83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77,001,033.88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45,297,533.34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672,236,513.39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547,360,768.22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14,301,230.00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19,494,099.80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55,040,936.72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86,613,919.03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3,859,590,795.53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2,542,980,098.09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129,546,868.35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162,278,386.65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605,838,443.35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692,565,106.76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4,240,299.52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22,801,892.98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195,834,795.40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53,645,685.39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2,540,692.50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2,470,041,051.95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3,993,764.63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427,127.57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276,953.12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33,979,371.48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29,136,960.87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3,480,488,650.12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972,698,750.40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7,340,079,445.65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3,515,678,848.49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477,300,000.00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214,565,098.50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252,732,902.23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163,817,791.24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614,795,803.51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341,295,971.13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208,913,922.67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158,972,805.15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42,694,272.22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3,992,456.82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31,059,846.69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5,172,080.41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34,501,118.75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37,476,121.77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37,424,167.19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15,261,864.70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1,799,422,033.26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940,554,189.72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62,495,634.34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49,940,961.00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21,942,818.41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684,438,452.75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749,940,961.00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2,483,860,486.01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1,690,495,150.72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861,595,025.00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2,952,399,916.08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398,229,798.12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23,324,688.13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132,983,485.33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132,983,485.33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852,036,322.56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753,477,118.61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4,822,339,437.10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1,788,690,402.06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33,879,522.54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36,493,295.71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4,856,218,959.64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1,825,183,697.77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7,340,079,445.65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3,515,678,848.49</w:t>
            </w:r>
          </w:p>
        </w:tc>
      </w:tr>
    </w:tbl>
    <w:p>
      <w:pPr>
        <w:spacing w:line="240" w:lineRule="auto" w:before="3"/>
        <w:rPr>
          <w:rFonts w:ascii="Times New Roman" w:hAnsi="Times New Roman" w:cs="Times New Roman" w:eastAsia="Times New Roman" w:hint="default"/>
          <w:sz w:val="23"/>
          <w:szCs w:val="23"/>
        </w:rPr>
      </w:pPr>
    </w:p>
    <w:p>
      <w:pPr>
        <w:tabs>
          <w:tab w:pos="3509" w:val="left" w:leader="none"/>
          <w:tab w:pos="7739" w:val="left" w:leader="none"/>
        </w:tabs>
        <w:spacing w:before="44"/>
        <w:ind w:left="0" w:right="248" w:firstLine="0"/>
        <w:jc w:val="right"/>
        <w:rPr>
          <w:rFonts w:ascii="宋体" w:hAnsi="宋体" w:cs="宋体" w:eastAsia="宋体" w:hint="default"/>
          <w:sz w:val="18"/>
          <w:szCs w:val="18"/>
        </w:rPr>
      </w:pPr>
      <w:r>
        <w:rPr>
          <w:rFonts w:ascii="宋体" w:hAnsi="宋体" w:cs="宋体" w:eastAsia="宋体" w:hint="default"/>
          <w:sz w:val="18"/>
          <w:szCs w:val="18"/>
        </w:rPr>
        <w:t>法定代表人：左强</w:t>
        <w:tab/>
        <w:t>主管会计工作负责人：戴东</w:t>
        <w:tab/>
        <w:t>会计机构负责人：计英</w:t>
      </w:r>
    </w:p>
    <w:p>
      <w:pPr>
        <w:spacing w:line="240" w:lineRule="auto" w:before="11"/>
        <w:rPr>
          <w:rFonts w:ascii="宋体" w:hAnsi="宋体" w:cs="宋体" w:eastAsia="宋体" w:hint="default"/>
          <w:sz w:val="26"/>
          <w:szCs w:val="26"/>
        </w:rPr>
      </w:pPr>
    </w:p>
    <w:p>
      <w:pPr>
        <w:pStyle w:val="Heading3"/>
        <w:spacing w:line="240" w:lineRule="auto" w:before="0"/>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769,967,322.00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472,938,317.29</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141,066,640.46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149,284,254.12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1,199,793,615.39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988,885,964.88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87,660,007.84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112,904,069.54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42,022,662.69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28,232,586.77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488,156,250.69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389,289,919.38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14,301,230.00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19,494,099.80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43,049,832.21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70,164,017.23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2,788,257,561.28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2,231,193,229.01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3,316,877,960.42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399,054,303.08</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548,029,373.52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657,337,039.80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2,095,659.69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16,022,058.85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31,012,853.84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31,578,946.65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27,339,712.75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27,339,712.75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3,963,395,560.22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1,139,332,061.13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6,751,653,121.50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3,370,525,290.14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170,000,000.00</w:t>
            </w:r>
          </w:p>
        </w:tc>
      </w:tr>
      <w:tr>
        <w:trPr>
          <w:trHeight w:val="714"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232,367,735.73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159,677,713.84</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419,062,252.85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217,057,444.01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131,581,596.88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143,053,352.39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1,409,503.67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1,359,904.62</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751,068.01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1,139,646.50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34,437,455.19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37,476,121.77</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2,691,131.36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2,852,091.10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划分为持有待售的负债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1,316,800,743.69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732,616,274.23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600,000,000.00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46,623,721.36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49,940,961.00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646,623,721.36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749,940,961.00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1,963,424,465.05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1,482,557,235.23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861,595,025.00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504,000,000.00</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0"/>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2,953,874,047.53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396,469,078.29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23,040,000.00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132,983,485.33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132,983,485.33</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816,736,098.59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854,515,491.29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4,788,228,656.45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1,887,968,054.91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6,751,653,121.50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3,370,525,290.14</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080"/>
        <w:gridCol w:w="3210"/>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1,804,461,597.37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927,799,821.68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1,804,461,597.37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927,799,821.68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1,766,137,471.11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1,237,342,292.70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1,133,027,268.82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564,912,029.53</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177.841202pt;margin-top:521.280029pt;width:193.1pt;height:19.650pt;mso-position-horizontal-relative:page;mso-position-vertical-relative:page;z-index:-1027432"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r>
        <w:rPr/>
        <w:pict>
          <v:group style="position:absolute;margin-left:210.960007pt;margin-top:400.679993pt;width:160pt;height:19.650pt;mso-position-horizontal-relative:page;mso-position-vertical-relative:page;z-index:-1027408" coordorigin="4219,8014" coordsize="3200,393">
            <v:group style="position:absolute;left:7396;top:8014;width:23;height:393" coordorigin="7396,8014" coordsize="23,393">
              <v:shape style="position:absolute;left:7396;top:8014;width:23;height:393" coordorigin="7396,8014" coordsize="23,393" path="m7396,8406l7418,8406,7418,8014,7396,8014,7396,8406xe" filled="true" fillcolor="#ffffff" stroked="false">
                <v:path arrowok="t"/>
                <v:fill type="solid"/>
              </v:shape>
            </v:group>
            <v:group style="position:absolute;left:4219;top:8014;width:23;height:393" coordorigin="4219,8014" coordsize="23,393">
              <v:shape style="position:absolute;left:4219;top:8014;width:23;height:393" coordorigin="4219,8014" coordsize="23,393" path="m4219,8406l4242,8406,4242,8014,4219,8014,4219,8406xe" filled="true" fillcolor="#ffffff" stroked="false">
                <v:path arrowok="t"/>
                <v:fill type="solid"/>
              </v:shape>
            </v:group>
            <v:group style="position:absolute;left:4242;top:8014;width:3154;height:393" coordorigin="4242,8014" coordsize="3154,393">
              <v:shape style="position:absolute;left:4242;top:8014;width:3154;height:393" coordorigin="4242,8014" coordsize="3154,393" path="m4242,8406l7396,8406,7396,8014,4242,8014,4242,8406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3211"/>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11,175,012.95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8,895,986.62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228,241,610.38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258,226,095.88</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277,850,129.24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319,020,091.29</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55,160,327.11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62,035,278.82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60,683,122.61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24,252,810.56</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-35,519,578.50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-6,280,854.53</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-43,413,649.38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-4,894,020.22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2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38"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2,804,547.76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-315,823,325.55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147,257,408.88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60,415,313.80</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54,880,545.12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788,442.65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30,166,846.03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11,065,305.12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14,384,941.79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7,492,255.87</w:t>
            </w:r>
          </w:p>
        </w:tc>
      </w:tr>
      <w:tr>
        <w:trPr>
          <w:trHeight w:val="402" w:hRule="exact"/>
        </w:trPr>
        <w:tc>
          <w:tcPr>
            <w:tcW w:w="3080"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3211" w:type="dxa"/>
            <w:tcBorders>
              <w:top w:val="single" w:sz="4" w:space="0" w:color="000000"/>
              <w:left w:val="single" w:sz="9" w:space="0" w:color="FFFFFF"/>
              <w:bottom w:val="single" w:sz="4" w:space="0" w:color="000000"/>
              <w:right w:val="single" w:sz="13" w:space="0" w:color="FFFFFF"/>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2"/>
                <w:sz w:val="18"/>
              </w:rPr>
              <w:t>119,895,110.61</w:t>
            </w:r>
          </w:p>
        </w:tc>
        <w:tc>
          <w:tcPr>
            <w:tcW w:w="3277"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-266,473,316.87</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13,492,577.80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6,388,287.15</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106,402,532.81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-272,861,604.02</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98,559,203.95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-257,683,938.81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7,843,328.86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-15,177,665.21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23,324,688.13</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5"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23,324,688.13</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1" w:firstLine="342"/>
              <w:jc w:val="left"/>
              <w:rPr>
                <w:rFonts w:ascii="宋体" w:hAnsi="宋体" w:cs="宋体" w:eastAsia="宋体" w:hint="default"/>
                <w:sz w:val="18"/>
                <w:szCs w:val="18"/>
              </w:rPr>
            </w:pPr>
            <w:r>
              <w:rPr>
                <w:rFonts w:ascii="宋体" w:hAnsi="宋体" w:cs="宋体" w:eastAsia="宋体" w:hint="default"/>
                <w:spacing w:val="-2"/>
                <w:sz w:val="18"/>
                <w:szCs w:val="18"/>
              </w:rPr>
              <w:t>（一）以后不能重分类进损益的其</w:t>
            </w:r>
            <w:r>
              <w:rPr>
                <w:rFonts w:ascii="宋体" w:hAnsi="宋体" w:cs="宋体" w:eastAsia="宋体" w:hint="default"/>
                <w:sz w:val="18"/>
                <w:szCs w:val="18"/>
              </w:rPr>
              <w:t> 他综合收益</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 负债或净资产的变动</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right="3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权益法下在被投资单位不</w:t>
            </w:r>
          </w:p>
        </w:tc>
        <w:tc>
          <w:tcPr>
            <w:tcW w:w="3211"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080"/>
        <w:gridCol w:w="3210"/>
        <w:gridCol w:w="3277"/>
      </w:tblGrid>
      <w:tr>
        <w:trPr>
          <w:trHeight w:val="67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2" w:right="167"/>
              <w:jc w:val="left"/>
              <w:rPr>
                <w:rFonts w:ascii="宋体" w:hAnsi="宋体" w:cs="宋体" w:eastAsia="宋体" w:hint="default"/>
                <w:sz w:val="18"/>
                <w:szCs w:val="18"/>
              </w:rPr>
            </w:pPr>
            <w:r>
              <w:rPr>
                <w:rFonts w:ascii="宋体" w:hAnsi="宋体" w:cs="宋体" w:eastAsia="宋体" w:hint="default"/>
                <w:sz w:val="18"/>
                <w:szCs w:val="18"/>
              </w:rPr>
              <w:t>能重分类进损益的其他综合收益中享 有的份额</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3" w:firstLine="342"/>
              <w:jc w:val="left"/>
              <w:rPr>
                <w:rFonts w:ascii="宋体" w:hAnsi="宋体" w:cs="宋体" w:eastAsia="宋体" w:hint="default"/>
                <w:sz w:val="18"/>
                <w:szCs w:val="18"/>
              </w:rPr>
            </w:pPr>
            <w:r>
              <w:rPr>
                <w:rFonts w:ascii="宋体" w:hAnsi="宋体" w:cs="宋体" w:eastAsia="宋体" w:hint="default"/>
                <w:spacing w:val="-2"/>
                <w:sz w:val="18"/>
                <w:szCs w:val="18"/>
              </w:rPr>
              <w:t>（二）以后将重分类进损益的其他</w:t>
            </w:r>
            <w:r>
              <w:rPr>
                <w:rFonts w:ascii="宋体" w:hAnsi="宋体" w:cs="宋体" w:eastAsia="宋体" w:hint="default"/>
                <w:sz w:val="18"/>
                <w:szCs w:val="18"/>
              </w:rPr>
              <w:t> 综合收益</w:t>
            </w:r>
          </w:p>
        </w:tc>
        <w:tc>
          <w:tcPr>
            <w:tcW w:w="32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23,324,688.13</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 后将重分类进损益的其他综合收益中 享有的份额</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 值变动损益</w:t>
            </w:r>
          </w:p>
        </w:tc>
        <w:tc>
          <w:tcPr>
            <w:tcW w:w="32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23,040,000.00</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31"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 可供出售金融资产损益</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11"/>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284,688.13</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210"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7"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10"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129,727,220.94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-272,861,604.02</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7"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21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121,883,892.08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-257,683,938.81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67"/>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7,843,328.86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-15,177,665.21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-0.51</w:t>
            </w: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-0.51</w:t>
            </w:r>
          </w:p>
        </w:tc>
      </w:tr>
    </w:tbl>
    <w:p>
      <w:pPr>
        <w:spacing w:line="240" w:lineRule="auto" w:before="3"/>
        <w:rPr>
          <w:rFonts w:ascii="Times New Roman" w:hAnsi="Times New Roman" w:cs="Times New Roman" w:eastAsia="Times New Roman" w:hint="default"/>
          <w:sz w:val="23"/>
          <w:szCs w:val="23"/>
        </w:rPr>
      </w:pPr>
    </w:p>
    <w:p>
      <w:pPr>
        <w:tabs>
          <w:tab w:pos="3509" w:val="left" w:leader="none"/>
          <w:tab w:pos="7739" w:val="left" w:leader="none"/>
        </w:tabs>
        <w:spacing w:before="44"/>
        <w:ind w:left="0" w:right="248" w:firstLine="0"/>
        <w:jc w:val="right"/>
        <w:rPr>
          <w:rFonts w:ascii="宋体" w:hAnsi="宋体" w:cs="宋体" w:eastAsia="宋体" w:hint="default"/>
          <w:sz w:val="18"/>
          <w:szCs w:val="18"/>
        </w:rPr>
      </w:pPr>
      <w:r>
        <w:rPr>
          <w:rFonts w:ascii="宋体" w:hAnsi="宋体" w:cs="宋体" w:eastAsia="宋体" w:hint="default"/>
          <w:sz w:val="18"/>
          <w:szCs w:val="18"/>
        </w:rPr>
        <w:t>法定代表人：左强</w:t>
        <w:tab/>
        <w:t>主管会计工作负责人：戴东</w:t>
        <w:tab/>
        <w:t>会计机构负责人：计英</w:t>
      </w:r>
    </w:p>
    <w:p>
      <w:pPr>
        <w:spacing w:line="240" w:lineRule="auto" w:before="10"/>
        <w:rPr>
          <w:rFonts w:ascii="宋体" w:hAnsi="宋体" w:cs="宋体" w:eastAsia="宋体" w:hint="default"/>
          <w:sz w:val="26"/>
          <w:szCs w:val="26"/>
        </w:rPr>
      </w:pPr>
    </w:p>
    <w:p>
      <w:pPr>
        <w:pStyle w:val="Heading3"/>
        <w:spacing w:line="240" w:lineRule="auto" w:before="0"/>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1"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1,209,093,712.74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774,188,496.16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844,022,162.99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519,391,037.59</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6,580,077.80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5,744,451.55</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119,670,025.66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219,373,657.41</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177,335,172.53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206,136,153.16</w:t>
            </w: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54,388,778.29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57,732,593.68</w:t>
            </w:r>
          </w:p>
        </w:tc>
      </w:tr>
      <w:tr>
        <w:trPr>
          <w:trHeight w:val="403"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83,279,220.33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19,371,344.92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-68,665,397.36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-13,991,761.14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-45,378,997.16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-4,894,020.22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-144,847,122.22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-267,552,503.29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126,735,719.04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50,473,234.76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其中：非流动资产处置利得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54,499,347.99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4,740.97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19,649,989.52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4,347,599.31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13,182,249.60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1,765,268.45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-37,761,392.70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-221,426,867.84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3,642,064.30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-37,779,392.70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-225,068,932.14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23,040,000.00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（一）以后不能重分类进损益的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净负债或净资产的变动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 不能重分类进损益的其他综合收益中 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（二）以后将重分类进损益的其 他综合收益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23,040,000.00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2" w:firstLine="90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 以后将重分类进损益的其他综合收益 中享有的份额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23,040,000.00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-14,739,392.70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-225,068,932.14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8"/>
        <w:gridCol w:w="3300"/>
        <w:gridCol w:w="3300"/>
      </w:tblGrid>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53"/>
              <w:jc w:val="righ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1,835,602,659.25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1,313,050,390.75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60,547,848.59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36,931,936.36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30,854,157.51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21,686,615.19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1,927,004,665.35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1,371,668,942.30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1,221,657,615.35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727,794,325.50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151,518,938.06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121,149,251.27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104,678,196.80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94,895,251.48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400,163,756.33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540,312,621.35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1,878,018,506.54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1,484,151,449.60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48,986,158.81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-112,482,507.30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138,485,430.94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2,452,636.51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4,140,563.17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136,141,677.63</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290,567,671.74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2,452,636.51</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34,460,998.75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13,844,755.83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32,869,258.12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541,807,003.64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11,577,904.12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99,094,489.39</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620,715,164.63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112,939,245.22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-330,147,492.89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-110,486,608.71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698,499,994.24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960,000.00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510,300,000.00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323,565,098.50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32,996,790.20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1,208,799,994.24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357,521,888.70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247,565,098.50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284,030,000.00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53,533,905.48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68,353,448.53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1"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733,016.61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31,282,750.70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301,099,003.98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383,666,199.23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907,700,990.26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-26,144,310.53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-691,657.57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-1,121,333.06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625,847,998.61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-250,234,759.60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389,805,146.41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640,039,906.01</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1,015,653,145.02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389,805,146.41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1,143,470,517.04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1,254,562,210.65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45,106,478.88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41,335,254.12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30,191,334.69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20,508,772.67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1,218,768,330.61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1,316,406,237.44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807,363,632.89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1,020,289,325.13</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48,404,164.03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52,715,920.93</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54,624,567.25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64,011,466.46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273,793,569.75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308,297,167.82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1,184,185,933.92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1,445,313,880.34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34,582,396.69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-128,907,642.90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136,588,528.71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171,283.38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7,204,064.26</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97,180,302.18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244,412,895.15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201,283.38</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4,321,199.37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5,475,549.42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801,386,117.12</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right="53"/>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6"/>
        <w:gridCol w:w="3301"/>
        <w:gridCol w:w="3300"/>
      </w:tblGrid>
      <w:tr>
        <w:trPr>
          <w:trHeight w:val="36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85,595,756.00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805,707,316.49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91,071,305.42</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-561,294,421.34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-90,870,022.04</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698,499,994.24</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394,500,000.00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270,000,000.00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30,040,540.20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1,092,999,994.24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300,040,540.20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50,744,323.58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60,119,126.15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31,282,750.70</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220,744,323.58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291,401,876.85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872,255,670.66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8,638,663.35</w:t>
            </w:r>
          </w:p>
        </w:tc>
      </w:tr>
      <w:tr>
        <w:trPr>
          <w:trHeight w:val="714"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-2,048,147.47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-1,121,333.06</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343,495,498.54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-212,260,334.65</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344,042,551.82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556,302,886.47</w:t>
            </w:r>
          </w:p>
        </w:tc>
      </w:tr>
      <w:tr>
        <w:trPr>
          <w:trHeight w:val="402"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687,538,050.36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344,042,551.82</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6809"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316" w:lineRule="auto"/>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5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7"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3D3D3"/>
          </w:tcPr>
          <w:p>
            <w:pPr/>
          </w:p>
        </w:tc>
        <w:tc>
          <w:tcPr>
            <w:tcW w:w="563"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4" w:type="dxa"/>
            <w:vMerge/>
            <w:tcBorders>
              <w:left w:val="single" w:sz="4" w:space="0" w:color="000000"/>
              <w:bottom w:val="single" w:sz="4" w:space="0" w:color="000000"/>
              <w:right w:val="single" w:sz="4" w:space="0" w:color="000000"/>
            </w:tcBorders>
            <w:shd w:val="clear" w:color="auto" w:fill="D3D3D3"/>
          </w:tcPr>
          <w:p>
            <w:pPr/>
          </w:p>
        </w:tc>
        <w:tc>
          <w:tcPr>
            <w:tcW w:w="666"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504,00</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398,229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,798.12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132,983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,485.33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753,477</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,118.61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36,493,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295.71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1,825,1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83,697.</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77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504,00</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398,229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,798.12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132,983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,485.33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753,477</w:t>
            </w:r>
          </w:p>
          <w:p>
            <w:pPr>
              <w:pStyle w:val="TableParagraph"/>
              <w:spacing w:line="240" w:lineRule="auto" w:before="105"/>
              <w:ind w:left="98" w:right="0"/>
              <w:jc w:val="left"/>
              <w:rPr>
                <w:rFonts w:ascii="Times New Roman" w:hAnsi="Times New Roman" w:cs="Times New Roman" w:eastAsia="Times New Roman" w:hint="default"/>
                <w:sz w:val="18"/>
                <w:szCs w:val="18"/>
              </w:rPr>
            </w:pPr>
            <w:r>
              <w:rPr>
                <w:rFonts w:ascii="Times New Roman"/>
                <w:sz w:val="18"/>
              </w:rPr>
              <w:t>,118.61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36,493,</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295.71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1,825,1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83,697.</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77</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0"/>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357,59</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5,025.</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2,554,1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pacing w:val="-2"/>
                <w:sz w:val="18"/>
              </w:rPr>
              <w:t>70,117.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23,324,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688.13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98,559,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203.95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-2,613,7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73.17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3,031,0</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35,261.</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87</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23,324,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688.13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98,559,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203.95</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7,843,3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28.86</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129,727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,220.94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357,59</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5,025.</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2,554,1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pacing w:val="-2"/>
                <w:sz w:val="18"/>
              </w:rPr>
              <w:t>70,117.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-10,457,</w:t>
            </w:r>
          </w:p>
          <w:p>
            <w:pPr>
              <w:pStyle w:val="TableParagraph"/>
              <w:spacing w:line="240" w:lineRule="auto" w:before="105"/>
              <w:ind w:left="114" w:right="0"/>
              <w:jc w:val="center"/>
              <w:rPr>
                <w:rFonts w:ascii="Times New Roman" w:hAnsi="Times New Roman" w:cs="Times New Roman" w:eastAsia="Times New Roman" w:hint="default"/>
                <w:sz w:val="18"/>
                <w:szCs w:val="18"/>
              </w:rPr>
            </w:pPr>
            <w:r>
              <w:rPr>
                <w:rFonts w:ascii="Times New Roman"/>
                <w:sz w:val="18"/>
              </w:rPr>
              <w:t>102.03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2,901,3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08,040.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93</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357,59</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5,025.</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2,557,4</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04,969.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2,914,9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99,994.</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24</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-3,234,8</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51.28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-10,457,</w:t>
            </w:r>
          </w:p>
          <w:p>
            <w:pPr>
              <w:pStyle w:val="TableParagraph"/>
              <w:spacing w:line="240" w:lineRule="auto" w:before="105"/>
              <w:ind w:left="114" w:right="0"/>
              <w:jc w:val="center"/>
              <w:rPr>
                <w:rFonts w:ascii="Times New Roman" w:hAnsi="Times New Roman" w:cs="Times New Roman" w:eastAsia="Times New Roman" w:hint="default"/>
                <w:sz w:val="18"/>
                <w:szCs w:val="18"/>
              </w:rPr>
            </w:pPr>
            <w:r>
              <w:rPr>
                <w:rFonts w:ascii="Times New Roman"/>
                <w:sz w:val="18"/>
              </w:rPr>
              <w:t>102.03</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-13,691,</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953.31</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36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861,59</w:t>
            </w:r>
          </w:p>
          <w:p>
            <w:pPr>
              <w:pStyle w:val="TableParagraph"/>
              <w:spacing w:line="240" w:lineRule="auto" w:before="104"/>
              <w:ind w:left="80" w:right="0"/>
              <w:jc w:val="left"/>
              <w:rPr>
                <w:rFonts w:ascii="Times New Roman" w:hAnsi="Times New Roman" w:cs="Times New Roman" w:eastAsia="Times New Roman" w:hint="default"/>
                <w:sz w:val="18"/>
                <w:szCs w:val="18"/>
              </w:rPr>
            </w:pPr>
            <w:r>
              <w:rPr>
                <w:rFonts w:ascii="Times New Roman"/>
                <w:sz w:val="18"/>
              </w:rPr>
              <w:t>5,025.</w:t>
            </w:r>
          </w:p>
          <w:p>
            <w:pPr>
              <w:pStyle w:val="TableParagraph"/>
              <w:spacing w:line="240" w:lineRule="auto" w:before="106"/>
              <w:ind w:left="350"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2,952,3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99,916.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23,324,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688.13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132,983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,485.33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852,036</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,322.56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33,879,</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522.54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4,856,2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18,959.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131"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319" w:lineRule="auto"/>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3D3D3"/>
          </w:tcPr>
          <w:p>
            <w:pPr/>
          </w:p>
        </w:tc>
        <w:tc>
          <w:tcPr>
            <w:tcW w:w="5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3D3D3"/>
          </w:tcPr>
          <w:p>
            <w:pPr/>
          </w:p>
        </w:tc>
        <w:tc>
          <w:tcPr>
            <w:tcW w:w="659" w:type="dxa"/>
            <w:vMerge/>
            <w:tcBorders>
              <w:left w:val="single" w:sz="4" w:space="0" w:color="000000"/>
              <w:right w:val="single" w:sz="4" w:space="0" w:color="000000"/>
            </w:tcBorders>
            <w:shd w:val="clear" w:color="auto" w:fill="D3D3D3"/>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65" w:type="dxa"/>
            <w:vMerge/>
            <w:tcBorders>
              <w:left w:val="single" w:sz="4" w:space="0" w:color="000000"/>
              <w:bottom w:val="single" w:sz="4" w:space="0" w:color="000000"/>
              <w:right w:val="single" w:sz="4" w:space="0" w:color="000000"/>
            </w:tcBorders>
            <w:shd w:val="clear" w:color="auto" w:fill="D3D3D3"/>
          </w:tcPr>
          <w:p>
            <w:pPr/>
          </w:p>
        </w:tc>
        <w:tc>
          <w:tcPr>
            <w:tcW w:w="678" w:type="dxa"/>
            <w:vMerge/>
            <w:tcBorders>
              <w:left w:val="single" w:sz="4" w:space="0" w:color="000000"/>
              <w:bottom w:val="single" w:sz="4" w:space="0" w:color="000000"/>
              <w:right w:val="single" w:sz="4" w:space="0" w:color="000000"/>
            </w:tcBorders>
            <w:shd w:val="clear" w:color="auto" w:fill="D3D3D3"/>
          </w:tcPr>
          <w:p>
            <w:pPr/>
          </w:p>
        </w:tc>
        <w:tc>
          <w:tcPr>
            <w:tcW w:w="652" w:type="dxa"/>
            <w:vMerge/>
            <w:tcBorders>
              <w:left w:val="single" w:sz="4" w:space="0" w:color="000000"/>
              <w:bottom w:val="single" w:sz="4" w:space="0" w:color="000000"/>
              <w:right w:val="single" w:sz="4" w:space="0" w:color="000000"/>
            </w:tcBorders>
            <w:shd w:val="clear" w:color="auto" w:fill="D3D3D3"/>
          </w:tcPr>
          <w:p>
            <w:pPr/>
          </w:p>
        </w:tc>
        <w:tc>
          <w:tcPr>
            <w:tcW w:w="659"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504,00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398,386</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,082.32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132,983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,485.33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41,057.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50,451,</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822.20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62,447.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26</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504,00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398,386</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,082.32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132,983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,485.33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1,021,2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41,057.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50,451,</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822.20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2,107,0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62,447.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26</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2"/>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8" w:right="0"/>
              <w:jc w:val="left"/>
              <w:rPr>
                <w:rFonts w:ascii="Times New Roman" w:hAnsi="Times New Roman" w:cs="Times New Roman" w:eastAsia="Times New Roman" w:hint="default"/>
                <w:sz w:val="18"/>
                <w:szCs w:val="18"/>
              </w:rPr>
            </w:pPr>
            <w:r>
              <w:rPr>
                <w:rFonts w:ascii="Times New Roman"/>
                <w:sz w:val="18"/>
              </w:rPr>
              <w:t>-156,28</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4.20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-267,76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3,938.8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-13,958</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,526.49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8,749.4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3,938.8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-15,177</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,665.21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-272,86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1,604.0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 w:right="0"/>
              <w:jc w:val="left"/>
              <w:rPr>
                <w:rFonts w:ascii="Times New Roman" w:hAnsi="Times New Roman" w:cs="Times New Roman" w:eastAsia="Times New Roman" w:hint="default"/>
                <w:sz w:val="18"/>
                <w:szCs w:val="18"/>
              </w:rPr>
            </w:pPr>
            <w:r>
              <w:rPr>
                <w:rFonts w:ascii="Times New Roman"/>
                <w:sz w:val="18"/>
              </w:rPr>
              <w:t>-156,28</w:t>
            </w:r>
          </w:p>
          <w:p>
            <w:pPr>
              <w:pStyle w:val="TableParagraph"/>
              <w:spacing w:line="240" w:lineRule="auto" w:before="106"/>
              <w:ind w:left="318" w:right="0"/>
              <w:jc w:val="left"/>
              <w:rPr>
                <w:rFonts w:ascii="Times New Roman" w:hAnsi="Times New Roman" w:cs="Times New Roman" w:eastAsia="Times New Roman" w:hint="default"/>
                <w:sz w:val="18"/>
                <w:szCs w:val="18"/>
              </w:rPr>
            </w:pPr>
            <w:r>
              <w:rPr>
                <w:rFonts w:ascii="Times New Roman"/>
                <w:sz w:val="18"/>
              </w:rPr>
              <w:t>4.20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3,156,2</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84.20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3,000,0</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9" w:right="0"/>
              <w:jc w:val="left"/>
              <w:rPr>
                <w:rFonts w:ascii="Times New Roman" w:hAnsi="Times New Roman" w:cs="Times New Roman" w:eastAsia="Times New Roman" w:hint="default"/>
                <w:sz w:val="18"/>
                <w:szCs w:val="18"/>
              </w:rPr>
            </w:pPr>
            <w:r>
              <w:rPr>
                <w:rFonts w:ascii="Times New Roman"/>
                <w:sz w:val="18"/>
              </w:rPr>
              <w:t>3,000,0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85" w:right="0"/>
              <w:jc w:val="left"/>
              <w:rPr>
                <w:rFonts w:ascii="Times New Roman" w:hAnsi="Times New Roman" w:cs="Times New Roman" w:eastAsia="Times New Roman" w:hint="default"/>
                <w:sz w:val="18"/>
                <w:szCs w:val="18"/>
              </w:rPr>
            </w:pPr>
            <w:r>
              <w:rPr>
                <w:rFonts w:ascii="Times New Roman"/>
                <w:sz w:val="18"/>
              </w:rPr>
              <w:t>3,000,0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14" w:right="0"/>
              <w:jc w:val="left"/>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0"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 w:right="0"/>
              <w:jc w:val="left"/>
              <w:rPr>
                <w:rFonts w:ascii="Times New Roman" w:hAnsi="Times New Roman" w:cs="Times New Roman" w:eastAsia="Times New Roman" w:hint="default"/>
                <w:sz w:val="18"/>
                <w:szCs w:val="18"/>
              </w:rPr>
            </w:pPr>
            <w:r>
              <w:rPr>
                <w:rFonts w:ascii="Times New Roman"/>
                <w:sz w:val="18"/>
              </w:rPr>
              <w:t>-156,28</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4.20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156,284</w:t>
            </w:r>
          </w:p>
          <w:p>
            <w:pPr>
              <w:pStyle w:val="TableParagraph"/>
              <w:spacing w:line="240" w:lineRule="auto" w:before="105"/>
              <w:ind w:left="394" w:right="0"/>
              <w:jc w:val="left"/>
              <w:rPr>
                <w:rFonts w:ascii="Times New Roman" w:hAnsi="Times New Roman" w:cs="Times New Roman" w:eastAsia="Times New Roman" w:hint="default"/>
                <w:sz w:val="18"/>
                <w:szCs w:val="18"/>
              </w:rPr>
            </w:pPr>
            <w:r>
              <w:rPr>
                <w:rFonts w:ascii="Times New Roman"/>
                <w:sz w:val="18"/>
              </w:rPr>
              <w:t>.20</w:t>
            </w: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-10,079,</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999.99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-733,01</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6.61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-10,813,</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016.60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-10,079,</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999.99</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-733,01</w:t>
            </w:r>
          </w:p>
          <w:p>
            <w:pPr>
              <w:pStyle w:val="TableParagraph"/>
              <w:spacing w:line="240" w:lineRule="auto" w:before="105"/>
              <w:ind w:left="304" w:right="0"/>
              <w:jc w:val="left"/>
              <w:rPr>
                <w:rFonts w:ascii="Times New Roman" w:hAnsi="Times New Roman" w:cs="Times New Roman" w:eastAsia="Times New Roman" w:hint="default"/>
                <w:sz w:val="18"/>
                <w:szCs w:val="18"/>
              </w:rPr>
            </w:pPr>
            <w:r>
              <w:rPr>
                <w:rFonts w:ascii="Times New Roman"/>
                <w:sz w:val="18"/>
              </w:rPr>
              <w:t>6.61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-10,813,</w:t>
            </w:r>
          </w:p>
          <w:p>
            <w:pPr>
              <w:pStyle w:val="TableParagraph"/>
              <w:spacing w:line="240" w:lineRule="auto" w:before="105"/>
              <w:ind w:left="108" w:right="0"/>
              <w:jc w:val="center"/>
              <w:rPr>
                <w:rFonts w:ascii="Times New Roman" w:hAnsi="Times New Roman" w:cs="Times New Roman" w:eastAsia="Times New Roman" w:hint="default"/>
                <w:sz w:val="18"/>
                <w:szCs w:val="18"/>
              </w:rPr>
            </w:pPr>
            <w:r>
              <w:rPr>
                <w:rFonts w:ascii="Times New Roman"/>
                <w:sz w:val="18"/>
              </w:rPr>
              <w:t>016.60</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9" w:right="0"/>
              <w:jc w:val="left"/>
              <w:rPr>
                <w:rFonts w:ascii="Times New Roman" w:hAnsi="Times New Roman" w:cs="Times New Roman" w:eastAsia="Times New Roman" w:hint="default"/>
                <w:sz w:val="18"/>
                <w:szCs w:val="18"/>
              </w:rPr>
            </w:pPr>
            <w:r>
              <w:rPr>
                <w:rFonts w:ascii="Times New Roman"/>
                <w:sz w:val="18"/>
              </w:rPr>
              <w:t>-1,204,</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128.87</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-1,204,1</w:t>
            </w:r>
          </w:p>
          <w:p>
            <w:pPr>
              <w:pStyle w:val="TableParagraph"/>
              <w:spacing w:line="240" w:lineRule="auto" w:before="105"/>
              <w:ind w:left="198" w:right="0"/>
              <w:jc w:val="center"/>
              <w:rPr>
                <w:rFonts w:ascii="Times New Roman" w:hAnsi="Times New Roman" w:cs="Times New Roman" w:eastAsia="Times New Roman" w:hint="default"/>
                <w:sz w:val="18"/>
                <w:szCs w:val="18"/>
              </w:rPr>
            </w:pPr>
            <w:r>
              <w:rPr>
                <w:rFonts w:ascii="Times New Roman"/>
                <w:sz w:val="18"/>
              </w:rPr>
              <w:t>28.87</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504,00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8" w:right="0"/>
              <w:jc w:val="left"/>
              <w:rPr>
                <w:rFonts w:ascii="Times New Roman" w:hAnsi="Times New Roman" w:cs="Times New Roman" w:eastAsia="Times New Roman" w:hint="default"/>
                <w:sz w:val="18"/>
                <w:szCs w:val="18"/>
              </w:rPr>
            </w:pPr>
            <w:r>
              <w:rPr>
                <w:rFonts w:ascii="Times New Roman"/>
                <w:sz w:val="18"/>
              </w:rPr>
              <w:t>398,229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,798.12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132,983</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,485.33</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753,477</w:t>
            </w:r>
          </w:p>
          <w:p>
            <w:pPr>
              <w:pStyle w:val="TableParagraph"/>
              <w:spacing w:line="240" w:lineRule="auto" w:before="105"/>
              <w:ind w:left="111" w:right="0"/>
              <w:jc w:val="left"/>
              <w:rPr>
                <w:rFonts w:ascii="Times New Roman" w:hAnsi="Times New Roman" w:cs="Times New Roman" w:eastAsia="Times New Roman" w:hint="default"/>
                <w:sz w:val="18"/>
                <w:szCs w:val="18"/>
              </w:rPr>
            </w:pPr>
            <w:r>
              <w:rPr>
                <w:rFonts w:ascii="Times New Roman"/>
                <w:sz w:val="18"/>
              </w:rPr>
              <w:t>,118.61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36,493,</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295.71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1,825,1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83,697.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77</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402" w:hRule="exact"/>
        </w:trPr>
        <w:tc>
          <w:tcPr>
            <w:tcW w:w="1441"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2" w:hRule="exact"/>
        </w:trPr>
        <w:tc>
          <w:tcPr>
            <w:tcW w:w="1441"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504,000,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396,469,0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78.29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132,983,4</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85.33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854,515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,491.29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1,887,968</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,054.91</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504,000,</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396,469,0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78.29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132,983,4</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85.33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854,515</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,491.29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1,887,968</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,054.91</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357,595,</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025.00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center"/>
              <w:rPr>
                <w:rFonts w:ascii="Times New Roman" w:hAnsi="Times New Roman" w:cs="Times New Roman" w:eastAsia="Times New Roman" w:hint="default"/>
                <w:sz w:val="18"/>
                <w:szCs w:val="18"/>
              </w:rPr>
            </w:pPr>
            <w:r>
              <w:rPr>
                <w:rFonts w:ascii="Times New Roman"/>
                <w:sz w:val="18"/>
              </w:rPr>
              <w:t>2,557,404</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,969.24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23,040,00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-37,779,</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392.70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2,900,260</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,601.54</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23,040,00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-37,779,</w:t>
            </w:r>
          </w:p>
          <w:p>
            <w:pPr>
              <w:pStyle w:val="TableParagraph"/>
              <w:spacing w:line="240" w:lineRule="auto" w:before="106"/>
              <w:ind w:left="127" w:right="0"/>
              <w:jc w:val="center"/>
              <w:rPr>
                <w:rFonts w:ascii="Times New Roman" w:hAnsi="Times New Roman" w:cs="Times New Roman" w:eastAsia="Times New Roman" w:hint="default"/>
                <w:sz w:val="18"/>
                <w:szCs w:val="18"/>
              </w:rPr>
            </w:pPr>
            <w:r>
              <w:rPr>
                <w:rFonts w:ascii="Times New Roman"/>
                <w:sz w:val="18"/>
              </w:rPr>
              <w:t>392.70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-14,739,3</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92.70</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357,595,</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025.00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2,557,404</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,969.24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2,914,999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,994.24</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357,595,</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025.00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2,557,404</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,969.24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2,914,999</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,994.24</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6"/>
          <w:pgSz w:w="11910" w:h="16840"/>
          <w:pgMar w:footer="982" w:header="747"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861,595,</w:t>
            </w:r>
          </w:p>
          <w:p>
            <w:pPr>
              <w:pStyle w:val="TableParagraph"/>
              <w:spacing w:line="240" w:lineRule="auto" w:before="106"/>
              <w:ind w:left="140" w:right="0"/>
              <w:jc w:val="center"/>
              <w:rPr>
                <w:rFonts w:ascii="Times New Roman" w:hAnsi="Times New Roman" w:cs="Times New Roman" w:eastAsia="Times New Roman" w:hint="default"/>
                <w:sz w:val="18"/>
                <w:szCs w:val="18"/>
              </w:rPr>
            </w:pPr>
            <w:r>
              <w:rPr>
                <w:rFonts w:ascii="Times New Roman"/>
                <w:sz w:val="18"/>
              </w:rPr>
              <w:t>025.00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2,953,874</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,047.53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23,040,00</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132,983,4</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85.33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816,736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,098.59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4,788,228</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,656.45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402" w:hRule="exact"/>
        </w:trPr>
        <w:tc>
          <w:tcPr>
            <w:tcW w:w="144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0"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41"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6"/>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441"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6" w:type="dxa"/>
            <w:vMerge/>
            <w:tcBorders>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504,000,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396,469,0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78.29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132,983,4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85.33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1,089,6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64,423.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2,123,116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,987.04</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504,000,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396,469,0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78.29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132,983,4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85.33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1,089,6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64,423.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2,123,116</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,987.04</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2"/>
              <w:ind w:left="22"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sz w:val="18"/>
                <w:szCs w:val="18"/>
              </w:rPr>
              <w:t> </w:t>
            </w:r>
            <w:r>
              <w:rPr>
                <w:rFonts w:ascii="宋体" w:hAnsi="宋体" w:cs="宋体" w:eastAsia="宋体" w:hint="default"/>
                <w:sz w:val="18"/>
                <w:szCs w:val="18"/>
              </w:rPr>
              <w:t>号填列）</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-235,14</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8,932.1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-235,148,</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932.13</w:t>
            </w:r>
          </w:p>
        </w:tc>
      </w:tr>
      <w:tr>
        <w:trPr>
          <w:trHeight w:val="1026"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-225,06</w:t>
            </w:r>
          </w:p>
          <w:p>
            <w:pPr>
              <w:pStyle w:val="TableParagraph"/>
              <w:spacing w:line="240" w:lineRule="auto" w:before="104"/>
              <w:ind w:right="19"/>
              <w:jc w:val="right"/>
              <w:rPr>
                <w:rFonts w:ascii="Times New Roman" w:hAnsi="Times New Roman" w:cs="Times New Roman" w:eastAsia="Times New Roman" w:hint="default"/>
                <w:sz w:val="18"/>
                <w:szCs w:val="18"/>
              </w:rPr>
            </w:pPr>
            <w:r>
              <w:rPr>
                <w:rFonts w:ascii="Times New Roman"/>
                <w:sz w:val="18"/>
              </w:rPr>
              <w:t>8,932.1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 w:right="0"/>
              <w:jc w:val="center"/>
              <w:rPr>
                <w:rFonts w:ascii="Times New Roman" w:hAnsi="Times New Roman" w:cs="Times New Roman" w:eastAsia="Times New Roman" w:hint="default"/>
                <w:sz w:val="18"/>
                <w:szCs w:val="18"/>
              </w:rPr>
            </w:pPr>
            <w:r>
              <w:rPr>
                <w:rFonts w:ascii="Times New Roman"/>
                <w:sz w:val="18"/>
              </w:rPr>
              <w:t>-225,068,</w:t>
            </w:r>
          </w:p>
          <w:p>
            <w:pPr>
              <w:pStyle w:val="TableParagraph"/>
              <w:spacing w:line="240" w:lineRule="auto" w:before="105"/>
              <w:ind w:left="230" w:right="0"/>
              <w:jc w:val="center"/>
              <w:rPr>
                <w:rFonts w:ascii="Times New Roman" w:hAnsi="Times New Roman" w:cs="Times New Roman" w:eastAsia="Times New Roman" w:hint="default"/>
                <w:sz w:val="18"/>
                <w:szCs w:val="18"/>
              </w:rPr>
            </w:pPr>
            <w:r>
              <w:rPr>
                <w:rFonts w:ascii="Times New Roman"/>
                <w:sz w:val="18"/>
              </w:rPr>
              <w:t>932.14</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7"/>
          <w:pgSz w:w="11910" w:h="16840"/>
          <w:pgMar w:footer="982" w:header="747" w:top="1060" w:bottom="1180" w:left="980" w:right="980"/>
          <w:pgNumType w:start="10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1"/>
        <w:gridCol w:w="691"/>
        <w:gridCol w:w="665"/>
        <w:gridCol w:w="665"/>
        <w:gridCol w:w="665"/>
        <w:gridCol w:w="797"/>
        <w:gridCol w:w="798"/>
        <w:gridCol w:w="798"/>
        <w:gridCol w:w="798"/>
        <w:gridCol w:w="797"/>
        <w:gridCol w:w="676"/>
        <w:gridCol w:w="781"/>
      </w:tblGrid>
      <w:tr>
        <w:trPr>
          <w:trHeight w:val="67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2" w:right="146"/>
              <w:jc w:val="left"/>
              <w:rPr>
                <w:rFonts w:ascii="宋体" w:hAnsi="宋体" w:cs="宋体" w:eastAsia="宋体" w:hint="default"/>
                <w:sz w:val="18"/>
                <w:szCs w:val="18"/>
              </w:rPr>
            </w:pPr>
            <w:r>
              <w:rPr>
                <w:rFonts w:ascii="宋体" w:hAnsi="宋体" w:cs="宋体" w:eastAsia="宋体" w:hint="default"/>
                <w:sz w:val="18"/>
                <w:szCs w:val="18"/>
              </w:rPr>
              <w:t>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-10,079,</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999.99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-10,079,9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99.99</w:t>
            </w: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-10,079,</w:t>
            </w:r>
          </w:p>
          <w:p>
            <w:pPr>
              <w:pStyle w:val="TableParagraph"/>
              <w:spacing w:line="240" w:lineRule="auto" w:before="105"/>
              <w:ind w:left="127" w:right="0"/>
              <w:jc w:val="center"/>
              <w:rPr>
                <w:rFonts w:ascii="Times New Roman" w:hAnsi="Times New Roman" w:cs="Times New Roman" w:eastAsia="Times New Roman" w:hint="default"/>
                <w:sz w:val="18"/>
                <w:szCs w:val="18"/>
              </w:rPr>
            </w:pPr>
            <w:r>
              <w:rPr>
                <w:rFonts w:ascii="Times New Roman"/>
                <w:sz w:val="18"/>
              </w:rPr>
              <w:t>999.99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-10,079,9</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99.99</w:t>
            </w: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5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504,000,</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396,469,0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78.29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132,983,4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85.33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854,515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,491.29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1,887,968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,054.91</w:t>
            </w:r>
          </w:p>
        </w:tc>
      </w:tr>
    </w:tbl>
    <w:p>
      <w:pPr>
        <w:spacing w:line="240" w:lineRule="auto" w:before="2"/>
        <w:rPr>
          <w:rFonts w:ascii="宋体" w:hAnsi="宋体" w:cs="宋体" w:eastAsia="宋体" w:hint="default"/>
          <w:sz w:val="18"/>
          <w:szCs w:val="18"/>
        </w:rPr>
      </w:pPr>
    </w:p>
    <w:p>
      <w:pPr>
        <w:pStyle w:val="Heading2"/>
        <w:spacing w:line="240" w:lineRule="auto" w:before="26"/>
        <w:ind w:right="102"/>
        <w:jc w:val="left"/>
        <w:rPr>
          <w:b w:val="0"/>
          <w:bCs w:val="0"/>
        </w:rPr>
      </w:pPr>
      <w:r>
        <w:rPr/>
        <w:t>三、公司基本情况</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153" w:right="102" w:firstLine="420"/>
        <w:jc w:val="left"/>
      </w:pPr>
      <w:r>
        <w:rPr/>
        <w:t>荣信电力电子股份有限公司</w:t>
      </w:r>
      <w:r>
        <w:rPr>
          <w:rFonts w:ascii="Times New Roman" w:hAnsi="Times New Roman" w:cs="Times New Roman" w:eastAsia="Times New Roman" w:hint="default"/>
        </w:rPr>
        <w:t>(</w:t>
      </w:r>
      <w:r>
        <w:rPr/>
        <w:t>以下简称公司或本公司</w:t>
      </w:r>
      <w:r>
        <w:rPr>
          <w:rFonts w:ascii="Times New Roman" w:hAnsi="Times New Roman" w:cs="Times New Roman" w:eastAsia="Times New Roman" w:hint="default"/>
        </w:rPr>
        <w:t>)</w:t>
      </w:r>
      <w:r>
        <w:rPr/>
        <w:t>前身系鞍山荣信电力电子有限公司。鞍山荣信电 力电子有限公司于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日整体变更为鞍山荣信电力电子股份有限公司（</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日名称变更</w:t>
      </w:r>
      <w:r>
        <w:rPr>
          <w:spacing w:val="-41"/>
        </w:rPr>
        <w:t> </w:t>
      </w:r>
      <w:r>
        <w:rPr>
          <w:spacing w:val="-41"/>
        </w:rPr>
      </w:r>
      <w:r>
        <w:rPr/>
        <w:t>为荣信电力电子股份有限公司）。公司现持有统一社会信用代码为</w:t>
      </w:r>
      <w:r>
        <w:rPr>
          <w:rFonts w:ascii="Times New Roman" w:hAnsi="Times New Roman" w:cs="Times New Roman" w:eastAsia="Times New Roman" w:hint="default"/>
        </w:rPr>
        <w:t>91210000118887313L</w:t>
      </w:r>
      <w:r>
        <w:rPr/>
        <w:t>的营业执照，总部 </w:t>
      </w:r>
      <w:r>
        <w:rPr>
          <w:spacing w:val="-2"/>
        </w:rPr>
        <w:t>位于辽宁省鞍山市。公司现有注册资本</w:t>
      </w:r>
      <w:r>
        <w:rPr>
          <w:rFonts w:ascii="Times New Roman" w:hAnsi="Times New Roman" w:cs="Times New Roman" w:eastAsia="Times New Roman" w:hint="default"/>
          <w:spacing w:val="-2"/>
        </w:rPr>
        <w:t>861,595,025.00</w:t>
      </w:r>
      <w:r>
        <w:rPr>
          <w:spacing w:val="-2"/>
        </w:rPr>
        <w:t>元，股份总数</w:t>
      </w:r>
      <w:r>
        <w:rPr>
          <w:rFonts w:ascii="Times New Roman" w:hAnsi="Times New Roman" w:cs="Times New Roman" w:eastAsia="Times New Roman" w:hint="default"/>
          <w:spacing w:val="-2"/>
        </w:rPr>
        <w:t>861,595,025.00</w:t>
      </w:r>
      <w:r>
        <w:rPr>
          <w:spacing w:val="-2"/>
        </w:rPr>
        <w:t>股</w:t>
      </w:r>
      <w:r>
        <w:rPr>
          <w:rFonts w:ascii="Times New Roman" w:hAnsi="Times New Roman" w:cs="Times New Roman" w:eastAsia="Times New Roman" w:hint="default"/>
          <w:spacing w:val="-2"/>
        </w:rPr>
        <w:t>(</w:t>
      </w:r>
      <w:r>
        <w:rPr>
          <w:spacing w:val="-2"/>
        </w:rPr>
        <w:t>每股面值</w:t>
      </w:r>
      <w:r>
        <w:rPr>
          <w:rFonts w:ascii="Times New Roman" w:hAnsi="Times New Roman" w:cs="Times New Roman" w:eastAsia="Times New Roman" w:hint="default"/>
          <w:spacing w:val="-2"/>
        </w:rPr>
        <w:t>1</w:t>
      </w:r>
      <w:r>
        <w:rPr>
          <w:spacing w:val="-2"/>
        </w:rPr>
        <w:t>元</w:t>
      </w:r>
      <w:r>
        <w:rPr>
          <w:rFonts w:ascii="Times New Roman" w:hAnsi="Times New Roman" w:cs="Times New Roman" w:eastAsia="Times New Roman" w:hint="default"/>
          <w:spacing w:val="-2"/>
        </w:rPr>
        <w:t>)</w:t>
      </w:r>
      <w:r>
        <w:rPr>
          <w:spacing w:val="-2"/>
        </w:rPr>
        <w:t>。其中，</w:t>
      </w:r>
      <w:r>
        <w:rPr>
          <w:spacing w:val="-52"/>
        </w:rPr>
        <w:t> </w:t>
      </w:r>
      <w:r>
        <w:rPr>
          <w:spacing w:val="-52"/>
        </w:rPr>
      </w:r>
      <w:r>
        <w:rPr>
          <w:spacing w:val="2"/>
        </w:rPr>
        <w:t>有限售条件的流通股份</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406,747,515.00</w:t>
      </w:r>
      <w:r>
        <w:rPr>
          <w:spacing w:val="2"/>
        </w:rPr>
        <w:t>股，无限售条件的流通股份</w:t>
      </w:r>
      <w:r>
        <w:rPr>
          <w:rFonts w:ascii="Times New Roman" w:hAnsi="Times New Roman" w:cs="Times New Roman" w:eastAsia="Times New Roman" w:hint="default"/>
          <w:spacing w:val="2"/>
        </w:rPr>
        <w:t>A</w:t>
      </w:r>
      <w:r>
        <w:rPr>
          <w:spacing w:val="2"/>
        </w:rPr>
        <w:t>股</w:t>
      </w:r>
      <w:r>
        <w:rPr>
          <w:rFonts w:ascii="Times New Roman" w:hAnsi="Times New Roman" w:cs="Times New Roman" w:eastAsia="Times New Roman" w:hint="default"/>
          <w:spacing w:val="2"/>
        </w:rPr>
        <w:t>454,847,510.00</w:t>
      </w:r>
      <w:r>
        <w:rPr>
          <w:spacing w:val="2"/>
        </w:rPr>
        <w:t>股。公司股票于</w:t>
      </w:r>
      <w:r>
        <w:rPr>
          <w:spacing w:val="-51"/>
        </w:rPr>
        <w:t> </w:t>
      </w:r>
      <w:r>
        <w:rPr>
          <w:spacing w:val="-51"/>
        </w:rPr>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28</w:t>
      </w:r>
      <w:r>
        <w:rPr/>
        <w:t>日在深圳证券交易所挂牌交易。</w:t>
      </w:r>
    </w:p>
    <w:p>
      <w:pPr>
        <w:pStyle w:val="BodyText"/>
        <w:spacing w:line="273" w:lineRule="auto" w:before="5"/>
        <w:ind w:right="209" w:firstLine="420"/>
        <w:jc w:val="both"/>
      </w:pPr>
      <w:r>
        <w:rPr>
          <w:spacing w:val="-1"/>
        </w:rPr>
        <w:t>本公司及其子公司属输配电及控制设备制造业及软件和信息技术服务业。主要经营活动：无功补偿设</w:t>
      </w:r>
      <w:r>
        <w:rPr/>
        <w:t> </w:t>
      </w:r>
      <w:r>
        <w:rPr>
          <w:spacing w:val="-1"/>
        </w:rPr>
        <w:t>备、输变电设备、防爆电气设备、变频调速设备及其控制系统的研发、生产、销售和售后维修；增值电信</w:t>
      </w:r>
      <w:r>
        <w:rPr>
          <w:spacing w:val="-83"/>
        </w:rPr>
        <w:t> </w:t>
      </w:r>
      <w:r>
        <w:rPr>
          <w:spacing w:val="-83"/>
        </w:rPr>
      </w:r>
      <w:r>
        <w:rPr>
          <w:spacing w:val="-1"/>
        </w:rPr>
        <w:t>业务中的呼叫中心业务和信息服务业务。主要产品或提供的劳务有：节能大功率电力电子产品及移动信息</w:t>
      </w:r>
      <w:r>
        <w:rPr>
          <w:spacing w:val="-81"/>
        </w:rPr>
        <w:t> </w:t>
      </w:r>
      <w:r>
        <w:rPr>
          <w:spacing w:val="-81"/>
        </w:rPr>
      </w:r>
      <w:r>
        <w:rPr/>
        <w:t>服务。</w:t>
      </w:r>
    </w:p>
    <w:p>
      <w:pPr>
        <w:pStyle w:val="BodyText"/>
        <w:spacing w:line="240" w:lineRule="auto" w:before="8"/>
        <w:ind w:left="574" w:right="102"/>
        <w:jc w:val="left"/>
      </w:pPr>
      <w:r>
        <w:rPr/>
        <w:t>本财务报表业经公司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14</w:t>
      </w:r>
      <w:r>
        <w:rPr/>
        <w:t>日第五届二十五次董事会批准对外报出。</w:t>
      </w:r>
    </w:p>
    <w:p>
      <w:pPr>
        <w:spacing w:after="0" w:line="240" w:lineRule="auto"/>
        <w:jc w:val="left"/>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BodyText"/>
        <w:spacing w:line="256" w:lineRule="auto" w:before="35"/>
        <w:ind w:left="153" w:right="147" w:firstLine="420"/>
        <w:jc w:val="both"/>
      </w:pPr>
      <w:r>
        <w:rPr>
          <w:spacing w:val="-1"/>
        </w:rPr>
        <w:t>本公司将深圳市梦网科技发展有限公司</w:t>
      </w:r>
      <w:r>
        <w:rPr>
          <w:rFonts w:ascii="Times New Roman" w:hAnsi="Times New Roman" w:cs="Times New Roman" w:eastAsia="Times New Roman" w:hint="default"/>
          <w:spacing w:val="-1"/>
        </w:rPr>
        <w:t>(</w:t>
      </w:r>
      <w:r>
        <w:rPr>
          <w:spacing w:val="-1"/>
        </w:rPr>
        <w:t>以下简称梦网科技</w:t>
      </w:r>
      <w:r>
        <w:rPr>
          <w:rFonts w:ascii="Times New Roman" w:hAnsi="Times New Roman" w:cs="Times New Roman" w:eastAsia="Times New Roman" w:hint="default"/>
          <w:spacing w:val="-1"/>
        </w:rPr>
        <w:t>)</w:t>
      </w:r>
      <w:r>
        <w:rPr>
          <w:spacing w:val="-1"/>
        </w:rPr>
        <w:t>、深圳市物联天下技术有限公司</w:t>
      </w:r>
      <w:r>
        <w:rPr>
          <w:rFonts w:ascii="Times New Roman" w:hAnsi="Times New Roman" w:cs="Times New Roman" w:eastAsia="Times New Roman" w:hint="default"/>
          <w:spacing w:val="-1"/>
        </w:rPr>
        <w:t>(</w:t>
      </w:r>
      <w:r>
        <w:rPr>
          <w:spacing w:val="-1"/>
        </w:rPr>
        <w:t>以下简称</w:t>
      </w:r>
      <w:r>
        <w:rPr/>
        <w:t> 物联天下</w:t>
      </w:r>
      <w:r>
        <w:rPr>
          <w:rFonts w:ascii="Times New Roman" w:hAnsi="Times New Roman" w:cs="Times New Roman" w:eastAsia="Times New Roman" w:hint="default"/>
        </w:rPr>
        <w:t>)</w:t>
      </w:r>
      <w:r>
        <w:rPr/>
        <w:t>、荣信嘉时</w:t>
      </w:r>
      <w:r>
        <w:rPr>
          <w:rFonts w:ascii="Times New Roman" w:hAnsi="Times New Roman" w:cs="Times New Roman" w:eastAsia="Times New Roman" w:hint="default"/>
        </w:rPr>
        <w:t>(</w:t>
      </w:r>
      <w:r>
        <w:rPr/>
        <w:t>北京</w:t>
      </w:r>
      <w:r>
        <w:rPr>
          <w:rFonts w:ascii="Times New Roman" w:hAnsi="Times New Roman" w:cs="Times New Roman" w:eastAsia="Times New Roman" w:hint="default"/>
        </w:rPr>
        <w:t>)</w:t>
      </w:r>
      <w:r>
        <w:rPr/>
        <w:t>科技发展有限公司</w:t>
      </w:r>
      <w:r>
        <w:rPr>
          <w:rFonts w:ascii="Times New Roman" w:hAnsi="Times New Roman" w:cs="Times New Roman" w:eastAsia="Times New Roman" w:hint="default"/>
        </w:rPr>
        <w:t>(</w:t>
      </w:r>
      <w:r>
        <w:rPr/>
        <w:t>以下简称荣信嘉时</w:t>
      </w:r>
      <w:r>
        <w:rPr>
          <w:rFonts w:ascii="Times New Roman" w:hAnsi="Times New Roman" w:cs="Times New Roman" w:eastAsia="Times New Roman" w:hint="default"/>
        </w:rPr>
        <w:t>)</w:t>
      </w:r>
      <w:r>
        <w:rPr/>
        <w:t>、荣信电气传动系统</w:t>
      </w:r>
      <w:r>
        <w:rPr>
          <w:rFonts w:ascii="Times New Roman" w:hAnsi="Times New Roman" w:cs="Times New Roman" w:eastAsia="Times New Roman" w:hint="default"/>
        </w:rPr>
        <w:t>(</w:t>
      </w:r>
      <w:r>
        <w:rPr/>
        <w:t>上海</w:t>
      </w:r>
      <w:r>
        <w:rPr>
          <w:rFonts w:ascii="Times New Roman" w:hAnsi="Times New Roman" w:cs="Times New Roman" w:eastAsia="Times New Roman" w:hint="default"/>
        </w:rPr>
        <w:t>)</w:t>
      </w:r>
      <w:r>
        <w:rPr/>
        <w:t>有限公司</w:t>
      </w:r>
      <w:r>
        <w:rPr>
          <w:rFonts w:ascii="Times New Roman" w:hAnsi="Times New Roman" w:cs="Times New Roman" w:eastAsia="Times New Roman" w:hint="default"/>
        </w:rPr>
        <w:t>(</w:t>
      </w:r>
      <w:r>
        <w:rPr/>
        <w:t>荣</w:t>
      </w:r>
      <w:r>
        <w:rPr>
          <w:spacing w:val="-72"/>
        </w:rPr>
        <w:t> </w:t>
      </w:r>
      <w:r>
        <w:rPr>
          <w:spacing w:val="-1"/>
        </w:rPr>
        <w:t>信电气</w:t>
      </w:r>
      <w:r>
        <w:rPr>
          <w:rFonts w:ascii="Times New Roman" w:hAnsi="Times New Roman" w:cs="Times New Roman" w:eastAsia="Times New Roman" w:hint="default"/>
          <w:spacing w:val="-1"/>
        </w:rPr>
        <w:t>(</w:t>
      </w:r>
      <w:r>
        <w:rPr>
          <w:spacing w:val="-1"/>
        </w:rPr>
        <w:t>上海</w:t>
      </w:r>
      <w:r>
        <w:rPr>
          <w:rFonts w:ascii="Times New Roman" w:hAnsi="Times New Roman" w:cs="Times New Roman" w:eastAsia="Times New Roman" w:hint="default"/>
          <w:spacing w:val="-1"/>
        </w:rPr>
        <w:t>))</w:t>
      </w:r>
      <w:r>
        <w:rPr>
          <w:spacing w:val="-1"/>
        </w:rPr>
        <w:t>、北京荣科恒阳整流技术有限公司</w:t>
      </w:r>
      <w:r>
        <w:rPr>
          <w:rFonts w:ascii="Times New Roman" w:hAnsi="Times New Roman" w:cs="Times New Roman" w:eastAsia="Times New Roman" w:hint="default"/>
          <w:spacing w:val="-1"/>
        </w:rPr>
        <w:t>(</w:t>
      </w:r>
      <w:r>
        <w:rPr>
          <w:spacing w:val="-1"/>
        </w:rPr>
        <w:t>以下简称荣科恒阳</w:t>
      </w:r>
      <w:r>
        <w:rPr>
          <w:rFonts w:ascii="Times New Roman" w:hAnsi="Times New Roman" w:cs="Times New Roman" w:eastAsia="Times New Roman" w:hint="default"/>
          <w:spacing w:val="-1"/>
        </w:rPr>
        <w:t>)</w:t>
      </w:r>
      <w:r>
        <w:rPr>
          <w:spacing w:val="-1"/>
        </w:rPr>
        <w:t>、辽宁荣信防爆电气技术有限公司</w:t>
      </w:r>
      <w:r>
        <w:rPr>
          <w:rFonts w:ascii="Times New Roman" w:hAnsi="Times New Roman" w:cs="Times New Roman" w:eastAsia="Times New Roman" w:hint="default"/>
          <w:spacing w:val="-1"/>
        </w:rPr>
        <w:t>(</w:t>
      </w:r>
      <w:r>
        <w:rPr>
          <w:spacing w:val="-1"/>
        </w:rPr>
        <w:t>以</w:t>
      </w:r>
      <w:r>
        <w:rPr>
          <w:spacing w:val="-82"/>
        </w:rPr>
        <w:t> </w:t>
      </w:r>
      <w:r>
        <w:rPr>
          <w:spacing w:val="-2"/>
        </w:rPr>
        <w:t>下简称荣信防爆</w:t>
      </w:r>
      <w:r>
        <w:rPr>
          <w:rFonts w:ascii="Times New Roman" w:hAnsi="Times New Roman" w:cs="Times New Roman" w:eastAsia="Times New Roman" w:hint="default"/>
          <w:spacing w:val="-2"/>
        </w:rPr>
        <w:t>)</w:t>
      </w:r>
      <w:r>
        <w:rPr>
          <w:spacing w:val="-2"/>
        </w:rPr>
        <w:t>、辽宁荣信电机控制技术有限公司</w:t>
      </w:r>
      <w:r>
        <w:rPr>
          <w:rFonts w:ascii="Times New Roman" w:hAnsi="Times New Roman" w:cs="Times New Roman" w:eastAsia="Times New Roman" w:hint="default"/>
          <w:spacing w:val="-2"/>
        </w:rPr>
        <w:t>(</w:t>
      </w:r>
      <w:r>
        <w:rPr>
          <w:spacing w:val="-2"/>
        </w:rPr>
        <w:t>以下简称荣信电机</w:t>
      </w:r>
      <w:r>
        <w:rPr>
          <w:rFonts w:ascii="Times New Roman" w:hAnsi="Times New Roman" w:cs="Times New Roman" w:eastAsia="Times New Roman" w:hint="default"/>
          <w:spacing w:val="-2"/>
        </w:rPr>
        <w:t>)</w:t>
      </w:r>
      <w:r>
        <w:rPr>
          <w:spacing w:val="-2"/>
        </w:rPr>
        <w:t>、辽宁荣信众腾科技有限公司</w:t>
      </w:r>
      <w:r>
        <w:rPr>
          <w:rFonts w:ascii="Times New Roman" w:hAnsi="Times New Roman" w:cs="Times New Roman" w:eastAsia="Times New Roman" w:hint="default"/>
          <w:spacing w:val="-2"/>
        </w:rPr>
        <w:t>(</w:t>
      </w:r>
      <w:r>
        <w:rPr>
          <w:spacing w:val="-2"/>
        </w:rPr>
        <w:t>以下</w:t>
      </w:r>
      <w:r>
        <w:rPr>
          <w:spacing w:val="-103"/>
        </w:rPr>
        <w:t> </w:t>
      </w:r>
      <w:r>
        <w:rPr>
          <w:spacing w:val="-1"/>
        </w:rPr>
        <w:t>简称荣信众腾</w:t>
      </w:r>
      <w:r>
        <w:rPr>
          <w:rFonts w:ascii="Times New Roman" w:hAnsi="Times New Roman" w:cs="Times New Roman" w:eastAsia="Times New Roman" w:hint="default"/>
          <w:spacing w:val="-1"/>
        </w:rPr>
        <w:t>)</w:t>
      </w:r>
      <w:r>
        <w:rPr>
          <w:spacing w:val="-1"/>
        </w:rPr>
        <w:t>、辽宁荣信电气传动技术有限责任公司</w:t>
      </w:r>
      <w:r>
        <w:rPr>
          <w:rFonts w:ascii="Times New Roman" w:hAnsi="Times New Roman" w:cs="Times New Roman" w:eastAsia="Times New Roman" w:hint="default"/>
          <w:spacing w:val="-1"/>
        </w:rPr>
        <w:t>(</w:t>
      </w:r>
      <w:r>
        <w:rPr>
          <w:spacing w:val="-1"/>
        </w:rPr>
        <w:t>以下简称荣信电气</w:t>
      </w:r>
      <w:r>
        <w:rPr>
          <w:rFonts w:ascii="Times New Roman" w:hAnsi="Times New Roman" w:cs="Times New Roman" w:eastAsia="Times New Roman" w:hint="default"/>
          <w:spacing w:val="-1"/>
        </w:rPr>
        <w:t>)</w:t>
      </w:r>
      <w:r>
        <w:rPr>
          <w:spacing w:val="-1"/>
        </w:rPr>
        <w:t>、南京荣信电力自动化有限公司</w:t>
      </w:r>
      <w:r>
        <w:rPr>
          <w:spacing w:val="-82"/>
        </w:rPr>
        <w:t> </w:t>
      </w:r>
      <w:r>
        <w:rPr>
          <w:spacing w:val="-82"/>
        </w:rPr>
      </w:r>
      <w:r>
        <w:rPr>
          <w:rFonts w:ascii="Times New Roman" w:hAnsi="Times New Roman" w:cs="Times New Roman" w:eastAsia="Times New Roman" w:hint="default"/>
          <w:spacing w:val="-4"/>
        </w:rPr>
        <w:t>(</w:t>
      </w:r>
      <w:r>
        <w:rPr>
          <w:spacing w:val="-4"/>
        </w:rPr>
        <w:t>以下简称南京荣信</w:t>
      </w:r>
      <w:r>
        <w:rPr>
          <w:rFonts w:ascii="Times New Roman" w:hAnsi="Times New Roman" w:cs="Times New Roman" w:eastAsia="Times New Roman" w:hint="default"/>
          <w:spacing w:val="-4"/>
        </w:rPr>
        <w:t>)</w:t>
      </w:r>
      <w:r>
        <w:rPr>
          <w:spacing w:val="-4"/>
        </w:rPr>
        <w:t>、北京荣信慧科科技有限公司</w:t>
      </w:r>
      <w:r>
        <w:rPr>
          <w:rFonts w:ascii="Times New Roman" w:hAnsi="Times New Roman" w:cs="Times New Roman" w:eastAsia="Times New Roman" w:hint="default"/>
          <w:spacing w:val="-4"/>
        </w:rPr>
        <w:t>(</w:t>
      </w:r>
      <w:r>
        <w:rPr>
          <w:spacing w:val="-4"/>
        </w:rPr>
        <w:t>以下简称荣信慧科</w:t>
      </w:r>
      <w:r>
        <w:rPr>
          <w:rFonts w:ascii="Times New Roman" w:hAnsi="Times New Roman" w:cs="Times New Roman" w:eastAsia="Times New Roman" w:hint="default"/>
          <w:spacing w:val="-4"/>
        </w:rPr>
        <w:t>)</w:t>
      </w:r>
      <w:r>
        <w:rPr>
          <w:spacing w:val="-4"/>
        </w:rPr>
        <w:t>、北京荣科博信科技发展有限公司</w:t>
      </w:r>
      <w:r>
        <w:rPr>
          <w:rFonts w:ascii="Times New Roman" w:hAnsi="Times New Roman" w:cs="Times New Roman" w:eastAsia="Times New Roman" w:hint="default"/>
          <w:spacing w:val="-4"/>
        </w:rPr>
        <w:t>(</w:t>
      </w:r>
      <w:r>
        <w:rPr>
          <w:spacing w:val="-4"/>
        </w:rPr>
        <w:t>以</w:t>
      </w:r>
      <w:r>
        <w:rPr>
          <w:spacing w:val="-72"/>
        </w:rPr>
        <w:t> </w:t>
      </w:r>
      <w:r>
        <w:rPr>
          <w:spacing w:val="-2"/>
        </w:rPr>
        <w:t>下简称荣科博信</w:t>
      </w:r>
      <w:r>
        <w:rPr>
          <w:rFonts w:ascii="Times New Roman" w:hAnsi="Times New Roman" w:cs="Times New Roman" w:eastAsia="Times New Roman" w:hint="default"/>
          <w:spacing w:val="-2"/>
        </w:rPr>
        <w:t>)</w:t>
      </w:r>
      <w:r>
        <w:rPr>
          <w:spacing w:val="-2"/>
        </w:rPr>
        <w:t>、北京荣信瑞科科技发展有限公司</w:t>
      </w:r>
      <w:r>
        <w:rPr>
          <w:rFonts w:ascii="Times New Roman" w:hAnsi="Times New Roman" w:cs="Times New Roman" w:eastAsia="Times New Roman" w:hint="default"/>
          <w:spacing w:val="-2"/>
        </w:rPr>
        <w:t>(</w:t>
      </w:r>
      <w:r>
        <w:rPr>
          <w:spacing w:val="-2"/>
        </w:rPr>
        <w:t>以下简称荣信瑞科</w:t>
      </w:r>
      <w:r>
        <w:rPr>
          <w:rFonts w:ascii="Times New Roman" w:hAnsi="Times New Roman" w:cs="Times New Roman" w:eastAsia="Times New Roman" w:hint="default"/>
          <w:spacing w:val="-2"/>
        </w:rPr>
        <w:t>)</w:t>
      </w:r>
      <w:r>
        <w:rPr>
          <w:spacing w:val="-2"/>
        </w:rPr>
        <w:t>、荣西电力传输技术有限公司</w:t>
      </w:r>
      <w:r>
        <w:rPr>
          <w:rFonts w:ascii="Times New Roman" w:hAnsi="Times New Roman" w:cs="Times New Roman" w:eastAsia="Times New Roman" w:hint="default"/>
          <w:spacing w:val="-2"/>
        </w:rPr>
        <w:t>(</w:t>
      </w:r>
      <w:r>
        <w:rPr>
          <w:spacing w:val="-2"/>
        </w:rPr>
        <w:t>以下</w:t>
      </w:r>
      <w:r>
        <w:rPr>
          <w:spacing w:val="-103"/>
        </w:rPr>
        <w:t> </w:t>
      </w:r>
      <w:r>
        <w:rPr>
          <w:spacing w:val="-2"/>
        </w:rPr>
        <w:t>简称荣西电力</w:t>
      </w:r>
      <w:r>
        <w:rPr>
          <w:rFonts w:ascii="Times New Roman" w:hAnsi="Times New Roman" w:cs="Times New Roman" w:eastAsia="Times New Roman" w:hint="default"/>
          <w:spacing w:val="-2"/>
        </w:rPr>
        <w:t>)</w:t>
      </w:r>
      <w:r>
        <w:rPr>
          <w:spacing w:val="-2"/>
        </w:rPr>
        <w:t>、新疆荣信节能电气有限公司</w:t>
      </w:r>
      <w:r>
        <w:rPr>
          <w:rFonts w:ascii="Times New Roman" w:hAnsi="Times New Roman" w:cs="Times New Roman" w:eastAsia="Times New Roman" w:hint="default"/>
          <w:spacing w:val="-2"/>
        </w:rPr>
        <w:t>(</w:t>
      </w:r>
      <w:r>
        <w:rPr>
          <w:spacing w:val="-2"/>
        </w:rPr>
        <w:t>以下简称新疆荣信</w:t>
      </w:r>
      <w:r>
        <w:rPr>
          <w:rFonts w:ascii="Times New Roman" w:hAnsi="Times New Roman" w:cs="Times New Roman" w:eastAsia="Times New Roman" w:hint="default"/>
          <w:spacing w:val="-2"/>
        </w:rPr>
        <w:t>)</w:t>
      </w:r>
      <w:r>
        <w:rPr>
          <w:spacing w:val="-2"/>
        </w:rPr>
        <w:t>、荣信电力工程</w:t>
      </w:r>
      <w:r>
        <w:rPr>
          <w:rFonts w:ascii="Times New Roman" w:hAnsi="Times New Roman" w:cs="Times New Roman" w:eastAsia="Times New Roman" w:hint="default"/>
          <w:spacing w:val="-2"/>
        </w:rPr>
        <w:t>DMCC</w:t>
      </w:r>
      <w:r>
        <w:rPr>
          <w:spacing w:val="-2"/>
        </w:rPr>
        <w:t>公司</w:t>
      </w:r>
      <w:r>
        <w:rPr>
          <w:rFonts w:ascii="Times New Roman" w:hAnsi="Times New Roman" w:cs="Times New Roman" w:eastAsia="Times New Roman" w:hint="default"/>
          <w:spacing w:val="-2"/>
        </w:rPr>
        <w:t>(</w:t>
      </w:r>
      <w:r>
        <w:rPr>
          <w:spacing w:val="-2"/>
        </w:rPr>
        <w:t>以下简称荣信</w:t>
      </w:r>
      <w:r>
        <w:rPr>
          <w:spacing w:val="-89"/>
        </w:rPr>
        <w:t> </w:t>
      </w:r>
      <w:r>
        <w:rPr>
          <w:rFonts w:ascii="Times New Roman" w:hAnsi="Times New Roman" w:cs="Times New Roman" w:eastAsia="Times New Roman" w:hint="default"/>
          <w:spacing w:val="-2"/>
        </w:rPr>
        <w:t>DMCC)</w:t>
      </w:r>
      <w:r>
        <w:rPr>
          <w:spacing w:val="-2"/>
        </w:rPr>
        <w:t>、北京荣信中科电气设备有限公司</w:t>
      </w:r>
      <w:r>
        <w:rPr>
          <w:rFonts w:ascii="Times New Roman" w:hAnsi="Times New Roman" w:cs="Times New Roman" w:eastAsia="Times New Roman" w:hint="default"/>
          <w:spacing w:val="-2"/>
        </w:rPr>
        <w:t>(</w:t>
      </w:r>
      <w:r>
        <w:rPr>
          <w:spacing w:val="-2"/>
        </w:rPr>
        <w:t>以下简称荣信中科</w:t>
      </w:r>
      <w:r>
        <w:rPr>
          <w:rFonts w:ascii="Times New Roman" w:hAnsi="Times New Roman" w:cs="Times New Roman" w:eastAsia="Times New Roman" w:hint="default"/>
          <w:spacing w:val="-2"/>
        </w:rPr>
        <w:t>)</w:t>
      </w:r>
      <w:r>
        <w:rPr>
          <w:spacing w:val="-2"/>
        </w:rPr>
        <w:t>、上海地澳自动化科技有限公司</w:t>
      </w:r>
      <w:r>
        <w:rPr>
          <w:rFonts w:ascii="Times New Roman" w:hAnsi="Times New Roman" w:cs="Times New Roman" w:eastAsia="Times New Roman" w:hint="default"/>
          <w:spacing w:val="-2"/>
        </w:rPr>
        <w:t>(</w:t>
      </w:r>
      <w:r>
        <w:rPr>
          <w:spacing w:val="-2"/>
        </w:rPr>
        <w:t>以下简称上</w:t>
      </w:r>
      <w:r>
        <w:rPr>
          <w:spacing w:val="-91"/>
        </w:rPr>
        <w:t> </w:t>
      </w:r>
      <w:r>
        <w:rPr/>
        <w:t>海地澳</w:t>
      </w:r>
      <w:r>
        <w:rPr>
          <w:rFonts w:ascii="Times New Roman" w:hAnsi="Times New Roman" w:cs="Times New Roman" w:eastAsia="Times New Roman" w:hint="default"/>
        </w:rPr>
        <w:t>)</w:t>
      </w:r>
      <w:r>
        <w:rPr/>
        <w:t>、荣信股份控股有限公司</w:t>
      </w:r>
      <w:r>
        <w:rPr>
          <w:rFonts w:ascii="Times New Roman" w:hAnsi="Times New Roman" w:cs="Times New Roman" w:eastAsia="Times New Roman" w:hint="default"/>
        </w:rPr>
        <w:t>(</w:t>
      </w:r>
      <w:r>
        <w:rPr/>
        <w:t>荣信香港</w:t>
      </w:r>
      <w:r>
        <w:rPr>
          <w:rFonts w:ascii="Times New Roman" w:hAnsi="Times New Roman" w:cs="Times New Roman" w:eastAsia="Times New Roman" w:hint="default"/>
        </w:rPr>
        <w:t>)</w:t>
      </w:r>
      <w:r>
        <w:rPr/>
        <w:t>、荣信电力控股有限公司</w:t>
      </w:r>
      <w:r>
        <w:rPr>
          <w:rFonts w:ascii="Times New Roman" w:hAnsi="Times New Roman" w:cs="Times New Roman" w:eastAsia="Times New Roman" w:hint="default"/>
        </w:rPr>
        <w:t>(</w:t>
      </w:r>
      <w:r>
        <w:rPr/>
        <w:t>以下简称荣信英国</w:t>
      </w:r>
      <w:r>
        <w:rPr>
          <w:rFonts w:ascii="Times New Roman" w:hAnsi="Times New Roman" w:cs="Times New Roman" w:eastAsia="Times New Roman" w:hint="default"/>
        </w:rPr>
        <w:t>)</w:t>
      </w:r>
      <w:r>
        <w:rPr/>
        <w:t>等</w:t>
      </w:r>
      <w:r>
        <w:rPr>
          <w:rFonts w:ascii="Times New Roman" w:hAnsi="Times New Roman" w:cs="Times New Roman" w:eastAsia="Times New Roman" w:hint="default"/>
        </w:rPr>
        <w:t>20</w:t>
      </w:r>
      <w:r>
        <w:rPr/>
        <w:t>家下属公司</w:t>
      </w:r>
      <w:r>
        <w:rPr>
          <w:spacing w:val="-67"/>
        </w:rPr>
        <w:t> </w:t>
      </w:r>
      <w:r>
        <w:rPr>
          <w:spacing w:val="-67"/>
        </w:rPr>
      </w:r>
      <w:r>
        <w:rPr/>
        <w:t>纳入本期合并财务报表范围，详见本财务报表附注合并范围的变更和在其他主体中的权益之说明。</w:t>
      </w:r>
    </w:p>
    <w:p>
      <w:pPr>
        <w:spacing w:line="240" w:lineRule="auto" w:before="13"/>
        <w:rPr>
          <w:rFonts w:ascii="宋体" w:hAnsi="宋体" w:cs="宋体" w:eastAsia="宋体" w:hint="default"/>
          <w:sz w:val="22"/>
          <w:szCs w:val="22"/>
        </w:rPr>
      </w:pPr>
    </w:p>
    <w:p>
      <w:pPr>
        <w:spacing w:line="496" w:lineRule="auto" w:before="0"/>
        <w:ind w:left="153" w:right="5991" w:firstLine="0"/>
        <w:jc w:val="left"/>
        <w:rPr>
          <w:rFonts w:ascii="宋体" w:hAnsi="宋体" w:cs="宋体" w:eastAsia="宋体" w:hint="default"/>
          <w:sz w:val="21"/>
          <w:szCs w:val="21"/>
        </w:rPr>
      </w:pPr>
      <w:r>
        <w:rPr>
          <w:rFonts w:ascii="宋体" w:hAnsi="宋体" w:cs="宋体" w:eastAsia="宋体" w:hint="default"/>
          <w:b/>
          <w:bCs/>
          <w:sz w:val="24"/>
          <w:szCs w:val="24"/>
        </w:rPr>
        <w:t>四、财务报表的编制基础</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、编制基础</w:t>
      </w:r>
      <w:r>
        <w:rPr>
          <w:rFonts w:ascii="宋体" w:hAnsi="宋体" w:cs="宋体" w:eastAsia="宋体" w:hint="default"/>
          <w:b/>
          <w:bCs/>
          <w:spacing w:val="1"/>
          <w:w w:val="99"/>
          <w:sz w:val="21"/>
          <w:szCs w:val="21"/>
        </w:rPr>
        <w:t> </w:t>
      </w:r>
      <w:r>
        <w:rPr>
          <w:rFonts w:ascii="宋体" w:hAnsi="宋体" w:cs="宋体" w:eastAsia="宋体" w:hint="default"/>
          <w:sz w:val="21"/>
          <w:szCs w:val="21"/>
        </w:rPr>
        <w:t>本公司财务报表以持续经营为编制基础。</w:t>
      </w:r>
    </w:p>
    <w:p>
      <w:pPr>
        <w:spacing w:line="496" w:lineRule="auto" w:before="113"/>
        <w:ind w:left="154" w:right="1790" w:firstLine="0"/>
        <w:jc w:val="left"/>
        <w:rPr>
          <w:rFonts w:ascii="宋体" w:hAnsi="宋体" w:cs="宋体" w:eastAsia="宋体" w:hint="default"/>
          <w:sz w:val="24"/>
          <w:szCs w:val="24"/>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、持续经营</w:t>
      </w:r>
      <w:r>
        <w:rPr>
          <w:rFonts w:ascii="宋体" w:hAnsi="宋体" w:cs="宋体" w:eastAsia="宋体" w:hint="default"/>
          <w:b/>
          <w:bCs/>
          <w:spacing w:val="1"/>
          <w:w w:val="99"/>
          <w:sz w:val="21"/>
          <w:szCs w:val="21"/>
        </w:rPr>
        <w:t> </w:t>
      </w:r>
      <w:r>
        <w:rPr>
          <w:rFonts w:ascii="宋体" w:hAnsi="宋体" w:cs="宋体" w:eastAsia="宋体" w:hint="default"/>
          <w:sz w:val="21"/>
          <w:szCs w:val="21"/>
        </w:rPr>
        <w:t>本公司不存在导致对报告期末起</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个月内的持续经营假设产生重大疑虑的事项或情况。 </w:t>
      </w:r>
      <w:r>
        <w:rPr>
          <w:rFonts w:ascii="宋体" w:hAnsi="宋体" w:cs="宋体" w:eastAsia="宋体" w:hint="default"/>
          <w:b/>
          <w:bCs/>
          <w:sz w:val="24"/>
          <w:szCs w:val="24"/>
        </w:rPr>
        <w:t>五、重要会计政策及会计估计</w:t>
      </w:r>
      <w:r>
        <w:rPr>
          <w:rFonts w:ascii="宋体" w:hAnsi="宋体" w:cs="宋体" w:eastAsia="宋体" w:hint="default"/>
          <w:sz w:val="24"/>
          <w:szCs w:val="24"/>
        </w:rPr>
      </w:r>
    </w:p>
    <w:p>
      <w:pPr>
        <w:spacing w:before="91"/>
        <w:ind w:left="154" w:right="0"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pStyle w:val="BodyText"/>
        <w:spacing w:line="273" w:lineRule="auto" w:before="90"/>
        <w:ind w:right="0"/>
        <w:jc w:val="left"/>
      </w:pPr>
      <w:r>
        <w:rPr>
          <w:spacing w:val="-1"/>
        </w:rPr>
        <w:t>重要提示：本公司根据实际生产经营特点针对应收款项坏账准备计提、固定资产折旧、无形资产摊销、收</w:t>
      </w:r>
      <w:r>
        <w:rPr>
          <w:spacing w:val="-82"/>
        </w:rPr>
        <w:t> </w:t>
      </w:r>
      <w:r>
        <w:rPr>
          <w:spacing w:val="-82"/>
        </w:rPr>
      </w:r>
      <w:r>
        <w:rPr/>
        <w:t>入确认等交易或事项制定了具体会计政策和会计估计。</w:t>
      </w:r>
    </w:p>
    <w:p>
      <w:pPr>
        <w:spacing w:line="590" w:lineRule="atLeast" w:before="9"/>
        <w:ind w:left="573"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本公司所编制的财务报表符合企业会计准则的要求，真实、完整地反映了公司的财务状况、经营成果</w:t>
      </w:r>
    </w:p>
    <w:p>
      <w:pPr>
        <w:pStyle w:val="BodyText"/>
        <w:spacing w:line="240" w:lineRule="auto" w:before="37"/>
        <w:ind w:left="153" w:right="0"/>
        <w:jc w:val="left"/>
      </w:pPr>
      <w:r>
        <w:rPr/>
        <w:t>和现金流量等有关信息。</w:t>
      </w:r>
    </w:p>
    <w:p>
      <w:pPr>
        <w:spacing w:line="240" w:lineRule="auto" w:before="11"/>
        <w:rPr>
          <w:rFonts w:ascii="宋体" w:hAnsi="宋体" w:cs="宋体" w:eastAsia="宋体" w:hint="default"/>
          <w:sz w:val="25"/>
          <w:szCs w:val="25"/>
        </w:rPr>
      </w:pPr>
    </w:p>
    <w:p>
      <w:pPr>
        <w:spacing w:line="506" w:lineRule="auto" w:before="0"/>
        <w:ind w:left="154" w:right="5990"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、会计期间</w:t>
      </w:r>
      <w:r>
        <w:rPr>
          <w:rFonts w:ascii="宋体" w:hAnsi="宋体" w:cs="宋体" w:eastAsia="宋体" w:hint="default"/>
          <w:b/>
          <w:bCs/>
          <w:spacing w:val="1"/>
          <w:w w:val="99"/>
          <w:sz w:val="21"/>
          <w:szCs w:val="21"/>
        </w:rPr>
        <w:t> </w:t>
      </w:r>
      <w:r>
        <w:rPr>
          <w:rFonts w:ascii="宋体" w:hAnsi="宋体" w:cs="宋体" w:eastAsia="宋体" w:hint="default"/>
          <w:sz w:val="21"/>
          <w:szCs w:val="21"/>
        </w:rPr>
        <w:t>会计年度自公历</w:t>
      </w:r>
      <w:r>
        <w:rPr>
          <w:rFonts w:ascii="Times New Roman" w:hAnsi="Times New Roman" w:cs="Times New Roman" w:eastAsia="Times New Roman" w:hint="default"/>
          <w:sz w:val="21"/>
          <w:szCs w:val="21"/>
        </w:rPr>
        <w:t>1</w:t>
      </w:r>
      <w:r>
        <w:rPr>
          <w:rFonts w:ascii="宋体" w:hAnsi="宋体" w:cs="宋体" w:eastAsia="宋体" w:hint="default"/>
          <w:sz w:val="21"/>
          <w:szCs w:val="21"/>
        </w:rPr>
        <w:t>月</w:t>
      </w:r>
      <w:r>
        <w:rPr>
          <w:rFonts w:ascii="Times New Roman" w:hAnsi="Times New Roman" w:cs="Times New Roman" w:eastAsia="Times New Roman" w:hint="default"/>
          <w:sz w:val="21"/>
          <w:szCs w:val="21"/>
        </w:rPr>
        <w:t>1</w:t>
      </w:r>
      <w:r>
        <w:rPr>
          <w:rFonts w:ascii="宋体" w:hAnsi="宋体" w:cs="宋体" w:eastAsia="宋体" w:hint="default"/>
          <w:sz w:val="21"/>
          <w:szCs w:val="21"/>
        </w:rPr>
        <w:t>日起至</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日止。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sz w:val="21"/>
          <w:szCs w:val="21"/>
        </w:rPr>
      </w:r>
    </w:p>
    <w:p>
      <w:pPr>
        <w:pStyle w:val="BodyText"/>
        <w:spacing w:line="240" w:lineRule="auto" w:before="63"/>
        <w:ind w:right="0"/>
        <w:jc w:val="left"/>
      </w:pPr>
      <w:r>
        <w:rPr/>
        <w:t>公司经营业务的营业周期较短，以12个月作为资产和负债的流动性划分标准。</w:t>
      </w:r>
    </w:p>
    <w:p>
      <w:pPr>
        <w:spacing w:line="240" w:lineRule="auto" w:before="11"/>
        <w:rPr>
          <w:rFonts w:ascii="宋体" w:hAnsi="宋体" w:cs="宋体" w:eastAsia="宋体" w:hint="default"/>
          <w:sz w:val="25"/>
          <w:szCs w:val="25"/>
        </w:rPr>
      </w:pPr>
    </w:p>
    <w:p>
      <w:pPr>
        <w:spacing w:line="506" w:lineRule="auto" w:before="0"/>
        <w:ind w:left="154" w:right="7250"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采用人民币为记账本位币。</w:t>
      </w:r>
    </w:p>
    <w:p>
      <w:pPr>
        <w:spacing w:after="0" w:line="506" w:lineRule="auto"/>
        <w:jc w:val="left"/>
        <w:rPr>
          <w:rFonts w:ascii="宋体" w:hAnsi="宋体" w:cs="宋体" w:eastAsia="宋体" w:hint="default"/>
          <w:sz w:val="21"/>
          <w:szCs w:val="21"/>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同一控制下企业合并的会计处理方法 </w:t>
      </w:r>
      <w:r>
        <w:rPr>
          <w:spacing w:val="-1"/>
        </w:rPr>
        <w:t>公司在企业合并中取得的资产和负债，按照合并日被合并方在最终控制方合并财务报表中的账面价值</w:t>
      </w:r>
    </w:p>
    <w:p>
      <w:pPr>
        <w:pStyle w:val="BodyText"/>
        <w:spacing w:line="273" w:lineRule="auto" w:before="22"/>
        <w:ind w:left="153" w:right="150"/>
        <w:jc w:val="both"/>
      </w:pPr>
      <w:r>
        <w:rPr>
          <w:spacing w:val="-1"/>
        </w:rPr>
        <w:t>计量。公司按照被合并方所有者权益在最终控制方合并财务报表中的账面价值份额与支付的合并对价账面</w:t>
      </w:r>
      <w:r>
        <w:rPr>
          <w:spacing w:val="-81"/>
        </w:rPr>
        <w:t> </w:t>
      </w:r>
      <w:r>
        <w:rPr>
          <w:spacing w:val="-81"/>
        </w:rPr>
      </w:r>
      <w:r>
        <w:rPr/>
        <w:t>价值或发行股份面值总额的差额，调整资本公积；资本公积不足冲减的，调整留存收益。</w:t>
      </w:r>
    </w:p>
    <w:p>
      <w:pPr>
        <w:pStyle w:val="BodyText"/>
        <w:spacing w:line="256" w:lineRule="auto" w:before="7"/>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非同一控制下企业合并的会计处理方法 </w:t>
      </w:r>
      <w:r>
        <w:rPr>
          <w:spacing w:val="3"/>
        </w:rPr>
        <w:t>公司在购买日对合并成本大于合并中取得的被购买方可辨认净资产公允价值份额的差额，确认为商</w:t>
      </w:r>
    </w:p>
    <w:p>
      <w:pPr>
        <w:pStyle w:val="BodyText"/>
        <w:spacing w:line="273" w:lineRule="auto" w:before="22"/>
        <w:ind w:left="153" w:right="151"/>
        <w:jc w:val="both"/>
      </w:pPr>
      <w:r>
        <w:rPr>
          <w:spacing w:val="-1"/>
        </w:rPr>
        <w:t>誉；如果合并成本小于合并中取得的被购买方可辨认净资产公允价值份额，首先对取得的被购买方各项可</w:t>
      </w:r>
      <w:r>
        <w:rPr>
          <w:spacing w:val="-81"/>
        </w:rPr>
        <w:t> </w:t>
      </w:r>
      <w:r>
        <w:rPr>
          <w:spacing w:val="-81"/>
        </w:rPr>
      </w:r>
      <w:r>
        <w:rPr>
          <w:spacing w:val="-1"/>
        </w:rPr>
        <w:t>辨认资产、负债及或有负债的公允价值以及合并成本的计量进行复核，经复核后合并成本仍小于合并中取</w:t>
      </w:r>
      <w:r>
        <w:rPr>
          <w:spacing w:val="-81"/>
        </w:rPr>
        <w:t> </w:t>
      </w:r>
      <w:r>
        <w:rPr>
          <w:spacing w:val="-81"/>
        </w:rPr>
      </w:r>
      <w:r>
        <w:rPr/>
        <w:t>得的被购买方可辨认净资产公允价值份额的，其差额计入当期损益。</w:t>
      </w:r>
    </w:p>
    <w:p>
      <w:pPr>
        <w:spacing w:line="590" w:lineRule="atLeast" w:before="9"/>
        <w:ind w:left="573"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、合并财务报表的编制方法</w:t>
      </w:r>
      <w:r>
        <w:rPr>
          <w:rFonts w:ascii="宋体" w:hAnsi="宋体" w:cs="宋体" w:eastAsia="宋体" w:hint="default"/>
          <w:b/>
          <w:bCs/>
          <w:w w:val="99"/>
          <w:sz w:val="21"/>
          <w:szCs w:val="21"/>
        </w:rPr>
        <w:t> </w:t>
      </w:r>
      <w:r>
        <w:rPr>
          <w:rFonts w:ascii="宋体" w:hAnsi="宋体" w:cs="宋体" w:eastAsia="宋体" w:hint="default"/>
          <w:spacing w:val="-1"/>
          <w:sz w:val="21"/>
          <w:szCs w:val="21"/>
        </w:rPr>
        <w:t>母公司将其控制的所有子公司纳入合并财务报表的合并范围。合并财务报表以母公司及其子公司的财</w:t>
      </w:r>
    </w:p>
    <w:p>
      <w:pPr>
        <w:pStyle w:val="BodyText"/>
        <w:spacing w:line="240" w:lineRule="auto" w:before="37"/>
        <w:ind w:left="153" w:right="0"/>
        <w:jc w:val="both"/>
      </w:pPr>
      <w:r>
        <w:rPr/>
        <w:t>务报表为基础，根据其他有关资料，由母公司按照《企业会计准则第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合并财务报表》编制。</w:t>
      </w:r>
    </w:p>
    <w:p>
      <w:pPr>
        <w:spacing w:line="240" w:lineRule="auto" w:before="8"/>
        <w:rPr>
          <w:rFonts w:ascii="宋体" w:hAnsi="宋体" w:cs="宋体" w:eastAsia="宋体" w:hint="default"/>
          <w:sz w:val="24"/>
          <w:szCs w:val="24"/>
        </w:rPr>
      </w:pPr>
    </w:p>
    <w:p>
      <w:pPr>
        <w:pStyle w:val="Heading3"/>
        <w:spacing w:line="240" w:lineRule="auto" w:before="0"/>
        <w:ind w:left="153" w:right="0"/>
        <w:jc w:val="both"/>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合营安排分为共同经营和合营企业。</w:t>
      </w:r>
    </w:p>
    <w:p>
      <w:pPr>
        <w:pStyle w:val="BodyText"/>
        <w:spacing w:line="240" w:lineRule="auto" w:before="21"/>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当公司为共同经营的合营方时，确认与共同经营中利益份额相关的下列项目：</w:t>
      </w:r>
    </w:p>
    <w:p>
      <w:pPr>
        <w:pStyle w:val="BodyText"/>
        <w:spacing w:line="240" w:lineRule="auto" w:before="21"/>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确认单独所持有的资产，以及按持有份额确认共同持有的资产；</w:t>
      </w:r>
    </w:p>
    <w:p>
      <w:pPr>
        <w:pStyle w:val="BodyText"/>
        <w:spacing w:line="240" w:lineRule="auto" w:before="21"/>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确认单独所承担的负债，以及按持有份额确认共同承担的负债；</w:t>
      </w:r>
    </w:p>
    <w:p>
      <w:pPr>
        <w:pStyle w:val="BodyText"/>
        <w:spacing w:line="240" w:lineRule="auto" w:before="21"/>
        <w:ind w:left="57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t>确认出售公司享有的共同经营产出份额所产生的收入；</w:t>
      </w:r>
    </w:p>
    <w:p>
      <w:pPr>
        <w:pStyle w:val="BodyText"/>
        <w:spacing w:line="240" w:lineRule="auto" w:before="21"/>
        <w:ind w:left="574"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29"/>
        </w:rPr>
        <w:t> </w:t>
      </w:r>
      <w:r>
        <w:rPr/>
        <w:t>按公司持有份额确认共同经营因出售资产所产生的收入；</w:t>
      </w:r>
    </w:p>
    <w:p>
      <w:pPr>
        <w:pStyle w:val="BodyText"/>
        <w:spacing w:line="240" w:lineRule="auto" w:before="21"/>
        <w:ind w:left="574"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9"/>
        </w:rPr>
        <w:t> </w:t>
      </w:r>
      <w:r>
        <w:rPr/>
        <w:t>确认单独所发生的费用，以及按公司持有份额确认共同经营发生的费用。</w:t>
      </w:r>
    </w:p>
    <w:p>
      <w:pPr>
        <w:spacing w:line="590" w:lineRule="atLeast" w:before="23"/>
        <w:ind w:left="574" w:right="0" w:hanging="42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列示于现金流量表中的现金是指库存现金以及可以随时用于支付的存款。现金等价物是指企业持有的</w:t>
      </w:r>
    </w:p>
    <w:p>
      <w:pPr>
        <w:pStyle w:val="BodyText"/>
        <w:spacing w:line="240" w:lineRule="auto" w:before="37"/>
        <w:ind w:right="0"/>
        <w:jc w:val="both"/>
      </w:pPr>
      <w:r>
        <w:rPr/>
        <w:t>期限短、流动性强、易于转换为已知金额现金、价值变动风险很小的投资。</w:t>
      </w:r>
    </w:p>
    <w:p>
      <w:pPr>
        <w:spacing w:line="240" w:lineRule="auto" w:before="11"/>
        <w:rPr>
          <w:rFonts w:ascii="宋体" w:hAnsi="宋体" w:cs="宋体" w:eastAsia="宋体" w:hint="default"/>
          <w:sz w:val="25"/>
          <w:szCs w:val="25"/>
        </w:rPr>
      </w:pPr>
    </w:p>
    <w:p>
      <w:pPr>
        <w:pStyle w:val="Heading3"/>
        <w:spacing w:line="240" w:lineRule="auto" w:before="0"/>
        <w:ind w:right="0"/>
        <w:jc w:val="both"/>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57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外币业务折算 </w:t>
      </w:r>
      <w:r>
        <w:rPr>
          <w:spacing w:val="-1"/>
        </w:rPr>
        <w:t>外币交易在初始确认时，采用交易发生日的即期汇率折算为人民币金额。资产负债表日，外币货币性</w:t>
      </w:r>
    </w:p>
    <w:p>
      <w:pPr>
        <w:pStyle w:val="BodyText"/>
        <w:spacing w:line="273" w:lineRule="auto" w:before="22"/>
        <w:ind w:right="149"/>
        <w:jc w:val="both"/>
      </w:pPr>
      <w:r>
        <w:rPr>
          <w:spacing w:val="-1"/>
        </w:rPr>
        <w:t>项目采用资产负债表日即期汇率折算，因汇率不同而产生的汇兑差额，除与购建符合资本化条件资产有关</w:t>
      </w:r>
      <w:r>
        <w:rPr>
          <w:spacing w:val="-81"/>
        </w:rPr>
        <w:t> </w:t>
      </w:r>
      <w:r>
        <w:rPr>
          <w:spacing w:val="-81"/>
        </w:rPr>
      </w:r>
      <w:r>
        <w:rPr>
          <w:spacing w:val="-1"/>
        </w:rPr>
        <w:t>的外币专门借款本金及利息的汇兑差额外，计入当期损益；以历史成本计量的外币非货币性项目仍采用交</w:t>
      </w:r>
      <w:r>
        <w:rPr>
          <w:spacing w:val="-81"/>
        </w:rPr>
        <w:t> </w:t>
      </w:r>
      <w:r>
        <w:rPr>
          <w:spacing w:val="-81"/>
        </w:rPr>
      </w:r>
      <w:r>
        <w:rPr>
          <w:spacing w:val="-1"/>
        </w:rPr>
        <w:t>易发生日的即期汇率折算，不改变其人民币金额；以公允价值计量的外币非货币性项目，采用公允价值确</w:t>
      </w:r>
      <w:r>
        <w:rPr>
          <w:spacing w:val="-83"/>
        </w:rPr>
        <w:t> </w:t>
      </w:r>
      <w:r>
        <w:rPr>
          <w:spacing w:val="-83"/>
        </w:rPr>
      </w:r>
      <w:r>
        <w:rPr/>
        <w:t>定日的即期汇率折算，差额计入当期损益或其他综合收益。</w:t>
      </w:r>
    </w:p>
    <w:p>
      <w:pPr>
        <w:pStyle w:val="BodyText"/>
        <w:spacing w:line="261" w:lineRule="auto" w:before="7"/>
        <w:ind w:right="134"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外币财务报表折算 资产负债表中的资产和负债项目，采用资产负债表日的即期汇率折算；所有者权益项目除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 </w:t>
      </w:r>
      <w:r>
        <w:rPr>
          <w:spacing w:val="-1"/>
        </w:rPr>
        <w:t>目外，其他项目采用交易发生日的即期汇率折算；利润表中的收入和费用项目，采用交易发生日的即期汇</w:t>
      </w:r>
      <w:r>
        <w:rPr>
          <w:spacing w:val="-83"/>
        </w:rPr>
        <w:t> </w:t>
      </w:r>
      <w:r>
        <w:rPr>
          <w:spacing w:val="-83"/>
        </w:rPr>
      </w:r>
      <w:r>
        <w:rPr/>
        <w:t>率折算。按照上述折算产生的外币财务报表折算差额，计入其他综合收益。</w:t>
      </w:r>
    </w:p>
    <w:p>
      <w:pPr>
        <w:spacing w:after="0" w:line="261" w:lineRule="auto"/>
        <w:jc w:val="left"/>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573" w:right="9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金融资产和金融负债的分类 </w:t>
      </w:r>
      <w:r>
        <w:rPr>
          <w:spacing w:val="-3"/>
        </w:rPr>
        <w:t>金融资产在初始确认时划分为以下四类：以公允价值计量且其变动计入当期损益的金融资产</w:t>
      </w:r>
      <w:r>
        <w:rPr>
          <w:rFonts w:ascii="Times New Roman" w:hAnsi="Times New Roman" w:cs="Times New Roman" w:eastAsia="Times New Roman" w:hint="default"/>
          <w:spacing w:val="-3"/>
        </w:rPr>
        <w:t>(</w:t>
      </w:r>
      <w:r>
        <w:rPr>
          <w:spacing w:val="-3"/>
        </w:rPr>
        <w:t>包括交易</w:t>
      </w:r>
    </w:p>
    <w:p>
      <w:pPr>
        <w:pStyle w:val="BodyText"/>
        <w:spacing w:line="256" w:lineRule="auto" w:before="5"/>
        <w:ind w:left="153" w:right="98"/>
        <w:jc w:val="both"/>
      </w:pPr>
      <w:r>
        <w:rPr/>
        <w:t>性金融资产和在初始确认时指定为以公允价值计量且其变动计入当期损益的金融资产</w:t>
      </w:r>
      <w:r>
        <w:rPr>
          <w:rFonts w:ascii="Times New Roman" w:hAnsi="Times New Roman" w:cs="Times New Roman" w:eastAsia="Times New Roman" w:hint="default"/>
        </w:rPr>
        <w:t>)</w:t>
      </w:r>
      <w:r>
        <w:rPr/>
        <w:t>、持有至到期投资、 贷款和应收款项、可供出售金融资产。</w:t>
      </w:r>
    </w:p>
    <w:p>
      <w:pPr>
        <w:pStyle w:val="BodyText"/>
        <w:spacing w:line="256" w:lineRule="auto" w:before="22"/>
        <w:ind w:left="153" w:right="191" w:firstLine="420"/>
        <w:jc w:val="both"/>
      </w:pPr>
      <w:r>
        <w:rPr>
          <w:spacing w:val="-3"/>
        </w:rPr>
        <w:t>金融负债在初始确认时划分为以下两类：以公允价值计量且其变动计入当期损益的金融负债</w:t>
      </w:r>
      <w:r>
        <w:rPr>
          <w:rFonts w:ascii="Times New Roman" w:hAnsi="Times New Roman" w:cs="Times New Roman" w:eastAsia="Times New Roman" w:hint="default"/>
          <w:spacing w:val="-3"/>
        </w:rPr>
        <w:t>(</w:t>
      </w:r>
      <w:r>
        <w:rPr>
          <w:spacing w:val="-3"/>
        </w:rPr>
        <w:t>包括交易</w:t>
      </w:r>
      <w:r>
        <w:rPr/>
        <w:t> 性金融负债和在初始确认时指定为以公允价值计量且其变动计入当期损益的金融负债</w:t>
      </w:r>
      <w:r>
        <w:rPr>
          <w:rFonts w:ascii="Times New Roman" w:hAnsi="Times New Roman" w:cs="Times New Roman" w:eastAsia="Times New Roman" w:hint="default"/>
        </w:rPr>
        <w:t>)</w:t>
      </w:r>
      <w:r>
        <w:rPr/>
        <w:t>、其他金融负债。</w:t>
      </w:r>
    </w:p>
    <w:p>
      <w:pPr>
        <w:pStyle w:val="BodyText"/>
        <w:spacing w:line="256" w:lineRule="auto" w:before="5"/>
        <w:ind w:left="573" w:right="15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金融资产和金融负债的确认依据、计量方法和终止确认条件 公司成为金融工具合同的一方时，确认一项金融资产或金融负债。初始确认金融资产或金融负债时，</w:t>
      </w:r>
    </w:p>
    <w:p>
      <w:pPr>
        <w:pStyle w:val="BodyText"/>
        <w:spacing w:line="273" w:lineRule="auto" w:before="22"/>
        <w:ind w:left="153" w:right="190"/>
        <w:jc w:val="both"/>
      </w:pPr>
      <w:r>
        <w:rPr>
          <w:spacing w:val="-1"/>
        </w:rPr>
        <w:t>按照公允价值计量；对于以公允价值计量且其变动计入当期损益的金融资产和金融负债，相关交易费用直</w:t>
      </w:r>
      <w:r>
        <w:rPr>
          <w:spacing w:val="-81"/>
        </w:rPr>
        <w:t> </w:t>
      </w:r>
      <w:r>
        <w:rPr>
          <w:spacing w:val="-81"/>
        </w:rPr>
      </w:r>
      <w:r>
        <w:rPr/>
        <w:t>接计入当期损益；对于其他类别的金融资产或金融负债，相关交易费用计入初始确认金额。</w:t>
      </w:r>
    </w:p>
    <w:p>
      <w:pPr>
        <w:pStyle w:val="BodyText"/>
        <w:spacing w:line="266" w:lineRule="auto" w:before="7"/>
        <w:ind w:left="153" w:right="168" w:firstLine="420"/>
        <w:jc w:val="both"/>
      </w:pPr>
      <w:r>
        <w:rPr/>
        <w:t>公司按照公允价值对金融资产进行后续计量，且不扣除将来处置该金融资产时可能发生的交易费用， 但下列情况除外：</w:t>
      </w:r>
      <w:r>
        <w:rPr>
          <w:rFonts w:ascii="Times New Roman" w:hAnsi="Times New Roman" w:cs="Times New Roman" w:eastAsia="Times New Roman" w:hint="default"/>
        </w:rPr>
        <w:t>(1) </w:t>
      </w:r>
      <w:r>
        <w:rPr/>
        <w:t>持有至到期投资以及贷款和应收款项采用实际利率法，按摊余成本计量；</w:t>
      </w:r>
      <w:r>
        <w:rPr>
          <w:rFonts w:ascii="Times New Roman" w:hAnsi="Times New Roman" w:cs="Times New Roman" w:eastAsia="Times New Roman" w:hint="default"/>
        </w:rPr>
        <w:t>(2)</w:t>
      </w:r>
      <w:r>
        <w:rPr>
          <w:rFonts w:ascii="Times New Roman" w:hAnsi="Times New Roman" w:cs="Times New Roman" w:eastAsia="Times New Roman" w:hint="default"/>
          <w:spacing w:val="17"/>
        </w:rPr>
        <w:t> </w:t>
      </w:r>
      <w:r>
        <w:rPr/>
        <w:t>在活跃 </w:t>
      </w:r>
      <w:r>
        <w:rPr>
          <w:spacing w:val="-1"/>
        </w:rPr>
        <w:t>市场中没有报价且其公允价值不能可靠计量的权益工具投资，以及与该权益工具挂钩并须通过交付该权益</w:t>
      </w:r>
      <w:r>
        <w:rPr>
          <w:spacing w:val="-81"/>
        </w:rPr>
        <w:t> </w:t>
      </w:r>
      <w:r>
        <w:rPr>
          <w:spacing w:val="-81"/>
        </w:rPr>
      </w:r>
      <w:r>
        <w:rPr/>
        <w:t>工具结算的衍生金融资产，按照成本计量。</w:t>
      </w:r>
    </w:p>
    <w:p>
      <w:pPr>
        <w:pStyle w:val="BodyText"/>
        <w:spacing w:line="261" w:lineRule="auto" w:before="14"/>
        <w:ind w:left="153" w:right="182" w:firstLine="420"/>
        <w:jc w:val="both"/>
      </w:pPr>
      <w:r>
        <w:rPr/>
        <w:t>公司采用实际利率法，按摊余成本对金融负债进行后续计量，但下列情况除外：</w:t>
      </w: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以公允价值计量</w:t>
      </w:r>
      <w:r>
        <w:rPr>
          <w:spacing w:val="1"/>
        </w:rPr>
        <w:t> </w:t>
      </w:r>
      <w:r>
        <w:rPr>
          <w:spacing w:val="-1"/>
        </w:rPr>
        <w:t>且其变动计入当期损益的金融负债，按照公允价值计量，且不扣除将来结清金融负债时可能发生的交易费</w:t>
      </w:r>
      <w:r>
        <w:rPr>
          <w:spacing w:val="-81"/>
        </w:rPr>
        <w:t> </w:t>
      </w:r>
      <w:r>
        <w:rPr>
          <w:spacing w:val="-81"/>
        </w:rPr>
      </w:r>
      <w:r>
        <w:rPr/>
        <w:t>用；</w:t>
      </w:r>
      <w:r>
        <w:rPr>
          <w:rFonts w:ascii="Times New Roman" w:hAnsi="Times New Roman" w:cs="Times New Roman" w:eastAsia="Times New Roman" w:hint="default"/>
        </w:rPr>
        <w:t>(2) </w:t>
      </w:r>
      <w:r>
        <w:rPr/>
        <w:t>与在活跃市场中没有报价、公允价值不能可靠计量的权益工具挂钩并须通过交付该权益工具结算</w:t>
      </w:r>
      <w:r>
        <w:rPr>
          <w:spacing w:val="-82"/>
        </w:rPr>
        <w:t> </w:t>
      </w:r>
      <w:r>
        <w:rPr>
          <w:spacing w:val="-82"/>
        </w:rPr>
      </w:r>
      <w:r>
        <w:rPr/>
        <w:t>的衍生金融负债，按照成本计量；</w:t>
      </w:r>
      <w:r>
        <w:rPr>
          <w:rFonts w:ascii="Times New Roman" w:hAnsi="Times New Roman" w:cs="Times New Roman" w:eastAsia="Times New Roman" w:hint="default"/>
        </w:rPr>
        <w:t>(3) </w:t>
      </w:r>
      <w:r>
        <w:rPr/>
        <w:t>不属于指定为以公允价值计量且其变动计入当期损益的金融负债的</w:t>
      </w:r>
      <w:r>
        <w:rPr>
          <w:spacing w:val="-78"/>
        </w:rPr>
        <w:t> </w:t>
      </w:r>
      <w:r>
        <w:rPr>
          <w:spacing w:val="3"/>
        </w:rPr>
        <w:t>财务担保合同，或没有指定为以公允价值计量且其变动计入当期损益并将以低于市场利率贷款的贷款承</w:t>
      </w:r>
      <w:r>
        <w:rPr>
          <w:spacing w:val="-78"/>
        </w:rPr>
        <w:t> </w:t>
      </w:r>
      <w:r>
        <w:rPr>
          <w:spacing w:val="-78"/>
        </w:rPr>
      </w:r>
      <w:r>
        <w:rPr>
          <w:spacing w:val="-2"/>
        </w:rPr>
        <w:t>诺，在初始确认后按照下列两项金额之中的较高者进行后续计量：</w:t>
      </w:r>
      <w:r>
        <w:rPr>
          <w:rFonts w:ascii="Times New Roman" w:hAnsi="Times New Roman" w:cs="Times New Roman" w:eastAsia="Times New Roman" w:hint="default"/>
          <w:spacing w:val="-2"/>
        </w:rPr>
        <w:t>1)</w:t>
      </w:r>
      <w:r>
        <w:rPr>
          <w:rFonts w:ascii="Times New Roman" w:hAnsi="Times New Roman" w:cs="Times New Roman" w:eastAsia="Times New Roman" w:hint="default"/>
        </w:rPr>
        <w:t> </w:t>
      </w:r>
      <w:r>
        <w:rPr>
          <w:spacing w:val="-2"/>
        </w:rPr>
        <w:t>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spacing w:val="-2"/>
        </w:rPr>
        <w:t>或有</w:t>
      </w:r>
      <w:r>
        <w:rPr>
          <w:spacing w:val="-101"/>
        </w:rPr>
        <w:t> </w:t>
      </w:r>
      <w:r>
        <w:rPr>
          <w:spacing w:val="-4"/>
        </w:rPr>
        <w:t>事项》确定的金额；</w:t>
      </w:r>
      <w:r>
        <w:rPr>
          <w:rFonts w:ascii="Times New Roman" w:hAnsi="Times New Roman" w:cs="Times New Roman" w:eastAsia="Times New Roman" w:hint="default"/>
          <w:spacing w:val="-4"/>
        </w:rPr>
        <w:t>2)</w:t>
      </w:r>
      <w:r>
        <w:rPr>
          <w:rFonts w:ascii="Times New Roman" w:hAnsi="Times New Roman" w:cs="Times New Roman" w:eastAsia="Times New Roman" w:hint="default"/>
          <w:spacing w:val="7"/>
        </w:rPr>
        <w:t> </w:t>
      </w:r>
      <w:r>
        <w:rPr/>
        <w:t>初始确认金额扣除按照《企业会计准则第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收入》的原则确定的累积摊销额 后的余额。</w:t>
      </w:r>
    </w:p>
    <w:p>
      <w:pPr>
        <w:pStyle w:val="BodyText"/>
        <w:spacing w:line="266" w:lineRule="auto" w:before="18"/>
        <w:ind w:right="191" w:firstLine="420"/>
        <w:jc w:val="both"/>
      </w:pPr>
      <w:r>
        <w:rPr>
          <w:spacing w:val="-2"/>
        </w:rPr>
        <w:t>金融资产或金融负债公允价值变动形成的利得或损失，除与套期保值有关外，按照如下方法处理：</w:t>
      </w:r>
      <w:r>
        <w:rPr>
          <w:rFonts w:ascii="Times New Roman" w:hAnsi="Times New Roman" w:cs="Times New Roman" w:eastAsia="Times New Roman" w:hint="default"/>
          <w:spacing w:val="-2"/>
        </w:rPr>
        <w:t>(1)</w:t>
      </w:r>
      <w:r>
        <w:rPr>
          <w:rFonts w:ascii="Times New Roman" w:hAnsi="Times New Roman" w:cs="Times New Roman" w:eastAsia="Times New Roman" w:hint="default"/>
        </w:rPr>
        <w:t> </w:t>
      </w:r>
      <w:r>
        <w:rPr>
          <w:spacing w:val="-1"/>
        </w:rPr>
        <w:t>以公允价值计量且其变动计入当期损益的金融资产或金融负债公允价值变动形成的利得或损失，计入公允</w:t>
      </w:r>
      <w:r>
        <w:rPr>
          <w:spacing w:val="-81"/>
        </w:rPr>
        <w:t> </w:t>
      </w:r>
      <w:r>
        <w:rPr>
          <w:spacing w:val="-81"/>
        </w:rPr>
      </w:r>
      <w:r>
        <w:rPr>
          <w:spacing w:val="-1"/>
        </w:rPr>
        <w:t>价值变动收益；在资产持有期间所取得的利息或现金股利，确认为投资收益；处置时，将实际收到的金额</w:t>
      </w:r>
      <w:r>
        <w:rPr>
          <w:spacing w:val="-82"/>
        </w:rPr>
        <w:t> </w:t>
      </w:r>
      <w:r>
        <w:rPr>
          <w:spacing w:val="-82"/>
        </w:rPr>
      </w:r>
      <w:r>
        <w:rPr/>
        <w:t>与初始入账金额之间的差额确认为投资收益，同时调整公允价值变动收益。</w:t>
      </w:r>
      <w:r>
        <w:rPr>
          <w:rFonts w:ascii="Times New Roman" w:hAnsi="Times New Roman" w:cs="Times New Roman" w:eastAsia="Times New Roman" w:hint="default"/>
        </w:rPr>
        <w:t>(2) </w:t>
      </w:r>
      <w:r>
        <w:rPr/>
        <w:t>可供出售金融资产的公允</w:t>
      </w:r>
      <w:r>
        <w:rPr>
          <w:spacing w:val="-77"/>
        </w:rPr>
        <w:t> </w:t>
      </w:r>
      <w:r>
        <w:rPr>
          <w:spacing w:val="-1"/>
        </w:rPr>
        <w:t>价值变动计入其他综合收益；持有期间按实际利率法计算的利息，计入投资收益；可供出售权益工具投资</w:t>
      </w:r>
      <w:r>
        <w:rPr>
          <w:spacing w:val="-83"/>
        </w:rPr>
        <w:t> </w:t>
      </w:r>
      <w:r>
        <w:rPr>
          <w:spacing w:val="-83"/>
        </w:rPr>
      </w:r>
      <w:r>
        <w:rPr>
          <w:spacing w:val="-1"/>
        </w:rPr>
        <w:t>的现金股利，于被投资单位宣告发放股利时计入投资收益；处置时，将实际收到的金额与账面价值扣除原</w:t>
      </w:r>
      <w:r>
        <w:rPr>
          <w:spacing w:val="-83"/>
        </w:rPr>
        <w:t> </w:t>
      </w:r>
      <w:r>
        <w:rPr>
          <w:spacing w:val="-83"/>
        </w:rPr>
      </w:r>
      <w:r>
        <w:rPr/>
        <w:t>直接计入其他综合收益的公允价值变动累计额之后的差额确认为投资收益。</w:t>
      </w:r>
    </w:p>
    <w:p>
      <w:pPr>
        <w:pStyle w:val="BodyText"/>
        <w:spacing w:line="273" w:lineRule="auto" w:before="14"/>
        <w:ind w:right="187" w:firstLine="420"/>
        <w:jc w:val="both"/>
      </w:pPr>
      <w:r>
        <w:rPr>
          <w:spacing w:val="3"/>
        </w:rPr>
        <w:t>当收取某项金融资产现金流量的合同权利已终止或该金融资产所有权上几乎所有的风险和报酬已转</w:t>
      </w:r>
      <w:r>
        <w:rPr/>
        <w:t> </w:t>
      </w:r>
      <w:r>
        <w:rPr>
          <w:spacing w:val="-1"/>
        </w:rPr>
        <w:t>移时，终止确认该金融资产；当金融负债的现时义务全部或部分解除时，相应终止确认该金融负债或其一</w:t>
      </w:r>
      <w:r>
        <w:rPr>
          <w:spacing w:val="-83"/>
        </w:rPr>
        <w:t> </w:t>
      </w:r>
      <w:r>
        <w:rPr>
          <w:spacing w:val="-83"/>
        </w:rPr>
      </w:r>
      <w:r>
        <w:rPr/>
        <w:t>部分。</w:t>
      </w:r>
    </w:p>
    <w:p>
      <w:pPr>
        <w:pStyle w:val="BodyText"/>
        <w:spacing w:line="256" w:lineRule="auto" w:before="7"/>
        <w:ind w:left="574" w:right="9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金融资产转移的确认依据和计量方法 </w:t>
      </w:r>
      <w:r>
        <w:rPr>
          <w:spacing w:val="-1"/>
        </w:rPr>
        <w:t>公司已将金融资产所有权上几乎所有的风险和报酬转移给了转入方的，终止确认该金融资产；保留了</w:t>
      </w:r>
    </w:p>
    <w:p>
      <w:pPr>
        <w:pStyle w:val="BodyText"/>
        <w:spacing w:line="261" w:lineRule="auto" w:before="22"/>
        <w:ind w:right="189"/>
        <w:jc w:val="both"/>
      </w:pPr>
      <w:r>
        <w:rPr>
          <w:spacing w:val="-1"/>
        </w:rPr>
        <w:t>金融资产所有权上几乎所有的风险和报酬的，继续确认所转移的金融资产，并将收到的对价确认为一项金</w:t>
      </w:r>
      <w:r>
        <w:rPr>
          <w:spacing w:val="-81"/>
        </w:rPr>
        <w:t> </w:t>
      </w:r>
      <w:r>
        <w:rPr>
          <w:spacing w:val="-81"/>
        </w:rPr>
      </w:r>
      <w:r>
        <w:rPr>
          <w:spacing w:val="-2"/>
        </w:rPr>
        <w:t>融负债。公司既没有转移也没有保留金融资产所有权上几乎所有的风险和报酬的，分别下列情况处理：</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7"/>
        </w:rPr>
        <w:t> </w:t>
      </w:r>
      <w:r>
        <w:rPr/>
        <w:t>放弃了对该金融资产控制的，终止确认该金融资产；</w:t>
      </w:r>
      <w:r>
        <w:rPr>
          <w:rFonts w:ascii="Times New Roman" w:hAnsi="Times New Roman" w:cs="Times New Roman" w:eastAsia="Times New Roman" w:hint="default"/>
        </w:rPr>
        <w:t>(2) </w:t>
      </w:r>
      <w:r>
        <w:rPr/>
        <w:t>未放弃对该金融资产控制的，按照继续涉入所转</w:t>
      </w:r>
      <w:r>
        <w:rPr>
          <w:spacing w:val="-79"/>
        </w:rPr>
        <w:t> </w:t>
      </w:r>
      <w:r>
        <w:rPr/>
        <w:t>移金融资产的程度确认有关金融资产，并相应确认有关负债。</w:t>
      </w:r>
    </w:p>
    <w:p>
      <w:pPr>
        <w:pStyle w:val="BodyText"/>
        <w:spacing w:line="261" w:lineRule="auto" w:before="18"/>
        <w:ind w:right="188" w:firstLine="419"/>
        <w:jc w:val="both"/>
      </w:pPr>
      <w:r>
        <w:rPr/>
        <w:t>金融资产整体转移满足终止确认条件的，将下列两项金额的差额计入当期损益：</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t>所转移金融资产</w:t>
      </w:r>
      <w:r>
        <w:rPr>
          <w:spacing w:val="1"/>
        </w:rPr>
        <w:t> </w:t>
      </w:r>
      <w:r>
        <w:rPr/>
        <w:t>的账面价值；</w:t>
      </w:r>
      <w:r>
        <w:rPr>
          <w:rFonts w:ascii="Times New Roman" w:hAnsi="Times New Roman" w:cs="Times New Roman" w:eastAsia="Times New Roman" w:hint="default"/>
        </w:rPr>
        <w:t>(2) </w:t>
      </w:r>
      <w:r>
        <w:rPr/>
        <w:t>因转移而收到的对价，与原直接计入所有者权益的公允价值变动累计额之和。金融资产</w:t>
      </w:r>
      <w:r>
        <w:rPr>
          <w:spacing w:val="-81"/>
        </w:rPr>
        <w:t> </w:t>
      </w:r>
      <w:r>
        <w:rPr>
          <w:spacing w:val="-81"/>
        </w:rPr>
      </w:r>
      <w:r>
        <w:rPr>
          <w:spacing w:val="-1"/>
        </w:rPr>
        <w:t>部分转移满足终止确认条件的，将所转移金融资产整体的账面价值，在终止确认部分和未终止确认部分之</w:t>
      </w:r>
      <w:r>
        <w:rPr>
          <w:spacing w:val="-81"/>
        </w:rPr>
        <w:t> </w:t>
      </w:r>
      <w:r>
        <w:rPr>
          <w:spacing w:val="-81"/>
        </w:rPr>
      </w:r>
      <w:r>
        <w:rPr/>
        <w:t>间，按照各自的相对公允价值进行分摊，并将下列两项金额的差额计入当期损益：</w:t>
      </w:r>
      <w:r>
        <w:rPr>
          <w:rFonts w:ascii="Times New Roman" w:hAnsi="Times New Roman" w:cs="Times New Roman" w:eastAsia="Times New Roman" w:hint="default"/>
        </w:rPr>
        <w:t>(1) </w:t>
      </w:r>
      <w:r>
        <w:rPr>
          <w:rFonts w:ascii="Times New Roman" w:hAnsi="Times New Roman" w:cs="Times New Roman" w:eastAsia="Times New Roman" w:hint="default"/>
          <w:spacing w:val="34"/>
        </w:rPr>
        <w:t> </w:t>
      </w:r>
      <w:r>
        <w:rPr/>
        <w:t>终止确认部分的账</w:t>
      </w:r>
    </w:p>
    <w:p>
      <w:pPr>
        <w:spacing w:after="0" w:line="261" w:lineRule="auto"/>
        <w:jc w:val="both"/>
        <w:sectPr>
          <w:pgSz w:w="11910" w:h="16840"/>
          <w:pgMar w:header="747" w:footer="982" w:top="1060" w:bottom="1180" w:left="980" w:right="940"/>
        </w:sectPr>
      </w:pPr>
    </w:p>
    <w:p>
      <w:pPr>
        <w:spacing w:line="240" w:lineRule="auto" w:before="9"/>
        <w:rPr>
          <w:rFonts w:ascii="宋体" w:hAnsi="宋体" w:cs="宋体" w:eastAsia="宋体" w:hint="default"/>
          <w:sz w:val="24"/>
          <w:szCs w:val="24"/>
        </w:rPr>
      </w:pPr>
    </w:p>
    <w:p>
      <w:pPr>
        <w:pStyle w:val="BodyText"/>
        <w:spacing w:line="256" w:lineRule="auto" w:before="35"/>
        <w:ind w:right="102" w:hanging="1"/>
        <w:jc w:val="left"/>
      </w:pPr>
      <w:r>
        <w:rPr/>
        <w:t>面价值；</w:t>
      </w:r>
      <w:r>
        <w:rPr>
          <w:rFonts w:ascii="Times New Roman" w:hAnsi="Times New Roman" w:cs="Times New Roman" w:eastAsia="Times New Roman" w:hint="default"/>
        </w:rPr>
        <w:t>(2) </w:t>
      </w:r>
      <w:r>
        <w:rPr/>
        <w:t>终止确认部分的对价，与原直接计入所有者权益的公允价值变动累计额中对应终止确认部分</w:t>
      </w:r>
      <w:r>
        <w:rPr>
          <w:spacing w:val="-81"/>
        </w:rPr>
        <w:t> </w:t>
      </w:r>
      <w:r>
        <w:rPr>
          <w:spacing w:val="-81"/>
        </w:rPr>
      </w:r>
      <w:r>
        <w:rPr/>
        <w:t>的金额之和。</w:t>
      </w:r>
    </w:p>
    <w:p>
      <w:pPr>
        <w:pStyle w:val="BodyText"/>
        <w:spacing w:line="256" w:lineRule="auto" w:before="22"/>
        <w:ind w:left="574" w:right="102"/>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1"/>
        </w:rPr>
        <w:t> </w:t>
      </w:r>
      <w:r>
        <w:rPr/>
        <w:t>金融资产和金融负债的公允价值确定方法 </w:t>
      </w:r>
      <w:r>
        <w:rPr>
          <w:spacing w:val="3"/>
        </w:rPr>
        <w:t>公司采用在当前情况下适用并且有足够可利用数据和其他信息支持的估值技术确定相关金融资产和</w:t>
      </w:r>
    </w:p>
    <w:p>
      <w:pPr>
        <w:pStyle w:val="BodyText"/>
        <w:spacing w:line="240" w:lineRule="auto" w:before="22"/>
        <w:ind w:right="102"/>
        <w:jc w:val="left"/>
      </w:pPr>
      <w:r>
        <w:rPr/>
        <w:t>金融负债的公允价值。公司将估值技术使用的输入值分以下层级，并依次使用：</w:t>
      </w:r>
    </w:p>
    <w:p>
      <w:pPr>
        <w:pStyle w:val="BodyText"/>
        <w:spacing w:line="240" w:lineRule="auto" w:before="37"/>
        <w:ind w:left="574" w:right="10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第一层次输入值是在计量日能够取得的相同资产或负债在活跃市场上未经调整的报价；</w:t>
      </w:r>
    </w:p>
    <w:p>
      <w:pPr>
        <w:pStyle w:val="BodyText"/>
        <w:spacing w:line="264" w:lineRule="auto" w:before="21"/>
        <w:ind w:right="208"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4"/>
        </w:rPr>
        <w:t> </w:t>
      </w:r>
      <w:r>
        <w:rPr/>
        <w:t>第二层次输入值是除第一层次输入值外相关资产或负债直接或间接可观察的输入值，包括：活跃</w:t>
      </w:r>
      <w:r>
        <w:rPr>
          <w:spacing w:val="1"/>
        </w:rPr>
        <w:t> </w:t>
      </w:r>
      <w:r>
        <w:rPr>
          <w:spacing w:val="-1"/>
        </w:rPr>
        <w:t>市场中类似资产或负债的报价；非活跃市场中相同或类似资产或负债的报价；除报价以外的其他可观察输</w:t>
      </w:r>
      <w:r>
        <w:rPr>
          <w:spacing w:val="-81"/>
        </w:rPr>
        <w:t> </w:t>
      </w:r>
      <w:r>
        <w:rPr>
          <w:spacing w:val="-81"/>
        </w:rPr>
      </w:r>
      <w:r>
        <w:rPr/>
        <w:t>入值，如在正常报价间隔期间可观察的利率和收益率曲线等；市场验证的输入值等；</w:t>
      </w:r>
    </w:p>
    <w:p>
      <w:pPr>
        <w:pStyle w:val="BodyText"/>
        <w:spacing w:line="264" w:lineRule="auto" w:before="16"/>
        <w:ind w:right="208"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24"/>
        </w:rPr>
        <w:t> </w:t>
      </w:r>
      <w:r>
        <w:rPr/>
        <w:t>第三层次输入值是相关资产或负债的不可观察输入值，包括不能直接观察或无法由可观察市场数</w:t>
      </w:r>
      <w:r>
        <w:rPr>
          <w:spacing w:val="1"/>
        </w:rPr>
        <w:t> </w:t>
      </w:r>
      <w:r>
        <w:rPr>
          <w:spacing w:val="-1"/>
        </w:rPr>
        <w:t>据验证的利率、股票波动率、企业合并中承担的弃置义务的未来现金流量、使用自身数据作出的财务预测</w:t>
      </w:r>
      <w:r>
        <w:rPr>
          <w:spacing w:val="-83"/>
        </w:rPr>
        <w:t> </w:t>
      </w:r>
      <w:r>
        <w:rPr>
          <w:spacing w:val="-83"/>
        </w:rPr>
      </w:r>
      <w:r>
        <w:rPr/>
        <w:t>等。</w:t>
      </w:r>
    </w:p>
    <w:p>
      <w:pPr>
        <w:pStyle w:val="BodyText"/>
        <w:spacing w:line="240" w:lineRule="auto" w:before="16"/>
        <w:ind w:left="574" w:right="102"/>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9"/>
        </w:rPr>
        <w:t> </w:t>
      </w:r>
      <w:r>
        <w:rPr/>
        <w:t>金融资产的减值测试和减值准备计提方法</w:t>
      </w:r>
    </w:p>
    <w:p>
      <w:pPr>
        <w:pStyle w:val="BodyText"/>
        <w:spacing w:line="256" w:lineRule="auto" w:before="21"/>
        <w:ind w:right="208"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资产负债表日对以公允价值计量且其变动计入当期损益的金融资产以外的金融资产的账面价值进</w:t>
      </w:r>
      <w:r>
        <w:rPr>
          <w:spacing w:val="1"/>
        </w:rPr>
        <w:t> </w:t>
      </w:r>
      <w:r>
        <w:rPr/>
        <w:t>行检查，如有客观证据表明该金融资产发生减值的，计提减值准备。</w:t>
      </w:r>
    </w:p>
    <w:p>
      <w:pPr>
        <w:pStyle w:val="BodyText"/>
        <w:spacing w:line="264" w:lineRule="auto" w:before="22"/>
        <w:ind w:left="153" w:right="102"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对于持有至到期投资、贷款和应收款，先将单项金额重大的金融资产区分开来，单独进行减值测 </w:t>
      </w:r>
      <w:r>
        <w:rPr>
          <w:spacing w:val="-1"/>
        </w:rPr>
        <w:t>试；对单项金额不重大的金融资产，可以单独进行减值测试，或包括在具有类似信用风险特征的金融资产</w:t>
      </w:r>
      <w:r>
        <w:rPr>
          <w:spacing w:val="-83"/>
        </w:rPr>
        <w:t> </w:t>
      </w:r>
      <w:r>
        <w:rPr>
          <w:spacing w:val="-83"/>
        </w:rPr>
      </w:r>
      <w:r>
        <w:rPr/>
        <w:t>组合中进行减值测试；单独测试未发生减值的金融资产</w:t>
      </w:r>
      <w:r>
        <w:rPr>
          <w:rFonts w:ascii="Times New Roman" w:hAnsi="Times New Roman" w:cs="Times New Roman" w:eastAsia="Times New Roman" w:hint="default"/>
        </w:rPr>
        <w:t>(</w:t>
      </w:r>
      <w:r>
        <w:rPr/>
        <w:t>包括单项金额重大和不重大的金融资产</w:t>
      </w:r>
      <w:r>
        <w:rPr>
          <w:rFonts w:ascii="Times New Roman" w:hAnsi="Times New Roman" w:cs="Times New Roman" w:eastAsia="Times New Roman" w:hint="default"/>
        </w:rPr>
        <w:t>)</w:t>
      </w:r>
      <w:r>
        <w:rPr/>
        <w:t>，包括在 </w:t>
      </w:r>
      <w:r>
        <w:rPr>
          <w:spacing w:val="-1"/>
        </w:rPr>
        <w:t>具有类似信用风险特征的金融资产组合中再进行减值测试。测试结果表明其发生了减值的，根据其账面价</w:t>
      </w:r>
      <w:r>
        <w:rPr>
          <w:spacing w:val="-81"/>
        </w:rPr>
        <w:t> </w:t>
      </w:r>
      <w:r>
        <w:rPr>
          <w:spacing w:val="-81"/>
        </w:rPr>
      </w:r>
      <w:r>
        <w:rPr/>
        <w:t>值高于预计未来现金流量现值的差额确认减值损失。</w:t>
      </w:r>
    </w:p>
    <w:p>
      <w:pPr>
        <w:pStyle w:val="BodyText"/>
        <w:spacing w:line="240" w:lineRule="auto" w:before="16"/>
        <w:ind w:left="573" w:right="10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t>可供出售金融资产</w:t>
      </w:r>
    </w:p>
    <w:p>
      <w:pPr>
        <w:pStyle w:val="BodyText"/>
        <w:spacing w:line="240" w:lineRule="auto" w:before="21"/>
        <w:ind w:left="574" w:right="10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表明可供出售债务工具投资发生减值的客观证据包括：</w:t>
      </w:r>
    </w:p>
    <w:p>
      <w:pPr>
        <w:pStyle w:val="BodyText"/>
        <w:spacing w:line="240" w:lineRule="auto" w:before="21"/>
        <w:ind w:left="573" w:right="102"/>
        <w:jc w:val="left"/>
      </w:pPr>
      <w:r>
        <w:rPr/>
        <w:t>①</w:t>
      </w:r>
      <w:r>
        <w:rPr>
          <w:spacing w:val="-21"/>
        </w:rPr>
        <w:t> </w:t>
      </w:r>
      <w:r>
        <w:rPr/>
        <w:t>债务人发生严重财务困难；</w:t>
      </w:r>
    </w:p>
    <w:p>
      <w:pPr>
        <w:pStyle w:val="BodyText"/>
        <w:spacing w:line="240" w:lineRule="auto" w:before="37"/>
        <w:ind w:left="573" w:right="102"/>
        <w:jc w:val="left"/>
      </w:pPr>
      <w:r>
        <w:rPr/>
        <w:t>②</w:t>
      </w:r>
      <w:r>
        <w:rPr>
          <w:spacing w:val="-21"/>
        </w:rPr>
        <w:t> </w:t>
      </w:r>
      <w:r>
        <w:rPr/>
        <w:t>债务人违反了合同条款，如偿付利息或本金发生违约或逾期；</w:t>
      </w:r>
    </w:p>
    <w:p>
      <w:pPr>
        <w:pStyle w:val="BodyText"/>
        <w:spacing w:line="240" w:lineRule="auto" w:before="37"/>
        <w:ind w:left="573" w:right="102"/>
        <w:jc w:val="left"/>
      </w:pPr>
      <w:r>
        <w:rPr/>
        <w:t>③</w:t>
      </w:r>
      <w:r>
        <w:rPr>
          <w:spacing w:val="-21"/>
        </w:rPr>
        <w:t> </w:t>
      </w:r>
      <w:r>
        <w:rPr/>
        <w:t>公司出于经济或法律等方面因素的考虑，对发生财务困难的债务人作出让步；</w:t>
      </w:r>
    </w:p>
    <w:p>
      <w:pPr>
        <w:pStyle w:val="BodyText"/>
        <w:spacing w:line="240" w:lineRule="auto" w:before="37"/>
        <w:ind w:left="573" w:right="102"/>
        <w:jc w:val="left"/>
      </w:pPr>
      <w:r>
        <w:rPr/>
        <w:t>④</w:t>
      </w:r>
      <w:r>
        <w:rPr>
          <w:spacing w:val="-21"/>
        </w:rPr>
        <w:t> </w:t>
      </w:r>
      <w:r>
        <w:rPr/>
        <w:t>债务人很可能倒闭或进行其他财务重组；</w:t>
      </w:r>
    </w:p>
    <w:p>
      <w:pPr>
        <w:pStyle w:val="BodyText"/>
        <w:spacing w:line="240" w:lineRule="auto" w:before="37"/>
        <w:ind w:left="573" w:right="102"/>
        <w:jc w:val="left"/>
      </w:pPr>
      <w:r>
        <w:rPr/>
        <w:t>⑤</w:t>
      </w:r>
      <w:r>
        <w:rPr>
          <w:spacing w:val="-21"/>
        </w:rPr>
        <w:t> </w:t>
      </w:r>
      <w:r>
        <w:rPr/>
        <w:t>因债务人发生重大财务困难，该债务工具无法在活跃市场继续交易；</w:t>
      </w:r>
    </w:p>
    <w:p>
      <w:pPr>
        <w:pStyle w:val="BodyText"/>
        <w:spacing w:line="240" w:lineRule="auto" w:before="37"/>
        <w:ind w:left="573" w:right="102"/>
        <w:jc w:val="left"/>
      </w:pPr>
      <w:r>
        <w:rPr/>
        <w:t>⑥</w:t>
      </w:r>
      <w:r>
        <w:rPr>
          <w:spacing w:val="-21"/>
        </w:rPr>
        <w:t> </w:t>
      </w:r>
      <w:r>
        <w:rPr/>
        <w:t>其他表明可供出售债务工具已经发生减值的情况。</w:t>
      </w:r>
    </w:p>
    <w:p>
      <w:pPr>
        <w:pStyle w:val="BodyText"/>
        <w:spacing w:line="264" w:lineRule="auto" w:before="37"/>
        <w:ind w:left="153" w:right="204"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spacing w:val="2"/>
        </w:rPr>
        <w:t>表明可供出售权益工具投资发生减值的客观证据包括权益工具投资的公允价值发生严重或非暂时</w:t>
      </w:r>
      <w:r>
        <w:rPr>
          <w:spacing w:val="3"/>
        </w:rPr>
        <w:t> </w:t>
      </w:r>
      <w:r>
        <w:rPr>
          <w:spacing w:val="-1"/>
        </w:rPr>
        <w:t>性下跌，以及被投资单位经营所处的技术、市场、经济或法律环境等发生重大不利变化使公司可能无法收</w:t>
      </w:r>
      <w:r>
        <w:rPr>
          <w:spacing w:val="-83"/>
        </w:rPr>
        <w:t> </w:t>
      </w:r>
      <w:r>
        <w:rPr>
          <w:spacing w:val="-83"/>
        </w:rPr>
      </w:r>
      <w:r>
        <w:rPr/>
        <w:t>回投资成本。</w:t>
      </w:r>
    </w:p>
    <w:p>
      <w:pPr>
        <w:pStyle w:val="BodyText"/>
        <w:spacing w:line="264" w:lineRule="auto" w:before="16"/>
        <w:ind w:left="153" w:right="207" w:firstLine="420"/>
        <w:jc w:val="both"/>
      </w:pPr>
      <w:r>
        <w:rPr>
          <w:spacing w:val="-1"/>
        </w:rPr>
        <w:t>本公司于资产负债表日对各项可供出售权益工具投资单独进行检查。对于以公允价值计量的权益工具</w:t>
      </w:r>
      <w:r>
        <w:rPr/>
        <w:t> 投资，若其于资产负债表日的公允价值低于其成本超过</w:t>
      </w:r>
      <w:r>
        <w:rPr>
          <w:rFonts w:ascii="Times New Roman" w:hAnsi="Times New Roman" w:cs="Times New Roman" w:eastAsia="Times New Roman" w:hint="default"/>
        </w:rPr>
        <w:t>50%(</w:t>
      </w:r>
      <w:r>
        <w:rPr/>
        <w:t>含</w:t>
      </w:r>
      <w:r>
        <w:rPr>
          <w:rFonts w:ascii="Times New Roman" w:hAnsi="Times New Roman" w:cs="Times New Roman" w:eastAsia="Times New Roman" w:hint="default"/>
        </w:rPr>
        <w:t>50%)</w:t>
      </w:r>
      <w:r>
        <w:rPr/>
        <w:t>或低于其成本持续时间超过</w:t>
      </w:r>
      <w:r>
        <w:rPr>
          <w:rFonts w:ascii="Times New Roman" w:hAnsi="Times New Roman" w:cs="Times New Roman" w:eastAsia="Times New Roman" w:hint="default"/>
        </w:rPr>
        <w:t>12</w:t>
      </w:r>
      <w:r>
        <w:rPr/>
        <w:t>个月</w:t>
      </w:r>
      <w:r>
        <w:rPr>
          <w:rFonts w:ascii="Times New Roman" w:hAnsi="Times New Roman" w:cs="Times New Roman" w:eastAsia="Times New Roman" w:hint="default"/>
        </w:rPr>
        <w:t>(</w:t>
      </w:r>
      <w:r>
        <w:rPr/>
        <w:t>含</w:t>
      </w:r>
      <w:r>
        <w:rPr>
          <w:spacing w:val="-69"/>
        </w:rPr>
        <w:t> </w:t>
      </w:r>
      <w:r>
        <w:rPr>
          <w:rFonts w:ascii="Times New Roman" w:hAnsi="Times New Roman" w:cs="Times New Roman" w:eastAsia="Times New Roman" w:hint="default"/>
        </w:rPr>
        <w:t>12</w:t>
      </w:r>
      <w:r>
        <w:rPr/>
        <w:t>个月</w:t>
      </w:r>
      <w:r>
        <w:rPr>
          <w:rFonts w:ascii="Times New Roman" w:hAnsi="Times New Roman" w:cs="Times New Roman" w:eastAsia="Times New Roman" w:hint="default"/>
        </w:rPr>
        <w:t>)</w:t>
      </w:r>
      <w:r>
        <w:rPr/>
        <w:t>的，则表明其发生减值；若其于资产负债表日的公允价值低于其成本超过</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但尚未达到</w:t>
      </w:r>
    </w:p>
    <w:p>
      <w:pPr>
        <w:pStyle w:val="BodyText"/>
        <w:spacing w:line="264" w:lineRule="auto"/>
        <w:ind w:right="102" w:hanging="1"/>
        <w:jc w:val="left"/>
      </w:pPr>
      <w:r>
        <w:rPr>
          <w:rFonts w:ascii="Times New Roman" w:hAnsi="Times New Roman" w:cs="Times New Roman" w:eastAsia="Times New Roman" w:hint="default"/>
          <w:spacing w:val="-1"/>
        </w:rPr>
        <w:t>50%</w:t>
      </w:r>
      <w:r>
        <w:rPr>
          <w:spacing w:val="-1"/>
        </w:rPr>
        <w:t>的，或低于其成本持续时间超过</w:t>
      </w:r>
      <w:r>
        <w:rPr>
          <w:rFonts w:ascii="Times New Roman" w:hAnsi="Times New Roman" w:cs="Times New Roman" w:eastAsia="Times New Roman" w:hint="default"/>
          <w:spacing w:val="-1"/>
        </w:rPr>
        <w:t>6</w:t>
      </w:r>
      <w:r>
        <w:rPr>
          <w:spacing w:val="-1"/>
        </w:rPr>
        <w:t>个月</w:t>
      </w:r>
      <w:r>
        <w:rPr>
          <w:rFonts w:ascii="Times New Roman" w:hAnsi="Times New Roman" w:cs="Times New Roman" w:eastAsia="Times New Roman" w:hint="default"/>
          <w:spacing w:val="-1"/>
        </w:rPr>
        <w:t>(</w:t>
      </w:r>
      <w:r>
        <w:rPr>
          <w:spacing w:val="-1"/>
        </w:rPr>
        <w:t>含</w:t>
      </w:r>
      <w:r>
        <w:rPr>
          <w:rFonts w:ascii="Times New Roman" w:hAnsi="Times New Roman" w:cs="Times New Roman" w:eastAsia="Times New Roman" w:hint="default"/>
          <w:spacing w:val="-1"/>
        </w:rPr>
        <w:t>6</w:t>
      </w:r>
      <w:r>
        <w:rPr>
          <w:spacing w:val="-1"/>
        </w:rPr>
        <w:t>个月</w:t>
      </w:r>
      <w:r>
        <w:rPr>
          <w:rFonts w:ascii="Times New Roman" w:hAnsi="Times New Roman" w:cs="Times New Roman" w:eastAsia="Times New Roman" w:hint="default"/>
          <w:spacing w:val="-1"/>
        </w:rPr>
        <w:t>)</w:t>
      </w:r>
      <w:r>
        <w:rPr>
          <w:spacing w:val="-1"/>
        </w:rPr>
        <w:t>但未超过</w:t>
      </w:r>
      <w:r>
        <w:rPr>
          <w:rFonts w:ascii="Times New Roman" w:hAnsi="Times New Roman" w:cs="Times New Roman" w:eastAsia="Times New Roman" w:hint="default"/>
          <w:spacing w:val="-1"/>
        </w:rPr>
        <w:t>12</w:t>
      </w:r>
      <w:r>
        <w:rPr>
          <w:spacing w:val="-1"/>
        </w:rPr>
        <w:t>个月的，本公司会综合考虑其他相关因素，</w:t>
      </w:r>
      <w:r>
        <w:rPr>
          <w:spacing w:val="-82"/>
        </w:rPr>
        <w:t> </w:t>
      </w:r>
      <w:r>
        <w:rPr>
          <w:spacing w:val="-82"/>
        </w:rPr>
      </w:r>
      <w:r>
        <w:rPr/>
        <w:t>诸如价格波动率等，判断该权益工具投资是否发生减值。对于以成本计量的权益工具投资</w:t>
      </w:r>
      <w:r>
        <w:rPr>
          <w:rFonts w:ascii="宋体" w:hAnsi="宋体" w:cs="宋体" w:eastAsia="宋体" w:hint="default"/>
          <w:i/>
          <w:sz w:val="22"/>
          <w:szCs w:val="22"/>
        </w:rPr>
        <w:t>，</w:t>
      </w:r>
      <w:r>
        <w:rPr/>
        <w:t>公司综合考虑 被投资单位经营所处的技术、市场、经济或法律环境等是否发生重大不利变化，判断该权益工具是否发生 减值。</w:t>
      </w:r>
    </w:p>
    <w:p>
      <w:pPr>
        <w:pStyle w:val="BodyText"/>
        <w:spacing w:line="273" w:lineRule="auto" w:before="16"/>
        <w:ind w:right="209" w:firstLine="420"/>
        <w:jc w:val="both"/>
      </w:pPr>
      <w:r>
        <w:rPr>
          <w:spacing w:val="-1"/>
        </w:rPr>
        <w:t>以公允价值计量的可供出售金融资产发生减值时，原直接计入其他综合收益的因公允价值下降形成的</w:t>
      </w:r>
      <w:r>
        <w:rPr/>
        <w:t> </w:t>
      </w:r>
      <w:r>
        <w:rPr>
          <w:spacing w:val="-1"/>
        </w:rPr>
        <w:t>累计损失予以转出并计入减值损失。对已确认减值损失的可供出售债务工具投资，在期后公允价值回升且</w:t>
      </w:r>
      <w:r>
        <w:rPr>
          <w:spacing w:val="-81"/>
        </w:rPr>
        <w:t> </w:t>
      </w:r>
      <w:r>
        <w:rPr>
          <w:spacing w:val="-81"/>
        </w:rPr>
      </w:r>
      <w:r>
        <w:rPr>
          <w:spacing w:val="-1"/>
        </w:rPr>
        <w:t>客观上与确认原减值损失后发生的事项有关的，原确认的减值损失予以转回并计入当期损益。对已确认减</w:t>
      </w:r>
      <w:r>
        <w:rPr>
          <w:spacing w:val="-81"/>
        </w:rPr>
        <w:t> </w:t>
      </w:r>
      <w:r>
        <w:rPr>
          <w:spacing w:val="-81"/>
        </w:rPr>
      </w:r>
      <w:r>
        <w:rPr/>
        <w:t>值损失的可供出售权益工具投资，期后公允价值回升直接计入其他综合收益。</w:t>
      </w:r>
    </w:p>
    <w:p>
      <w:pPr>
        <w:pStyle w:val="BodyText"/>
        <w:spacing w:line="273" w:lineRule="auto" w:before="7"/>
        <w:ind w:right="209" w:firstLine="420"/>
        <w:jc w:val="both"/>
      </w:pPr>
      <w:r>
        <w:rPr>
          <w:spacing w:val="-1"/>
        </w:rPr>
        <w:t>以成本计量的可供出售权益工具发生减值时，将该权益工具投资的账面价值，与按照类似金融资产当</w:t>
      </w:r>
      <w:r>
        <w:rPr/>
        <w:t> </w:t>
      </w:r>
      <w:r>
        <w:rPr>
          <w:spacing w:val="-1"/>
        </w:rPr>
        <w:t>时市场收益率对未来现金流量折现确定的现值之间的差额，确认为减值损失，计入当期损益，发生的减值</w:t>
      </w:r>
    </w:p>
    <w:p>
      <w:pPr>
        <w:spacing w:after="0" w:line="273" w:lineRule="auto"/>
        <w:jc w:val="both"/>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损失一经确认，不予转回。</w:t>
      </w:r>
    </w:p>
    <w:p>
      <w:pPr>
        <w:spacing w:line="240" w:lineRule="auto" w:before="11"/>
        <w:rPr>
          <w:rFonts w:ascii="宋体" w:hAnsi="宋体" w:cs="宋体" w:eastAsia="宋体" w:hint="default"/>
          <w:sz w:val="25"/>
          <w:szCs w:val="25"/>
        </w:rPr>
      </w:pPr>
    </w:p>
    <w:p>
      <w:pPr>
        <w:pStyle w:val="Heading3"/>
        <w:spacing w:line="240" w:lineRule="auto" w:before="0"/>
        <w:ind w:left="153" w:right="0"/>
        <w:jc w:val="left"/>
        <w:rPr>
          <w:b w:val="0"/>
          <w:bCs w:val="0"/>
        </w:rPr>
      </w:pPr>
      <w:r>
        <w:rPr>
          <w:rFonts w:ascii="Times New Roman" w:hAnsi="Times New Roman" w:cs="Times New Roman" w:eastAsia="Times New Roman" w:hint="default"/>
        </w:rPr>
        <w:t>11</w:t>
      </w:r>
      <w:r>
        <w:rPr/>
        <w:t>、应收款项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left="153" w:right="0"/>
        <w:jc w:val="left"/>
        <w:rPr>
          <w:b w:val="0"/>
          <w:bCs w:val="0"/>
        </w:rPr>
      </w:pP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11"/>
              <w:jc w:val="left"/>
              <w:rPr>
                <w:rFonts w:ascii="宋体" w:hAnsi="宋体" w:cs="宋体" w:eastAsia="宋体" w:hint="default"/>
                <w:sz w:val="18"/>
                <w:szCs w:val="18"/>
              </w:rPr>
            </w:pPr>
            <w:r>
              <w:rPr>
                <w:rFonts w:ascii="宋体" w:hAnsi="宋体" w:cs="宋体" w:eastAsia="宋体" w:hint="default"/>
                <w:sz w:val="18"/>
                <w:szCs w:val="18"/>
              </w:rPr>
              <w:t>应收账款金额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万元以上且占应收账款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以上的款项、 其他应收款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万以上且占其他应收款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以上的款项。</w:t>
            </w:r>
          </w:p>
        </w:tc>
      </w:tr>
      <w:tr>
        <w:trPr>
          <w:trHeight w:val="714"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c>
      </w:tr>
    </w:tbl>
    <w:p>
      <w:pPr>
        <w:spacing w:line="240" w:lineRule="auto" w:before="2"/>
        <w:rPr>
          <w:rFonts w:ascii="宋体" w:hAnsi="宋体" w:cs="宋体" w:eastAsia="宋体" w:hint="default"/>
          <w:b/>
          <w:bCs/>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25"/>
              <w:jc w:val="left"/>
              <w:rPr>
                <w:rFonts w:ascii="Times New Roman" w:hAnsi="Times New Roman" w:cs="Times New Roman" w:eastAsia="Times New Roman" w:hint="default"/>
                <w:sz w:val="18"/>
                <w:szCs w:val="18"/>
              </w:rPr>
            </w:pPr>
            <w:r>
              <w:rPr>
                <w:rFonts w:ascii="宋体" w:hAnsi="宋体" w:cs="宋体" w:eastAsia="宋体" w:hint="default"/>
                <w:sz w:val="18"/>
                <w:szCs w:val="18"/>
              </w:rPr>
              <w:t>账龄组合① </w:t>
            </w:r>
            <w:r>
              <w:rPr>
                <w:rFonts w:ascii="Times New Roman" w:hAnsi="Times New Roman" w:cs="Times New Roman" w:eastAsia="Times New Roman" w:hint="default"/>
                <w:sz w:val="18"/>
                <w:szCs w:val="18"/>
              </w:rPr>
              <w:t>(</w:t>
            </w:r>
            <w:r>
              <w:rPr>
                <w:rFonts w:ascii="宋体" w:hAnsi="宋体" w:cs="宋体" w:eastAsia="宋体" w:hint="default"/>
                <w:sz w:val="18"/>
                <w:szCs w:val="18"/>
              </w:rPr>
              <w:t>节能大功率电力电子产品 业务</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账龄组合② </w:t>
            </w:r>
            <w:r>
              <w:rPr>
                <w:rFonts w:ascii="Times New Roman" w:hAnsi="Times New Roman" w:cs="Times New Roman" w:eastAsia="Times New Roman" w:hint="default"/>
                <w:sz w:val="18"/>
                <w:szCs w:val="18"/>
              </w:rPr>
              <w:t>(</w:t>
            </w:r>
            <w:r>
              <w:rPr>
                <w:rFonts w:ascii="宋体" w:hAnsi="宋体" w:cs="宋体" w:eastAsia="宋体" w:hint="default"/>
                <w:sz w:val="18"/>
                <w:szCs w:val="18"/>
              </w:rPr>
              <w:t>移动信息服务业务</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r>
              <w:rPr>
                <w:rFonts w:ascii="Times New Roman" w:hAnsi="Times New Roman" w:cs="Times New Roman" w:eastAsia="Times New Roman" w:hint="default"/>
                <w:sz w:val="18"/>
                <w:szCs w:val="18"/>
              </w:rPr>
              <w:t>(</w:t>
            </w:r>
            <w:r>
              <w:rPr>
                <w:rFonts w:ascii="宋体" w:hAnsi="宋体" w:cs="宋体" w:eastAsia="宋体" w:hint="default"/>
                <w:sz w:val="18"/>
                <w:szCs w:val="18"/>
              </w:rPr>
              <w:t>含，下同</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4" w:right="65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5"/>
        <w:rPr>
          <w:rFonts w:ascii="宋体" w:hAnsi="宋体" w:cs="宋体" w:eastAsia="宋体" w:hint="default"/>
          <w:b/>
          <w:bCs/>
          <w:sz w:val="25"/>
          <w:szCs w:val="25"/>
        </w:rPr>
      </w:pPr>
    </w:p>
    <w:p>
      <w:pPr>
        <w:spacing w:line="733" w:lineRule="exact"/>
        <w:ind w:left="144"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479.35pt;height:36.7pt;mso-position-horizontal-relative:char;mso-position-vertical-relative:line" coordorigin="0,0" coordsize="9587,734">
            <v:group style="position:absolute;left:14;top:14;width:4774;height:156" coordorigin="14,14" coordsize="4774,156">
              <v:shape style="position:absolute;left:14;top:14;width:4774;height:156" coordorigin="14,14" coordsize="4774,156" path="m14,170l4788,170,4788,14,14,14,14,170xe" filled="true" fillcolor="#d3d3d3" stroked="false">
                <v:path arrowok="t"/>
                <v:fill type="solid"/>
              </v:shape>
            </v:group>
            <v:group style="position:absolute;left:14;top:563;width:4774;height:156" coordorigin="14,563" coordsize="4774,156">
              <v:shape style="position:absolute;left:14;top:563;width:4774;height:156" coordorigin="14,563" coordsize="4774,156" path="m14,719l4788,719,4788,563,14,563,14,719xe" filled="true" fillcolor="#d3d3d3" stroked="false">
                <v:path arrowok="t"/>
                <v:fill type="solid"/>
              </v:shape>
            </v:group>
            <v:group style="position:absolute;left:37;top:170;width:4728;height:393" coordorigin="37,170" coordsize="4728,393">
              <v:shape style="position:absolute;left:37;top:170;width:4728;height:393" coordorigin="37,170" coordsize="4728,393" path="m37,563l4765,563,4765,170,37,170,37,563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724" coordorigin="10,5" coordsize="2,724">
              <v:shape style="position:absolute;left:10;top:5;width:2;height:724" coordorigin="10,5" coordsize="0,724" path="m10,5l10,728e" filled="false" stroked="true" strokeweight=".48001pt" strokecolor="#000000">
                <v:path arrowok="t"/>
              </v:shape>
            </v:group>
            <v:group style="position:absolute;left:5;top:724;width:4785;height:2" coordorigin="5,724" coordsize="4785,2">
              <v:shape style="position:absolute;left:5;top:724;width:4785;height:2" coordorigin="5,724" coordsize="4785,0" path="m5,724l4789,724e" filled="false" stroked="true" strokeweight=".47998pt" strokecolor="#000000">
                <v:path arrowok="t"/>
              </v:shape>
            </v:group>
            <v:group style="position:absolute;left:4794;top:14;width:2;height:714" coordorigin="4794,14" coordsize="2,714">
              <v:shape style="position:absolute;left:4794;top:14;width:2;height:714" coordorigin="4794,14" coordsize="0,714" path="m4794,14l4794,728e" filled="false" stroked="true" strokeweight=".48001pt" strokecolor="#000000">
                <v:path arrowok="t"/>
              </v:shape>
            </v:group>
            <v:group style="position:absolute;left:4799;top:724;width:4774;height:2" coordorigin="4799,724" coordsize="4774,2">
              <v:shape style="position:absolute;left:4799;top:724;width:4774;height:2" coordorigin="4799,724" coordsize="4774,0" path="m4799,724l9572,724e" filled="false" stroked="true" strokeweight=".47998pt" strokecolor="#000000">
                <v:path arrowok="t"/>
              </v:shape>
            </v:group>
            <v:group style="position:absolute;left:9577;top:5;width:2;height:724" coordorigin="9577,5" coordsize="2,724">
              <v:shape style="position:absolute;left:9577;top:5;width:2;height:724" coordorigin="9577,5" coordsize="0,724" path="m9577,5l9577,728e" filled="false" stroked="true" strokeweight=".47998pt" strokecolor="#000000">
                <v:path arrowok="t"/>
              </v:shape>
              <v:shape style="position:absolute;left:10;top:10;width:4784;height:714" type="#_x0000_t202" filled="false" stroked="false">
                <v:textbox inset="0,0,0,0">
                  <w:txbxContent>
                    <w:p>
                      <w:pPr>
                        <w:spacing w:line="240" w:lineRule="auto" w:before="3"/>
                        <w:rPr>
                          <w:rFonts w:ascii="宋体" w:hAnsi="宋体" w:cs="宋体" w:eastAsia="宋体" w:hint="default"/>
                          <w:b/>
                          <w:bCs/>
                          <w:sz w:val="16"/>
                          <w:szCs w:val="16"/>
                        </w:rPr>
                      </w:pPr>
                    </w:p>
                    <w:p>
                      <w:pPr>
                        <w:spacing w:before="0"/>
                        <w:ind w:left="27" w:right="0" w:firstLine="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xbxContent>
                </v:textbox>
                <w10:wrap type="none"/>
              </v:shape>
              <v:shape style="position:absolute;left:4793;top:10;width:4784;height:714" type="#_x0000_t202" filled="false" stroked="false">
                <v:textbox inset="0,0,0,0">
                  <w:txbxContent>
                    <w:p>
                      <w:pPr>
                        <w:spacing w:line="316" w:lineRule="auto" w:before="56"/>
                        <w:ind w:left="28" w:right="73" w:firstLine="0"/>
                        <w:jc w:val="left"/>
                        <w:rPr>
                          <w:rFonts w:ascii="宋体" w:hAnsi="宋体" w:cs="宋体" w:eastAsia="宋体" w:hint="default"/>
                          <w:sz w:val="18"/>
                          <w:szCs w:val="18"/>
                        </w:rPr>
                      </w:pPr>
                      <w:r>
                        <w:rPr>
                          <w:rFonts w:ascii="宋体" w:hAnsi="宋体" w:cs="宋体" w:eastAsia="宋体" w:hint="default"/>
                          <w:sz w:val="18"/>
                          <w:szCs w:val="18"/>
                        </w:rPr>
                        <w:t>应收款项的未来现金流量现值与以账龄为信用风险特征的应 收款项组合的未来现金流量现值存在显著差异。</w:t>
                      </w:r>
                    </w:p>
                  </w:txbxContent>
                </v:textbox>
                <w10:wrap type="none"/>
              </v:shape>
            </v:group>
          </v:group>
        </w:pict>
      </w:r>
      <w:r>
        <w:rPr>
          <w:rFonts w:ascii="宋体" w:hAnsi="宋体" w:cs="宋体" w:eastAsia="宋体" w:hint="default"/>
          <w:position w:val="-14"/>
          <w:sz w:val="20"/>
          <w:szCs w:val="20"/>
        </w:rPr>
      </w:r>
    </w:p>
    <w:p>
      <w:pPr>
        <w:spacing w:after="0" w:line="733" w:lineRule="exact"/>
        <w:rPr>
          <w:rFonts w:ascii="宋体" w:hAnsi="宋体" w:cs="宋体" w:eastAsia="宋体" w:hint="default"/>
          <w:sz w:val="20"/>
          <w:szCs w:val="20"/>
        </w:rPr>
        <w:sectPr>
          <w:pgSz w:w="11910" w:h="16840"/>
          <w:pgMar w:header="747" w:footer="982" w:top="1060" w:bottom="1180" w:left="980" w:right="980"/>
        </w:sectPr>
      </w:pPr>
    </w:p>
    <w:p>
      <w:pPr>
        <w:spacing w:line="240" w:lineRule="auto" w:before="2"/>
        <w:rPr>
          <w:rFonts w:ascii="宋体" w:hAnsi="宋体" w:cs="宋体" w:eastAsia="宋体" w:hint="default"/>
          <w:b/>
          <w:bCs/>
          <w:sz w:val="28"/>
          <w:szCs w:val="28"/>
        </w:rPr>
      </w:pPr>
    </w:p>
    <w:p>
      <w:pPr>
        <w:spacing w:line="733" w:lineRule="exact"/>
        <w:ind w:left="144" w:right="0" w:firstLine="0"/>
        <w:rPr>
          <w:rFonts w:ascii="宋体" w:hAnsi="宋体" w:cs="宋体" w:eastAsia="宋体" w:hint="default"/>
          <w:sz w:val="20"/>
          <w:szCs w:val="20"/>
        </w:rPr>
      </w:pPr>
      <w:r>
        <w:rPr>
          <w:rFonts w:ascii="宋体" w:hAnsi="宋体" w:cs="宋体" w:eastAsia="宋体" w:hint="default"/>
          <w:position w:val="-14"/>
          <w:sz w:val="20"/>
          <w:szCs w:val="20"/>
        </w:rPr>
        <w:pict>
          <v:group style="width:479.35pt;height:36.7pt;mso-position-horizontal-relative:char;mso-position-vertical-relative:line" coordorigin="0,0" coordsize="9587,734">
            <v:group style="position:absolute;left:14;top:14;width:4774;height:156" coordorigin="14,14" coordsize="4774,156">
              <v:shape style="position:absolute;left:14;top:14;width:4774;height:156" coordorigin="14,14" coordsize="4774,156" path="m14,170l4788,170,4788,14,14,14,14,170xe" filled="true" fillcolor="#d3d3d3" stroked="false">
                <v:path arrowok="t"/>
                <v:fill type="solid"/>
              </v:shape>
            </v:group>
            <v:group style="position:absolute;left:14;top:563;width:4774;height:156" coordorigin="14,563" coordsize="4774,156">
              <v:shape style="position:absolute;left:14;top:563;width:4774;height:156" coordorigin="14,563" coordsize="4774,156" path="m14,719l4788,719,4788,563,14,563,14,719xe" filled="true" fillcolor="#d3d3d3" stroked="false">
                <v:path arrowok="t"/>
                <v:fill type="solid"/>
              </v:shape>
            </v:group>
            <v:group style="position:absolute;left:37;top:170;width:4728;height:393" coordorigin="37,170" coordsize="4728,393">
              <v:shape style="position:absolute;left:37;top:170;width:4728;height:393" coordorigin="37,170" coordsize="4728,393" path="m37,563l4765,563,4765,170,37,170,37,563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724" coordorigin="10,5" coordsize="2,724">
              <v:shape style="position:absolute;left:10;top:5;width:2;height:724" coordorigin="10,5" coordsize="0,724" path="m10,5l10,728e" filled="false" stroked="true" strokeweight=".48001pt" strokecolor="#000000">
                <v:path arrowok="t"/>
              </v:shape>
            </v:group>
            <v:group style="position:absolute;left:5;top:724;width:4785;height:2" coordorigin="5,724" coordsize="4785,2">
              <v:shape style="position:absolute;left:5;top:724;width:4785;height:2" coordorigin="5,724" coordsize="4785,0" path="m5,724l4789,724e" filled="false" stroked="true" strokeweight=".47998pt" strokecolor="#000000">
                <v:path arrowok="t"/>
              </v:shape>
            </v:group>
            <v:group style="position:absolute;left:4794;top:14;width:2;height:714" coordorigin="4794,14" coordsize="2,714">
              <v:shape style="position:absolute;left:4794;top:14;width:2;height:714" coordorigin="4794,14" coordsize="0,714" path="m4794,14l4794,728e" filled="false" stroked="true" strokeweight=".48001pt" strokecolor="#000000">
                <v:path arrowok="t"/>
              </v:shape>
            </v:group>
            <v:group style="position:absolute;left:4799;top:724;width:4774;height:2" coordorigin="4799,724" coordsize="4774,2">
              <v:shape style="position:absolute;left:4799;top:724;width:4774;height:2" coordorigin="4799,724" coordsize="4774,0" path="m4799,724l9572,724e" filled="false" stroked="true" strokeweight=".47998pt" strokecolor="#000000">
                <v:path arrowok="t"/>
              </v:shape>
            </v:group>
            <v:group style="position:absolute;left:9577;top:5;width:2;height:724" coordorigin="9577,5" coordsize="2,724">
              <v:shape style="position:absolute;left:9577;top:5;width:2;height:724" coordorigin="9577,5" coordsize="0,724" path="m9577,5l9577,728e" filled="false" stroked="true" strokeweight=".47998pt" strokecolor="#000000">
                <v:path arrowok="t"/>
              </v:shape>
              <v:shape style="position:absolute;left:10;top:10;width:4784;height:714" type="#_x0000_t202" filled="false" stroked="false">
                <v:textbox inset="0,0,0,0">
                  <w:txbxContent>
                    <w:p>
                      <w:pPr>
                        <w:spacing w:line="240" w:lineRule="auto" w:before="3"/>
                        <w:rPr>
                          <w:rFonts w:ascii="宋体" w:hAnsi="宋体" w:cs="宋体" w:eastAsia="宋体" w:hint="default"/>
                          <w:b/>
                          <w:bCs/>
                          <w:sz w:val="16"/>
                          <w:szCs w:val="16"/>
                        </w:rPr>
                      </w:pPr>
                    </w:p>
                    <w:p>
                      <w:pPr>
                        <w:spacing w:before="0"/>
                        <w:ind w:left="27" w:right="0" w:firstLine="0"/>
                        <w:jc w:val="left"/>
                        <w:rPr>
                          <w:rFonts w:ascii="宋体" w:hAnsi="宋体" w:cs="宋体" w:eastAsia="宋体" w:hint="default"/>
                          <w:sz w:val="18"/>
                          <w:szCs w:val="18"/>
                        </w:rPr>
                      </w:pPr>
                      <w:r>
                        <w:rPr>
                          <w:rFonts w:ascii="宋体" w:hAnsi="宋体" w:cs="宋体" w:eastAsia="宋体" w:hint="default"/>
                          <w:sz w:val="18"/>
                          <w:szCs w:val="18"/>
                        </w:rPr>
                        <w:t>坏账准备的计提方法</w:t>
                      </w:r>
                    </w:p>
                  </w:txbxContent>
                </v:textbox>
                <w10:wrap type="none"/>
              </v:shape>
              <v:shape style="position:absolute;left:4793;top:10;width:4784;height:714" type="#_x0000_t202" filled="false" stroked="false">
                <v:textbox inset="0,0,0,0">
                  <w:txbxContent>
                    <w:p>
                      <w:pPr>
                        <w:spacing w:line="319" w:lineRule="auto" w:before="56"/>
                        <w:ind w:left="28" w:right="73" w:firstLine="0"/>
                        <w:jc w:val="left"/>
                        <w:rPr>
                          <w:rFonts w:ascii="宋体" w:hAnsi="宋体" w:cs="宋体" w:eastAsia="宋体" w:hint="default"/>
                          <w:sz w:val="18"/>
                          <w:szCs w:val="18"/>
                        </w:rPr>
                      </w:pPr>
                      <w:r>
                        <w:rPr>
                          <w:rFonts w:ascii="宋体" w:hAnsi="宋体" w:cs="宋体" w:eastAsia="宋体" w:hint="default"/>
                          <w:sz w:val="18"/>
                          <w:szCs w:val="18"/>
                        </w:rPr>
                        <w:t>单独进行减值测试，根据其未来现金流量现值低于其账面价 值的差额计提坏账准备。</w:t>
                      </w:r>
                    </w:p>
                  </w:txbxContent>
                </v:textbox>
                <w10:wrap type="none"/>
              </v:shape>
            </v:group>
          </v:group>
        </w:pict>
      </w:r>
      <w:r>
        <w:rPr>
          <w:rFonts w:ascii="宋体" w:hAnsi="宋体" w:cs="宋体" w:eastAsia="宋体" w:hint="default"/>
          <w:position w:val="-14"/>
          <w:sz w:val="20"/>
          <w:szCs w:val="20"/>
        </w:rPr>
      </w:r>
    </w:p>
    <w:p>
      <w:pPr>
        <w:spacing w:line="240" w:lineRule="auto" w:before="11"/>
        <w:rPr>
          <w:rFonts w:ascii="宋体" w:hAnsi="宋体" w:cs="宋体" w:eastAsia="宋体" w:hint="default"/>
          <w:b/>
          <w:bCs/>
          <w:sz w:val="18"/>
          <w:szCs w:val="18"/>
        </w:rPr>
      </w:pPr>
    </w:p>
    <w:p>
      <w:pPr>
        <w:pStyle w:val="Heading3"/>
        <w:spacing w:line="240" w:lineRule="auto"/>
        <w:ind w:right="102"/>
        <w:jc w:val="left"/>
        <w:rPr>
          <w:b w:val="0"/>
          <w:bCs w:val="0"/>
        </w:rPr>
      </w:pPr>
      <w:r>
        <w:rPr>
          <w:rFonts w:ascii="Times New Roman" w:hAnsi="Times New Roman" w:cs="Times New Roman" w:eastAsia="Times New Roman" w:hint="default"/>
        </w:rPr>
        <w:t>12</w:t>
      </w:r>
      <w:r>
        <w:rPr/>
        <w:t>、存货</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573" w:right="10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存货的分类 </w:t>
      </w:r>
      <w:r>
        <w:rPr>
          <w:spacing w:val="-1"/>
        </w:rPr>
        <w:t>存货包括在日常活动中持有以备出售的产成品或商品、处在生产过程中的在产品、在生产过程或提供</w:t>
      </w:r>
    </w:p>
    <w:p>
      <w:pPr>
        <w:pStyle w:val="BodyText"/>
        <w:spacing w:line="240" w:lineRule="auto" w:before="22"/>
        <w:ind w:left="153" w:right="102"/>
        <w:jc w:val="left"/>
      </w:pPr>
      <w:r>
        <w:rPr/>
        <w:t>劳务过程中耗用的材料和物料等。</w:t>
      </w:r>
    </w:p>
    <w:p>
      <w:pPr>
        <w:pStyle w:val="BodyText"/>
        <w:spacing w:line="264" w:lineRule="auto" w:before="37"/>
        <w:ind w:left="573" w:right="647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发出存货的计价方法 发出存货采用移动加权平均法。 </w:t>
      </w:r>
      <w:r>
        <w:rPr>
          <w:rFonts w:ascii="Times New Roman" w:hAnsi="Times New Roman" w:cs="Times New Roman" w:eastAsia="Times New Roman" w:hint="default"/>
        </w:rPr>
        <w:t>3.</w:t>
      </w:r>
      <w:r>
        <w:rPr>
          <w:rFonts w:ascii="Times New Roman" w:hAnsi="Times New Roman" w:cs="Times New Roman" w:eastAsia="Times New Roman" w:hint="default"/>
          <w:spacing w:val="29"/>
        </w:rPr>
        <w:t> </w:t>
      </w:r>
      <w:r>
        <w:rPr/>
        <w:t>存货可变现净值的确定依据</w:t>
      </w:r>
    </w:p>
    <w:p>
      <w:pPr>
        <w:pStyle w:val="BodyText"/>
        <w:spacing w:line="273" w:lineRule="auto"/>
        <w:ind w:left="153" w:right="102" w:firstLine="420"/>
        <w:jc w:val="left"/>
      </w:pPr>
      <w:r>
        <w:rPr/>
        <w:t>资产负债表日，存货采用成本与可变现净值孰低计量，按照单个存货成本高于可变现净值的差额计提 存货跌价准备。直接用于出售的存货，在正常生产经营过程中以该存货的估计售价减去估计的销售费用和 相关税费后的金额确定其可变现净值；需要经过加工的存货，在正常生产经营过程中以所生产的产成品的 估计售价减去至完工时估计将要发生的成本、估计的销售费用和相关税费后的金额确定其可变现净值；资 </w:t>
      </w:r>
      <w:r>
        <w:rPr>
          <w:spacing w:val="-3"/>
        </w:rPr>
        <w:t>产负债表日，同一项存货中一部分有合同价格约定、其他部分不存在合同价格的，分别确定其可变现净值，</w:t>
      </w:r>
      <w:r>
        <w:rPr>
          <w:spacing w:val="-90"/>
        </w:rPr>
        <w:t> </w:t>
      </w:r>
      <w:r>
        <w:rPr>
          <w:spacing w:val="-90"/>
        </w:rPr>
      </w:r>
      <w:r>
        <w:rPr/>
        <w:t>并与其对应的成本进行比较，分别确定存货跌价准备的计提或转回的金额。</w:t>
      </w:r>
    </w:p>
    <w:p>
      <w:pPr>
        <w:pStyle w:val="BodyText"/>
        <w:spacing w:line="256" w:lineRule="auto" w:before="7"/>
        <w:ind w:left="573" w:right="6471"/>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1"/>
        </w:rPr>
        <w:t> </w:t>
      </w:r>
      <w:r>
        <w:rPr/>
        <w:t>存货的盘存制度 存货的盘存制度为永续盘存制。</w:t>
      </w:r>
    </w:p>
    <w:p>
      <w:pPr>
        <w:pStyle w:val="BodyText"/>
        <w:spacing w:line="240" w:lineRule="auto" w:before="22"/>
        <w:ind w:left="573" w:right="102"/>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9"/>
        </w:rPr>
        <w:t> </w:t>
      </w:r>
      <w:r>
        <w:rPr/>
        <w:t>低值易耗品和包装物的摊销方法</w:t>
      </w:r>
    </w:p>
    <w:p>
      <w:pPr>
        <w:pStyle w:val="BodyText"/>
        <w:spacing w:line="261" w:lineRule="auto" w:before="21"/>
        <w:ind w:left="573" w:right="689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低值易耗品 按照一次转销法进行摊销。 </w:t>
      </w: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包装物 按照一次转销法进行摊销。</w:t>
      </w:r>
    </w:p>
    <w:p>
      <w:pPr>
        <w:spacing w:line="240" w:lineRule="auto" w:before="5"/>
        <w:rPr>
          <w:rFonts w:ascii="宋体" w:hAnsi="宋体" w:cs="宋体" w:eastAsia="宋体" w:hint="default"/>
          <w:sz w:val="24"/>
          <w:szCs w:val="24"/>
        </w:rPr>
      </w:pPr>
    </w:p>
    <w:p>
      <w:pPr>
        <w:pStyle w:val="Heading3"/>
        <w:spacing w:line="240" w:lineRule="auto" w:before="0"/>
        <w:ind w:left="153" w:right="102"/>
        <w:jc w:val="left"/>
        <w:rPr>
          <w:b w:val="0"/>
          <w:bCs w:val="0"/>
        </w:rPr>
      </w:pPr>
      <w:r>
        <w:rPr>
          <w:rFonts w:ascii="Times New Roman" w:hAnsi="Times New Roman" w:cs="Times New Roman" w:eastAsia="Times New Roman" w:hint="default"/>
        </w:rPr>
        <w:t>13</w:t>
      </w:r>
      <w:r>
        <w:rPr/>
        <w:t>、长期股权投资</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573" w:right="10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共同控制、重要影响的判断 </w:t>
      </w:r>
      <w:r>
        <w:rPr>
          <w:spacing w:val="-1"/>
        </w:rPr>
        <w:t>按照相关约定对某项安排所共有的控制，并且该安排的相关活动必须经过分享控制权的参与方一致同</w:t>
      </w:r>
    </w:p>
    <w:p>
      <w:pPr>
        <w:pStyle w:val="BodyText"/>
        <w:spacing w:line="273" w:lineRule="auto" w:before="22"/>
        <w:ind w:left="153" w:right="102"/>
        <w:jc w:val="left"/>
      </w:pPr>
      <w:r>
        <w:rPr>
          <w:spacing w:val="-1"/>
        </w:rPr>
        <w:t>意后才能决策，认定为共同控制。对被投资单位的财务和经营政策有参与决策的权力，但并不能够控制或</w:t>
      </w:r>
      <w:r>
        <w:rPr>
          <w:spacing w:val="-83"/>
        </w:rPr>
        <w:t> </w:t>
      </w:r>
      <w:r>
        <w:rPr>
          <w:spacing w:val="-83"/>
        </w:rPr>
      </w:r>
      <w:r>
        <w:rPr/>
        <w:t>者与其他方一起共同控制这些政策的制定，认定为重大影响。</w:t>
      </w:r>
    </w:p>
    <w:p>
      <w:pPr>
        <w:pStyle w:val="BodyText"/>
        <w:spacing w:line="240" w:lineRule="auto" w:before="7"/>
        <w:ind w:left="573" w:right="10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投资成本的确定</w:t>
      </w:r>
    </w:p>
    <w:p>
      <w:pPr>
        <w:pStyle w:val="BodyText"/>
        <w:spacing w:line="266" w:lineRule="auto" w:before="21"/>
        <w:ind w:left="153" w:right="208"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同一控制下的企业合并形成的，合并方以支付现金、转让非现金资产、承担债务或发行权益性证</w:t>
      </w:r>
      <w:r>
        <w:rPr>
          <w:spacing w:val="1"/>
        </w:rPr>
        <w:t> </w:t>
      </w:r>
      <w:r>
        <w:rPr>
          <w:spacing w:val="-1"/>
        </w:rPr>
        <w:t>券作为合并对价的，在合并日按照取得被合并方所有者权益在最终控制方合并财务报表中的账面价值的份</w:t>
      </w:r>
      <w:r>
        <w:rPr>
          <w:spacing w:val="-81"/>
        </w:rPr>
        <w:t> </w:t>
      </w:r>
      <w:r>
        <w:rPr>
          <w:spacing w:val="-81"/>
        </w:rPr>
      </w:r>
      <w:r>
        <w:rPr>
          <w:spacing w:val="-1"/>
        </w:rPr>
        <w:t>额作为其初始投资成本。长期股权投资初始投资成本与支付的合并对价的账面价值或发行股份的面值总额</w:t>
      </w:r>
      <w:r>
        <w:rPr>
          <w:spacing w:val="-81"/>
        </w:rPr>
        <w:t> </w:t>
      </w:r>
      <w:r>
        <w:rPr>
          <w:spacing w:val="-81"/>
        </w:rPr>
      </w:r>
      <w:r>
        <w:rPr/>
        <w:t>之间的差额调整资本公积；资本公积不足冲减的，调整留存收益。</w:t>
      </w:r>
    </w:p>
    <w:p>
      <w:pPr>
        <w:pStyle w:val="BodyText"/>
        <w:spacing w:line="240" w:lineRule="auto" w:before="14"/>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7"/>
        </w:rPr>
        <w:t> </w:t>
      </w:r>
      <w:r>
        <w:rPr/>
        <w:t>非同一控制下的企业合并形成的，在购买日按照支付的合并对价的公允价值作为其初始投资成本。</w:t>
      </w:r>
    </w:p>
    <w:p>
      <w:pPr>
        <w:pStyle w:val="BodyText"/>
        <w:spacing w:line="261" w:lineRule="auto" w:before="21"/>
        <w:ind w:left="153" w:right="188"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7"/>
        </w:rPr>
        <w:t> </w:t>
      </w:r>
      <w:r>
        <w:rPr/>
        <w:t>除企业合并形成以外的：以支付现金取得的，按照实际支付的购买价款作为其初始投资成本；以</w:t>
      </w:r>
      <w:r>
        <w:rPr>
          <w:spacing w:val="1"/>
        </w:rPr>
        <w:t> </w:t>
      </w:r>
      <w:r>
        <w:rPr/>
        <w:t>发行权益性证券取得的，按照发行权益性证券的公允价值作为其初始投资成本；以债务重组方式取得的，</w:t>
      </w:r>
      <w:r>
        <w:rPr/>
        <w:t> </w:t>
      </w:r>
      <w:r>
        <w:rPr>
          <w:spacing w:val="-1"/>
        </w:rPr>
        <w:t>按《企业会计准则第</w:t>
      </w:r>
      <w:r>
        <w:rPr>
          <w:rFonts w:ascii="Times New Roman" w:hAnsi="Times New Roman" w:cs="Times New Roman" w:eastAsia="Times New Roman" w:hint="default"/>
          <w:spacing w:val="-1"/>
        </w:rPr>
        <w:t>12</w:t>
      </w:r>
      <w:r>
        <w:rPr>
          <w:spacing w:val="-1"/>
        </w:rPr>
        <w:t>号</w:t>
      </w:r>
      <w:r>
        <w:rPr>
          <w:rFonts w:ascii="Times New Roman" w:hAnsi="Times New Roman" w:cs="Times New Roman" w:eastAsia="Times New Roman" w:hint="default"/>
          <w:spacing w:val="-1"/>
        </w:rPr>
        <w:t>——</w:t>
      </w:r>
      <w:r>
        <w:rPr>
          <w:spacing w:val="-1"/>
        </w:rPr>
        <w:t>债务重组》确定其初始投资成本；以非货币性资产交换取得的，按《企业会</w:t>
      </w:r>
      <w:r>
        <w:rPr>
          <w:spacing w:val="-83"/>
        </w:rPr>
        <w:t> </w:t>
      </w:r>
      <w:r>
        <w:rPr>
          <w:spacing w:val="-83"/>
        </w:rPr>
      </w:r>
      <w:r>
        <w:rPr/>
        <w:t>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非货币性资产交换》确定其初始投资成本。</w:t>
      </w:r>
    </w:p>
    <w:p>
      <w:pPr>
        <w:pStyle w:val="BodyText"/>
        <w:spacing w:line="256" w:lineRule="auto"/>
        <w:ind w:left="574" w:right="10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后续计量及损益确认方法 </w:t>
      </w:r>
      <w:r>
        <w:rPr>
          <w:spacing w:val="-1"/>
        </w:rPr>
        <w:t>对被投资单位实施控制的长期股权投资采用成本法核算；对联营企业和合营企业的长期股权投资，采</w:t>
      </w:r>
    </w:p>
    <w:p>
      <w:pPr>
        <w:pStyle w:val="BodyText"/>
        <w:spacing w:line="240" w:lineRule="auto" w:before="22"/>
        <w:ind w:right="102"/>
        <w:jc w:val="left"/>
      </w:pPr>
      <w:r>
        <w:rPr/>
        <w:t>用权益法核算。</w:t>
      </w:r>
    </w:p>
    <w:p>
      <w:pPr>
        <w:spacing w:after="0" w:line="240" w:lineRule="auto"/>
        <w:jc w:val="left"/>
        <w:sectPr>
          <w:pgSz w:w="11910" w:h="16840"/>
          <w:pgMar w:header="747" w:footer="982" w:top="1060" w:bottom="1180" w:left="980" w:right="920"/>
        </w:sectPr>
      </w:pP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left="153" w:right="0"/>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153" w:right="0" w:firstLine="420"/>
        <w:jc w:val="left"/>
      </w:pPr>
      <w:r>
        <w:rPr>
          <w:spacing w:val="-1"/>
        </w:rPr>
        <w:t>固定资产是指为生产商品、提供劳务、出租或经营管理而持有的，使用年限超过一个会计年度的有形</w:t>
      </w:r>
      <w:r>
        <w:rPr/>
        <w:t> 资产。固定资产在同时满足经济利益很可能流入、成本能够可靠计量时予以确认。</w:t>
      </w:r>
    </w:p>
    <w:p>
      <w:pPr>
        <w:spacing w:line="240" w:lineRule="auto" w:before="6"/>
        <w:rPr>
          <w:rFonts w:ascii="宋体" w:hAnsi="宋体" w:cs="宋体" w:eastAsia="宋体" w:hint="default"/>
          <w:sz w:val="23"/>
          <w:szCs w:val="23"/>
        </w:rPr>
      </w:pPr>
    </w:p>
    <w:p>
      <w:pPr>
        <w:pStyle w:val="Heading3"/>
        <w:spacing w:line="240" w:lineRule="auto" w:before="0"/>
        <w:ind w:left="153" w:right="0"/>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2.375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6.333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仪器仪表设备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2"/>
        <w:rPr>
          <w:rFonts w:ascii="宋体" w:hAnsi="宋体" w:cs="宋体" w:eastAsia="宋体" w:hint="default"/>
          <w:b/>
          <w:bCs/>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153" w:right="108" w:firstLine="420"/>
        <w:jc w:val="left"/>
      </w:pPr>
      <w:r>
        <w:rPr/>
        <w:t>符合下列一项或数项标准的，认定为融资租赁：</w:t>
      </w: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在租赁期届满时，租赁资产的所有权转移给承租 人；</w:t>
      </w: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承租人有购买租赁资产的选择权，所订立的购买价款预计将远低于行使选择权时租赁资产的公允 价值，因而在租赁开始日就可以合理确定承租人将会行使这种选择权；</w:t>
      </w: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即使资产的所有权不转移，但 租赁期占租赁资产使用寿命的大部分</w:t>
      </w:r>
      <w:r>
        <w:rPr>
          <w:spacing w:val="-7"/>
        </w:rPr>
        <w:t> </w:t>
      </w:r>
      <w:r>
        <w:rPr/>
        <w:t>（</w:t>
      </w:r>
      <w:r>
        <w:rPr>
          <w:spacing w:val="5"/>
        </w:rPr>
        <w:t> </w:t>
      </w:r>
      <w:r>
        <w:rPr>
          <w:spacing w:val="-1"/>
        </w:rPr>
        <w:t>通常占租赁资产使用寿命的</w:t>
      </w:r>
      <w:r>
        <w:rPr>
          <w:spacing w:val="-51"/>
        </w:rPr>
        <w:t> </w:t>
      </w:r>
      <w:r>
        <w:rPr>
          <w:rFonts w:ascii="Times New Roman" w:hAnsi="Times New Roman" w:cs="Times New Roman" w:eastAsia="Times New Roman" w:hint="default"/>
          <w:spacing w:val="-1"/>
        </w:rPr>
        <w:t>75%</w:t>
      </w:r>
      <w:r>
        <w:rPr>
          <w:spacing w:val="-1"/>
        </w:rPr>
        <w:t>以上</w:t>
      </w:r>
      <w:r>
        <w:rPr>
          <w:rFonts w:ascii="Times New Roman" w:hAnsi="Times New Roman" w:cs="Times New Roman" w:eastAsia="Times New Roman" w:hint="default"/>
          <w:spacing w:val="-1"/>
        </w:rPr>
        <w:t>(</w:t>
      </w:r>
      <w:r>
        <w:rPr>
          <w:spacing w:val="-1"/>
        </w:rPr>
        <w:t>含</w:t>
      </w:r>
      <w:r>
        <w:rPr>
          <w:spacing w:val="-51"/>
        </w:rPr>
        <w:t> </w:t>
      </w:r>
      <w:r>
        <w:rPr>
          <w:rFonts w:ascii="Times New Roman" w:hAnsi="Times New Roman" w:cs="Times New Roman" w:eastAsia="Times New Roman" w:hint="default"/>
          <w:spacing w:val="-14"/>
        </w:rPr>
        <w:t>75%)</w:t>
      </w:r>
      <w:r>
        <w:rPr>
          <w:spacing w:val="-14"/>
        </w:rPr>
        <w:t>）；</w:t>
      </w:r>
      <w:r>
        <w:rPr>
          <w:rFonts w:ascii="Times New Roman" w:hAnsi="Times New Roman" w:cs="Times New Roman" w:eastAsia="Times New Roman" w:hint="default"/>
          <w:spacing w:val="-14"/>
        </w:rPr>
        <w:t>(4)</w:t>
      </w:r>
      <w:r>
        <w:rPr>
          <w:rFonts w:ascii="Times New Roman" w:hAnsi="Times New Roman" w:cs="Times New Roman" w:eastAsia="Times New Roman" w:hint="default"/>
          <w:spacing w:val="5"/>
        </w:rPr>
        <w:t> </w:t>
      </w:r>
      <w:r>
        <w:rPr>
          <w:spacing w:val="-1"/>
        </w:rPr>
        <w:t>承租人在租</w:t>
      </w:r>
      <w:r>
        <w:rPr>
          <w:spacing w:val="-102"/>
        </w:rPr>
        <w:t> </w:t>
      </w:r>
      <w:r>
        <w:rPr>
          <w:spacing w:val="-102"/>
        </w:rPr>
      </w:r>
      <w:r>
        <w:rPr>
          <w:spacing w:val="-1"/>
        </w:rPr>
        <w:t>赁开始日的最低租赁付款额现值，几乎相当于租赁开始日租赁资产公允价值</w:t>
      </w:r>
      <w:r>
        <w:rPr>
          <w:spacing w:val="-4"/>
        </w:rPr>
        <w:t> </w:t>
      </w:r>
      <w:r>
        <w:rPr/>
        <w:t>（</w:t>
      </w:r>
      <w:r>
        <w:rPr>
          <w:spacing w:val="10"/>
        </w:rPr>
        <w:t> </w:t>
      </w:r>
      <w:r>
        <w:rPr>
          <w:rFonts w:ascii="Times New Roman" w:hAnsi="Times New Roman" w:cs="Times New Roman" w:eastAsia="Times New Roman" w:hint="default"/>
          <w:spacing w:val="-1"/>
        </w:rPr>
        <w:t>90%</w:t>
      </w:r>
      <w:r>
        <w:rPr>
          <w:spacing w:val="-1"/>
        </w:rPr>
        <w:t>以上</w:t>
      </w:r>
      <w:r>
        <w:rPr>
          <w:rFonts w:ascii="Times New Roman" w:hAnsi="Times New Roman" w:cs="Times New Roman" w:eastAsia="Times New Roman" w:hint="default"/>
          <w:spacing w:val="-1"/>
        </w:rPr>
        <w:t>(</w:t>
      </w:r>
      <w:r>
        <w:rPr>
          <w:spacing w:val="-1"/>
        </w:rPr>
        <w:t>含</w:t>
      </w:r>
      <w:r>
        <w:rPr>
          <w:spacing w:val="-48"/>
        </w:rPr>
        <w:t> </w:t>
      </w:r>
      <w:r>
        <w:rPr>
          <w:rFonts w:ascii="Times New Roman" w:hAnsi="Times New Roman" w:cs="Times New Roman" w:eastAsia="Times New Roman" w:hint="default"/>
          <w:spacing w:val="-16"/>
        </w:rPr>
        <w:t>90%)</w:t>
      </w:r>
      <w:r>
        <w:rPr>
          <w:spacing w:val="-16"/>
        </w:rPr>
        <w:t>）；出租</w:t>
      </w:r>
      <w:r>
        <w:rPr>
          <w:spacing w:val="-100"/>
        </w:rPr>
        <w:t> </w:t>
      </w:r>
      <w:r>
        <w:rPr>
          <w:spacing w:val="-100"/>
        </w:rPr>
      </w:r>
      <w:r>
        <w:rPr>
          <w:spacing w:val="-1"/>
        </w:rPr>
        <w:t>人在租赁开始日的最低租赁收款额现值，几乎相当于租赁开始日租赁资产公允价值（</w:t>
      </w:r>
      <w:r>
        <w:rPr>
          <w:rFonts w:ascii="Times New Roman" w:hAnsi="Times New Roman" w:cs="Times New Roman" w:eastAsia="Times New Roman" w:hint="default"/>
          <w:spacing w:val="-1"/>
        </w:rPr>
        <w:t>90%</w:t>
      </w:r>
      <w:r>
        <w:rPr>
          <w:spacing w:val="-1"/>
        </w:rPr>
        <w:t>以上</w:t>
      </w:r>
      <w:r>
        <w:rPr>
          <w:rFonts w:ascii="Times New Roman" w:hAnsi="Times New Roman" w:cs="Times New Roman" w:eastAsia="Times New Roman" w:hint="default"/>
          <w:spacing w:val="-1"/>
        </w:rPr>
        <w:t>(</w:t>
      </w:r>
      <w:r>
        <w:rPr>
          <w:spacing w:val="-1"/>
        </w:rPr>
        <w:t>含</w:t>
      </w:r>
      <w:r>
        <w:rPr>
          <w:spacing w:val="-20"/>
        </w:rPr>
        <w:t> </w:t>
      </w:r>
      <w:r>
        <w:rPr>
          <w:rFonts w:ascii="Times New Roman" w:hAnsi="Times New Roman" w:cs="Times New Roman" w:eastAsia="Times New Roman" w:hint="default"/>
          <w:spacing w:val="-18"/>
        </w:rPr>
        <w:t>90%)</w:t>
      </w:r>
      <w:r>
        <w:rPr>
          <w:spacing w:val="-18"/>
        </w:rPr>
        <w:t>）；</w:t>
      </w:r>
      <w:r>
        <w:rPr>
          <w:spacing w:val="-96"/>
        </w:rPr>
        <w:t> </w:t>
      </w:r>
      <w:r>
        <w:rPr>
          <w:spacing w:val="-96"/>
        </w:rPr>
      </w:r>
      <w:r>
        <w:rPr>
          <w:rFonts w:ascii="Times New Roman" w:hAnsi="Times New Roman" w:cs="Times New Roman" w:eastAsia="Times New Roman" w:hint="default"/>
        </w:rPr>
        <w:t>(5)</w:t>
      </w:r>
      <w:r>
        <w:rPr>
          <w:rFonts w:ascii="Times New Roman" w:hAnsi="Times New Roman" w:cs="Times New Roman" w:eastAsia="Times New Roman" w:hint="default"/>
          <w:spacing w:val="51"/>
        </w:rPr>
        <w:t> </w:t>
      </w:r>
      <w:r>
        <w:rPr/>
        <w:t>租赁资产性质特殊，如果不作较大改造，只有承租人才能使用。融资租入的固定资产，按租赁开始日 租赁资产的公允价值与最低租赁付款额的现值中较低者入账，按自有固定资产的折旧政策计提折旧。</w:t>
      </w:r>
    </w:p>
    <w:p>
      <w:pPr>
        <w:spacing w:line="240" w:lineRule="auto" w:before="7"/>
        <w:rPr>
          <w:rFonts w:ascii="宋体" w:hAnsi="宋体" w:cs="宋体" w:eastAsia="宋体" w:hint="default"/>
          <w:sz w:val="24"/>
          <w:szCs w:val="24"/>
        </w:rPr>
      </w:pPr>
    </w:p>
    <w:p>
      <w:pPr>
        <w:pStyle w:val="Heading3"/>
        <w:spacing w:line="240" w:lineRule="auto" w:before="0"/>
        <w:ind w:left="153" w:right="0"/>
        <w:jc w:val="left"/>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8"/>
        <w:rPr>
          <w:rFonts w:ascii="宋体" w:hAnsi="宋体" w:cs="宋体" w:eastAsia="宋体" w:hint="default"/>
          <w:b/>
          <w:bCs/>
          <w:sz w:val="24"/>
          <w:szCs w:val="24"/>
        </w:rPr>
      </w:pPr>
    </w:p>
    <w:p>
      <w:pPr>
        <w:pStyle w:val="BodyText"/>
        <w:spacing w:line="256" w:lineRule="auto"/>
        <w:ind w:left="153" w:right="194"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8"/>
        </w:rPr>
        <w:t> </w:t>
      </w:r>
      <w:r>
        <w:rPr/>
        <w:t>在建工程同时满足经济利益很可能流入、成本能够可靠计量则予以确认。在建工程按建造该项资产 达到预定可使用状态前所发生的实际成本计量。</w:t>
      </w:r>
    </w:p>
    <w:p>
      <w:pPr>
        <w:pStyle w:val="BodyText"/>
        <w:spacing w:line="264" w:lineRule="auto" w:before="22"/>
        <w:ind w:left="153" w:right="150"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8"/>
        </w:rPr>
        <w:t> </w:t>
      </w:r>
      <w:r>
        <w:rPr/>
        <w:t>在建工程达到预定可使用状态时，按工程实际成本转入固定资产。已达到预定可使用状态但尚未办 </w:t>
      </w:r>
      <w:r>
        <w:rPr>
          <w:spacing w:val="-1"/>
        </w:rPr>
        <w:t>理竣工决算的，先按估计价值转入固定资产，待办理竣工决算后再按实际成本调整原暂估价值，但不再调</w:t>
      </w:r>
      <w:r>
        <w:rPr>
          <w:spacing w:val="-83"/>
        </w:rPr>
        <w:t> </w:t>
      </w:r>
      <w:r>
        <w:rPr>
          <w:spacing w:val="-83"/>
        </w:rPr>
      </w:r>
      <w:r>
        <w:rPr/>
        <w:t>整原已计提的折旧。</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8"/>
          <w:szCs w:val="28"/>
        </w:rPr>
      </w:pPr>
    </w:p>
    <w:p>
      <w:pPr>
        <w:pStyle w:val="Heading3"/>
        <w:spacing w:line="240" w:lineRule="auto" w:before="0"/>
        <w:ind w:right="0"/>
        <w:jc w:val="left"/>
        <w:rPr>
          <w:b w:val="0"/>
          <w:bCs w:val="0"/>
        </w:rPr>
      </w:pPr>
      <w:r>
        <w:rPr>
          <w:rFonts w:ascii="Times New Roman" w:hAnsi="Times New Roman" w:cs="Times New Roman" w:eastAsia="Times New Roman" w:hint="default"/>
        </w:rPr>
        <w:t>16</w:t>
      </w:r>
      <w:r>
        <w:rPr/>
        <w:t>、借款费用</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借款费用资本化的确认原则 </w:t>
      </w:r>
      <w:r>
        <w:rPr>
          <w:spacing w:val="-1"/>
        </w:rPr>
        <w:t>公司发生的借款费用，可直接归属于符合资本化条件的资产的购建或者生产的，予以资本化，计入相</w:t>
      </w:r>
    </w:p>
    <w:p>
      <w:pPr>
        <w:spacing w:after="0" w:line="256" w:lineRule="auto"/>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BodyText"/>
        <w:spacing w:line="240" w:lineRule="auto" w:before="35"/>
        <w:ind w:right="102"/>
        <w:jc w:val="left"/>
      </w:pPr>
      <w:r>
        <w:rPr/>
        <w:t>关资产成本；其他借款费用，在发生时确认为费用，计入当期损益。</w:t>
      </w:r>
    </w:p>
    <w:p>
      <w:pPr>
        <w:pStyle w:val="BodyText"/>
        <w:spacing w:line="240" w:lineRule="auto" w:before="37"/>
        <w:ind w:left="573" w:right="10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借款费用资本化期间</w:t>
      </w:r>
    </w:p>
    <w:p>
      <w:pPr>
        <w:pStyle w:val="BodyText"/>
        <w:spacing w:line="256" w:lineRule="auto" w:before="21"/>
        <w:ind w:left="153" w:right="210" w:firstLine="420"/>
        <w:jc w:val="both"/>
      </w:pPr>
      <w:r>
        <w:rPr>
          <w:rFonts w:ascii="Times New Roman" w:hAnsi="Times New Roman" w:cs="Times New Roman" w:eastAsia="Times New Roman" w:hint="default"/>
        </w:rPr>
        <w:t>(1) </w:t>
      </w:r>
      <w:r>
        <w:rPr>
          <w:spacing w:val="-7"/>
        </w:rPr>
        <w:t>当借款费用同时满足下列条件时，开始资本化：</w:t>
      </w:r>
      <w:r>
        <w:rPr>
          <w:rFonts w:ascii="Times New Roman" w:hAnsi="Times New Roman" w:cs="Times New Roman" w:eastAsia="Times New Roman" w:hint="default"/>
          <w:spacing w:val="-7"/>
        </w:rPr>
        <w:t>1) </w:t>
      </w:r>
      <w:r>
        <w:rPr>
          <w:spacing w:val="-7"/>
        </w:rPr>
        <w:t>资产支出已经发生；</w:t>
      </w:r>
      <w:r>
        <w:rPr>
          <w:rFonts w:ascii="Times New Roman" w:hAnsi="Times New Roman" w:cs="Times New Roman" w:eastAsia="Times New Roman" w:hint="default"/>
          <w:spacing w:val="-7"/>
        </w:rPr>
        <w:t>2) </w:t>
      </w:r>
      <w:r>
        <w:rPr>
          <w:spacing w:val="-7"/>
        </w:rPr>
        <w:t>借款费用已经发生；</w:t>
      </w:r>
      <w:r>
        <w:rPr>
          <w:rFonts w:ascii="Times New Roman" w:hAnsi="Times New Roman" w:cs="Times New Roman" w:eastAsia="Times New Roman" w:hint="default"/>
          <w:spacing w:val="-7"/>
        </w:rPr>
        <w:t>3)</w:t>
      </w:r>
      <w:r>
        <w:rPr>
          <w:rFonts w:ascii="Times New Roman" w:hAnsi="Times New Roman" w:cs="Times New Roman" w:eastAsia="Times New Roman" w:hint="default"/>
          <w:spacing w:val="20"/>
        </w:rPr>
        <w:t> </w:t>
      </w:r>
      <w:r>
        <w:rPr/>
        <w:t>为 使资产达到预定可使用或可销售状态所必要的购建或者生产活动已经开始。</w:t>
      </w:r>
    </w:p>
    <w:p>
      <w:pPr>
        <w:pStyle w:val="BodyText"/>
        <w:spacing w:line="264" w:lineRule="auto" w:before="22"/>
        <w:ind w:left="153" w:right="175"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若符合资本化条件的资产在购建或者生产过程中发生非正常中断，并且中断时间连续超过</w:t>
      </w:r>
      <w:r>
        <w:rPr>
          <w:rFonts w:ascii="Times New Roman" w:hAnsi="Times New Roman" w:cs="Times New Roman" w:eastAsia="Times New Roman" w:hint="default"/>
        </w:rPr>
        <w:t>3</w:t>
      </w:r>
      <w:r>
        <w:rPr/>
        <w:t>个月， 暂停借款费用的资本化；中断期间发生的借款费用确认为当期费用，直至资产的购建或者生产活动重新开 始。</w:t>
      </w:r>
    </w:p>
    <w:p>
      <w:pPr>
        <w:pStyle w:val="BodyText"/>
        <w:spacing w:line="240" w:lineRule="auto" w:before="16"/>
        <w:ind w:left="57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7"/>
        </w:rPr>
        <w:t> </w:t>
      </w:r>
      <w:r>
        <w:rPr/>
        <w:t>当所购建或者生产符合资本化条件的资产达到预定可使用或可销售状态时，借款费用停止资本化。</w:t>
      </w:r>
    </w:p>
    <w:p>
      <w:pPr>
        <w:pStyle w:val="BodyText"/>
        <w:spacing w:line="256" w:lineRule="auto" w:before="21"/>
        <w:ind w:left="573" w:right="10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借款费用资本化率以及资本化金额 </w:t>
      </w:r>
      <w:r>
        <w:rPr>
          <w:spacing w:val="-3"/>
        </w:rPr>
        <w:t>为购建或者生产符合资本化条件的资产而借入专门借款的，以专门借款当期实际发生的利息费用</w:t>
      </w:r>
      <w:r>
        <w:rPr>
          <w:rFonts w:ascii="Times New Roman" w:hAnsi="Times New Roman" w:cs="Times New Roman" w:eastAsia="Times New Roman" w:hint="default"/>
          <w:spacing w:val="-3"/>
        </w:rPr>
        <w:t>(</w:t>
      </w:r>
      <w:r>
        <w:rPr>
          <w:spacing w:val="-3"/>
        </w:rPr>
        <w:t>包括</w:t>
      </w:r>
    </w:p>
    <w:p>
      <w:pPr>
        <w:pStyle w:val="BodyText"/>
        <w:spacing w:line="266" w:lineRule="auto" w:before="5"/>
        <w:ind w:left="153" w:right="195"/>
        <w:jc w:val="left"/>
      </w:pPr>
      <w:r>
        <w:rPr>
          <w:spacing w:val="-2"/>
        </w:rPr>
        <w:t>按照实际利率法确定的折价或溢价的摊销</w:t>
      </w:r>
      <w:r>
        <w:rPr>
          <w:rFonts w:ascii="Times New Roman" w:hAnsi="Times New Roman" w:cs="Times New Roman" w:eastAsia="Times New Roman" w:hint="default"/>
          <w:spacing w:val="-2"/>
        </w:rPr>
        <w:t>)</w:t>
      </w:r>
      <w:r>
        <w:rPr>
          <w:spacing w:val="-2"/>
        </w:rPr>
        <w:t>，减去将尚未动用的借款资金存入银行取得的利息收入或进行暂</w:t>
      </w:r>
      <w:r>
        <w:rPr/>
        <w:t> </w:t>
      </w:r>
      <w:r>
        <w:rPr>
          <w:spacing w:val="-1"/>
        </w:rPr>
        <w:t>时性投资取得的投资收益后的金额，确定应予资本化的利息金额；为购建或者生产符合资本化条件的资产</w:t>
      </w:r>
      <w:r>
        <w:rPr>
          <w:spacing w:val="-81"/>
        </w:rPr>
        <w:t> </w:t>
      </w:r>
      <w:r>
        <w:rPr>
          <w:spacing w:val="-81"/>
        </w:rPr>
      </w:r>
      <w:r>
        <w:rPr/>
        <w:t>占用了一般借款的，根据累计资产支出超过专门借款的资产支出加权平均数乘以占用一般借款的资本化 率，计算确定一般借款应予资本化的利息金额。</w:t>
      </w:r>
    </w:p>
    <w:p>
      <w:pPr>
        <w:spacing w:line="240" w:lineRule="auto" w:before="1"/>
        <w:rPr>
          <w:rFonts w:ascii="宋体" w:hAnsi="宋体" w:cs="宋体" w:eastAsia="宋体" w:hint="default"/>
          <w:sz w:val="24"/>
          <w:szCs w:val="24"/>
        </w:rPr>
      </w:pPr>
    </w:p>
    <w:p>
      <w:pPr>
        <w:pStyle w:val="Heading3"/>
        <w:spacing w:line="240" w:lineRule="auto" w:before="0"/>
        <w:ind w:left="153" w:right="102"/>
        <w:jc w:val="left"/>
        <w:rPr>
          <w:b w:val="0"/>
          <w:bCs w:val="0"/>
        </w:rPr>
      </w:pPr>
      <w:r>
        <w:rPr>
          <w:rFonts w:ascii="Times New Roman" w:hAnsi="Times New Roman" w:cs="Times New Roman" w:eastAsia="Times New Roman" w:hint="default"/>
        </w:rPr>
        <w:t>17</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left="153" w:right="102"/>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573" w:right="102"/>
        <w:jc w:val="left"/>
      </w:pPr>
      <w:r>
        <w:rPr/>
        <w:t>无形资产包括土地使用权、专利权及非专利技术等，按成本进行初始计量。 </w:t>
      </w:r>
      <w:r>
        <w:rPr>
          <w:spacing w:val="-1"/>
        </w:rPr>
        <w:t>使用寿命有限的无形资产，在使用寿命内按照与该项无形资产有关的经济利益的预期实现方式系统合</w:t>
      </w:r>
    </w:p>
    <w:p>
      <w:pPr>
        <w:pStyle w:val="BodyText"/>
        <w:spacing w:line="240" w:lineRule="auto" w:before="7"/>
        <w:ind w:left="153" w:right="102"/>
        <w:jc w:val="left"/>
      </w:pPr>
      <w:r>
        <w:rPr/>
        <w:t>理地摊销，无法可靠确定预期实现方式的，采用直线法摊销。具体年限如下：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4156"/>
        <w:gridCol w:w="4157"/>
      </w:tblGrid>
      <w:tr>
        <w:trPr>
          <w:trHeight w:val="347" w:hRule="exact"/>
        </w:trPr>
        <w:tc>
          <w:tcPr>
            <w:tcW w:w="415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4157" w:type="dxa"/>
            <w:tcBorders>
              <w:top w:val="single" w:sz="6" w:space="0" w:color="000000"/>
              <w:left w:val="single" w:sz="6" w:space="0" w:color="000000"/>
              <w:bottom w:val="single" w:sz="6" w:space="0" w:color="000000"/>
              <w:right w:val="nil" w:sz="6" w:space="0" w:color="auto"/>
            </w:tcBorders>
          </w:tcPr>
          <w:p>
            <w:pPr>
              <w:pStyle w:val="TableParagraph"/>
              <w:spacing w:line="287" w:lineRule="exact"/>
              <w:ind w:right="6"/>
              <w:jc w:val="center"/>
              <w:rPr>
                <w:rFonts w:ascii="Times New Roman" w:hAnsi="Times New Roman" w:cs="Times New Roman" w:eastAsia="Times New Roman" w:hint="default"/>
                <w:sz w:val="21"/>
                <w:szCs w:val="21"/>
              </w:rPr>
            </w:pPr>
            <w:r>
              <w:rPr>
                <w:rFonts w:ascii="宋体" w:hAnsi="宋体" w:cs="宋体" w:eastAsia="宋体" w:hint="default"/>
                <w:sz w:val="21"/>
                <w:szCs w:val="21"/>
              </w:rPr>
              <w:t>摊销年限</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r>
      <w:tr>
        <w:trPr>
          <w:trHeight w:val="347" w:hRule="exact"/>
        </w:trPr>
        <w:tc>
          <w:tcPr>
            <w:tcW w:w="415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4157"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规定的使用年限</w:t>
            </w:r>
          </w:p>
        </w:tc>
      </w:tr>
      <w:tr>
        <w:trPr>
          <w:trHeight w:val="348" w:hRule="exact"/>
        </w:trPr>
        <w:tc>
          <w:tcPr>
            <w:tcW w:w="415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专利权、非专利技术、著作权</w:t>
            </w:r>
          </w:p>
        </w:tc>
        <w:tc>
          <w:tcPr>
            <w:tcW w:w="41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2"/>
              <w:jc w:val="center"/>
              <w:rPr>
                <w:rFonts w:ascii="Times New Roman" w:hAnsi="Times New Roman" w:cs="Times New Roman" w:eastAsia="Times New Roman" w:hint="default"/>
                <w:sz w:val="21"/>
                <w:szCs w:val="21"/>
              </w:rPr>
            </w:pPr>
            <w:r>
              <w:rPr>
                <w:rFonts w:ascii="Times New Roman"/>
                <w:sz w:val="21"/>
              </w:rPr>
              <w:t>10</w:t>
            </w:r>
          </w:p>
        </w:tc>
      </w:tr>
      <w:tr>
        <w:trPr>
          <w:trHeight w:val="347" w:hRule="exact"/>
        </w:trPr>
        <w:tc>
          <w:tcPr>
            <w:tcW w:w="415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商标权</w:t>
            </w:r>
          </w:p>
        </w:tc>
        <w:tc>
          <w:tcPr>
            <w:tcW w:w="41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2"/>
              <w:jc w:val="center"/>
              <w:rPr>
                <w:rFonts w:ascii="Times New Roman" w:hAnsi="Times New Roman" w:cs="Times New Roman" w:eastAsia="Times New Roman" w:hint="default"/>
                <w:sz w:val="21"/>
                <w:szCs w:val="21"/>
              </w:rPr>
            </w:pPr>
            <w:r>
              <w:rPr>
                <w:rFonts w:ascii="Times New Roman"/>
                <w:sz w:val="21"/>
              </w:rPr>
              <w:t>10</w:t>
            </w:r>
          </w:p>
        </w:tc>
      </w:tr>
      <w:tr>
        <w:trPr>
          <w:trHeight w:val="347" w:hRule="exact"/>
        </w:trPr>
        <w:tc>
          <w:tcPr>
            <w:tcW w:w="415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4157"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3"/>
              <w:jc w:val="center"/>
              <w:rPr>
                <w:rFonts w:ascii="Times New Roman" w:hAnsi="Times New Roman" w:cs="Times New Roman" w:eastAsia="Times New Roman" w:hint="default"/>
                <w:sz w:val="21"/>
                <w:szCs w:val="21"/>
              </w:rPr>
            </w:pPr>
            <w:r>
              <w:rPr>
                <w:rFonts w:ascii="Times New Roman"/>
                <w:sz w:val="21"/>
              </w:rPr>
              <w:t>5</w:t>
            </w:r>
          </w:p>
        </w:tc>
      </w:tr>
    </w:tbl>
    <w:p>
      <w:pPr>
        <w:spacing w:line="240" w:lineRule="auto" w:before="2"/>
        <w:rPr>
          <w:rFonts w:ascii="宋体" w:hAnsi="宋体" w:cs="宋体" w:eastAsia="宋体" w:hint="default"/>
          <w:sz w:val="19"/>
          <w:szCs w:val="19"/>
        </w:rPr>
      </w:pPr>
    </w:p>
    <w:p>
      <w:pPr>
        <w:pStyle w:val="Heading3"/>
        <w:spacing w:line="240" w:lineRule="auto"/>
        <w:ind w:right="102"/>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8"/>
        <w:rPr>
          <w:rFonts w:ascii="宋体" w:hAnsi="宋体" w:cs="宋体" w:eastAsia="宋体" w:hint="default"/>
          <w:b/>
          <w:bCs/>
          <w:sz w:val="24"/>
          <w:szCs w:val="24"/>
        </w:rPr>
      </w:pPr>
    </w:p>
    <w:p>
      <w:pPr>
        <w:pStyle w:val="BodyText"/>
        <w:spacing w:line="261" w:lineRule="auto"/>
        <w:ind w:left="153" w:right="87" w:firstLine="504"/>
        <w:jc w:val="left"/>
      </w:pPr>
      <w:r>
        <w:rPr/>
        <w:t>内部研究开发项目研究阶段的支出，于发生时计入当期损益。内部研究开发项目开发阶段的支出， 同时满足下列条件的，确认为无形资产：</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完成该无形资产以使其能够使用或出售在技术上具有可行性； </w:t>
      </w:r>
      <w:r>
        <w:rPr>
          <w:rFonts w:ascii="Times New Roman" w:hAnsi="Times New Roman" w:cs="Times New Roman" w:eastAsia="Times New Roman" w:hint="default"/>
        </w:rPr>
        <w:t>(2) </w:t>
      </w:r>
      <w:r>
        <w:rPr/>
        <w:t>具有完成该无形资产并使用或出售的意图；</w:t>
      </w: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无形资产产生经济利益的方式，包括能够证明运用该无 </w:t>
      </w:r>
      <w:r>
        <w:rPr>
          <w:spacing w:val="-4"/>
        </w:rPr>
        <w:t>形资产生产的产品存在市场或无形资产自身存在市场，无形资产将在内部使用的，能证明其有用性；</w:t>
      </w:r>
      <w:r>
        <w:rPr>
          <w:rFonts w:ascii="Times New Roman" w:hAnsi="Times New Roman" w:cs="Times New Roman" w:eastAsia="Times New Roman" w:hint="default"/>
          <w:spacing w:val="-4"/>
        </w:rPr>
        <w:t>(4) </w:t>
      </w:r>
      <w:r>
        <w:rPr/>
        <w:t>有</w:t>
      </w:r>
      <w:r>
        <w:rPr>
          <w:spacing w:val="-73"/>
        </w:rPr>
        <w:t> </w:t>
      </w:r>
      <w:r>
        <w:rPr/>
        <w:t>足够的技术、财务资源和其他资源支持，以完成该无形资产的开发，并有能力使用或出售该无形资产；</w:t>
      </w:r>
      <w:r>
        <w:rPr>
          <w:rFonts w:ascii="Times New Roman" w:hAnsi="Times New Roman" w:cs="Times New Roman" w:eastAsia="Times New Roman" w:hint="default"/>
        </w:rPr>
        <w:t>(5) </w:t>
      </w:r>
      <w:r>
        <w:rPr/>
        <w:t>归属于该无形资产开发阶段的支出能够可靠地计量。</w:t>
      </w:r>
    </w:p>
    <w:p>
      <w:pPr>
        <w:pStyle w:val="BodyText"/>
        <w:spacing w:line="273" w:lineRule="auto" w:before="18"/>
        <w:ind w:left="574" w:right="102"/>
        <w:jc w:val="left"/>
      </w:pPr>
      <w:r>
        <w:rPr/>
        <w:t>公司划分内部研究开发项目研究阶段支出和开发阶段支出的具体标准： </w:t>
      </w:r>
      <w:r>
        <w:rPr>
          <w:spacing w:val="-1"/>
        </w:rPr>
        <w:t>根据内部研究开发项目支出的性质以及研发活动最终形成无形资产是否具有较大不确定性，分为研究</w:t>
      </w:r>
    </w:p>
    <w:p>
      <w:pPr>
        <w:pStyle w:val="BodyText"/>
        <w:spacing w:line="240" w:lineRule="auto" w:before="6"/>
        <w:ind w:right="102"/>
        <w:jc w:val="left"/>
      </w:pPr>
      <w:r>
        <w:rPr/>
        <w:t>阶段支出和开发阶段支出。</w:t>
      </w:r>
    </w:p>
    <w:p>
      <w:pPr>
        <w:pStyle w:val="BodyText"/>
        <w:spacing w:line="610" w:lineRule="atLeast" w:before="19"/>
        <w:ind w:left="574" w:right="102" w:hanging="420"/>
        <w:jc w:val="left"/>
        <w:rPr>
          <w:rFonts w:ascii="Times New Roman" w:hAnsi="Times New Roman" w:cs="Times New Roman" w:eastAsia="Times New Roman" w:hint="default"/>
        </w:rPr>
      </w:pPr>
      <w:r>
        <w:rPr>
          <w:rFonts w:ascii="Times New Roman" w:hAnsi="Times New Roman" w:cs="Times New Roman" w:eastAsia="Times New Roman" w:hint="default"/>
          <w:b/>
          <w:bCs/>
        </w:rPr>
        <w:t>18</w:t>
      </w:r>
      <w:r>
        <w:rPr>
          <w:rFonts w:ascii="宋体" w:hAnsi="宋体" w:cs="宋体" w:eastAsia="宋体" w:hint="default"/>
          <w:b/>
          <w:bCs/>
        </w:rPr>
        <w:t>、长期资产减值</w:t>
      </w:r>
      <w:r>
        <w:rPr>
          <w:rFonts w:ascii="宋体" w:hAnsi="宋体" w:cs="宋体" w:eastAsia="宋体" w:hint="default"/>
          <w:b/>
          <w:bCs/>
          <w:spacing w:val="1"/>
          <w:w w:val="99"/>
        </w:rPr>
        <w:t> </w:t>
      </w:r>
      <w:r>
        <w:rPr>
          <w:spacing w:val="2"/>
        </w:rPr>
        <w:t>对长期股权投资、采用成本模式计量的固定资产、在建工程、使用寿命有限的无形资产等长期资产</w:t>
      </w:r>
      <w:r>
        <w:rPr>
          <w:rFonts w:ascii="Times New Roman" w:hAnsi="Times New Roman" w:cs="Times New Roman" w:eastAsia="Times New Roman" w:hint="default"/>
          <w:spacing w:val="2"/>
        </w:rPr>
        <w:t>,</w:t>
      </w:r>
    </w:p>
    <w:p>
      <w:pPr>
        <w:pStyle w:val="BodyText"/>
        <w:spacing w:line="240" w:lineRule="auto" w:before="21"/>
        <w:ind w:left="153" w:right="102"/>
        <w:jc w:val="left"/>
      </w:pPr>
      <w:r>
        <w:rPr/>
        <w:t>在资产负债表日有迹象表明发生减值的，估计其可收回金额。对因企业合并所形成的商誉和使用寿命不确</w:t>
      </w:r>
    </w:p>
    <w:p>
      <w:pPr>
        <w:spacing w:after="0" w:line="240" w:lineRule="auto"/>
        <w:jc w:val="left"/>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BodyText"/>
        <w:spacing w:line="273" w:lineRule="auto" w:before="35"/>
        <w:ind w:right="102"/>
        <w:jc w:val="left"/>
      </w:pPr>
      <w:r>
        <w:rPr>
          <w:spacing w:val="-1"/>
        </w:rPr>
        <w:t>定的无形资产，无论是否存在减值迹象，每年都进行减值测试。商誉结合与其相关的资产组或者资产组组</w:t>
      </w:r>
      <w:r>
        <w:rPr>
          <w:spacing w:val="-83"/>
        </w:rPr>
        <w:t> </w:t>
      </w:r>
      <w:r>
        <w:rPr>
          <w:spacing w:val="-83"/>
        </w:rPr>
      </w:r>
      <w:r>
        <w:rPr/>
        <w:t>合进行减值测试。</w:t>
      </w:r>
    </w:p>
    <w:p>
      <w:pPr>
        <w:pStyle w:val="BodyText"/>
        <w:spacing w:line="240" w:lineRule="auto" w:before="7"/>
        <w:ind w:left="573" w:right="102"/>
        <w:jc w:val="left"/>
      </w:pPr>
      <w:r>
        <w:rPr/>
        <w:t>若上述长期资产的可收回金额低于其账面价值的，按其差额确认资产减值准备并计入当期损益。</w:t>
      </w:r>
    </w:p>
    <w:p>
      <w:pPr>
        <w:pStyle w:val="BodyText"/>
        <w:spacing w:line="610" w:lineRule="atLeast" w:before="19"/>
        <w:ind w:left="574" w:right="102" w:hanging="420"/>
        <w:jc w:val="left"/>
      </w:pPr>
      <w:r>
        <w:rPr>
          <w:rFonts w:ascii="Times New Roman" w:hAnsi="Times New Roman" w:cs="Times New Roman" w:eastAsia="Times New Roman" w:hint="default"/>
          <w:b/>
          <w:bCs/>
        </w:rPr>
        <w:t>19</w:t>
      </w:r>
      <w:r>
        <w:rPr>
          <w:rFonts w:ascii="宋体" w:hAnsi="宋体" w:cs="宋体" w:eastAsia="宋体" w:hint="default"/>
          <w:b/>
          <w:bCs/>
        </w:rPr>
        <w:t>、长期待摊费用</w:t>
      </w:r>
      <w:r>
        <w:rPr>
          <w:rFonts w:ascii="宋体" w:hAnsi="宋体" w:cs="宋体" w:eastAsia="宋体" w:hint="default"/>
          <w:b/>
          <w:bCs/>
          <w:spacing w:val="1"/>
          <w:w w:val="99"/>
        </w:rPr>
        <w:t> </w:t>
      </w:r>
      <w:r>
        <w:rPr/>
        <w:t>长期待摊费用核算已经支出，摊销期限在</w:t>
      </w:r>
      <w:r>
        <w:rPr>
          <w:rFonts w:ascii="Times New Roman" w:hAnsi="Times New Roman" w:cs="Times New Roman" w:eastAsia="Times New Roman" w:hint="default"/>
        </w:rPr>
        <w:t>1</w:t>
      </w:r>
      <w:r>
        <w:rPr/>
        <w:t>年以上</w:t>
      </w:r>
      <w:r>
        <w:rPr>
          <w:rFonts w:ascii="Times New Roman" w:hAnsi="Times New Roman" w:cs="Times New Roman" w:eastAsia="Times New Roman" w:hint="default"/>
        </w:rPr>
        <w:t>(</w:t>
      </w:r>
      <w:r>
        <w:rPr/>
        <w:t>不含</w:t>
      </w:r>
      <w:r>
        <w:rPr>
          <w:rFonts w:ascii="Times New Roman" w:hAnsi="Times New Roman" w:cs="Times New Roman" w:eastAsia="Times New Roman" w:hint="default"/>
        </w:rPr>
        <w:t>1</w:t>
      </w:r>
      <w:r>
        <w:rPr/>
        <w:t>年</w:t>
      </w:r>
      <w:r>
        <w:rPr>
          <w:rFonts w:ascii="Times New Roman" w:hAnsi="Times New Roman" w:cs="Times New Roman" w:eastAsia="Times New Roman" w:hint="default"/>
        </w:rPr>
        <w:t>)</w:t>
      </w:r>
      <w:r>
        <w:rPr/>
        <w:t>的各项费用。长期待摊费用按实际发生额</w:t>
      </w:r>
    </w:p>
    <w:p>
      <w:pPr>
        <w:pStyle w:val="BodyText"/>
        <w:spacing w:line="273" w:lineRule="auto" w:before="21"/>
        <w:ind w:left="153" w:right="102"/>
        <w:jc w:val="left"/>
      </w:pPr>
      <w:r>
        <w:rPr>
          <w:spacing w:val="-1"/>
        </w:rPr>
        <w:t>入账，在受益期或规定的期限内分期平均摊销。如果长期待摊的费用项目不能使以后会计期间受益则将尚</w:t>
      </w:r>
      <w:r>
        <w:rPr>
          <w:spacing w:val="-81"/>
        </w:rPr>
        <w:t> </w:t>
      </w:r>
      <w:r>
        <w:rPr>
          <w:spacing w:val="-81"/>
        </w:rPr>
      </w:r>
      <w:r>
        <w:rPr/>
        <w:t>未摊销的该项目的摊余价值全部转入当期损益。</w:t>
      </w:r>
    </w:p>
    <w:p>
      <w:pPr>
        <w:spacing w:line="240" w:lineRule="auto" w:before="8"/>
        <w:rPr>
          <w:rFonts w:ascii="宋体" w:hAnsi="宋体" w:cs="宋体" w:eastAsia="宋体" w:hint="default"/>
          <w:sz w:val="23"/>
          <w:szCs w:val="23"/>
        </w:rPr>
      </w:pPr>
    </w:p>
    <w:p>
      <w:pPr>
        <w:pStyle w:val="Heading3"/>
        <w:spacing w:line="240" w:lineRule="auto" w:before="0"/>
        <w:ind w:left="153" w:right="102"/>
        <w:jc w:val="left"/>
        <w:rPr>
          <w:b w:val="0"/>
          <w:bCs w:val="0"/>
        </w:rPr>
      </w:pPr>
      <w:r>
        <w:rPr>
          <w:rFonts w:ascii="Times New Roman" w:hAnsi="Times New Roman" w:cs="Times New Roman" w:eastAsia="Times New Roman" w:hint="default"/>
        </w:rPr>
        <w:t>20</w:t>
      </w:r>
      <w:r>
        <w:rPr/>
        <w:t>、职工薪酬</w:t>
      </w:r>
      <w:r>
        <w:rPr>
          <w:b w:val="0"/>
          <w:bCs w:val="0"/>
        </w:rPr>
      </w:r>
    </w:p>
    <w:p>
      <w:pPr>
        <w:spacing w:line="590" w:lineRule="atLeast" w:before="23"/>
        <w:ind w:left="573" w:right="102"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在职工为公司提供服务的会计期间，将实际发生的短期薪酬确认为负债，并计入当期损益或相关资产</w:t>
      </w:r>
    </w:p>
    <w:p>
      <w:pPr>
        <w:pStyle w:val="BodyText"/>
        <w:spacing w:line="240" w:lineRule="auto" w:before="37"/>
        <w:ind w:left="153" w:right="102"/>
        <w:jc w:val="left"/>
      </w:pPr>
      <w:r>
        <w:rPr/>
        <w:t>成本。</w:t>
      </w:r>
    </w:p>
    <w:p>
      <w:pPr>
        <w:spacing w:line="590" w:lineRule="atLeast" w:before="39"/>
        <w:ind w:left="573" w:right="5001"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spacing w:val="1"/>
          <w:w w:val="99"/>
          <w:sz w:val="21"/>
          <w:szCs w:val="21"/>
        </w:rPr>
        <w:t> </w:t>
      </w:r>
      <w:r>
        <w:rPr>
          <w:rFonts w:ascii="宋体" w:hAnsi="宋体" w:cs="宋体" w:eastAsia="宋体" w:hint="default"/>
          <w:sz w:val="21"/>
          <w:szCs w:val="21"/>
        </w:rPr>
        <w:t>离职后福利分为设定提存计划和设定受益计划。</w:t>
      </w:r>
    </w:p>
    <w:p>
      <w:pPr>
        <w:pStyle w:val="BodyText"/>
        <w:spacing w:line="256" w:lineRule="auto" w:before="37"/>
        <w:ind w:left="153" w:right="209"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4"/>
        </w:rPr>
        <w:t> </w:t>
      </w:r>
      <w:r>
        <w:rPr/>
        <w:t>在职工为公司提供服务的会计期间，根据设定提存计划计算的应缴存金额确认为负债，并计入当</w:t>
      </w:r>
      <w:r>
        <w:rPr>
          <w:spacing w:val="1"/>
        </w:rPr>
        <w:t> </w:t>
      </w:r>
      <w:r>
        <w:rPr/>
        <w:t>期损益或相关资产成本。</w:t>
      </w:r>
    </w:p>
    <w:p>
      <w:pPr>
        <w:pStyle w:val="BodyText"/>
        <w:spacing w:line="240" w:lineRule="auto" w:before="22"/>
        <w:ind w:left="573" w:right="10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对设定受益计划的会计处理通常包括下列步骤：</w:t>
      </w:r>
    </w:p>
    <w:p>
      <w:pPr>
        <w:pStyle w:val="BodyText"/>
        <w:spacing w:line="264" w:lineRule="auto" w:before="21"/>
        <w:ind w:left="153" w:right="210" w:firstLine="419"/>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4"/>
        </w:rPr>
        <w:t> </w:t>
      </w:r>
      <w:r>
        <w:rPr>
          <w:spacing w:val="-2"/>
        </w:rPr>
        <w:t>根据预期累计福利单位法，采用无偏且相互一致的精算假设对有关人口统计变量和财务变量等作出</w:t>
      </w:r>
      <w:r>
        <w:rPr/>
        <w:t> </w:t>
      </w:r>
      <w:r>
        <w:rPr>
          <w:spacing w:val="-1"/>
        </w:rPr>
        <w:t>估计，计量设定受益计划所产生的义务，并确定相关义务的所属期间。同时，对设定受益计划所产生的义</w:t>
      </w:r>
      <w:r>
        <w:rPr>
          <w:spacing w:val="-82"/>
        </w:rPr>
        <w:t> </w:t>
      </w:r>
      <w:r>
        <w:rPr>
          <w:spacing w:val="-82"/>
        </w:rPr>
      </w:r>
      <w:r>
        <w:rPr/>
        <w:t>务予以折现，以确定设定受益计划义务的现值和当期服务成本；</w:t>
      </w:r>
    </w:p>
    <w:p>
      <w:pPr>
        <w:pStyle w:val="BodyText"/>
        <w:spacing w:line="264" w:lineRule="auto" w:before="16"/>
        <w:ind w:right="211" w:firstLine="419"/>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5"/>
        </w:rPr>
        <w:t> </w:t>
      </w:r>
      <w:r>
        <w:rPr>
          <w:spacing w:val="-2"/>
        </w:rPr>
        <w:t>设定受益计划存在资产的，将设定受益计划义务现值减去设定受益计划资产公允价值所形成的赤字</w:t>
      </w:r>
      <w:r>
        <w:rPr/>
        <w:t> </w:t>
      </w:r>
      <w:r>
        <w:rPr>
          <w:spacing w:val="-1"/>
        </w:rPr>
        <w:t>或盈余确认为一项设定受益计划净负债或净资产。设定受益计划存在盈余的，以设定受益计划的盈余和资</w:t>
      </w:r>
      <w:r>
        <w:rPr>
          <w:spacing w:val="-81"/>
        </w:rPr>
        <w:t> </w:t>
      </w:r>
      <w:r>
        <w:rPr>
          <w:spacing w:val="-81"/>
        </w:rPr>
      </w:r>
      <w:r>
        <w:rPr/>
        <w:t>产上限两项的孰低者计量设定受益计划净资产；</w:t>
      </w:r>
    </w:p>
    <w:p>
      <w:pPr>
        <w:pStyle w:val="BodyText"/>
        <w:spacing w:line="268" w:lineRule="auto" w:before="16"/>
        <w:ind w:right="211"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44"/>
        </w:rPr>
        <w:t> </w:t>
      </w:r>
      <w:r>
        <w:rPr>
          <w:spacing w:val="-2"/>
        </w:rPr>
        <w:t>期末，将设定受益计划产生的职工薪酬成本确认为服务成本、设定受益计划净负债或净资产的利息</w:t>
      </w:r>
      <w:r>
        <w:rPr/>
        <w:t> </w:t>
      </w:r>
      <w:r>
        <w:rPr>
          <w:spacing w:val="-1"/>
        </w:rPr>
        <w:t>净额以及重新计量设定受益计划净负债或净资产所产生的变动等三部分，其中服务成本和设定受益计划净</w:t>
      </w:r>
      <w:r>
        <w:rPr>
          <w:spacing w:val="-81"/>
        </w:rPr>
        <w:t> </w:t>
      </w:r>
      <w:r>
        <w:rPr>
          <w:spacing w:val="-81"/>
        </w:rPr>
      </w:r>
      <w:r>
        <w:rPr>
          <w:spacing w:val="-1"/>
        </w:rPr>
        <w:t>负债或净资产的利息净额计入当期损益或相关资产成本，重新计量设定受益计划净负债或净资产所产生的</w:t>
      </w:r>
      <w:r>
        <w:rPr>
          <w:spacing w:val="-81"/>
        </w:rPr>
        <w:t> </w:t>
      </w:r>
      <w:r>
        <w:rPr>
          <w:spacing w:val="-81"/>
        </w:rPr>
      </w:r>
      <w:r>
        <w:rPr>
          <w:spacing w:val="-1"/>
        </w:rPr>
        <w:t>变动计入其他综合收益，并且在后续会计期间不允许转回至损益，但可以在权益范围内转移这些在其他综</w:t>
      </w:r>
      <w:r>
        <w:rPr>
          <w:spacing w:val="-81"/>
        </w:rPr>
        <w:t> </w:t>
      </w:r>
      <w:r>
        <w:rPr>
          <w:spacing w:val="-81"/>
        </w:rPr>
      </w:r>
      <w:r>
        <w:rPr/>
        <w:t>合收益确认的金额。</w:t>
      </w:r>
    </w:p>
    <w:p>
      <w:pPr>
        <w:spacing w:line="612" w:lineRule="exact" w:before="69"/>
        <w:ind w:left="574" w:right="102" w:hanging="42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向职工提供的辞退福利，在下列两者孰早日确认辞退福利产生的职工薪酬负债，并计入当期损益：</w:t>
      </w:r>
      <w:r>
        <w:rPr>
          <w:rFonts w:ascii="Times New Roman" w:hAnsi="Times New Roman" w:cs="Times New Roman" w:eastAsia="Times New Roman" w:hint="default"/>
          <w:spacing w:val="-2"/>
          <w:sz w:val="21"/>
          <w:szCs w:val="21"/>
        </w:rPr>
        <w:t>(1)</w:t>
      </w:r>
    </w:p>
    <w:p>
      <w:pPr>
        <w:pStyle w:val="BodyText"/>
        <w:spacing w:line="235" w:lineRule="exact"/>
        <w:ind w:right="102"/>
        <w:jc w:val="left"/>
      </w:pPr>
      <w:r>
        <w:rPr/>
        <w:t>公司不能单方面撤回因解除劳动关系计划或裁减建议所提供的辞退福利时；</w:t>
      </w:r>
      <w:r>
        <w:rPr>
          <w:rFonts w:ascii="Times New Roman" w:hAnsi="Times New Roman" w:cs="Times New Roman" w:eastAsia="Times New Roman" w:hint="default"/>
        </w:rPr>
        <w:t>(2) </w:t>
      </w:r>
      <w:r>
        <w:rPr>
          <w:rFonts w:ascii="Times New Roman" w:hAnsi="Times New Roman" w:cs="Times New Roman" w:eastAsia="Times New Roman" w:hint="default"/>
          <w:spacing w:val="28"/>
        </w:rPr>
        <w:t> </w:t>
      </w:r>
      <w:r>
        <w:rPr/>
        <w:t>公司确认与涉及支付辞退</w:t>
      </w:r>
    </w:p>
    <w:p>
      <w:pPr>
        <w:pStyle w:val="BodyText"/>
        <w:spacing w:line="240" w:lineRule="auto" w:before="21"/>
        <w:ind w:right="102"/>
        <w:jc w:val="left"/>
      </w:pPr>
      <w:r>
        <w:rPr/>
        <w:t>福利的重组相关的成本或费用时。</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spacing w:line="506" w:lineRule="auto" w:before="0"/>
        <w:ind w:left="574" w:right="95"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pacing w:val="-3"/>
          <w:sz w:val="21"/>
          <w:szCs w:val="21"/>
        </w:rPr>
        <w:t>向职工提供的其他长期福利，符合设定提存计划条件的，按照设定提存计划的有关规定进行会计处理；</w:t>
      </w:r>
    </w:p>
    <w:p>
      <w:pPr>
        <w:spacing w:after="0" w:line="506" w:lineRule="auto"/>
        <w:jc w:val="left"/>
        <w:rPr>
          <w:rFonts w:ascii="宋体" w:hAnsi="宋体" w:cs="宋体" w:eastAsia="宋体" w:hint="default"/>
          <w:sz w:val="21"/>
          <w:szCs w:val="21"/>
        </w:rPr>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BodyText"/>
        <w:spacing w:line="273" w:lineRule="auto" w:before="35"/>
        <w:ind w:right="170"/>
        <w:jc w:val="both"/>
      </w:pPr>
      <w:r>
        <w:rPr>
          <w:spacing w:val="-1"/>
        </w:rPr>
        <w:t>除此之外的其他长期福利，按照设定受益计划的有关规定进行会计处理，为简化相关会计处理，将其产生</w:t>
      </w:r>
      <w:r>
        <w:rPr>
          <w:spacing w:val="-83"/>
        </w:rPr>
        <w:t> </w:t>
      </w:r>
      <w:r>
        <w:rPr>
          <w:spacing w:val="-83"/>
        </w:rPr>
      </w:r>
      <w:r>
        <w:rPr>
          <w:spacing w:val="-1"/>
        </w:rPr>
        <w:t>的职工薪酬成本确认为服务成本、其他长期职工福利净负债或净资产的利息净额以及重新计量其他长期职</w:t>
      </w:r>
      <w:r>
        <w:rPr>
          <w:spacing w:val="-81"/>
        </w:rPr>
        <w:t> </w:t>
      </w:r>
      <w:r>
        <w:rPr>
          <w:spacing w:val="-81"/>
        </w:rPr>
      </w:r>
      <w:r>
        <w:rPr/>
        <w:t>工福利净负债或净资产所产生的变动等组成项目的总净额计入当期损益或相关资产成本。</w:t>
      </w:r>
    </w:p>
    <w:p>
      <w:pPr>
        <w:spacing w:line="240" w:lineRule="auto" w:before="8"/>
        <w:rPr>
          <w:rFonts w:ascii="宋体" w:hAnsi="宋体" w:cs="宋体" w:eastAsia="宋体" w:hint="default"/>
          <w:sz w:val="23"/>
          <w:szCs w:val="23"/>
        </w:rPr>
      </w:pPr>
    </w:p>
    <w:p>
      <w:pPr>
        <w:pStyle w:val="Heading3"/>
        <w:spacing w:line="240" w:lineRule="auto" w:before="0"/>
        <w:ind w:left="153" w:right="0"/>
        <w:jc w:val="both"/>
        <w:rPr>
          <w:b w:val="0"/>
          <w:bCs w:val="0"/>
        </w:rPr>
      </w:pPr>
      <w:r>
        <w:rPr>
          <w:rFonts w:ascii="Times New Roman" w:hAnsi="Times New Roman" w:cs="Times New Roman" w:eastAsia="Times New Roman" w:hint="default"/>
        </w:rPr>
        <w:t>21</w:t>
      </w:r>
      <w:r>
        <w:rPr/>
        <w:t>、收入</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收入确认原则</w:t>
      </w:r>
    </w:p>
    <w:p>
      <w:pPr>
        <w:pStyle w:val="BodyText"/>
        <w:spacing w:line="240" w:lineRule="auto" w:before="21"/>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销售商品</w:t>
      </w:r>
    </w:p>
    <w:p>
      <w:pPr>
        <w:pStyle w:val="BodyText"/>
        <w:spacing w:line="256" w:lineRule="auto" w:before="21"/>
        <w:ind w:left="153" w:right="99" w:firstLine="420"/>
        <w:jc w:val="both"/>
      </w:pPr>
      <w:r>
        <w:rPr/>
        <w:t>销售商品收入在同时满足下列条件时予以确认：</w:t>
      </w: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将商品所有权上的主要风险和报酬转移给购货方； </w:t>
      </w:r>
      <w:r>
        <w:rPr>
          <w:rFonts w:ascii="Times New Roman" w:hAnsi="Times New Roman" w:cs="Times New Roman" w:eastAsia="Times New Roman" w:hint="default"/>
        </w:rPr>
        <w:t>2) </w:t>
      </w:r>
      <w:r>
        <w:rPr/>
        <w:t>公司不再保留通常与所有权相联系的继续管理权，也不再对已售出的商品实施有效控制；</w:t>
      </w:r>
      <w:r>
        <w:rPr>
          <w:rFonts w:ascii="Times New Roman" w:hAnsi="Times New Roman" w:cs="Times New Roman" w:eastAsia="Times New Roman" w:hint="default"/>
        </w:rPr>
        <w:t>3) </w:t>
      </w:r>
      <w:r>
        <w:rPr>
          <w:spacing w:val="3"/>
        </w:rPr>
        <w:t>收入的金</w:t>
      </w:r>
      <w:r>
        <w:rPr>
          <w:spacing w:val="-83"/>
        </w:rPr>
        <w:t> </w:t>
      </w:r>
      <w:r>
        <w:rPr/>
        <w:t>额能够可靠地计量；</w:t>
      </w:r>
      <w:r>
        <w:rPr>
          <w:rFonts w:ascii="Times New Roman" w:hAnsi="Times New Roman" w:cs="Times New Roman" w:eastAsia="Times New Roman" w:hint="default"/>
        </w:rPr>
        <w:t>4)  </w:t>
      </w:r>
      <w:r>
        <w:rPr/>
        <w:t>相关的经济利益很可能流入；</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相关的已发生或将发生的成本能够可靠地计量。</w:t>
      </w:r>
    </w:p>
    <w:p>
      <w:pPr>
        <w:pStyle w:val="BodyText"/>
        <w:spacing w:line="256" w:lineRule="auto" w:before="5"/>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提供劳务 </w:t>
      </w:r>
      <w:r>
        <w:rPr>
          <w:spacing w:val="-3"/>
        </w:rPr>
        <w:t>提供劳务交易的结果在资产负债表日能够可靠估计的</w:t>
      </w:r>
      <w:r>
        <w:rPr>
          <w:rFonts w:ascii="Times New Roman" w:hAnsi="Times New Roman" w:cs="Times New Roman" w:eastAsia="Times New Roman" w:hint="default"/>
          <w:spacing w:val="-3"/>
        </w:rPr>
        <w:t>(</w:t>
      </w:r>
      <w:r>
        <w:rPr>
          <w:spacing w:val="-3"/>
        </w:rPr>
        <w:t>同时满足收入的金额能够可靠地计量、相关经济</w:t>
      </w:r>
    </w:p>
    <w:p>
      <w:pPr>
        <w:pStyle w:val="BodyText"/>
        <w:spacing w:line="268" w:lineRule="auto" w:before="5"/>
        <w:ind w:left="153" w:right="148"/>
        <w:jc w:val="both"/>
      </w:pPr>
      <w:r>
        <w:rPr>
          <w:spacing w:val="-3"/>
        </w:rPr>
        <w:t>利益很可能流入、交易的完工进度能够可靠地确定、交易中已发生和将发生的成本能够可靠地计量</w:t>
      </w:r>
      <w:r>
        <w:rPr>
          <w:rFonts w:ascii="Times New Roman" w:hAnsi="Times New Roman" w:cs="Times New Roman" w:eastAsia="Times New Roman" w:hint="default"/>
          <w:spacing w:val="-3"/>
        </w:rPr>
        <w:t>)</w:t>
      </w:r>
      <w:r>
        <w:rPr>
          <w:spacing w:val="-3"/>
        </w:rPr>
        <w:t>，采用</w:t>
      </w:r>
      <w:r>
        <w:rPr>
          <w:spacing w:val="-60"/>
        </w:rPr>
        <w:t> </w:t>
      </w:r>
      <w:r>
        <w:rPr>
          <w:spacing w:val="-60"/>
        </w:rPr>
      </w:r>
      <w:r>
        <w:rPr>
          <w:spacing w:val="-1"/>
        </w:rPr>
        <w:t>完工百分比法确认提供劳务的收入，并按已经发生的成本占估计总成本的比例确定提供劳务交易的完工进</w:t>
      </w:r>
      <w:r>
        <w:rPr>
          <w:spacing w:val="-81"/>
        </w:rPr>
        <w:t> </w:t>
      </w:r>
      <w:r>
        <w:rPr>
          <w:spacing w:val="-81"/>
        </w:rPr>
      </w:r>
      <w:r>
        <w:rPr/>
        <w:t>度。提供劳务交易的结果在资产负债表日不能够可靠估计的，若已经发生的劳务成本预计能够得到补偿， </w:t>
      </w:r>
      <w:r>
        <w:rPr>
          <w:spacing w:val="-1"/>
        </w:rPr>
        <w:t>按已经发生的劳务成本金额确认提供劳务收入，并按相同金额结转劳务成本；若已经发生的劳务成本预计</w:t>
      </w:r>
      <w:r>
        <w:rPr>
          <w:spacing w:val="-81"/>
        </w:rPr>
        <w:t> </w:t>
      </w:r>
      <w:r>
        <w:rPr>
          <w:spacing w:val="-81"/>
        </w:rPr>
      </w:r>
      <w:r>
        <w:rPr/>
        <w:t>不能够得到补偿，将已经发生的劳务成本计入当期损益，不确认劳务收入。</w:t>
      </w:r>
    </w:p>
    <w:p>
      <w:pPr>
        <w:pStyle w:val="BodyText"/>
        <w:spacing w:line="256" w:lineRule="auto" w:before="12"/>
        <w:ind w:left="57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让渡资产使用权 </w:t>
      </w:r>
      <w:r>
        <w:rPr>
          <w:spacing w:val="-1"/>
        </w:rPr>
        <w:t>让渡资产使用权在同时满足相关的经济利益很可能流入、收入金额能够可靠计量时，确认让渡资产使</w:t>
      </w:r>
    </w:p>
    <w:p>
      <w:pPr>
        <w:pStyle w:val="BodyText"/>
        <w:spacing w:line="273" w:lineRule="auto" w:before="22"/>
        <w:ind w:left="153" w:right="171"/>
        <w:jc w:val="both"/>
      </w:pPr>
      <w:r>
        <w:rPr>
          <w:spacing w:val="-1"/>
        </w:rPr>
        <w:t>用权的收入。利息收入按照他人使用本公司货币资金的时间和实际利率计算确定；使用费收入按有关合同</w:t>
      </w:r>
      <w:r>
        <w:rPr>
          <w:spacing w:val="-81"/>
        </w:rPr>
        <w:t> </w:t>
      </w:r>
      <w:r>
        <w:rPr>
          <w:spacing w:val="-81"/>
        </w:rPr>
      </w:r>
      <w:r>
        <w:rPr/>
        <w:t>或协议约定的收费时间和方法计算确定。</w:t>
      </w:r>
    </w:p>
    <w:p>
      <w:pPr>
        <w:pStyle w:val="BodyText"/>
        <w:spacing w:line="240" w:lineRule="auto" w:before="7"/>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收入确认的具体方法</w:t>
      </w:r>
    </w:p>
    <w:p>
      <w:pPr>
        <w:pStyle w:val="BodyText"/>
        <w:spacing w:line="256" w:lineRule="auto" w:before="21"/>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设备装置产品 公司主要销售高压动态无功补偿装置</w:t>
      </w:r>
      <w:r>
        <w:rPr>
          <w:rFonts w:ascii="Times New Roman" w:hAnsi="Times New Roman" w:cs="Times New Roman" w:eastAsia="Times New Roman" w:hint="default"/>
        </w:rPr>
        <w:t>(SVC)</w:t>
      </w:r>
      <w:r>
        <w:rPr/>
        <w:t>、智能瓦斯排放装置、电力滤波装置、高压变频调速装置</w:t>
      </w:r>
    </w:p>
    <w:p>
      <w:pPr>
        <w:pStyle w:val="BodyText"/>
        <w:spacing w:line="273" w:lineRule="auto" w:before="5"/>
        <w:ind w:left="153" w:right="171"/>
        <w:jc w:val="both"/>
      </w:pPr>
      <w:r>
        <w:rPr>
          <w:spacing w:val="-1"/>
        </w:rPr>
        <w:t>等产品。内销产品收入确认需满足以下条件：公司已根据合同约定将产品交付给购货方，且产品销售收入</w:t>
      </w:r>
      <w:r>
        <w:rPr>
          <w:spacing w:val="-83"/>
        </w:rPr>
        <w:t> </w:t>
      </w:r>
      <w:r>
        <w:rPr>
          <w:spacing w:val="-83"/>
        </w:rPr>
      </w:r>
      <w:r>
        <w:rPr>
          <w:spacing w:val="-1"/>
        </w:rPr>
        <w:t>金额已确定，已经收回货款或取得了收款凭证且相关的经济利益很可能流入，产品相关的成本能够可靠地</w:t>
      </w:r>
      <w:r>
        <w:rPr>
          <w:spacing w:val="-81"/>
        </w:rPr>
        <w:t> </w:t>
      </w:r>
      <w:r>
        <w:rPr>
          <w:spacing w:val="-81"/>
        </w:rPr>
      </w:r>
      <w:r>
        <w:rPr>
          <w:spacing w:val="-1"/>
        </w:rPr>
        <w:t>计量。外销产品收入确认需满足以下条件：公司已根据合同约定将产品报关、离港，取得提单，且产品销</w:t>
      </w:r>
      <w:r>
        <w:rPr>
          <w:spacing w:val="-83"/>
        </w:rPr>
        <w:t> </w:t>
      </w:r>
      <w:r>
        <w:rPr>
          <w:spacing w:val="-83"/>
        </w:rPr>
      </w:r>
      <w:r>
        <w:rPr>
          <w:spacing w:val="-1"/>
        </w:rPr>
        <w:t>售收入金额已确定，已经收回货款或取得了收款凭证且相关的经济利益很可能流入，产品相关的成本能够</w:t>
      </w:r>
      <w:r>
        <w:rPr>
          <w:spacing w:val="-81"/>
        </w:rPr>
        <w:t> </w:t>
      </w:r>
      <w:r>
        <w:rPr>
          <w:spacing w:val="-81"/>
        </w:rPr>
      </w:r>
      <w:r>
        <w:rPr/>
        <w:t>可靠地计量。</w:t>
      </w:r>
    </w:p>
    <w:p>
      <w:pPr>
        <w:pStyle w:val="BodyText"/>
        <w:spacing w:line="240" w:lineRule="auto" w:before="7"/>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移动信息智能传输服务</w:t>
      </w:r>
    </w:p>
    <w:p>
      <w:pPr>
        <w:pStyle w:val="BodyText"/>
        <w:spacing w:line="264" w:lineRule="auto" w:before="21"/>
        <w:ind w:left="573" w:right="328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移动数据服务 主要向客户提供企业移动信息服务平台业务集成及运营支撑服务。 该等合同包含两种结算模式：</w:t>
      </w:r>
    </w:p>
    <w:p>
      <w:pPr>
        <w:pStyle w:val="BodyText"/>
        <w:spacing w:line="256" w:lineRule="auto" w:before="16"/>
        <w:ind w:left="153" w:right="236" w:firstLine="420"/>
        <w:jc w:val="left"/>
      </w:pPr>
      <w:r>
        <w:rPr/>
        <w:t>第一种模式下，梦网科技向集团客户提供服务后，根据</w:t>
      </w:r>
      <w:r>
        <w:rPr>
          <w:rFonts w:ascii="Times New Roman" w:hAnsi="Times New Roman" w:cs="Times New Roman" w:eastAsia="Times New Roman" w:hint="default"/>
        </w:rPr>
        <w:t>BOSS</w:t>
      </w:r>
      <w:r>
        <w:rPr/>
        <w:t>系统生成的业务统计表计算应向集团客 户收取的服务费用，梦网科技据此向集团客户发出结算通知并核对后确认收入。</w:t>
      </w:r>
    </w:p>
    <w:p>
      <w:pPr>
        <w:pStyle w:val="BodyText"/>
        <w:spacing w:line="273" w:lineRule="auto" w:before="22"/>
        <w:ind w:left="153" w:right="0" w:firstLine="420"/>
        <w:jc w:val="left"/>
      </w:pPr>
      <w:r>
        <w:rPr>
          <w:spacing w:val="-1"/>
        </w:rPr>
        <w:t>第二种模式下，梦网科技向集团客户提供服务，由电信运营商收取集团客户的服务费用后，向梦网科</w:t>
      </w:r>
      <w:r>
        <w:rPr/>
        <w:t> 技提供业务统计表进行核对，依据核对情况计算应向梦网科技结算的费用并据此向梦网科技发出结算通 知，梦网科技收到结算通知并核对后确认收入。</w:t>
      </w:r>
    </w:p>
    <w:p>
      <w:pPr>
        <w:pStyle w:val="BodyText"/>
        <w:spacing w:line="256" w:lineRule="auto" w:before="7"/>
        <w:ind w:left="57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代理服务收入 </w:t>
      </w:r>
      <w:r>
        <w:rPr>
          <w:spacing w:val="-1"/>
        </w:rPr>
        <w:t>梦网科技代理服务主要是指代理电信运营商产品向用户进行推广运营服务。在服务阶段，用户通过基</w:t>
      </w:r>
    </w:p>
    <w:p>
      <w:pPr>
        <w:pStyle w:val="BodyText"/>
        <w:spacing w:line="273" w:lineRule="auto" w:before="22"/>
        <w:ind w:left="153" w:right="171"/>
        <w:jc w:val="both"/>
      </w:pPr>
      <w:r>
        <w:rPr>
          <w:spacing w:val="-1"/>
        </w:rPr>
        <w:t>础运营商扣费方式按期支付信息服务费，梦网科技与基础运营商就该等收入按比例结算。收入确认主要发</w:t>
      </w:r>
      <w:r>
        <w:rPr>
          <w:spacing w:val="-81"/>
        </w:rPr>
        <w:t> </w:t>
      </w:r>
      <w:r>
        <w:rPr>
          <w:spacing w:val="-81"/>
        </w:rPr>
      </w:r>
      <w:r>
        <w:rPr>
          <w:spacing w:val="-1"/>
        </w:rPr>
        <w:t>生在本阶段，梦网科技完成相应服务并收到运营商结算数据，梦网科技业务部门对其进行核对确认后财务</w:t>
      </w:r>
      <w:r>
        <w:rPr>
          <w:spacing w:val="-81"/>
        </w:rPr>
        <w:t> </w:t>
      </w:r>
      <w:r>
        <w:rPr>
          <w:spacing w:val="-81"/>
        </w:rPr>
      </w:r>
      <w:r>
        <w:rPr/>
        <w:t>部门根据业务结算单确认收入。</w:t>
      </w:r>
    </w:p>
    <w:p>
      <w:pPr>
        <w:spacing w:after="0" w:line="273" w:lineRule="auto"/>
        <w:jc w:val="both"/>
        <w:sectPr>
          <w:pgSz w:w="11910" w:h="16840"/>
          <w:pgMar w:header="747" w:footer="982" w:top="1060" w:bottom="1180" w:left="980" w:right="960"/>
        </w:sectPr>
      </w:pPr>
    </w:p>
    <w:p>
      <w:pPr>
        <w:spacing w:line="240" w:lineRule="auto" w:before="9"/>
        <w:rPr>
          <w:rFonts w:ascii="宋体" w:hAnsi="宋体" w:cs="宋体" w:eastAsia="宋体" w:hint="default"/>
          <w:sz w:val="24"/>
          <w:szCs w:val="24"/>
        </w:rPr>
      </w:pPr>
    </w:p>
    <w:p>
      <w:pPr>
        <w:pStyle w:val="BodyText"/>
        <w:spacing w:line="256" w:lineRule="auto" w:before="35"/>
        <w:ind w:left="57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销售商品业务 </w:t>
      </w:r>
      <w:r>
        <w:rPr>
          <w:spacing w:val="-1"/>
        </w:rPr>
        <w:t>梦网科技根据已签订的销售订单或销售合同进行销售准备，在接到客户发货通知后仓库部门按客户要</w:t>
      </w:r>
    </w:p>
    <w:p>
      <w:pPr>
        <w:pStyle w:val="BodyText"/>
        <w:spacing w:line="240" w:lineRule="auto" w:before="22"/>
        <w:ind w:left="153" w:right="0"/>
        <w:jc w:val="left"/>
      </w:pPr>
      <w:r>
        <w:rPr/>
        <w:t>求发货，财务部门根据仓库出库单、销售订单</w:t>
      </w:r>
      <w:r>
        <w:rPr>
          <w:rFonts w:ascii="Times New Roman" w:hAnsi="Times New Roman" w:cs="Times New Roman" w:eastAsia="Times New Roman" w:hint="default"/>
        </w:rPr>
        <w:t>(</w:t>
      </w:r>
      <w:r>
        <w:rPr/>
        <w:t>销售合同</w:t>
      </w:r>
      <w:r>
        <w:rPr>
          <w:rFonts w:ascii="Times New Roman" w:hAnsi="Times New Roman" w:cs="Times New Roman" w:eastAsia="Times New Roman" w:hint="default"/>
        </w:rPr>
        <w:t>)</w:t>
      </w:r>
      <w:r>
        <w:rPr/>
        <w:t>和经客户签收确认的送货通知单确认收入。</w:t>
      </w:r>
    </w:p>
    <w:p>
      <w:pPr>
        <w:pStyle w:val="BodyText"/>
        <w:spacing w:line="256" w:lineRule="auto" w:before="21"/>
        <w:ind w:left="573"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1"/>
        </w:rPr>
        <w:t> </w:t>
      </w:r>
      <w:r>
        <w:rPr/>
        <w:t>技术服务业务 </w:t>
      </w:r>
      <w:r>
        <w:rPr>
          <w:spacing w:val="-1"/>
        </w:rPr>
        <w:t>梦网科技的业务平台开发服务采用完工百分比法确认提供劳务收入。梦网科技提供的业务平台开发服</w:t>
      </w:r>
    </w:p>
    <w:p>
      <w:pPr>
        <w:pStyle w:val="BodyText"/>
        <w:spacing w:line="273" w:lineRule="auto" w:before="22"/>
        <w:ind w:left="153" w:right="150"/>
        <w:jc w:val="both"/>
      </w:pPr>
      <w:r>
        <w:rPr>
          <w:spacing w:val="-1"/>
        </w:rPr>
        <w:t>务的完工进度依据已经发生的劳务成本占预计总成本的比例确定。按照与电信运营商、集团客户签署的相</w:t>
      </w:r>
      <w:r>
        <w:rPr>
          <w:spacing w:val="-81"/>
        </w:rPr>
        <w:t> </w:t>
      </w:r>
      <w:r>
        <w:rPr>
          <w:spacing w:val="-81"/>
        </w:rPr>
      </w:r>
      <w:r>
        <w:rPr>
          <w:spacing w:val="-1"/>
        </w:rPr>
        <w:t>关合同确定提供劳务预计总收入，按照提供劳务预计总收入乘以完工进度扣除以前会计期间累计已确认提</w:t>
      </w:r>
      <w:r>
        <w:rPr>
          <w:spacing w:val="-81"/>
        </w:rPr>
        <w:t> </w:t>
      </w:r>
      <w:r>
        <w:rPr>
          <w:spacing w:val="-81"/>
        </w:rPr>
      </w:r>
      <w:r>
        <w:rPr>
          <w:spacing w:val="-1"/>
        </w:rPr>
        <w:t>供劳务收入后的金额，确认当期提供劳务收入，按照提供劳务预计总成本乘以完工进度扣除以前会计期间</w:t>
      </w:r>
      <w:r>
        <w:rPr>
          <w:spacing w:val="-81"/>
        </w:rPr>
        <w:t> </w:t>
      </w:r>
      <w:r>
        <w:rPr>
          <w:spacing w:val="-81"/>
        </w:rPr>
      </w:r>
      <w:r>
        <w:rPr/>
        <w:t>累计已确认劳务成本后的金额，结转当期劳务成本。</w:t>
      </w:r>
    </w:p>
    <w:p>
      <w:pPr>
        <w:pStyle w:val="BodyText"/>
        <w:spacing w:line="273" w:lineRule="auto" w:before="7"/>
        <w:ind w:left="153" w:right="150" w:firstLine="420"/>
        <w:jc w:val="both"/>
      </w:pPr>
      <w:r>
        <w:rPr>
          <w:spacing w:val="-1"/>
        </w:rPr>
        <w:t>在资产负债表日如果梦网科技业务平台开发服务交易结果不能够可靠估计，对于已经发生的劳务成本</w:t>
      </w:r>
      <w:r>
        <w:rPr/>
        <w:t> </w:t>
      </w:r>
      <w:r>
        <w:rPr>
          <w:spacing w:val="-1"/>
        </w:rPr>
        <w:t>预计能够得到补偿的，按照已经发生的劳务成本金额确认劳务收入，并按相同金额结转劳务成本；对于已</w:t>
      </w:r>
      <w:r>
        <w:rPr>
          <w:spacing w:val="-83"/>
        </w:rPr>
        <w:t> </w:t>
      </w:r>
      <w:r>
        <w:rPr>
          <w:spacing w:val="-83"/>
        </w:rPr>
      </w:r>
      <w:r>
        <w:rPr/>
        <w:t>经发生的劳务成本预计不能够得到补偿的，将已经发生的劳务成本计入当期损益，不确认劳务收入。</w:t>
      </w:r>
    </w:p>
    <w:p>
      <w:pPr>
        <w:pStyle w:val="BodyText"/>
        <w:spacing w:line="256" w:lineRule="auto" w:before="7"/>
        <w:ind w:left="573"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1"/>
        </w:rPr>
        <w:t> </w:t>
      </w:r>
      <w:r>
        <w:rPr/>
        <w:t>软件销售业务 </w:t>
      </w:r>
      <w:r>
        <w:rPr>
          <w:spacing w:val="-1"/>
        </w:rPr>
        <w:t>梦网科技根据已签订的销售订单或销售合同进行销售准备，在接到客户发货通知后仓库部门按客户要</w:t>
      </w:r>
    </w:p>
    <w:p>
      <w:pPr>
        <w:pStyle w:val="BodyText"/>
        <w:spacing w:line="273" w:lineRule="auto" w:before="22"/>
        <w:ind w:left="153" w:right="151"/>
        <w:jc w:val="both"/>
      </w:pPr>
      <w:r>
        <w:rPr>
          <w:spacing w:val="-1"/>
        </w:rPr>
        <w:t>求发货，并安排技术安装人员上门或通过电话、远程控制方式进行安装，在客户经过试运行并验收后，财</w:t>
      </w:r>
      <w:r>
        <w:rPr>
          <w:spacing w:val="-82"/>
        </w:rPr>
        <w:t> </w:t>
      </w:r>
      <w:r>
        <w:rPr>
          <w:spacing w:val="-82"/>
        </w:rPr>
      </w:r>
      <w:r>
        <w:rPr/>
        <w:t>务部门根据仓库出库单、销售订单</w:t>
      </w:r>
      <w:r>
        <w:rPr>
          <w:rFonts w:ascii="Times New Roman" w:hAnsi="Times New Roman" w:cs="Times New Roman" w:eastAsia="Times New Roman" w:hint="default"/>
        </w:rPr>
        <w:t>(</w:t>
      </w:r>
      <w:r>
        <w:rPr/>
        <w:t>销售合同</w:t>
      </w:r>
      <w:r>
        <w:rPr>
          <w:rFonts w:ascii="Times New Roman" w:hAnsi="Times New Roman" w:cs="Times New Roman" w:eastAsia="Times New Roman" w:hint="default"/>
        </w:rPr>
        <w:t>)</w:t>
      </w:r>
      <w:r>
        <w:rPr/>
        <w:t>和客户验收确认单确认收入。</w:t>
      </w:r>
    </w:p>
    <w:p>
      <w:pPr>
        <w:spacing w:line="240" w:lineRule="auto" w:before="2"/>
        <w:rPr>
          <w:rFonts w:ascii="宋体" w:hAnsi="宋体" w:cs="宋体" w:eastAsia="宋体" w:hint="default"/>
          <w:sz w:val="22"/>
          <w:szCs w:val="22"/>
        </w:rPr>
      </w:pPr>
    </w:p>
    <w:p>
      <w:pPr>
        <w:pStyle w:val="Heading3"/>
        <w:spacing w:line="240" w:lineRule="auto" w:before="0"/>
        <w:ind w:left="153" w:right="0"/>
        <w:jc w:val="left"/>
        <w:rPr>
          <w:b w:val="0"/>
          <w:bCs w:val="0"/>
        </w:rPr>
      </w:pPr>
      <w:r>
        <w:rPr>
          <w:rFonts w:ascii="Times New Roman" w:hAnsi="Times New Roman" w:cs="Times New Roman" w:eastAsia="Times New Roman" w:hint="default"/>
        </w:rPr>
        <w:t>22</w:t>
      </w:r>
      <w:r>
        <w:rPr/>
        <w:t>、政府补助</w:t>
      </w:r>
      <w:r>
        <w:rPr>
          <w:b w:val="0"/>
          <w:bCs w:val="0"/>
        </w:rPr>
      </w:r>
    </w:p>
    <w:p>
      <w:pPr>
        <w:spacing w:line="590" w:lineRule="atLeast" w:before="23"/>
        <w:ind w:left="573"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公司取得的、用于购建或以其他方式形成长期资产的政府补助划分为与资产相关的政府补助。与资产</w:t>
      </w:r>
    </w:p>
    <w:p>
      <w:pPr>
        <w:pStyle w:val="BodyText"/>
        <w:spacing w:line="273" w:lineRule="auto" w:before="37"/>
        <w:ind w:left="153" w:right="151"/>
        <w:jc w:val="both"/>
      </w:pPr>
      <w:r>
        <w:rPr>
          <w:spacing w:val="-1"/>
        </w:rPr>
        <w:t>相关的政府补助，确认为递延收益，并在相关资产使用寿命内平均分配，计入当期损益。但是，按照名义</w:t>
      </w:r>
      <w:r>
        <w:rPr>
          <w:spacing w:val="-83"/>
        </w:rPr>
        <w:t> </w:t>
      </w:r>
      <w:r>
        <w:rPr>
          <w:spacing w:val="-83"/>
        </w:rPr>
      </w:r>
      <w:r>
        <w:rPr/>
        <w:t>金额计量的政府补助，直接计入当期损益。</w:t>
      </w:r>
    </w:p>
    <w:p>
      <w:pPr>
        <w:spacing w:line="590" w:lineRule="atLeast" w:before="9"/>
        <w:ind w:left="573"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）与收益相关的政府补助判断依据及会计处理方法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除与资产相关的政府补助之外的政府补助划分为与收益相关的政府补助。与收益相关的政府补助，用</w:t>
      </w:r>
    </w:p>
    <w:p>
      <w:pPr>
        <w:pStyle w:val="BodyText"/>
        <w:spacing w:line="273" w:lineRule="auto" w:before="37"/>
        <w:ind w:left="153" w:right="151"/>
        <w:jc w:val="both"/>
      </w:pPr>
      <w:r>
        <w:rPr>
          <w:spacing w:val="-1"/>
        </w:rPr>
        <w:t>于补偿以后期间的相关费用或损失的，确认为递延收益，在确认相关费用的期间，计入当期损益；用于补</w:t>
      </w:r>
      <w:r>
        <w:rPr>
          <w:spacing w:val="-82"/>
        </w:rPr>
        <w:t> </w:t>
      </w:r>
      <w:r>
        <w:rPr>
          <w:spacing w:val="-82"/>
        </w:rPr>
      </w:r>
      <w:r>
        <w:rPr/>
        <w:t>偿已发生的相关费用或损失的，直接计入当期损益。</w:t>
      </w:r>
    </w:p>
    <w:p>
      <w:pPr>
        <w:spacing w:line="240" w:lineRule="auto" w:before="8"/>
        <w:rPr>
          <w:rFonts w:ascii="宋体" w:hAnsi="宋体" w:cs="宋体" w:eastAsia="宋体" w:hint="default"/>
          <w:sz w:val="23"/>
          <w:szCs w:val="23"/>
        </w:rPr>
      </w:pPr>
    </w:p>
    <w:p>
      <w:pPr>
        <w:pStyle w:val="Heading3"/>
        <w:spacing w:line="240" w:lineRule="auto" w:before="0"/>
        <w:ind w:left="153" w:right="0"/>
        <w:jc w:val="left"/>
        <w:rPr>
          <w:b w:val="0"/>
          <w:bCs w:val="0"/>
        </w:rPr>
      </w:pPr>
      <w:r>
        <w:rPr>
          <w:rFonts w:ascii="Times New Roman" w:hAnsi="Times New Roman" w:cs="Times New Roman" w:eastAsia="Times New Roman" w:hint="default"/>
        </w:rPr>
        <w:t>23</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153" w:right="150"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4"/>
        </w:rPr>
        <w:t> </w:t>
      </w:r>
      <w:r>
        <w:rPr/>
        <w:t>根据资产、负债的账面价值与其计税基础之间的差额</w:t>
      </w:r>
      <w:r>
        <w:rPr>
          <w:rFonts w:ascii="Times New Roman" w:hAnsi="Times New Roman" w:cs="Times New Roman" w:eastAsia="Times New Roman" w:hint="default"/>
        </w:rPr>
        <w:t>(</w:t>
      </w:r>
      <w:r>
        <w:rPr/>
        <w:t>未作为资产和负债确认的项目按照税法规定 </w:t>
      </w:r>
      <w:r>
        <w:rPr>
          <w:spacing w:val="-2"/>
        </w:rPr>
        <w:t>可以确定其计税基础的，该计税基础与其账面数之间的差额</w:t>
      </w:r>
      <w:r>
        <w:rPr>
          <w:rFonts w:ascii="Times New Roman" w:hAnsi="Times New Roman" w:cs="Times New Roman" w:eastAsia="Times New Roman" w:hint="default"/>
          <w:spacing w:val="-2"/>
        </w:rPr>
        <w:t>)</w:t>
      </w:r>
      <w:r>
        <w:rPr>
          <w:spacing w:val="-2"/>
        </w:rPr>
        <w:t>，按照预期收回该资产或清偿该负债期间的适</w:t>
      </w:r>
      <w:r>
        <w:rPr/>
        <w:t> 用税率计算确认递延所得税资产或递延所得税负债。</w:t>
      </w:r>
    </w:p>
    <w:p>
      <w:pPr>
        <w:pStyle w:val="BodyText"/>
        <w:spacing w:line="264" w:lineRule="auto" w:before="22"/>
        <w:ind w:left="153" w:right="146"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8"/>
        </w:rPr>
        <w:t> </w:t>
      </w:r>
      <w:r>
        <w:rPr>
          <w:spacing w:val="3"/>
        </w:rPr>
        <w:t>确认递延所得税资产以很可能取得用来抵扣可抵扣暂时性差异的应纳税所得额为限。资产负债表</w:t>
      </w:r>
      <w:r>
        <w:rPr>
          <w:spacing w:val="4"/>
        </w:rPr>
        <w:t> </w:t>
      </w:r>
      <w:r>
        <w:rPr>
          <w:spacing w:val="-1"/>
        </w:rPr>
        <w:t>日，有确凿证据表明未来期间很可能获得足够的应纳税所得额用来抵扣可抵扣暂时性差异的，确认以前会</w:t>
      </w:r>
      <w:r>
        <w:rPr>
          <w:spacing w:val="-81"/>
        </w:rPr>
        <w:t> </w:t>
      </w:r>
      <w:r>
        <w:rPr>
          <w:spacing w:val="-81"/>
        </w:rPr>
      </w:r>
      <w:r>
        <w:rPr/>
        <w:t>计期间未确认的递延所得税资产。</w:t>
      </w:r>
    </w:p>
    <w:p>
      <w:pPr>
        <w:pStyle w:val="BodyText"/>
        <w:spacing w:line="264" w:lineRule="auto" w:before="16"/>
        <w:ind w:left="153" w:right="150"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18"/>
        </w:rPr>
        <w:t> </w:t>
      </w:r>
      <w:r>
        <w:rPr/>
        <w:t>资产负债表日，对递延所得税资产的账面价值进行复核，如果未来期间很可能无法获得足够的应纳 </w:t>
      </w:r>
      <w:r>
        <w:rPr>
          <w:spacing w:val="-1"/>
        </w:rPr>
        <w:t>税所得额用以抵扣递延所得税资产的利益，则减记递延所得税资产的账面价值。在很可能获得足够的应纳</w:t>
      </w:r>
      <w:r>
        <w:rPr>
          <w:spacing w:val="-81"/>
        </w:rPr>
        <w:t> </w:t>
      </w:r>
      <w:r>
        <w:rPr>
          <w:spacing w:val="-81"/>
        </w:rPr>
      </w:r>
      <w:r>
        <w:rPr/>
        <w:t>税所得额时，转回减记的金额。</w:t>
      </w:r>
    </w:p>
    <w:p>
      <w:pPr>
        <w:pStyle w:val="BodyText"/>
        <w:spacing w:line="256" w:lineRule="auto" w:before="16"/>
        <w:ind w:left="153" w:right="151" w:firstLine="42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19"/>
        </w:rPr>
        <w:t> </w:t>
      </w:r>
      <w:r>
        <w:rPr/>
        <w:t>公司当期所得税和递延所得税作为所得税费用或收益计入当期损益，但不包括下列情况产生的所得 税：</w:t>
      </w:r>
      <w:r>
        <w:rPr>
          <w:rFonts w:ascii="Times New Roman" w:hAnsi="Times New Roman" w:cs="Times New Roman" w:eastAsia="Times New Roman" w:hint="default"/>
        </w:rPr>
        <w:t>(1)  </w:t>
      </w:r>
      <w:r>
        <w:rPr/>
        <w:t>企业合并；</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直接在所有者权益中确认的交易或者事项。</w:t>
      </w:r>
    </w:p>
    <w:p>
      <w:pPr>
        <w:spacing w:after="0" w:line="256" w:lineRule="auto"/>
        <w:jc w:val="both"/>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24</w:t>
      </w:r>
      <w:r>
        <w:rPr/>
        <w:t>、租赁</w:t>
      </w:r>
      <w:r>
        <w:rPr>
          <w:b w:val="0"/>
          <w:bCs w:val="0"/>
        </w:rPr>
      </w:r>
    </w:p>
    <w:p>
      <w:pPr>
        <w:spacing w:line="590" w:lineRule="atLeast" w:before="23"/>
        <w:ind w:left="573"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公司为承租人时，在租赁期内各个期间按照直线法将租金计入相关资产成本或确认为当期损益，发生</w:t>
      </w:r>
    </w:p>
    <w:p>
      <w:pPr>
        <w:pStyle w:val="BodyText"/>
        <w:spacing w:line="273" w:lineRule="auto" w:before="37"/>
        <w:ind w:left="573" w:right="0" w:hanging="420"/>
        <w:jc w:val="left"/>
      </w:pPr>
      <w:r>
        <w:rPr/>
        <w:t>的初始直接费用，直接计入当期损益。或有租金在实际发生时计入当期损益。 </w:t>
      </w:r>
      <w:r>
        <w:rPr>
          <w:spacing w:val="-1"/>
        </w:rPr>
        <w:t>公司为出租人时，在租赁期内各个期间按照直线法将租金确认为当期损益，发生的初始直接费用，除</w:t>
      </w:r>
    </w:p>
    <w:p>
      <w:pPr>
        <w:pStyle w:val="BodyText"/>
        <w:spacing w:line="240" w:lineRule="auto" w:before="7"/>
        <w:ind w:left="153" w:right="0"/>
        <w:jc w:val="left"/>
      </w:pPr>
      <w:r>
        <w:rPr/>
        <w:t>金额较大的予以资本化并分期计入损益外，均直接计入当期损益。或有租金在实际发生时计入当期损益。</w:t>
      </w:r>
    </w:p>
    <w:p>
      <w:pPr>
        <w:spacing w:line="590" w:lineRule="atLeast" w:before="39"/>
        <w:ind w:left="573"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spacing w:val="1"/>
          <w:w w:val="99"/>
          <w:sz w:val="21"/>
          <w:szCs w:val="21"/>
        </w:rPr>
        <w:t> </w:t>
      </w:r>
      <w:r>
        <w:rPr>
          <w:rFonts w:ascii="宋体" w:hAnsi="宋体" w:cs="宋体" w:eastAsia="宋体" w:hint="default"/>
          <w:spacing w:val="-1"/>
          <w:sz w:val="21"/>
          <w:szCs w:val="21"/>
        </w:rPr>
        <w:t>公司为承租人时，在租赁期开始日，公司以租赁开始日租赁资产公允价值与最低租赁付款额现值中两</w:t>
      </w:r>
    </w:p>
    <w:p>
      <w:pPr>
        <w:pStyle w:val="BodyText"/>
        <w:spacing w:line="273" w:lineRule="auto" w:before="37"/>
        <w:ind w:left="153" w:right="151"/>
        <w:jc w:val="both"/>
      </w:pPr>
      <w:r>
        <w:rPr>
          <w:spacing w:val="-1"/>
        </w:rPr>
        <w:t>者较低者作为租入资产的入账价值，将最低租赁付款额作为长期应付款的入账价值，其差额为未确认融资</w:t>
      </w:r>
      <w:r>
        <w:rPr>
          <w:spacing w:val="-81"/>
        </w:rPr>
        <w:t> </w:t>
      </w:r>
      <w:r>
        <w:rPr>
          <w:spacing w:val="-81"/>
        </w:rPr>
      </w:r>
      <w:r>
        <w:rPr>
          <w:spacing w:val="-1"/>
        </w:rPr>
        <w:t>费用，发生的初始直接费用，计入租赁资产价值。在租赁期各个期间，采用实际利率法计算确认当期的融</w:t>
      </w:r>
      <w:r>
        <w:rPr>
          <w:spacing w:val="-82"/>
        </w:rPr>
        <w:t> </w:t>
      </w:r>
      <w:r>
        <w:rPr>
          <w:spacing w:val="-82"/>
        </w:rPr>
      </w:r>
      <w:r>
        <w:rPr/>
        <w:t>资费用。</w:t>
      </w:r>
    </w:p>
    <w:p>
      <w:pPr>
        <w:pStyle w:val="BodyText"/>
        <w:spacing w:line="273" w:lineRule="auto" w:before="7"/>
        <w:ind w:left="153" w:right="128" w:firstLine="420"/>
        <w:jc w:val="both"/>
      </w:pPr>
      <w:r>
        <w:rPr>
          <w:spacing w:val="-1"/>
        </w:rPr>
        <w:t>公司为出租人时，在租赁期开始日，公司以租赁开始日最低租赁收款额与初始直接费用之和作为应收</w:t>
      </w:r>
      <w:r>
        <w:rPr/>
        <w:t> </w:t>
      </w:r>
      <w:r>
        <w:rPr>
          <w:spacing w:val="-1"/>
        </w:rPr>
        <w:t>融资租赁款的入账价值，同时记录未担保余值；将最低租赁收款额、初始直接费用及未担保余值之和与其</w:t>
      </w:r>
      <w:r>
        <w:rPr>
          <w:spacing w:val="-83"/>
        </w:rPr>
        <w:t> </w:t>
      </w:r>
      <w:r>
        <w:rPr>
          <w:spacing w:val="-83"/>
        </w:rPr>
      </w:r>
      <w:r>
        <w:rPr/>
        <w:t>现值之和的差额确认为未实现融资收益。在租赁期各个期间，采用实际利率法计算确认当期的融资收入。</w:t>
      </w:r>
    </w:p>
    <w:p>
      <w:pPr>
        <w:spacing w:line="240" w:lineRule="auto" w:before="11"/>
        <w:rPr>
          <w:rFonts w:ascii="宋体" w:hAnsi="宋体" w:cs="宋体" w:eastAsia="宋体" w:hint="default"/>
          <w:sz w:val="21"/>
          <w:szCs w:val="21"/>
        </w:rPr>
      </w:pPr>
    </w:p>
    <w:p>
      <w:pPr>
        <w:pStyle w:val="Heading2"/>
        <w:spacing w:line="240" w:lineRule="auto"/>
        <w:ind w:right="0"/>
        <w:jc w:val="left"/>
        <w:rPr>
          <w:b w:val="0"/>
          <w:bCs w:val="0"/>
        </w:rPr>
      </w:pPr>
      <w:r>
        <w:rPr/>
        <w:t>六、税项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应纳税营业额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7"/>
              <w:jc w:val="left"/>
              <w:rPr>
                <w:rFonts w:ascii="宋体" w:hAnsi="宋体" w:cs="宋体" w:eastAsia="宋体" w:hint="default"/>
                <w:sz w:val="18"/>
                <w:szCs w:val="18"/>
              </w:rPr>
            </w:pPr>
            <w:r>
              <w:rPr>
                <w:rFonts w:ascii="宋体" w:hAnsi="宋体" w:cs="宋体" w:eastAsia="宋体" w:hint="default"/>
                <w:sz w:val="18"/>
                <w:szCs w:val="18"/>
              </w:rPr>
              <w:t>本公司、荣信电气、荣信慧科、荣科恒阳、梦网科技、荣信 防爆</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物联天下</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荣信香港</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DMCC</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荣信英国</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核定征收</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除上述以外的其他纳税主体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企业所得税</w:t>
      </w:r>
    </w:p>
    <w:p>
      <w:pPr>
        <w:pStyle w:val="BodyText"/>
        <w:spacing w:line="240" w:lineRule="auto" w:before="21"/>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本公司、梦网科技、荣信电气、荣信慧科、荣科恒阳、荣信防爆</w:t>
      </w:r>
    </w:p>
    <w:p>
      <w:pPr>
        <w:pStyle w:val="BodyText"/>
        <w:spacing w:line="256" w:lineRule="auto" w:before="21"/>
        <w:ind w:right="150"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8"/>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22</w:t>
      </w:r>
      <w:r>
        <w:rPr/>
        <w:t>日，本公司被辽宁省科学技术厅、辽宁省财政厅、辽宁省国家税务局、辽宁省地方税 </w:t>
      </w:r>
      <w:r>
        <w:rPr>
          <w:spacing w:val="-3"/>
        </w:rPr>
        <w:t>务局联合认定为高新技术企业，证书编号：</w:t>
      </w:r>
      <w:r>
        <w:rPr>
          <w:rFonts w:ascii="Times New Roman" w:hAnsi="Times New Roman" w:cs="Times New Roman" w:eastAsia="Times New Roman" w:hint="default"/>
          <w:spacing w:val="-3"/>
        </w:rPr>
        <w:t>GR201421000104</w:t>
      </w:r>
      <w:r>
        <w:rPr>
          <w:spacing w:val="-3"/>
        </w:rPr>
        <w:t>，有效期三年。本公司自</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1</w:t>
      </w:r>
      <w:r>
        <w:rPr>
          <w:spacing w:val="-3"/>
        </w:rPr>
        <w:t>日至</w:t>
      </w:r>
      <w:r>
        <w:rPr>
          <w:rFonts w:ascii="Times New Roman" w:hAnsi="Times New Roman" w:cs="Times New Roman" w:eastAsia="Times New Roman" w:hint="default"/>
          <w:spacing w:val="-3"/>
        </w:rPr>
        <w:t>2016</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日减按</w:t>
      </w:r>
      <w:r>
        <w:rPr>
          <w:rFonts w:ascii="Times New Roman" w:hAnsi="Times New Roman" w:cs="Times New Roman" w:eastAsia="Times New Roman" w:hint="default"/>
        </w:rPr>
        <w:t>15%</w:t>
      </w:r>
      <w:r>
        <w:rPr/>
        <w:t>的税率计缴企业所得税。</w:t>
      </w:r>
    </w:p>
    <w:p>
      <w:pPr>
        <w:pStyle w:val="BodyText"/>
        <w:spacing w:line="256" w:lineRule="auto" w:before="5"/>
        <w:ind w:right="15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5"/>
        </w:rPr>
        <w:t>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11</w:t>
      </w:r>
      <w:r>
        <w:rPr/>
        <w:t>日</w:t>
      </w:r>
      <w:r>
        <w:rPr>
          <w:rFonts w:ascii="Times New Roman" w:hAnsi="Times New Roman" w:cs="Times New Roman" w:eastAsia="Times New Roman" w:hint="default"/>
        </w:rPr>
        <w:t>,</w:t>
      </w:r>
      <w:r>
        <w:rPr/>
        <w:t>经深圳市南山区地方税务局《税务事项通知书》</w:t>
      </w:r>
      <w:r>
        <w:rPr>
          <w:rFonts w:ascii="Times New Roman" w:hAnsi="Times New Roman" w:cs="Times New Roman" w:eastAsia="Times New Roman" w:hint="default"/>
        </w:rPr>
        <w:t>(</w:t>
      </w:r>
      <w:r>
        <w:rPr/>
        <w:t>深地税南备</w:t>
      </w:r>
      <w:r>
        <w:rPr>
          <w:sz w:val="18"/>
          <w:szCs w:val="18"/>
        </w:rPr>
        <w:t>〔</w:t>
      </w:r>
      <w:r>
        <w:rPr>
          <w:rFonts w:ascii="Times New Roman" w:hAnsi="Times New Roman" w:cs="Times New Roman" w:eastAsia="Times New Roman" w:hint="default"/>
        </w:rPr>
        <w:t>2013</w:t>
      </w:r>
      <w:r>
        <w:rPr>
          <w:sz w:val="18"/>
          <w:szCs w:val="18"/>
        </w:rPr>
        <w:t>〕</w:t>
      </w:r>
      <w:r>
        <w:rPr>
          <w:rFonts w:ascii="Times New Roman" w:hAnsi="Times New Roman" w:cs="Times New Roman" w:eastAsia="Times New Roman" w:hint="default"/>
        </w:rPr>
        <w:t>201</w:t>
      </w:r>
      <w:r>
        <w:rPr/>
        <w:t>号</w:t>
      </w:r>
      <w:r>
        <w:rPr>
          <w:rFonts w:ascii="Times New Roman" w:hAnsi="Times New Roman" w:cs="Times New Roman" w:eastAsia="Times New Roman" w:hint="default"/>
        </w:rPr>
        <w:t>)</w:t>
      </w:r>
      <w:r>
        <w:rPr/>
        <w:t>备案， 梦网科技自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日减按</w:t>
      </w:r>
      <w:r>
        <w:rPr>
          <w:rFonts w:ascii="Times New Roman" w:hAnsi="Times New Roman" w:cs="Times New Roman" w:eastAsia="Times New Roman" w:hint="default"/>
        </w:rPr>
        <w:t>15%</w:t>
      </w:r>
      <w:r>
        <w:rPr/>
        <w:t>的税率计缴企业所得税。</w:t>
      </w:r>
    </w:p>
    <w:p>
      <w:pPr>
        <w:pStyle w:val="BodyText"/>
        <w:spacing w:line="256" w:lineRule="auto" w:before="5"/>
        <w:ind w:right="148"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7"/>
        </w:rPr>
        <w:t>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日，荣信电气被辽宁省科学技术厅、辽宁省财政局、辽宁省国家税务局、辽宁省地方 </w:t>
      </w:r>
      <w:r>
        <w:rPr>
          <w:spacing w:val="-6"/>
        </w:rPr>
        <w:t>税务局联合认定为高新技术企业，证书编号：</w:t>
      </w:r>
      <w:r>
        <w:rPr>
          <w:rFonts w:ascii="Times New Roman" w:hAnsi="Times New Roman" w:cs="Times New Roman" w:eastAsia="Times New Roman" w:hint="default"/>
          <w:spacing w:val="-6"/>
        </w:rPr>
        <w:t>GR201321000096</w:t>
      </w:r>
      <w:r>
        <w:rPr>
          <w:spacing w:val="-6"/>
        </w:rPr>
        <w:t>，有效期三年。该公司自</w:t>
      </w:r>
      <w:r>
        <w:rPr>
          <w:rFonts w:ascii="Times New Roman" w:hAnsi="Times New Roman" w:cs="Times New Roman" w:eastAsia="Times New Roman" w:hint="default"/>
          <w:spacing w:val="-6"/>
        </w:rPr>
        <w:t>2013</w:t>
      </w:r>
      <w:r>
        <w:rPr>
          <w:spacing w:val="-6"/>
        </w:rPr>
        <w:t>年</w:t>
      </w:r>
      <w:r>
        <w:rPr>
          <w:rFonts w:ascii="Times New Roman" w:hAnsi="Times New Roman" w:cs="Times New Roman" w:eastAsia="Times New Roman" w:hint="default"/>
          <w:spacing w:val="-6"/>
        </w:rPr>
        <w:t>1</w:t>
      </w:r>
      <w:r>
        <w:rPr>
          <w:spacing w:val="-6"/>
        </w:rPr>
        <w:t>月</w:t>
      </w:r>
      <w:r>
        <w:rPr>
          <w:rFonts w:ascii="Times New Roman" w:hAnsi="Times New Roman" w:cs="Times New Roman" w:eastAsia="Times New Roman" w:hint="default"/>
          <w:spacing w:val="-6"/>
        </w:rPr>
        <w:t>1</w:t>
      </w:r>
      <w:r>
        <w:rPr>
          <w:spacing w:val="-6"/>
        </w:rPr>
        <w:t>日至</w:t>
      </w:r>
      <w:r>
        <w:rPr>
          <w:rFonts w:ascii="Times New Roman" w:hAnsi="Times New Roman" w:cs="Times New Roman" w:eastAsia="Times New Roman" w:hint="default"/>
          <w:spacing w:val="-6"/>
        </w:rPr>
        <w:t>2015</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日减按</w:t>
      </w:r>
      <w:r>
        <w:rPr>
          <w:rFonts w:ascii="Times New Roman" w:hAnsi="Times New Roman" w:cs="Times New Roman" w:eastAsia="Times New Roman" w:hint="default"/>
        </w:rPr>
        <w:t>15%</w:t>
      </w:r>
      <w:r>
        <w:rPr/>
        <w:t>的税率计缴企业所得税。</w:t>
      </w:r>
    </w:p>
    <w:p>
      <w:pPr>
        <w:pStyle w:val="BodyText"/>
        <w:spacing w:line="256" w:lineRule="auto" w:before="5"/>
        <w:ind w:right="148" w:firstLine="42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37"/>
        </w:rPr>
        <w:t> </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11</w:t>
      </w:r>
      <w:r>
        <w:rPr/>
        <w:t>日，荣信慧科被北京市科学技术委员会、北京市财政局、北京市国家税务局、北京市 地方税务局联合认定为高新技术企业，证书编号：</w:t>
      </w:r>
      <w:r>
        <w:rPr>
          <w:rFonts w:ascii="Times New Roman" w:hAnsi="Times New Roman" w:cs="Times New Roman" w:eastAsia="Times New Roman" w:hint="default"/>
        </w:rPr>
        <w:t>GR201311000399</w:t>
      </w:r>
      <w:r>
        <w:rPr/>
        <w:t>，有效期三年。该公司自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日至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日减按</w:t>
      </w:r>
      <w:r>
        <w:rPr>
          <w:rFonts w:ascii="Times New Roman" w:hAnsi="Times New Roman" w:cs="Times New Roman" w:eastAsia="Times New Roman" w:hint="default"/>
        </w:rPr>
        <w:t>15%</w:t>
      </w:r>
      <w:r>
        <w:rPr/>
        <w:t>的税率计缴企业所得税。</w:t>
      </w:r>
    </w:p>
    <w:p>
      <w:pPr>
        <w:pStyle w:val="BodyText"/>
        <w:spacing w:line="256" w:lineRule="auto" w:before="5"/>
        <w:ind w:right="149" w:firstLine="419"/>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38"/>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8</w:t>
      </w:r>
      <w:r>
        <w:rPr/>
        <w:t>日，荣科恒阳被北京市科学技术委员会、北京市财政局、北京市国家税务局、北京市地 </w:t>
      </w:r>
      <w:r>
        <w:rPr>
          <w:spacing w:val="-2"/>
        </w:rPr>
        <w:t>方税务局联合认定为高新技术企业，证书编号：</w:t>
      </w:r>
      <w:r>
        <w:rPr>
          <w:rFonts w:ascii="Times New Roman" w:hAnsi="Times New Roman" w:cs="Times New Roman" w:eastAsia="Times New Roman" w:hint="default"/>
          <w:spacing w:val="-2"/>
        </w:rPr>
        <w:t>GF201511000827</w:t>
      </w:r>
      <w:r>
        <w:rPr>
          <w:spacing w:val="-2"/>
        </w:rPr>
        <w:t>，有效期三年。该公司自2015年1月1日至</w:t>
      </w:r>
      <w:r>
        <w:rPr>
          <w:spacing w:val="-85"/>
        </w:rPr>
        <w:t> </w:t>
      </w:r>
      <w:r>
        <w:rPr>
          <w:spacing w:val="-85"/>
        </w:rPr>
      </w:r>
      <w:r>
        <w:rPr/>
        <w:t>2017年12月31日减按</w:t>
      </w:r>
      <w:r>
        <w:rPr>
          <w:rFonts w:ascii="Times New Roman" w:hAnsi="Times New Roman" w:cs="Times New Roman" w:eastAsia="Times New Roman" w:hint="default"/>
        </w:rPr>
        <w:t>15%</w:t>
      </w:r>
      <w:r>
        <w:rPr/>
        <w:t>的税率计缴企业所得税。</w:t>
      </w:r>
    </w:p>
    <w:p>
      <w:pPr>
        <w:pStyle w:val="BodyText"/>
        <w:spacing w:line="256" w:lineRule="auto" w:before="5"/>
        <w:ind w:right="149" w:firstLine="420"/>
        <w:jc w:val="both"/>
      </w:pPr>
      <w:r>
        <w:rPr>
          <w:rFonts w:ascii="Times New Roman" w:hAnsi="Times New Roman" w:cs="Times New Roman" w:eastAsia="Times New Roman" w:hint="default"/>
        </w:rPr>
        <w:t>6)</w:t>
      </w:r>
      <w:r>
        <w:rPr>
          <w:rFonts w:ascii="Times New Roman" w:hAnsi="Times New Roman" w:cs="Times New Roman" w:eastAsia="Times New Roman" w:hint="default"/>
          <w:spacing w:val="-38"/>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日，荣信防爆被辽宁省科学技术厅、辽宁省财政厅、辽宁省国家税务局、辽宁省地方 </w:t>
      </w:r>
      <w:r>
        <w:rPr>
          <w:spacing w:val="-6"/>
        </w:rPr>
        <w:t>税务局联合认定为高新技术企业，证书编号：</w:t>
      </w:r>
      <w:r>
        <w:rPr>
          <w:rFonts w:ascii="Times New Roman" w:hAnsi="Times New Roman" w:cs="Times New Roman" w:eastAsia="Times New Roman" w:hint="default"/>
          <w:spacing w:val="-6"/>
        </w:rPr>
        <w:t>GF201521000134</w:t>
      </w:r>
      <w:r>
        <w:rPr>
          <w:spacing w:val="-6"/>
        </w:rPr>
        <w:t>，有效期三年。该公司自2015年1月1日至2017</w:t>
      </w:r>
      <w:r>
        <w:rPr>
          <w:spacing w:val="-57"/>
        </w:rPr>
        <w:t> </w:t>
      </w:r>
      <w:r>
        <w:rPr>
          <w:spacing w:val="-57"/>
        </w:rPr>
      </w:r>
      <w:r>
        <w:rPr/>
        <w:t>年12月31日减按</w:t>
      </w:r>
      <w:r>
        <w:rPr>
          <w:rFonts w:ascii="Times New Roman" w:hAnsi="Times New Roman" w:cs="Times New Roman" w:eastAsia="Times New Roman" w:hint="default"/>
        </w:rPr>
        <w:t>15%</w:t>
      </w:r>
      <w:r>
        <w:rPr/>
        <w:t>的税率计缴企业所得税。</w:t>
      </w:r>
    </w:p>
    <w:p>
      <w:pPr>
        <w:pStyle w:val="BodyText"/>
        <w:spacing w:line="256" w:lineRule="auto" w:before="5"/>
        <w:ind w:left="574" w:right="11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物联天下</w:t>
      </w:r>
      <w:r>
        <w:rPr>
          <w:rFonts w:ascii="Times New Roman" w:hAnsi="Times New Roman" w:cs="Times New Roman" w:eastAsia="Times New Roman" w:hint="default"/>
        </w:rPr>
        <w:t>(</w:t>
      </w:r>
      <w:r>
        <w:rPr/>
        <w:t>系梦网科技全资子公司</w:t>
      </w:r>
      <w:r>
        <w:rPr>
          <w:rFonts w:ascii="Times New Roman" w:hAnsi="Times New Roman" w:cs="Times New Roman" w:eastAsia="Times New Roman" w:hint="default"/>
        </w:rPr>
        <w:t>) </w:t>
      </w:r>
      <w:r>
        <w:rPr/>
        <w:t>根据财政部、国家税务总局《关于进一步鼓励软件产业和集成电路产业发展企业所得税政策的通知》</w:t>
      </w:r>
    </w:p>
    <w:p>
      <w:pPr>
        <w:pStyle w:val="BodyText"/>
        <w:spacing w:line="256" w:lineRule="auto" w:before="22"/>
        <w:ind w:left="153" w:right="148"/>
        <w:jc w:val="both"/>
      </w:pP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27</w:t>
      </w:r>
      <w:r>
        <w:rPr/>
        <w:t>号</w:t>
      </w:r>
      <w:r>
        <w:rPr>
          <w:rFonts w:ascii="Times New Roman" w:hAnsi="Times New Roman" w:cs="Times New Roman" w:eastAsia="Times New Roman" w:hint="default"/>
        </w:rPr>
        <w:t>)</w:t>
      </w:r>
      <w:r>
        <w:rPr/>
        <w:t>规定，及《深圳市国家税务事项通知书》（深国税南减免备案〔</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69</w:t>
      </w:r>
      <w:r>
        <w:rPr/>
        <w:t>号），物联</w:t>
      </w:r>
      <w:r>
        <w:rPr>
          <w:spacing w:val="-72"/>
        </w:rPr>
        <w:t> </w:t>
      </w:r>
      <w:r>
        <w:rPr>
          <w:spacing w:val="-72"/>
        </w:rPr>
      </w:r>
      <w:r>
        <w:rPr>
          <w:spacing w:val="-1"/>
        </w:rPr>
        <w:t>天下自获利年度起，享受企业所得税</w:t>
      </w:r>
      <w:r>
        <w:rPr>
          <w:rFonts w:ascii="Times New Roman" w:hAnsi="Times New Roman" w:cs="Times New Roman" w:eastAsia="Times New Roman" w:hint="default"/>
          <w:spacing w:val="-1"/>
        </w:rPr>
        <w:t>“</w:t>
      </w:r>
      <w:r>
        <w:rPr>
          <w:spacing w:val="-1"/>
        </w:rPr>
        <w:t>两免三减半</w:t>
      </w:r>
      <w:r>
        <w:rPr>
          <w:rFonts w:ascii="Times New Roman" w:hAnsi="Times New Roman" w:cs="Times New Roman" w:eastAsia="Times New Roman" w:hint="default"/>
          <w:spacing w:val="-1"/>
        </w:rPr>
        <w:t>”</w:t>
      </w:r>
      <w:r>
        <w:rPr>
          <w:spacing w:val="-1"/>
        </w:rPr>
        <w:t>优惠政策。</w:t>
      </w:r>
      <w:r>
        <w:rPr>
          <w:spacing w:val="-39"/>
        </w:rPr>
        <w:t> </w:t>
      </w:r>
      <w:r>
        <w:rPr>
          <w:rFonts w:ascii="Times New Roman" w:hAnsi="Times New Roman" w:cs="Times New Roman" w:eastAsia="Times New Roman" w:hint="default"/>
          <w:spacing w:val="-2"/>
        </w:rPr>
        <w:t>2015</w:t>
      </w:r>
      <w:r>
        <w:rPr>
          <w:spacing w:val="-2"/>
        </w:rPr>
        <w:t>年度物联天下开始获利，</w:t>
      </w:r>
      <w:r>
        <w:rPr>
          <w:rFonts w:ascii="Times New Roman" w:hAnsi="Times New Roman" w:cs="Times New Roman" w:eastAsia="Times New Roman" w:hint="default"/>
          <w:spacing w:val="-2"/>
        </w:rPr>
        <w:t>2015</w:t>
      </w:r>
      <w:r>
        <w:rPr>
          <w:spacing w:val="-2"/>
        </w:rPr>
        <w:t>年度物联</w:t>
      </w:r>
      <w:r>
        <w:rPr>
          <w:spacing w:val="-102"/>
        </w:rPr>
        <w:t> </w:t>
      </w:r>
      <w:r>
        <w:rPr/>
        <w:t>天下企业所得税税率为零。</w:t>
      </w:r>
    </w:p>
    <w:p>
      <w:pPr>
        <w:pStyle w:val="BodyText"/>
        <w:spacing w:line="256" w:lineRule="auto" w:before="22"/>
        <w:ind w:left="153" w:right="0"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增值税 </w:t>
      </w:r>
      <w:r>
        <w:rPr>
          <w:spacing w:val="-2"/>
        </w:rPr>
        <w:t>根据财政部《关于软件产品增值税政策的通知》</w:t>
      </w:r>
      <w:r>
        <w:rPr>
          <w:rFonts w:ascii="Times New Roman" w:hAnsi="Times New Roman" w:cs="Times New Roman" w:eastAsia="Times New Roman" w:hint="default"/>
          <w:spacing w:val="-2"/>
        </w:rPr>
        <w:t>(</w:t>
      </w:r>
      <w:r>
        <w:rPr>
          <w:spacing w:val="-2"/>
        </w:rPr>
        <w:t>财税〔</w:t>
      </w:r>
      <w:r>
        <w:rPr>
          <w:rFonts w:ascii="Times New Roman" w:hAnsi="Times New Roman" w:cs="Times New Roman" w:eastAsia="Times New Roman" w:hint="default"/>
          <w:spacing w:val="-2"/>
        </w:rPr>
        <w:t>2011</w:t>
      </w:r>
      <w:r>
        <w:rPr>
          <w:spacing w:val="-2"/>
        </w:rPr>
        <w:t>〕</w:t>
      </w:r>
      <w:r>
        <w:rPr>
          <w:rFonts w:ascii="Times New Roman" w:hAnsi="Times New Roman" w:cs="Times New Roman" w:eastAsia="Times New Roman" w:hint="default"/>
          <w:spacing w:val="-2"/>
        </w:rPr>
        <w:t>100</w:t>
      </w:r>
      <w:r>
        <w:rPr>
          <w:spacing w:val="-2"/>
        </w:rPr>
        <w:t>号</w:t>
      </w:r>
      <w:r>
        <w:rPr>
          <w:rFonts w:ascii="Times New Roman" w:hAnsi="Times New Roman" w:cs="Times New Roman" w:eastAsia="Times New Roman" w:hint="default"/>
          <w:spacing w:val="-2"/>
        </w:rPr>
        <w:t>)</w:t>
      </w:r>
      <w:r>
        <w:rPr>
          <w:spacing w:val="-2"/>
        </w:rPr>
        <w:t>，增值税一般纳税人销售其自行开发</w:t>
      </w:r>
      <w:r>
        <w:rPr>
          <w:spacing w:val="-67"/>
        </w:rPr>
        <w:t> </w:t>
      </w:r>
      <w:r>
        <w:rPr>
          <w:spacing w:val="-67"/>
        </w:rPr>
      </w:r>
      <w:r>
        <w:rPr>
          <w:spacing w:val="-2"/>
        </w:rPr>
        <w:t>生产的软件产品，按</w:t>
      </w:r>
      <w:r>
        <w:rPr>
          <w:rFonts w:ascii="Times New Roman" w:hAnsi="Times New Roman" w:cs="Times New Roman" w:eastAsia="Times New Roman" w:hint="default"/>
          <w:spacing w:val="-2"/>
        </w:rPr>
        <w:t>17%</w:t>
      </w:r>
      <w:r>
        <w:rPr>
          <w:spacing w:val="-2"/>
        </w:rPr>
        <w:t>税率征收增值税后，对其增值税实际税负超过</w:t>
      </w:r>
      <w:r>
        <w:rPr>
          <w:rFonts w:ascii="Times New Roman" w:hAnsi="Times New Roman" w:cs="Times New Roman" w:eastAsia="Times New Roman" w:hint="default"/>
          <w:spacing w:val="-2"/>
        </w:rPr>
        <w:t>3%</w:t>
      </w:r>
      <w:r>
        <w:rPr>
          <w:spacing w:val="-2"/>
        </w:rPr>
        <w:t>的部分实行即征即退政策。本公</w:t>
      </w:r>
      <w:r>
        <w:rPr>
          <w:spacing w:val="-71"/>
        </w:rPr>
        <w:t> </w:t>
      </w:r>
      <w:r>
        <w:rPr>
          <w:spacing w:val="-71"/>
        </w:rPr>
      </w:r>
      <w:r>
        <w:rPr/>
        <w:t>司、荣信嘉时、荣信电气</w:t>
      </w:r>
      <w:r>
        <w:rPr>
          <w:rFonts w:ascii="Times New Roman" w:hAnsi="Times New Roman" w:cs="Times New Roman" w:eastAsia="Times New Roman" w:hint="default"/>
        </w:rPr>
        <w:t>(</w:t>
      </w:r>
      <w:r>
        <w:rPr/>
        <w:t>上海</w:t>
      </w:r>
      <w:r>
        <w:rPr>
          <w:rFonts w:ascii="Times New Roman" w:hAnsi="Times New Roman" w:cs="Times New Roman" w:eastAsia="Times New Roman" w:hint="default"/>
        </w:rPr>
        <w:t>)</w:t>
      </w:r>
      <w:r>
        <w:rPr/>
        <w:t>、荣信电气、荣信防爆、荣信电机被认定为软件企业，销售自行开发生产</w:t>
      </w:r>
      <w:r>
        <w:rPr>
          <w:spacing w:val="-67"/>
        </w:rPr>
        <w:t> </w:t>
      </w:r>
      <w:r>
        <w:rPr>
          <w:spacing w:val="-67"/>
        </w:rPr>
      </w:r>
      <w:r>
        <w:rPr/>
        <w:t>的软件产品享受增值税实际税负超过</w:t>
      </w:r>
      <w:r>
        <w:rPr>
          <w:rFonts w:ascii="Times New Roman" w:hAnsi="Times New Roman" w:cs="Times New Roman" w:eastAsia="Times New Roman" w:hint="default"/>
        </w:rPr>
        <w:t>3%</w:t>
      </w:r>
      <w:r>
        <w:rPr/>
        <w:t>的部分即征即退政策。</w:t>
      </w:r>
    </w:p>
    <w:p>
      <w:pPr>
        <w:spacing w:line="240" w:lineRule="auto" w:before="8"/>
        <w:rPr>
          <w:rFonts w:ascii="宋体" w:hAnsi="宋体" w:cs="宋体" w:eastAsia="宋体" w:hint="default"/>
          <w:sz w:val="21"/>
          <w:szCs w:val="21"/>
        </w:rPr>
      </w:pPr>
    </w:p>
    <w:p>
      <w:pPr>
        <w:pStyle w:val="Heading2"/>
        <w:spacing w:line="240" w:lineRule="auto"/>
        <w:ind w:right="0"/>
        <w:jc w:val="both"/>
        <w:rPr>
          <w:b w:val="0"/>
          <w:bCs w:val="0"/>
        </w:rPr>
      </w:pP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both"/>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221,394.01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507,987.33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1,040,040,009.33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487,592,915.08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86,768,222.15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49,513,501.25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1,127,029,625.49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537,614,403.66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6,044,332.33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1,508,152.27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left="0" w:right="151"/>
        <w:jc w:val="right"/>
      </w:pPr>
      <w:r>
        <w:rPr>
          <w:spacing w:val="3"/>
        </w:rPr>
        <w:t>期末银行存款中定期存款</w:t>
      </w:r>
      <w:r>
        <w:rPr>
          <w:rFonts w:ascii="Times New Roman" w:hAnsi="Times New Roman" w:cs="Times New Roman" w:eastAsia="Times New Roman" w:hint="default"/>
          <w:spacing w:val="3"/>
        </w:rPr>
        <w:t>24,608,258.32</w:t>
      </w:r>
      <w:r>
        <w:rPr>
          <w:spacing w:val="3"/>
        </w:rPr>
        <w:t>元，其他货币资金</w:t>
      </w:r>
      <w:r>
        <w:rPr>
          <w:rFonts w:ascii="Times New Roman" w:hAnsi="Times New Roman" w:cs="Times New Roman" w:eastAsia="Times New Roman" w:hint="default"/>
          <w:spacing w:val="3"/>
        </w:rPr>
        <w:t>86,768,222.15</w:t>
      </w:r>
      <w:r>
        <w:rPr>
          <w:spacing w:val="3"/>
        </w:rPr>
        <w:t>元</w:t>
      </w:r>
      <w:r>
        <w:rPr>
          <w:rFonts w:ascii="Times New Roman" w:hAnsi="Times New Roman" w:cs="Times New Roman" w:eastAsia="Times New Roman" w:hint="default"/>
          <w:spacing w:val="3"/>
        </w:rPr>
        <w:t>(</w:t>
      </w:r>
      <w:r>
        <w:rPr>
          <w:spacing w:val="3"/>
        </w:rPr>
        <w:t>其中银行承兑汇票保证金</w:t>
      </w:r>
    </w:p>
    <w:p>
      <w:pPr>
        <w:pStyle w:val="BodyText"/>
        <w:spacing w:line="240" w:lineRule="auto" w:before="21"/>
        <w:ind w:right="0"/>
        <w:jc w:val="left"/>
      </w:pPr>
      <w:r>
        <w:rPr>
          <w:rFonts w:ascii="Times New Roman" w:hAnsi="Times New Roman" w:cs="Times New Roman" w:eastAsia="Times New Roman" w:hint="default"/>
        </w:rPr>
        <w:t>77,574,824.51</w:t>
      </w:r>
      <w:r>
        <w:rPr/>
        <w:t>元，履约保函保证金</w:t>
      </w:r>
      <w:r>
        <w:rPr>
          <w:rFonts w:ascii="Times New Roman" w:hAnsi="Times New Roman" w:cs="Times New Roman" w:eastAsia="Times New Roman" w:hint="default"/>
        </w:rPr>
        <w:t>9,193,397.64</w:t>
      </w:r>
      <w:r>
        <w:rPr/>
        <w:t>元</w:t>
      </w:r>
      <w:r>
        <w:rPr>
          <w:rFonts w:ascii="Times New Roman" w:hAnsi="Times New Roman" w:cs="Times New Roman" w:eastAsia="Times New Roman" w:hint="default"/>
        </w:rPr>
        <w:t>)</w:t>
      </w:r>
      <w:r>
        <w:rPr/>
        <w:t>，共计</w:t>
      </w:r>
      <w:r>
        <w:rPr>
          <w:rFonts w:ascii="Times New Roman" w:hAnsi="Times New Roman" w:cs="Times New Roman" w:eastAsia="Times New Roman" w:hint="default"/>
        </w:rPr>
        <w:t>111,376,480.47</w:t>
      </w:r>
      <w:r>
        <w:rPr/>
        <w:t>元为使用受限货币资金。</w:t>
      </w:r>
    </w:p>
    <w:p>
      <w:pPr>
        <w:spacing w:line="240" w:lineRule="auto" w:before="8"/>
        <w:rPr>
          <w:rFonts w:ascii="宋体" w:hAnsi="宋体" w:cs="宋体" w:eastAsia="宋体" w:hint="default"/>
          <w:sz w:val="24"/>
          <w:szCs w:val="24"/>
        </w:rPr>
      </w:pPr>
    </w:p>
    <w:p>
      <w:pPr>
        <w:pStyle w:val="Heading3"/>
        <w:spacing w:line="240" w:lineRule="auto" w:before="0"/>
        <w:ind w:right="0"/>
        <w:jc w:val="left"/>
        <w:rPr>
          <w:b w:val="0"/>
          <w:bCs w:val="0"/>
        </w:rPr>
      </w:pPr>
      <w:r>
        <w:rPr>
          <w:rFonts w:ascii="Times New Roman" w:hAnsi="Times New Roman" w:cs="Times New Roman" w:eastAsia="Times New Roman" w:hint="default"/>
        </w:rPr>
        <w:t>2</w:t>
      </w:r>
      <w:r>
        <w:rPr/>
        <w:t>、应收票据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145,397,235.35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172,035,954.12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5,899,352.00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151,296,587.35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172,035,954.12</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110,043,536.13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110,043,536.13</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1,770,09</w:t>
            </w:r>
          </w:p>
          <w:p>
            <w:pPr>
              <w:pStyle w:val="TableParagraph"/>
              <w:spacing w:line="240" w:lineRule="auto" w:before="106"/>
              <w:ind w:left="99" w:right="0"/>
              <w:jc w:val="left"/>
              <w:rPr>
                <w:rFonts w:ascii="Times New Roman" w:hAnsi="Times New Roman" w:cs="Times New Roman" w:eastAsia="Times New Roman" w:hint="default"/>
                <w:sz w:val="18"/>
                <w:szCs w:val="18"/>
              </w:rPr>
            </w:pPr>
            <w:r>
              <w:rPr>
                <w:rFonts w:ascii="Times New Roman"/>
                <w:sz w:val="18"/>
              </w:rPr>
              <w:t>9,907.31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183,795,</w:t>
            </w:r>
          </w:p>
          <w:p>
            <w:pPr>
              <w:pStyle w:val="TableParagraph"/>
              <w:spacing w:line="240" w:lineRule="auto" w:before="106"/>
              <w:ind w:left="211" w:right="0"/>
              <w:jc w:val="center"/>
              <w:rPr>
                <w:rFonts w:ascii="Times New Roman" w:hAnsi="Times New Roman" w:cs="Times New Roman" w:eastAsia="Times New Roman" w:hint="default"/>
                <w:sz w:val="18"/>
                <w:szCs w:val="18"/>
              </w:rPr>
            </w:pPr>
            <w:r>
              <w:rPr>
                <w:rFonts w:ascii="Times New Roman"/>
                <w:sz w:val="18"/>
              </w:rPr>
              <w:t>091.45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10.38%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1,586,304</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,815.86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1,234,4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15,551.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97.18%</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156,449,1</w:t>
            </w:r>
          </w:p>
          <w:p>
            <w:pPr>
              <w:pStyle w:val="TableParagraph"/>
              <w:spacing w:line="240" w:lineRule="auto" w:before="106"/>
              <w:ind w:left="375" w:right="0"/>
              <w:jc w:val="left"/>
              <w:rPr>
                <w:rFonts w:ascii="Times New Roman" w:hAnsi="Times New Roman" w:cs="Times New Roman" w:eastAsia="Times New Roman" w:hint="default"/>
                <w:sz w:val="18"/>
                <w:szCs w:val="18"/>
              </w:rPr>
            </w:pPr>
            <w:r>
              <w:rPr>
                <w:rFonts w:ascii="Times New Roman"/>
                <w:sz w:val="18"/>
              </w:rPr>
              <w:t>76.61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12.67%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1,077,966,3</w:t>
            </w:r>
          </w:p>
          <w:p>
            <w:pPr>
              <w:pStyle w:val="TableParagraph"/>
              <w:spacing w:line="240" w:lineRule="auto" w:before="106"/>
              <w:ind w:left="494" w:right="0"/>
              <w:jc w:val="left"/>
              <w:rPr>
                <w:rFonts w:ascii="Times New Roman" w:hAnsi="Times New Roman" w:cs="Times New Roman" w:eastAsia="Times New Roman" w:hint="default"/>
                <w:sz w:val="18"/>
                <w:szCs w:val="18"/>
              </w:rPr>
            </w:pPr>
            <w:r>
              <w:rPr>
                <w:rFonts w:ascii="Times New Roman"/>
                <w:sz w:val="18"/>
              </w:rPr>
              <w:t>75.09</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64,943,5</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26.02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64,943,5</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26.02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35,775,</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435.55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2.82%</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35,775,43</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5.55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1,835,04</w:t>
            </w:r>
          </w:p>
          <w:p>
            <w:pPr>
              <w:pStyle w:val="TableParagraph"/>
              <w:spacing w:line="240" w:lineRule="auto" w:before="106"/>
              <w:ind w:left="99" w:right="0"/>
              <w:jc w:val="left"/>
              <w:rPr>
                <w:rFonts w:ascii="Times New Roman" w:hAnsi="Times New Roman" w:cs="Times New Roman" w:eastAsia="Times New Roman" w:hint="default"/>
                <w:sz w:val="18"/>
                <w:szCs w:val="18"/>
              </w:rPr>
            </w:pPr>
            <w:r>
              <w:rPr>
                <w:rFonts w:ascii="Times New Roman"/>
                <w:sz w:val="18"/>
              </w:rPr>
              <w:t>3,433.33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248,738,</w:t>
            </w:r>
          </w:p>
          <w:p>
            <w:pPr>
              <w:pStyle w:val="TableParagraph"/>
              <w:spacing w:line="240" w:lineRule="auto" w:before="106"/>
              <w:ind w:left="211" w:right="0"/>
              <w:jc w:val="center"/>
              <w:rPr>
                <w:rFonts w:ascii="Times New Roman" w:hAnsi="Times New Roman" w:cs="Times New Roman" w:eastAsia="Times New Roman" w:hint="default"/>
                <w:sz w:val="18"/>
                <w:szCs w:val="18"/>
              </w:rPr>
            </w:pPr>
            <w:r>
              <w:rPr>
                <w:rFonts w:ascii="Times New Roman"/>
                <w:sz w:val="18"/>
              </w:rPr>
              <w:t>617.47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13.55%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1,586,304</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,815.86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1,270,1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90,987.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192,224,6</w:t>
            </w:r>
          </w:p>
          <w:p>
            <w:pPr>
              <w:pStyle w:val="TableParagraph"/>
              <w:spacing w:line="240" w:lineRule="auto" w:before="106"/>
              <w:ind w:left="375" w:right="0"/>
              <w:jc w:val="left"/>
              <w:rPr>
                <w:rFonts w:ascii="Times New Roman" w:hAnsi="Times New Roman" w:cs="Times New Roman" w:eastAsia="Times New Roman" w:hint="default"/>
                <w:sz w:val="18"/>
                <w:szCs w:val="18"/>
              </w:rPr>
            </w:pPr>
            <w:r>
              <w:rPr>
                <w:rFonts w:ascii="Times New Roman"/>
                <w:sz w:val="18"/>
              </w:rPr>
              <w:t>12.16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15.13%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1,077,966,3</w:t>
            </w:r>
          </w:p>
          <w:p>
            <w:pPr>
              <w:pStyle w:val="TableParagraph"/>
              <w:spacing w:line="240" w:lineRule="auto" w:before="106"/>
              <w:ind w:left="494" w:right="0"/>
              <w:jc w:val="left"/>
              <w:rPr>
                <w:rFonts w:ascii="Times New Roman" w:hAnsi="Times New Roman" w:cs="Times New Roman" w:eastAsia="Times New Roman" w:hint="default"/>
                <w:sz w:val="18"/>
                <w:szCs w:val="18"/>
              </w:rPr>
            </w:pPr>
            <w:r>
              <w:rPr>
                <w:rFonts w:ascii="Times New Roman"/>
                <w:sz w:val="18"/>
              </w:rPr>
              <w:t>75.09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6"/>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tabs>
          <w:tab w:pos="7577" w:val="left" w:leader="none"/>
        </w:tabs>
        <w:spacing w:line="240" w:lineRule="auto" w:before="77"/>
        <w:ind w:right="0"/>
        <w:jc w:val="left"/>
        <w:rPr>
          <w:sz w:val="18"/>
          <w:szCs w:val="18"/>
        </w:rPr>
      </w:pPr>
      <w:r>
        <w:rPr/>
        <w:t>账龄组合①</w:t>
      </w:r>
      <w:r>
        <w:rPr>
          <w:spacing w:val="-22"/>
        </w:rPr>
        <w:t> </w:t>
      </w:r>
      <w:r>
        <w:rPr>
          <w:rFonts w:ascii="Times New Roman" w:hAnsi="Times New Roman" w:cs="Times New Roman" w:eastAsia="Times New Roman" w:hint="default"/>
        </w:rPr>
        <w:t>(</w:t>
      </w:r>
      <w:r>
        <w:rPr/>
        <w:t>节能大功率电力电子产品业务</w:t>
      </w:r>
      <w:r>
        <w:rPr>
          <w:rFonts w:ascii="Times New Roman" w:hAnsi="Times New Roman" w:cs="Times New Roman" w:eastAsia="Times New Roman" w:hint="default"/>
        </w:rPr>
        <w:t>)</w:t>
        <w:tab/>
      </w:r>
      <w:r>
        <w:rPr>
          <w:sz w:val="18"/>
          <w:szCs w:val="18"/>
        </w:rPr>
        <w:t>单位： 元</w:t>
      </w:r>
    </w:p>
    <w:p>
      <w:pPr>
        <w:spacing w:line="240" w:lineRule="auto" w:before="1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672"/>
        <w:gridCol w:w="2214"/>
        <w:gridCol w:w="2213"/>
        <w:gridCol w:w="2214"/>
      </w:tblGrid>
      <w:tr>
        <w:trPr>
          <w:trHeight w:val="347" w:hRule="exact"/>
        </w:trPr>
        <w:tc>
          <w:tcPr>
            <w:tcW w:w="1672" w:type="dxa"/>
            <w:vMerge w:val="restart"/>
            <w:tcBorders>
              <w:top w:val="single" w:sz="6" w:space="0" w:color="000000"/>
              <w:left w:val="single" w:sz="6" w:space="0" w:color="000000"/>
              <w:right w:val="single" w:sz="6" w:space="0" w:color="000000"/>
            </w:tcBorders>
          </w:tcPr>
          <w:p>
            <w:pPr>
              <w:pStyle w:val="TableParagraph"/>
              <w:spacing w:line="270" w:lineRule="exact"/>
              <w:ind w:left="170" w:right="0"/>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63"/>
                <w:sz w:val="21"/>
                <w:szCs w:val="21"/>
              </w:rPr>
              <w:t> </w:t>
            </w:r>
            <w:r>
              <w:rPr>
                <w:rFonts w:ascii="宋体" w:hAnsi="宋体" w:cs="宋体" w:eastAsia="宋体" w:hint="default"/>
                <w:sz w:val="21"/>
                <w:szCs w:val="21"/>
              </w:rPr>
              <w:t>龄</w:t>
            </w:r>
          </w:p>
        </w:tc>
        <w:tc>
          <w:tcPr>
            <w:tcW w:w="6641" w:type="dxa"/>
            <w:gridSpan w:val="3"/>
            <w:tcBorders>
              <w:top w:val="single" w:sz="6" w:space="0" w:color="000000"/>
              <w:left w:val="single" w:sz="6" w:space="0" w:color="000000"/>
              <w:bottom w:val="single" w:sz="6" w:space="0" w:color="000000"/>
              <w:right w:val="nil" w:sz="6" w:space="0" w:color="auto"/>
            </w:tcBorders>
          </w:tcPr>
          <w:p>
            <w:pPr>
              <w:pStyle w:val="TableParagraph"/>
              <w:spacing w:line="270" w:lineRule="exact"/>
              <w:ind w:right="5"/>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47" w:hRule="exact"/>
        </w:trPr>
        <w:tc>
          <w:tcPr>
            <w:tcW w:w="1672" w:type="dxa"/>
            <w:vMerge/>
            <w:tcBorders>
              <w:left w:val="single" w:sz="6" w:space="0" w:color="000000"/>
              <w:bottom w:val="single" w:sz="6" w:space="0" w:color="000000"/>
              <w:right w:val="single" w:sz="6" w:space="0" w:color="000000"/>
            </w:tcBorders>
          </w:tcPr>
          <w:p>
            <w:pPr/>
          </w:p>
        </w:tc>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7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7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4" w:type="dxa"/>
            <w:tcBorders>
              <w:top w:val="single" w:sz="6" w:space="0" w:color="000000"/>
              <w:left w:val="single" w:sz="6" w:space="0" w:color="000000"/>
              <w:bottom w:val="single" w:sz="6" w:space="0" w:color="000000"/>
              <w:right w:val="nil" w:sz="6" w:space="0" w:color="auto"/>
            </w:tcBorders>
          </w:tcPr>
          <w:p>
            <w:pPr>
              <w:pStyle w:val="TableParagraph"/>
              <w:spacing w:line="287" w:lineRule="exact"/>
              <w:ind w:left="5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r>
      <w:tr>
        <w:trPr>
          <w:trHeight w:val="34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年以内</w:t>
            </w:r>
          </w:p>
        </w:tc>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788,717,301.33</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39,435,867.07</w:t>
            </w:r>
          </w:p>
        </w:tc>
        <w:tc>
          <w:tcPr>
            <w:tcW w:w="22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5.00</w:t>
            </w:r>
          </w:p>
        </w:tc>
      </w:tr>
      <w:tr>
        <w:trPr>
          <w:trHeight w:val="34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年</w:t>
            </w:r>
          </w:p>
        </w:tc>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324,338,426.88</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32,433,842.70</w:t>
            </w:r>
          </w:p>
        </w:tc>
        <w:tc>
          <w:tcPr>
            <w:tcW w:w="22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10.00</w:t>
            </w:r>
          </w:p>
        </w:tc>
      </w:tr>
      <w:tr>
        <w:trPr>
          <w:trHeight w:val="34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年</w:t>
            </w:r>
          </w:p>
        </w:tc>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127,520,479.88</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25,504,095.98</w:t>
            </w:r>
          </w:p>
        </w:tc>
        <w:tc>
          <w:tcPr>
            <w:tcW w:w="22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20.00</w:t>
            </w:r>
          </w:p>
        </w:tc>
      </w:tr>
      <w:tr>
        <w:trPr>
          <w:trHeight w:val="34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年以上</w:t>
            </w:r>
          </w:p>
        </w:tc>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268,019,506.20</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80,405,851.86</w:t>
            </w:r>
          </w:p>
        </w:tc>
        <w:tc>
          <w:tcPr>
            <w:tcW w:w="22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30.00</w:t>
            </w:r>
          </w:p>
        </w:tc>
      </w:tr>
      <w:tr>
        <w:trPr>
          <w:trHeight w:val="34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70"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1,508,595,714.29</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177,779,657.61</w:t>
            </w:r>
          </w:p>
        </w:tc>
        <w:tc>
          <w:tcPr>
            <w:tcW w:w="22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7"/>
              <w:jc w:val="right"/>
              <w:rPr>
                <w:rFonts w:ascii="Times New Roman" w:hAnsi="Times New Roman" w:cs="Times New Roman" w:eastAsia="Times New Roman" w:hint="default"/>
                <w:sz w:val="21"/>
                <w:szCs w:val="21"/>
              </w:rPr>
            </w:pPr>
            <w:r>
              <w:rPr>
                <w:rFonts w:ascii="Times New Roman"/>
                <w:spacing w:val="-1"/>
                <w:sz w:val="21"/>
              </w:rPr>
              <w:t>11.78</w:t>
            </w:r>
          </w:p>
        </w:tc>
      </w:tr>
    </w:tbl>
    <w:p>
      <w:pPr>
        <w:pStyle w:val="BodyText"/>
        <w:tabs>
          <w:tab w:pos="7621" w:val="left" w:leader="none"/>
        </w:tabs>
        <w:spacing w:line="276" w:lineRule="exact"/>
        <w:ind w:left="574" w:right="0"/>
        <w:jc w:val="left"/>
      </w:pPr>
      <w:r>
        <w:rPr/>
        <w:t>账龄组合②</w:t>
      </w:r>
      <w:r>
        <w:rPr>
          <w:spacing w:val="-22"/>
        </w:rPr>
        <w:t> </w:t>
      </w:r>
      <w:r>
        <w:rPr>
          <w:rFonts w:ascii="Times New Roman" w:hAnsi="Times New Roman" w:cs="Times New Roman" w:eastAsia="Times New Roman" w:hint="default"/>
        </w:rPr>
        <w:t>(</w:t>
      </w:r>
      <w:r>
        <w:rPr/>
        <w:t>移动信息服务业务</w:t>
      </w:r>
      <w:r>
        <w:rPr>
          <w:rFonts w:ascii="Times New Roman" w:hAnsi="Times New Roman" w:cs="Times New Roman" w:eastAsia="Times New Roman" w:hint="default"/>
        </w:rPr>
        <w:t>)</w:t>
        <w:tab/>
      </w:r>
      <w:r>
        <w:rPr/>
        <w:t>单位：元</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1672"/>
        <w:gridCol w:w="2214"/>
        <w:gridCol w:w="2213"/>
        <w:gridCol w:w="2214"/>
      </w:tblGrid>
      <w:tr>
        <w:trPr>
          <w:trHeight w:val="347" w:hRule="exact"/>
        </w:trPr>
        <w:tc>
          <w:tcPr>
            <w:tcW w:w="1672" w:type="dxa"/>
            <w:vMerge w:val="restart"/>
            <w:tcBorders>
              <w:top w:val="single" w:sz="6" w:space="0" w:color="000000"/>
              <w:left w:val="single" w:sz="6" w:space="0" w:color="000000"/>
              <w:right w:val="single" w:sz="6" w:space="0" w:color="000000"/>
            </w:tcBorders>
          </w:tcPr>
          <w:p>
            <w:pPr>
              <w:pStyle w:val="TableParagraph"/>
              <w:spacing w:line="271" w:lineRule="exact"/>
              <w:ind w:left="170" w:right="0"/>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63"/>
                <w:sz w:val="21"/>
                <w:szCs w:val="21"/>
              </w:rPr>
              <w:t> </w:t>
            </w:r>
            <w:r>
              <w:rPr>
                <w:rFonts w:ascii="宋体" w:hAnsi="宋体" w:cs="宋体" w:eastAsia="宋体" w:hint="default"/>
                <w:sz w:val="21"/>
                <w:szCs w:val="21"/>
              </w:rPr>
              <w:t>龄</w:t>
            </w:r>
          </w:p>
        </w:tc>
        <w:tc>
          <w:tcPr>
            <w:tcW w:w="6641" w:type="dxa"/>
            <w:gridSpan w:val="3"/>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48" w:hRule="exact"/>
        </w:trPr>
        <w:tc>
          <w:tcPr>
            <w:tcW w:w="1672" w:type="dxa"/>
            <w:vMerge/>
            <w:tcBorders>
              <w:left w:val="single" w:sz="6" w:space="0" w:color="000000"/>
              <w:bottom w:val="single" w:sz="6" w:space="0" w:color="000000"/>
              <w:right w:val="single" w:sz="6" w:space="0" w:color="000000"/>
            </w:tcBorders>
          </w:tcPr>
          <w:p>
            <w:pPr/>
          </w:p>
        </w:tc>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7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7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4" w:type="dxa"/>
            <w:tcBorders>
              <w:top w:val="single" w:sz="6" w:space="0" w:color="000000"/>
              <w:left w:val="single" w:sz="6" w:space="0" w:color="000000"/>
              <w:bottom w:val="single" w:sz="6" w:space="0" w:color="000000"/>
              <w:right w:val="nil" w:sz="6" w:space="0" w:color="auto"/>
            </w:tcBorders>
          </w:tcPr>
          <w:p>
            <w:pPr>
              <w:pStyle w:val="TableParagraph"/>
              <w:spacing w:line="287" w:lineRule="exact"/>
              <w:ind w:left="5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r>
      <w:tr>
        <w:trPr>
          <w:trHeight w:val="34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个月以内</w:t>
            </w:r>
          </w:p>
        </w:tc>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256,917,612.18</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5,138,352.24</w:t>
            </w:r>
          </w:p>
        </w:tc>
        <w:tc>
          <w:tcPr>
            <w:tcW w:w="22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pacing w:val="-1"/>
                <w:sz w:val="21"/>
              </w:rPr>
              <w:t>2.00</w:t>
            </w:r>
          </w:p>
        </w:tc>
      </w:tr>
      <w:tr>
        <w:trPr>
          <w:trHeight w:val="34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个月</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358,133.17</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17,906.66</w:t>
            </w:r>
          </w:p>
        </w:tc>
        <w:tc>
          <w:tcPr>
            <w:tcW w:w="22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9"/>
              <w:jc w:val="right"/>
              <w:rPr>
                <w:rFonts w:ascii="Times New Roman" w:hAnsi="Times New Roman" w:cs="Times New Roman" w:eastAsia="Times New Roman" w:hint="default"/>
                <w:sz w:val="21"/>
                <w:szCs w:val="21"/>
              </w:rPr>
            </w:pPr>
            <w:r>
              <w:rPr>
                <w:rFonts w:ascii="Times New Roman"/>
                <w:spacing w:val="-1"/>
                <w:sz w:val="21"/>
              </w:rPr>
              <w:t>5.00</w:t>
            </w:r>
          </w:p>
        </w:tc>
      </w:tr>
      <w:tr>
        <w:trPr>
          <w:trHeight w:val="34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年</w:t>
            </w:r>
          </w:p>
        </w:tc>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1,839,495.36</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183,949.54</w:t>
            </w:r>
          </w:p>
        </w:tc>
        <w:tc>
          <w:tcPr>
            <w:tcW w:w="22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10.00</w:t>
            </w:r>
          </w:p>
        </w:tc>
      </w:tr>
      <w:tr>
        <w:trPr>
          <w:trHeight w:val="34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年</w:t>
            </w:r>
          </w:p>
        </w:tc>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414,602.91</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82,920.58</w:t>
            </w:r>
          </w:p>
        </w:tc>
        <w:tc>
          <w:tcPr>
            <w:tcW w:w="22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20.00</w:t>
            </w:r>
          </w:p>
        </w:tc>
      </w:tr>
      <w:tr>
        <w:trPr>
          <w:trHeight w:val="34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年以上</w:t>
            </w:r>
          </w:p>
        </w:tc>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1,974,349.40</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592,304.82</w:t>
            </w:r>
          </w:p>
        </w:tc>
        <w:tc>
          <w:tcPr>
            <w:tcW w:w="22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30.00</w:t>
            </w:r>
          </w:p>
        </w:tc>
      </w:tr>
      <w:tr>
        <w:trPr>
          <w:trHeight w:val="34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70"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261,504,193.02</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6,015,433.84</w:t>
            </w:r>
          </w:p>
        </w:tc>
        <w:tc>
          <w:tcPr>
            <w:tcW w:w="22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8"/>
              <w:jc w:val="right"/>
              <w:rPr>
                <w:rFonts w:ascii="Times New Roman" w:hAnsi="Times New Roman" w:cs="Times New Roman" w:eastAsia="Times New Roman" w:hint="default"/>
                <w:sz w:val="21"/>
                <w:szCs w:val="21"/>
              </w:rPr>
            </w:pPr>
            <w:r>
              <w:rPr>
                <w:rFonts w:ascii="Times New Roman"/>
                <w:spacing w:val="-1"/>
                <w:sz w:val="21"/>
              </w:rPr>
              <w:t>2.30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38" w:lineRule="auto" w:before="117"/>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2"/>
        <w:rPr>
          <w:rFonts w:ascii="宋体" w:hAnsi="宋体" w:cs="宋体" w:eastAsia="宋体" w:hint="default"/>
          <w:sz w:val="21"/>
          <w:szCs w:val="21"/>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spacing w:line="340" w:lineRule="auto" w:before="44"/>
        <w:ind w:left="154" w:right="-14"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56,057,421.13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1,986,379.53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7173" w:space="1655"/>
            <w:col w:w="1122"/>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唐山不锈钢有限责任公司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现金回款</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1,220,000.00</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207"/>
              <w:jc w:val="right"/>
              <w:rPr>
                <w:rFonts w:ascii="宋体" w:hAnsi="宋体" w:cs="宋体" w:eastAsia="宋体" w:hint="default"/>
                <w:sz w:val="18"/>
                <w:szCs w:val="18"/>
              </w:rPr>
            </w:pPr>
            <w:r>
              <w:rPr>
                <w:rFonts w:ascii="宋体" w:hAnsi="宋体" w:cs="宋体" w:eastAsia="宋体" w:hint="default"/>
                <w:sz w:val="18"/>
                <w:szCs w:val="18"/>
              </w:rPr>
              <w:t>项目</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31"/>
              <w:jc w:val="right"/>
              <w:rPr>
                <w:rFonts w:ascii="宋体" w:hAnsi="宋体" w:cs="宋体" w:eastAsia="宋体" w:hint="default"/>
                <w:sz w:val="18"/>
                <w:szCs w:val="18"/>
              </w:rPr>
            </w:pPr>
            <w:r>
              <w:rPr>
                <w:rFonts w:ascii="宋体" w:hAnsi="宋体" w:cs="宋体" w:eastAsia="宋体" w:hint="default"/>
                <w:sz w:val="18"/>
                <w:szCs w:val="18"/>
              </w:rPr>
              <w:t>包头海平面高分子工业有限公司</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2,254,000.00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after="0"/>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13"/>
        <w:rPr>
          <w:rFonts w:ascii="宋体" w:hAnsi="宋体" w:cs="宋体" w:eastAsia="宋体" w:hint="default"/>
          <w:sz w:val="25"/>
          <w:szCs w:val="25"/>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1"/>
              <w:jc w:val="left"/>
              <w:rPr>
                <w:rFonts w:ascii="宋体" w:hAnsi="宋体" w:cs="宋体" w:eastAsia="宋体" w:hint="default"/>
                <w:sz w:val="18"/>
                <w:szCs w:val="18"/>
              </w:rPr>
            </w:pPr>
            <w:r>
              <w:rPr>
                <w:rFonts w:ascii="宋体" w:hAnsi="宋体" w:cs="宋体" w:eastAsia="宋体" w:hint="default"/>
                <w:sz w:val="18"/>
                <w:szCs w:val="18"/>
              </w:rPr>
              <w:t>包头海平面高分子 工业有限公司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销售货款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无法收回</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2,254,000.00</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3686"/>
        <w:gridCol w:w="1702"/>
        <w:gridCol w:w="1416"/>
        <w:gridCol w:w="1508"/>
      </w:tblGrid>
      <w:tr>
        <w:trPr>
          <w:trHeight w:val="659"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23"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22" w:right="71"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占应收账款余 额的比例</w:t>
            </w:r>
            <w:r>
              <w:rPr>
                <w:rFonts w:ascii="Times New Roman" w:hAnsi="Times New Roman" w:cs="Times New Roman" w:eastAsia="Times New Roman" w:hint="default"/>
                <w:sz w:val="21"/>
                <w:szCs w:val="21"/>
              </w:rPr>
              <w:t>(%)</w:t>
            </w:r>
          </w:p>
        </w:tc>
        <w:tc>
          <w:tcPr>
            <w:tcW w:w="1508"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left="32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59"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3"/>
              <w:jc w:val="left"/>
              <w:rPr>
                <w:rFonts w:ascii="宋体" w:hAnsi="宋体" w:cs="宋体" w:eastAsia="宋体" w:hint="default"/>
                <w:sz w:val="21"/>
                <w:szCs w:val="21"/>
              </w:rPr>
            </w:pPr>
            <w:r>
              <w:rPr>
                <w:rFonts w:ascii="宋体" w:hAnsi="宋体" w:cs="宋体" w:eastAsia="宋体" w:hint="default"/>
                <w:spacing w:val="6"/>
                <w:sz w:val="21"/>
                <w:szCs w:val="21"/>
              </w:rPr>
              <w:t>中国南方电网有限责任公司超高压输电 </w:t>
            </w:r>
            <w:r>
              <w:rPr>
                <w:rFonts w:ascii="宋体" w:hAnsi="宋体" w:cs="宋体" w:eastAsia="宋体" w:hint="default"/>
                <w:sz w:val="21"/>
                <w:szCs w:val="21"/>
              </w:rPr>
              <w:t>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212,712,594.60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11.59</w:t>
            </w:r>
          </w:p>
        </w:tc>
        <w:tc>
          <w:tcPr>
            <w:tcW w:w="15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20,131,214.73</w:t>
            </w:r>
          </w:p>
        </w:tc>
      </w:tr>
      <w:tr>
        <w:trPr>
          <w:trHeight w:val="347"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沈阳透平机械股份有限公司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74,672,912.22</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4.07</w:t>
            </w:r>
          </w:p>
        </w:tc>
        <w:tc>
          <w:tcPr>
            <w:tcW w:w="15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8,659,173.65</w:t>
            </w:r>
          </w:p>
        </w:tc>
      </w:tr>
      <w:tr>
        <w:trPr>
          <w:trHeight w:val="347"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北京能高自动化技术股份有限公司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40,502,000.00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2.21</w:t>
            </w:r>
          </w:p>
        </w:tc>
        <w:tc>
          <w:tcPr>
            <w:tcW w:w="15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2,025,100.00</w:t>
            </w:r>
          </w:p>
        </w:tc>
      </w:tr>
      <w:tr>
        <w:trPr>
          <w:trHeight w:val="348"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中国移动通信集团天津有限公司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26,665,966.79</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1.45</w:t>
            </w:r>
          </w:p>
        </w:tc>
        <w:tc>
          <w:tcPr>
            <w:tcW w:w="15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pacing w:val="-1"/>
                <w:sz w:val="21"/>
              </w:rPr>
              <w:t>533,319.34</w:t>
            </w:r>
          </w:p>
        </w:tc>
      </w:tr>
      <w:tr>
        <w:trPr>
          <w:trHeight w:val="347"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1"/>
                <w:szCs w:val="21"/>
              </w:rPr>
            </w:pPr>
            <w:r>
              <w:rPr>
                <w:rFonts w:ascii="宋体" w:hAnsi="宋体" w:cs="宋体" w:eastAsia="宋体" w:hint="default"/>
                <w:sz w:val="21"/>
                <w:szCs w:val="21"/>
              </w:rPr>
              <w:t>大唐</w:t>
            </w:r>
            <w:r>
              <w:rPr>
                <w:rFonts w:ascii="Times New Roman" w:hAnsi="Times New Roman" w:cs="Times New Roman" w:eastAsia="Times New Roman" w:hint="default"/>
                <w:sz w:val="21"/>
                <w:szCs w:val="21"/>
              </w:rPr>
              <w:t>(</w:t>
            </w:r>
            <w:r>
              <w:rPr>
                <w:rFonts w:ascii="宋体" w:hAnsi="宋体" w:cs="宋体" w:eastAsia="宋体" w:hint="default"/>
                <w:sz w:val="21"/>
                <w:szCs w:val="21"/>
              </w:rPr>
              <w:t>通辽</w:t>
            </w:r>
            <w:r>
              <w:rPr>
                <w:rFonts w:ascii="Times New Roman" w:hAnsi="Times New Roman" w:cs="Times New Roman" w:eastAsia="Times New Roman" w:hint="default"/>
                <w:sz w:val="21"/>
                <w:szCs w:val="21"/>
              </w:rPr>
              <w:t>)</w:t>
            </w:r>
            <w:r>
              <w:rPr>
                <w:rFonts w:ascii="宋体" w:hAnsi="宋体" w:cs="宋体" w:eastAsia="宋体" w:hint="default"/>
                <w:sz w:val="21"/>
                <w:szCs w:val="21"/>
              </w:rPr>
              <w:t>霍林河新能源有限公司</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21,340,000.00</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1.16</w:t>
            </w:r>
          </w:p>
        </w:tc>
        <w:tc>
          <w:tcPr>
            <w:tcW w:w="15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7"/>
              <w:jc w:val="right"/>
              <w:rPr>
                <w:rFonts w:ascii="Times New Roman" w:hAnsi="Times New Roman" w:cs="Times New Roman" w:eastAsia="Times New Roman" w:hint="default"/>
                <w:sz w:val="21"/>
                <w:szCs w:val="21"/>
              </w:rPr>
            </w:pPr>
            <w:r>
              <w:rPr>
                <w:rFonts w:ascii="Times New Roman"/>
                <w:spacing w:val="-1"/>
                <w:sz w:val="21"/>
              </w:rPr>
              <w:t>6,402,000.00</w:t>
            </w:r>
          </w:p>
        </w:tc>
      </w:tr>
      <w:tr>
        <w:trPr>
          <w:trHeight w:val="347" w:hRule="exact"/>
        </w:trPr>
        <w:tc>
          <w:tcPr>
            <w:tcW w:w="368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375,893,473.61</w:t>
            </w:r>
          </w:p>
        </w:tc>
        <w:tc>
          <w:tcPr>
            <w:tcW w:w="14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20.48</w:t>
            </w:r>
          </w:p>
        </w:tc>
        <w:tc>
          <w:tcPr>
            <w:tcW w:w="1508"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37,750,807.72</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238"/>
        <w:gridCol w:w="1529"/>
        <w:gridCol w:w="1529"/>
        <w:gridCol w:w="3017"/>
      </w:tblGrid>
      <w:tr>
        <w:trPr>
          <w:trHeight w:val="660"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816"/>
              <w:jc w:val="righ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26" w:right="0"/>
              <w:jc w:val="left"/>
              <w:rPr>
                <w:rFonts w:ascii="宋体" w:hAnsi="宋体" w:cs="宋体" w:eastAsia="宋体" w:hint="default"/>
                <w:sz w:val="21"/>
                <w:szCs w:val="21"/>
              </w:rPr>
            </w:pPr>
            <w:r>
              <w:rPr>
                <w:rFonts w:ascii="宋体" w:hAnsi="宋体" w:cs="宋体" w:eastAsia="宋体" w:hint="default"/>
                <w:sz w:val="21"/>
                <w:szCs w:val="21"/>
              </w:rPr>
              <w:t>终止确认金额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127" w:right="19" w:hanging="105"/>
              <w:jc w:val="left"/>
              <w:rPr>
                <w:rFonts w:ascii="宋体" w:hAnsi="宋体" w:cs="宋体" w:eastAsia="宋体" w:hint="default"/>
                <w:sz w:val="21"/>
                <w:szCs w:val="21"/>
              </w:rPr>
            </w:pPr>
            <w:r>
              <w:rPr>
                <w:rFonts w:ascii="宋体" w:hAnsi="宋体" w:cs="宋体" w:eastAsia="宋体" w:hint="default"/>
                <w:sz w:val="21"/>
                <w:szCs w:val="21"/>
              </w:rPr>
              <w:t>与终止确认相关 的利得或损失</w:t>
            </w:r>
          </w:p>
        </w:tc>
        <w:tc>
          <w:tcPr>
            <w:tcW w:w="3017" w:type="dxa"/>
            <w:tcBorders>
              <w:top w:val="single" w:sz="6" w:space="0" w:color="000000"/>
              <w:left w:val="single" w:sz="6" w:space="0" w:color="000000"/>
              <w:bottom w:val="single" w:sz="6" w:space="0" w:color="000000"/>
              <w:right w:val="nil" w:sz="6" w:space="0" w:color="auto"/>
            </w:tcBorders>
          </w:tcPr>
          <w:p>
            <w:pPr>
              <w:pStyle w:val="TableParagraph"/>
              <w:spacing w:line="271" w:lineRule="exact"/>
              <w:ind w:left="661" w:right="0"/>
              <w:jc w:val="left"/>
              <w:rPr>
                <w:rFonts w:ascii="宋体" w:hAnsi="宋体" w:cs="宋体" w:eastAsia="宋体" w:hint="default"/>
                <w:sz w:val="21"/>
                <w:szCs w:val="21"/>
              </w:rPr>
            </w:pPr>
            <w:r>
              <w:rPr>
                <w:rFonts w:ascii="宋体" w:hAnsi="宋体" w:cs="宋体" w:eastAsia="宋体" w:hint="default"/>
                <w:sz w:val="21"/>
                <w:szCs w:val="21"/>
              </w:rPr>
              <w:t>金融资产转移方式</w:t>
            </w:r>
          </w:p>
        </w:tc>
      </w:tr>
      <w:tr>
        <w:trPr>
          <w:trHeight w:val="347"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无追索权保理</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92,448,846.00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-6,004,553.68</w:t>
            </w:r>
          </w:p>
        </w:tc>
        <w:tc>
          <w:tcPr>
            <w:tcW w:w="3017"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223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816"/>
              <w:jc w:val="righ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92,448,846.00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-6,004,553.68</w:t>
            </w:r>
          </w:p>
        </w:tc>
        <w:tc>
          <w:tcPr>
            <w:tcW w:w="3017" w:type="dxa"/>
            <w:tcBorders>
              <w:top w:val="single" w:sz="6" w:space="0" w:color="000000"/>
              <w:left w:val="single" w:sz="6" w:space="0" w:color="000000"/>
              <w:bottom w:val="single" w:sz="6" w:space="0" w:color="000000"/>
              <w:right w:val="nil" w:sz="6" w:space="0" w:color="auto"/>
            </w:tcBorders>
          </w:tcPr>
          <w:p>
            <w:pPr/>
          </w:p>
        </w:tc>
      </w:tr>
    </w:tbl>
    <w:p>
      <w:pPr>
        <w:spacing w:line="240" w:lineRule="auto" w:before="2"/>
        <w:rPr>
          <w:rFonts w:ascii="宋体" w:hAnsi="宋体" w:cs="宋体" w:eastAsia="宋体" w:hint="default"/>
          <w:b/>
          <w:bCs/>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4</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5"/>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167,993,308.41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47,371,439.73</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83.70%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3,646,387.82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6,979,972.29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972,931.54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868,417.67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1,527,425.07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1,377,215.14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174,140,052.84</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56,597,044.83</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4253"/>
        <w:gridCol w:w="2269"/>
        <w:gridCol w:w="1790"/>
      </w:tblGrid>
      <w:tr>
        <w:trPr>
          <w:trHeight w:val="659" w:hRule="exact"/>
        </w:trPr>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0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790" w:type="dxa"/>
            <w:tcBorders>
              <w:top w:val="single" w:sz="6" w:space="0" w:color="000000"/>
              <w:left w:val="single" w:sz="6" w:space="0" w:color="000000"/>
              <w:bottom w:val="single" w:sz="6" w:space="0" w:color="000000"/>
              <w:right w:val="nil" w:sz="6" w:space="0" w:color="auto"/>
            </w:tcBorders>
          </w:tcPr>
          <w:p>
            <w:pPr>
              <w:pStyle w:val="TableParagraph"/>
              <w:spacing w:line="273" w:lineRule="auto"/>
              <w:ind w:left="415" w:right="158" w:hanging="263"/>
              <w:jc w:val="left"/>
              <w:rPr>
                <w:rFonts w:ascii="Times New Roman" w:hAnsi="Times New Roman" w:cs="Times New Roman" w:eastAsia="Times New Roman" w:hint="default"/>
                <w:sz w:val="21"/>
                <w:szCs w:val="21"/>
              </w:rPr>
            </w:pPr>
            <w:r>
              <w:rPr>
                <w:rFonts w:ascii="宋体" w:hAnsi="宋体" w:cs="宋体" w:eastAsia="宋体" w:hint="default"/>
                <w:sz w:val="21"/>
                <w:szCs w:val="21"/>
              </w:rPr>
              <w:t>占预付款项余额 的比例</w:t>
            </w:r>
            <w:r>
              <w:rPr>
                <w:rFonts w:ascii="Times New Roman" w:hAnsi="Times New Roman" w:cs="Times New Roman" w:eastAsia="Times New Roman" w:hint="default"/>
                <w:sz w:val="21"/>
                <w:szCs w:val="21"/>
              </w:rPr>
              <w:t>(%)</w:t>
            </w:r>
          </w:p>
        </w:tc>
      </w:tr>
      <w:tr>
        <w:trPr>
          <w:trHeight w:val="347" w:hRule="exact"/>
        </w:trPr>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中国移动通信集团广东有限公司</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44,662,983.81</w:t>
            </w:r>
          </w:p>
        </w:tc>
        <w:tc>
          <w:tcPr>
            <w:tcW w:w="17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9"/>
              <w:jc w:val="right"/>
              <w:rPr>
                <w:rFonts w:ascii="Times New Roman" w:hAnsi="Times New Roman" w:cs="Times New Roman" w:eastAsia="Times New Roman" w:hint="default"/>
                <w:sz w:val="21"/>
                <w:szCs w:val="21"/>
              </w:rPr>
            </w:pPr>
            <w:r>
              <w:rPr>
                <w:rFonts w:ascii="Times New Roman"/>
                <w:spacing w:val="-1"/>
                <w:sz w:val="21"/>
              </w:rPr>
              <w:t>24.28</w:t>
            </w:r>
          </w:p>
        </w:tc>
      </w:tr>
      <w:tr>
        <w:trPr>
          <w:trHeight w:val="348" w:hRule="exact"/>
        </w:trPr>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中国移动通信集团天津有限公司</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31,131,398.90</w:t>
            </w:r>
          </w:p>
        </w:tc>
        <w:tc>
          <w:tcPr>
            <w:tcW w:w="17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9"/>
              <w:jc w:val="right"/>
              <w:rPr>
                <w:rFonts w:ascii="Times New Roman" w:hAnsi="Times New Roman" w:cs="Times New Roman" w:eastAsia="Times New Roman" w:hint="default"/>
                <w:sz w:val="21"/>
                <w:szCs w:val="21"/>
              </w:rPr>
            </w:pPr>
            <w:r>
              <w:rPr>
                <w:rFonts w:ascii="Times New Roman"/>
                <w:spacing w:val="-1"/>
                <w:sz w:val="21"/>
              </w:rPr>
              <w:t>17.88</w:t>
            </w:r>
          </w:p>
        </w:tc>
      </w:tr>
      <w:tr>
        <w:trPr>
          <w:trHeight w:val="347" w:hRule="exact"/>
        </w:trPr>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Advanced Energy Consultancy</w:t>
            </w:r>
            <w:r>
              <w:rPr>
                <w:rFonts w:ascii="Times New Roman"/>
                <w:spacing w:val="-10"/>
                <w:sz w:val="21"/>
              </w:rPr>
              <w:t> </w:t>
            </w:r>
            <w:r>
              <w:rPr>
                <w:rFonts w:ascii="Times New Roman"/>
                <w:sz w:val="21"/>
              </w:rPr>
              <w:t>DMCC</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19,881,920.00</w:t>
            </w:r>
          </w:p>
        </w:tc>
        <w:tc>
          <w:tcPr>
            <w:tcW w:w="17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9"/>
              <w:jc w:val="right"/>
              <w:rPr>
                <w:rFonts w:ascii="Times New Roman" w:hAnsi="Times New Roman" w:cs="Times New Roman" w:eastAsia="Times New Roman" w:hint="default"/>
                <w:sz w:val="21"/>
                <w:szCs w:val="21"/>
              </w:rPr>
            </w:pPr>
            <w:r>
              <w:rPr>
                <w:rFonts w:ascii="Times New Roman"/>
                <w:spacing w:val="-1"/>
                <w:sz w:val="21"/>
              </w:rPr>
              <w:t>11.42</w:t>
            </w:r>
          </w:p>
        </w:tc>
      </w:tr>
      <w:tr>
        <w:trPr>
          <w:trHeight w:val="347" w:hRule="exact"/>
        </w:trPr>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深圳市土地房产交易中心</w:t>
            </w:r>
            <w:r>
              <w:rPr>
                <w:rFonts w:ascii="Times New Roman" w:hAnsi="Times New Roman" w:cs="Times New Roman" w:eastAsia="Times New Roman" w:hint="default"/>
                <w:sz w:val="21"/>
                <w:szCs w:val="21"/>
              </w:rPr>
              <w:t>[</w:t>
            </w:r>
            <w:r>
              <w:rPr>
                <w:rFonts w:ascii="宋体" w:hAnsi="宋体" w:cs="宋体" w:eastAsia="宋体" w:hint="default"/>
                <w:sz w:val="21"/>
                <w:szCs w:val="21"/>
              </w:rPr>
              <w:t>注</w:t>
            </w:r>
            <w:r>
              <w:rPr>
                <w:rFonts w:ascii="Times New Roman" w:hAnsi="Times New Roman" w:cs="Times New Roman" w:eastAsia="Times New Roman" w:hint="default"/>
                <w:sz w:val="21"/>
                <w:szCs w:val="21"/>
              </w:rPr>
              <w:t>]</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18,000,000.00</w:t>
            </w:r>
          </w:p>
        </w:tc>
        <w:tc>
          <w:tcPr>
            <w:tcW w:w="17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9"/>
              <w:jc w:val="right"/>
              <w:rPr>
                <w:rFonts w:ascii="Times New Roman" w:hAnsi="Times New Roman" w:cs="Times New Roman" w:eastAsia="Times New Roman" w:hint="default"/>
                <w:sz w:val="21"/>
                <w:szCs w:val="21"/>
              </w:rPr>
            </w:pPr>
            <w:r>
              <w:rPr>
                <w:rFonts w:ascii="Times New Roman"/>
                <w:spacing w:val="-1"/>
                <w:sz w:val="21"/>
              </w:rPr>
              <w:t>10.34</w:t>
            </w:r>
          </w:p>
        </w:tc>
      </w:tr>
      <w:tr>
        <w:trPr>
          <w:trHeight w:val="347" w:hRule="exact"/>
        </w:trPr>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中国移动通信集团上海有限公司</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12,410,081.36</w:t>
            </w:r>
          </w:p>
        </w:tc>
        <w:tc>
          <w:tcPr>
            <w:tcW w:w="17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z w:val="21"/>
              </w:rPr>
              <w:t>7.13</w:t>
            </w:r>
          </w:p>
        </w:tc>
      </w:tr>
      <w:tr>
        <w:trPr>
          <w:trHeight w:val="348" w:hRule="exact"/>
        </w:trPr>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22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126,086,374.17</w:t>
            </w:r>
          </w:p>
        </w:tc>
        <w:tc>
          <w:tcPr>
            <w:tcW w:w="179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9"/>
              <w:jc w:val="right"/>
              <w:rPr>
                <w:rFonts w:ascii="Times New Roman" w:hAnsi="Times New Roman" w:cs="Times New Roman" w:eastAsia="Times New Roman" w:hint="default"/>
                <w:sz w:val="21"/>
                <w:szCs w:val="21"/>
              </w:rPr>
            </w:pPr>
            <w:r>
              <w:rPr>
                <w:rFonts w:ascii="Times New Roman"/>
                <w:spacing w:val="-1"/>
                <w:sz w:val="21"/>
              </w:rPr>
              <w:t>72.42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9"/>
        <w:ind w:left="574" w:right="0"/>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w:t>
      </w:r>
      <w:r>
        <w:rPr/>
        <w:t>深圳市土地房产交易中心期末余额系预付土地挂牌出让保证金。</w:t>
      </w:r>
    </w:p>
    <w:p>
      <w:pPr>
        <w:spacing w:line="240" w:lineRule="auto" w:before="8"/>
        <w:rPr>
          <w:rFonts w:ascii="宋体" w:hAnsi="宋体" w:cs="宋体" w:eastAsia="宋体" w:hint="default"/>
          <w:sz w:val="24"/>
          <w:szCs w:val="24"/>
        </w:rPr>
      </w:pPr>
    </w:p>
    <w:p>
      <w:pPr>
        <w:pStyle w:val="Heading3"/>
        <w:spacing w:line="240" w:lineRule="auto" w:before="0"/>
        <w:ind w:left="153" w:right="0"/>
        <w:jc w:val="left"/>
        <w:rPr>
          <w:b w:val="0"/>
          <w:bCs w:val="0"/>
        </w:rPr>
      </w:pPr>
      <w:r>
        <w:rPr>
          <w:rFonts w:ascii="Times New Roman" w:hAnsi="Times New Roman" w:cs="Times New Roman" w:eastAsia="Times New Roman" w:hint="default"/>
        </w:rPr>
        <w:t>5</w:t>
      </w:r>
      <w:r>
        <w:rPr/>
        <w:t>、应收股利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left="153" w:right="0"/>
        <w:jc w:val="left"/>
        <w:rPr>
          <w:b w:val="0"/>
          <w:bCs w:val="0"/>
        </w:rPr>
      </w:pPr>
      <w:r>
        <w:rPr/>
        <w:t>（</w:t>
      </w:r>
      <w:r>
        <w:rPr>
          <w:rFonts w:ascii="Times New Roman" w:hAnsi="Times New Roman" w:cs="Times New Roman" w:eastAsia="Times New Roman" w:hint="default"/>
        </w:rPr>
        <w:t>1</w:t>
      </w:r>
      <w:r>
        <w:rPr/>
        <w:t>）应收股利</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哈密荣信新能源有限公司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2,240,000.00</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6</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84,229,4</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83.90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7,228,45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77,001,03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3.88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50,166,</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230.28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4,868,696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45,297,533.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34</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84,229,4</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83.90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7,228,45</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0.02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77,001,03</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3.88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50,166,</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230.28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4,868,696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9.71%</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45,297,533.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4" w:right="56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BodyText"/>
        <w:tabs>
          <w:tab w:pos="7628" w:val="left" w:leader="none"/>
        </w:tabs>
        <w:spacing w:line="240" w:lineRule="auto" w:before="35"/>
        <w:ind w:right="0"/>
        <w:jc w:val="left"/>
        <w:rPr>
          <w:sz w:val="18"/>
          <w:szCs w:val="18"/>
        </w:rPr>
      </w:pPr>
      <w:r>
        <w:rPr>
          <w:spacing w:val="-1"/>
        </w:rPr>
        <w:t>账龄组合①</w:t>
      </w:r>
      <w:r>
        <w:rPr>
          <w:rFonts w:ascii="Times New Roman" w:hAnsi="Times New Roman" w:cs="Times New Roman" w:eastAsia="Times New Roman" w:hint="default"/>
          <w:spacing w:val="-1"/>
        </w:rPr>
        <w:t>(</w:t>
      </w:r>
      <w:r>
        <w:rPr>
          <w:spacing w:val="-1"/>
        </w:rPr>
        <w:t>节能大功率电力电子产品业务</w:t>
      </w:r>
      <w:r>
        <w:rPr>
          <w:rFonts w:ascii="Times New Roman" w:hAnsi="Times New Roman" w:cs="Times New Roman" w:eastAsia="Times New Roman" w:hint="default"/>
          <w:spacing w:val="-1"/>
        </w:rPr>
        <w:t>)</w:t>
        <w:tab/>
      </w:r>
      <w:r>
        <w:rPr>
          <w:spacing w:val="-1"/>
          <w:sz w:val="18"/>
          <w:szCs w:val="18"/>
        </w:rPr>
        <w:t>单位：</w:t>
      </w:r>
      <w:r>
        <w:rPr>
          <w:spacing w:val="1"/>
          <w:sz w:val="18"/>
          <w:szCs w:val="18"/>
        </w:rPr>
        <w:t> </w:t>
      </w:r>
      <w:r>
        <w:rPr>
          <w:sz w:val="18"/>
          <w:szCs w:val="18"/>
        </w:rPr>
        <w:t>元</w:t>
      </w:r>
    </w:p>
    <w:p>
      <w:pPr>
        <w:spacing w:line="240" w:lineRule="auto" w:before="9"/>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1672"/>
        <w:gridCol w:w="2214"/>
        <w:gridCol w:w="2213"/>
        <w:gridCol w:w="2214"/>
      </w:tblGrid>
      <w:tr>
        <w:trPr>
          <w:trHeight w:val="347" w:hRule="exact"/>
        </w:trPr>
        <w:tc>
          <w:tcPr>
            <w:tcW w:w="1672" w:type="dxa"/>
            <w:vMerge w:val="restart"/>
            <w:tcBorders>
              <w:top w:val="single" w:sz="6" w:space="0" w:color="000000"/>
              <w:left w:val="single" w:sz="6" w:space="0" w:color="000000"/>
              <w:right w:val="single" w:sz="6" w:space="0" w:color="000000"/>
            </w:tcBorders>
          </w:tcPr>
          <w:p>
            <w:pPr>
              <w:pStyle w:val="TableParagraph"/>
              <w:spacing w:line="271" w:lineRule="exact"/>
              <w:ind w:left="170" w:right="0"/>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63"/>
                <w:sz w:val="21"/>
                <w:szCs w:val="21"/>
              </w:rPr>
              <w:t> </w:t>
            </w:r>
            <w:r>
              <w:rPr>
                <w:rFonts w:ascii="宋体" w:hAnsi="宋体" w:cs="宋体" w:eastAsia="宋体" w:hint="default"/>
                <w:sz w:val="21"/>
                <w:szCs w:val="21"/>
              </w:rPr>
              <w:t>龄</w:t>
            </w:r>
          </w:p>
        </w:tc>
        <w:tc>
          <w:tcPr>
            <w:tcW w:w="6641" w:type="dxa"/>
            <w:gridSpan w:val="3"/>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48" w:hRule="exact"/>
        </w:trPr>
        <w:tc>
          <w:tcPr>
            <w:tcW w:w="1672" w:type="dxa"/>
            <w:vMerge/>
            <w:tcBorders>
              <w:left w:val="single" w:sz="6" w:space="0" w:color="000000"/>
              <w:bottom w:val="single" w:sz="6" w:space="0" w:color="000000"/>
              <w:right w:val="single" w:sz="6" w:space="0" w:color="000000"/>
            </w:tcBorders>
          </w:tcPr>
          <w:p>
            <w:pPr/>
          </w:p>
        </w:tc>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7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7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4" w:type="dxa"/>
            <w:tcBorders>
              <w:top w:val="single" w:sz="6" w:space="0" w:color="000000"/>
              <w:left w:val="single" w:sz="6" w:space="0" w:color="000000"/>
              <w:bottom w:val="single" w:sz="6" w:space="0" w:color="000000"/>
              <w:right w:val="nil" w:sz="6" w:space="0" w:color="auto"/>
            </w:tcBorders>
          </w:tcPr>
          <w:p>
            <w:pPr>
              <w:pStyle w:val="TableParagraph"/>
              <w:spacing w:line="287" w:lineRule="exact"/>
              <w:ind w:left="5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r>
      <w:tr>
        <w:trPr>
          <w:trHeight w:val="34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年以内</w:t>
            </w:r>
          </w:p>
        </w:tc>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59,633,442.67</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2,981,672.17</w:t>
            </w:r>
          </w:p>
        </w:tc>
        <w:tc>
          <w:tcPr>
            <w:tcW w:w="22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z w:val="21"/>
              </w:rPr>
              <w:t>5.00</w:t>
            </w:r>
          </w:p>
        </w:tc>
      </w:tr>
      <w:tr>
        <w:trPr>
          <w:trHeight w:val="34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年</w:t>
            </w:r>
          </w:p>
        </w:tc>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5,146,661.67</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514,666.17</w:t>
            </w:r>
          </w:p>
        </w:tc>
        <w:tc>
          <w:tcPr>
            <w:tcW w:w="22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z w:val="21"/>
              </w:rPr>
              <w:t>10.00</w:t>
            </w:r>
          </w:p>
        </w:tc>
      </w:tr>
      <w:tr>
        <w:trPr>
          <w:trHeight w:val="34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年</w:t>
            </w:r>
          </w:p>
        </w:tc>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2,569,037.43</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513,807.48</w:t>
            </w:r>
          </w:p>
        </w:tc>
        <w:tc>
          <w:tcPr>
            <w:tcW w:w="22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z w:val="21"/>
              </w:rPr>
              <w:t>20.00</w:t>
            </w:r>
          </w:p>
        </w:tc>
      </w:tr>
      <w:tr>
        <w:trPr>
          <w:trHeight w:val="34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8,240,932.00</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2,472,279.60</w:t>
            </w:r>
          </w:p>
        </w:tc>
        <w:tc>
          <w:tcPr>
            <w:tcW w:w="22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z w:val="21"/>
              </w:rPr>
              <w:t>30.00</w:t>
            </w:r>
          </w:p>
        </w:tc>
      </w:tr>
      <w:tr>
        <w:trPr>
          <w:trHeight w:val="34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70"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75,590,073.77</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6,482,425.42</w:t>
            </w:r>
          </w:p>
        </w:tc>
        <w:tc>
          <w:tcPr>
            <w:tcW w:w="22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z w:val="21"/>
              </w:rPr>
              <w:t>8.58</w:t>
            </w:r>
          </w:p>
        </w:tc>
      </w:tr>
    </w:tbl>
    <w:p>
      <w:pPr>
        <w:pStyle w:val="BodyText"/>
        <w:tabs>
          <w:tab w:pos="7621" w:val="left" w:leader="none"/>
        </w:tabs>
        <w:spacing w:line="276" w:lineRule="exact"/>
        <w:ind w:left="574" w:right="0"/>
        <w:jc w:val="left"/>
      </w:pPr>
      <w:r>
        <w:rPr/>
        <w:t>账龄组合②</w:t>
      </w:r>
      <w:r>
        <w:rPr>
          <w:spacing w:val="-22"/>
        </w:rPr>
        <w:t> </w:t>
      </w:r>
      <w:r>
        <w:rPr>
          <w:rFonts w:ascii="Times New Roman" w:hAnsi="Times New Roman" w:cs="Times New Roman" w:eastAsia="Times New Roman" w:hint="default"/>
        </w:rPr>
        <w:t>(</w:t>
      </w:r>
      <w:r>
        <w:rPr/>
        <w:t>移动信息服务业务</w:t>
      </w:r>
      <w:r>
        <w:rPr>
          <w:rFonts w:ascii="Times New Roman" w:hAnsi="Times New Roman" w:cs="Times New Roman" w:eastAsia="Times New Roman" w:hint="default"/>
        </w:rPr>
        <w:t>)</w:t>
        <w:tab/>
      </w:r>
      <w:r>
        <w:rPr/>
        <w:t>单位：元</w:t>
      </w:r>
    </w:p>
    <w:p>
      <w:pPr>
        <w:spacing w:line="240" w:lineRule="auto" w:before="10"/>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1672"/>
        <w:gridCol w:w="2214"/>
        <w:gridCol w:w="2213"/>
        <w:gridCol w:w="2214"/>
      </w:tblGrid>
      <w:tr>
        <w:trPr>
          <w:trHeight w:val="347" w:hRule="exact"/>
        </w:trPr>
        <w:tc>
          <w:tcPr>
            <w:tcW w:w="1672" w:type="dxa"/>
            <w:vMerge w:val="restart"/>
            <w:tcBorders>
              <w:top w:val="single" w:sz="6" w:space="0" w:color="000000"/>
              <w:left w:val="single" w:sz="6" w:space="0" w:color="000000"/>
              <w:right w:val="single" w:sz="6" w:space="0" w:color="000000"/>
            </w:tcBorders>
          </w:tcPr>
          <w:p>
            <w:pPr>
              <w:pStyle w:val="TableParagraph"/>
              <w:spacing w:line="271" w:lineRule="exact"/>
              <w:ind w:left="170" w:right="0"/>
              <w:jc w:val="left"/>
              <w:rPr>
                <w:rFonts w:ascii="宋体" w:hAnsi="宋体" w:cs="宋体" w:eastAsia="宋体" w:hint="default"/>
                <w:sz w:val="21"/>
                <w:szCs w:val="21"/>
              </w:rPr>
            </w:pPr>
            <w:r>
              <w:rPr>
                <w:rFonts w:ascii="宋体" w:hAnsi="宋体" w:cs="宋体" w:eastAsia="宋体" w:hint="default"/>
                <w:sz w:val="21"/>
                <w:szCs w:val="21"/>
              </w:rPr>
              <w:t>账</w:t>
            </w:r>
            <w:r>
              <w:rPr>
                <w:rFonts w:ascii="宋体" w:hAnsi="宋体" w:cs="宋体" w:eastAsia="宋体" w:hint="default"/>
                <w:spacing w:val="63"/>
                <w:sz w:val="21"/>
                <w:szCs w:val="21"/>
              </w:rPr>
              <w:t> </w:t>
            </w:r>
            <w:r>
              <w:rPr>
                <w:rFonts w:ascii="宋体" w:hAnsi="宋体" w:cs="宋体" w:eastAsia="宋体" w:hint="default"/>
                <w:sz w:val="21"/>
                <w:szCs w:val="21"/>
              </w:rPr>
              <w:t>龄</w:t>
            </w:r>
          </w:p>
        </w:tc>
        <w:tc>
          <w:tcPr>
            <w:tcW w:w="6641" w:type="dxa"/>
            <w:gridSpan w:val="3"/>
            <w:tcBorders>
              <w:top w:val="single" w:sz="6" w:space="0" w:color="000000"/>
              <w:left w:val="single" w:sz="6" w:space="0" w:color="000000"/>
              <w:bottom w:val="single" w:sz="6" w:space="0" w:color="000000"/>
              <w:right w:val="nil" w:sz="6" w:space="0" w:color="auto"/>
            </w:tcBorders>
          </w:tcPr>
          <w:p>
            <w:pPr>
              <w:pStyle w:val="TableParagraph"/>
              <w:spacing w:line="271" w:lineRule="exact"/>
              <w:ind w:right="5"/>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47" w:hRule="exact"/>
        </w:trPr>
        <w:tc>
          <w:tcPr>
            <w:tcW w:w="1672" w:type="dxa"/>
            <w:vMerge/>
            <w:tcBorders>
              <w:left w:val="single" w:sz="6" w:space="0" w:color="000000"/>
              <w:bottom w:val="single" w:sz="6" w:space="0" w:color="000000"/>
              <w:right w:val="single" w:sz="6" w:space="0" w:color="000000"/>
            </w:tcBorders>
          </w:tcPr>
          <w:p>
            <w:pPr/>
          </w:p>
        </w:tc>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7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7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4" w:type="dxa"/>
            <w:tcBorders>
              <w:top w:val="single" w:sz="6" w:space="0" w:color="000000"/>
              <w:left w:val="single" w:sz="6" w:space="0" w:color="000000"/>
              <w:bottom w:val="single" w:sz="6" w:space="0" w:color="000000"/>
              <w:right w:val="nil" w:sz="6" w:space="0" w:color="auto"/>
            </w:tcBorders>
          </w:tcPr>
          <w:p>
            <w:pPr>
              <w:pStyle w:val="TableParagraph"/>
              <w:spacing w:line="287" w:lineRule="exact"/>
              <w:ind w:left="5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r>
      <w:tr>
        <w:trPr>
          <w:trHeight w:val="34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个月以内</w:t>
            </w:r>
          </w:p>
        </w:tc>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4,378,217.86</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87,564.36</w:t>
            </w:r>
          </w:p>
        </w:tc>
        <w:tc>
          <w:tcPr>
            <w:tcW w:w="22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z w:val="21"/>
              </w:rPr>
              <w:t>2.00</w:t>
            </w:r>
          </w:p>
        </w:tc>
      </w:tr>
      <w:tr>
        <w:trPr>
          <w:trHeight w:val="34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6</w:t>
            </w:r>
            <w:r>
              <w:rPr>
                <w:rFonts w:ascii="宋体" w:hAnsi="宋体" w:cs="宋体" w:eastAsia="宋体" w:hint="default"/>
                <w:sz w:val="21"/>
                <w:szCs w:val="21"/>
              </w:rPr>
              <w:t>个月</w:t>
            </w:r>
            <w:r>
              <w:rPr>
                <w:rFonts w:ascii="Times New Roman" w:hAnsi="Times New Roman" w:cs="Times New Roman" w:eastAsia="Times New Roman" w:hint="default"/>
                <w:sz w:val="21"/>
                <w:szCs w:val="21"/>
              </w:rPr>
              <w:t>-1</w:t>
            </w:r>
            <w:r>
              <w:rPr>
                <w:rFonts w:ascii="宋体" w:hAnsi="宋体" w:cs="宋体" w:eastAsia="宋体" w:hint="default"/>
                <w:sz w:val="21"/>
                <w:szCs w:val="21"/>
              </w:rPr>
              <w:t>年</w:t>
            </w:r>
          </w:p>
        </w:tc>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413,701.87</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20,685.09</w:t>
            </w:r>
          </w:p>
        </w:tc>
        <w:tc>
          <w:tcPr>
            <w:tcW w:w="22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8"/>
              <w:jc w:val="right"/>
              <w:rPr>
                <w:rFonts w:ascii="Times New Roman" w:hAnsi="Times New Roman" w:cs="Times New Roman" w:eastAsia="Times New Roman" w:hint="default"/>
                <w:sz w:val="21"/>
                <w:szCs w:val="21"/>
              </w:rPr>
            </w:pPr>
            <w:r>
              <w:rPr>
                <w:rFonts w:ascii="Times New Roman"/>
                <w:sz w:val="21"/>
              </w:rPr>
              <w:t>5.00</w:t>
            </w:r>
          </w:p>
        </w:tc>
      </w:tr>
      <w:tr>
        <w:trPr>
          <w:trHeight w:val="34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年</w:t>
            </w:r>
          </w:p>
        </w:tc>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2,116,891.60</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211,689.16</w:t>
            </w:r>
          </w:p>
        </w:tc>
        <w:tc>
          <w:tcPr>
            <w:tcW w:w="22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9"/>
              <w:jc w:val="right"/>
              <w:rPr>
                <w:rFonts w:ascii="Times New Roman" w:hAnsi="Times New Roman" w:cs="Times New Roman" w:eastAsia="Times New Roman" w:hint="default"/>
                <w:sz w:val="21"/>
                <w:szCs w:val="21"/>
              </w:rPr>
            </w:pPr>
            <w:r>
              <w:rPr>
                <w:rFonts w:ascii="Times New Roman"/>
                <w:spacing w:val="-1"/>
                <w:sz w:val="21"/>
              </w:rPr>
              <w:t>10.00</w:t>
            </w:r>
          </w:p>
        </w:tc>
      </w:tr>
      <w:tr>
        <w:trPr>
          <w:trHeight w:val="34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31"/>
                <w:sz w:val="21"/>
                <w:szCs w:val="21"/>
              </w:rPr>
              <w:t> </w:t>
            </w:r>
            <w:r>
              <w:rPr>
                <w:rFonts w:ascii="宋体" w:hAnsi="宋体" w:cs="宋体" w:eastAsia="宋体" w:hint="default"/>
                <w:sz w:val="21"/>
                <w:szCs w:val="21"/>
              </w:rPr>
              <w:t>年</w:t>
            </w:r>
          </w:p>
        </w:tc>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930,936.51</w:t>
            </w:r>
            <w:r>
              <w:rPr>
                <w:rFonts w:ascii="Times New Roman"/>
                <w:sz w:val="21"/>
              </w:rPr>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186,187.30</w:t>
            </w:r>
            <w:r>
              <w:rPr>
                <w:rFonts w:ascii="Times New Roman"/>
                <w:sz w:val="21"/>
              </w:rPr>
            </w:r>
          </w:p>
        </w:tc>
        <w:tc>
          <w:tcPr>
            <w:tcW w:w="22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
              <w:jc w:val="right"/>
              <w:rPr>
                <w:rFonts w:ascii="Times New Roman" w:hAnsi="Times New Roman" w:cs="Times New Roman" w:eastAsia="Times New Roman" w:hint="default"/>
                <w:sz w:val="21"/>
                <w:szCs w:val="21"/>
              </w:rPr>
            </w:pPr>
            <w:r>
              <w:rPr>
                <w:rFonts w:ascii="Times New Roman"/>
                <w:spacing w:val="-1"/>
                <w:sz w:val="21"/>
              </w:rPr>
              <w:t>20.00</w:t>
            </w:r>
            <w:r>
              <w:rPr>
                <w:rFonts w:ascii="Times New Roman"/>
                <w:sz w:val="21"/>
              </w:rPr>
            </w:r>
          </w:p>
        </w:tc>
      </w:tr>
      <w:tr>
        <w:trPr>
          <w:trHeight w:val="34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年以上</w:t>
            </w:r>
          </w:p>
        </w:tc>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799,662.29</w:t>
            </w:r>
            <w:r>
              <w:rPr>
                <w:rFonts w:ascii="Times New Roman"/>
                <w:sz w:val="21"/>
              </w:rPr>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239,898.69</w:t>
            </w:r>
            <w:r>
              <w:rPr>
                <w:rFonts w:ascii="Times New Roman"/>
                <w:sz w:val="21"/>
              </w:rPr>
            </w:r>
          </w:p>
        </w:tc>
        <w:tc>
          <w:tcPr>
            <w:tcW w:w="22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10"/>
              <w:jc w:val="right"/>
              <w:rPr>
                <w:rFonts w:ascii="Times New Roman" w:hAnsi="Times New Roman" w:cs="Times New Roman" w:eastAsia="Times New Roman" w:hint="default"/>
                <w:sz w:val="21"/>
                <w:szCs w:val="21"/>
              </w:rPr>
            </w:pPr>
            <w:r>
              <w:rPr>
                <w:rFonts w:ascii="Times New Roman"/>
                <w:spacing w:val="-1"/>
                <w:sz w:val="21"/>
              </w:rPr>
              <w:t>30.00</w:t>
            </w:r>
            <w:r>
              <w:rPr>
                <w:rFonts w:ascii="Times New Roman"/>
                <w:sz w:val="21"/>
              </w:rPr>
            </w:r>
          </w:p>
        </w:tc>
      </w:tr>
      <w:tr>
        <w:trPr>
          <w:trHeight w:val="34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70"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8,639,410.13</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746,024.60</w:t>
            </w:r>
          </w:p>
        </w:tc>
        <w:tc>
          <w:tcPr>
            <w:tcW w:w="2214"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z w:val="21"/>
              </w:rPr>
              <w:t>8.64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54" w:right="56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1,366,953.89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34,017,199.65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29,929,369.56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2,783,341.42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3,151,470.50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应收税收返还款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5,568,607.95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3,867,993.73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应收股权转让款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6,869,000.00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1,375,000.00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23,608,750.00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2,252,583.00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11,382,584.88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9,589,813.49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84,229,483.90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50,166,230.28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316"/>
              <w:jc w:val="left"/>
              <w:rPr>
                <w:rFonts w:ascii="Times New Roman" w:hAnsi="Times New Roman" w:cs="Times New Roman" w:eastAsia="Times New Roman" w:hint="default"/>
                <w:sz w:val="18"/>
                <w:szCs w:val="18"/>
              </w:rPr>
            </w:pPr>
            <w:r>
              <w:rPr>
                <w:rFonts w:ascii="Times New Roman"/>
                <w:spacing w:val="-3"/>
                <w:sz w:val="18"/>
              </w:rPr>
              <w:t>Techno</w:t>
            </w:r>
            <w:r>
              <w:rPr>
                <w:rFonts w:ascii="Times New Roman"/>
                <w:spacing w:val="1"/>
                <w:sz w:val="18"/>
              </w:rPr>
              <w:t> </w:t>
            </w:r>
            <w:r>
              <w:rPr>
                <w:rFonts w:ascii="Times New Roman"/>
                <w:sz w:val="18"/>
              </w:rPr>
              <w:t>electric&amp;</w:t>
            </w:r>
            <w:r>
              <w:rPr>
                <w:rFonts w:ascii="Times New Roman"/>
                <w:sz w:val="18"/>
              </w:rPr>
              <w:t> engineering company</w:t>
            </w:r>
            <w:r>
              <w:rPr>
                <w:rFonts w:ascii="Times New Roman"/>
                <w:spacing w:val="-4"/>
                <w:sz w:val="18"/>
              </w:rPr>
              <w:t> </w:t>
            </w:r>
            <w:r>
              <w:rPr>
                <w:rFonts w:ascii="Times New Roman"/>
                <w:sz w:val="18"/>
              </w:rPr>
              <w:t>limited</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23,608,750.00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1,180,437.50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孙鑫</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应收股权转让款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4,115,000.00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205,750.00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上海得斯威国际货 运有限公司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应收税收返还款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4,034,197.52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201,709.88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杨帆</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应收股权转让款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2,754,000.00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137,700.00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深圳市龙岗区住房 保障管理中心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170,000.00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36,211,947.52</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1,895,597.38</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）涉及政府补助的应收款项</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83" w:right="50"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363" w:hRule="exact"/>
        </w:trPr>
        <w:tc>
          <w:tcPr>
            <w:tcW w:w="1912"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4" w:type="dxa"/>
            <w:tcBorders>
              <w:top w:val="single" w:sz="4" w:space="0" w:color="000000"/>
              <w:left w:val="single" w:sz="4" w:space="0" w:color="000000"/>
              <w:bottom w:val="nil" w:sz="6" w:space="0" w:color="auto"/>
              <w:right w:val="single" w:sz="4" w:space="0" w:color="000000"/>
            </w:tcBorders>
          </w:tcPr>
          <w:p>
            <w:pPr/>
          </w:p>
        </w:tc>
        <w:tc>
          <w:tcPr>
            <w:tcW w:w="191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年上半年可以</w:t>
            </w:r>
          </w:p>
        </w:tc>
      </w:tr>
      <w:tr>
        <w:trPr>
          <w:trHeight w:val="625" w:hRule="exact"/>
        </w:trPr>
        <w:tc>
          <w:tcPr>
            <w:tcW w:w="1912" w:type="dxa"/>
            <w:tcBorders>
              <w:top w:val="nil" w:sz="6" w:space="0" w:color="auto"/>
              <w:left w:val="single" w:sz="4" w:space="0" w:color="000000"/>
              <w:bottom w:val="nil" w:sz="6" w:space="0" w:color="auto"/>
              <w:right w:val="single" w:sz="4" w:space="0" w:color="000000"/>
            </w:tcBorders>
          </w:tcPr>
          <w:p>
            <w:pPr>
              <w:pStyle w:val="TableParagraph"/>
              <w:spacing w:line="319" w:lineRule="auto" w:before="5"/>
              <w:ind w:left="22" w:right="77"/>
              <w:jc w:val="left"/>
              <w:rPr>
                <w:rFonts w:ascii="宋体" w:hAnsi="宋体" w:cs="宋体" w:eastAsia="宋体" w:hint="default"/>
                <w:sz w:val="18"/>
                <w:szCs w:val="18"/>
              </w:rPr>
            </w:pPr>
            <w:r>
              <w:rPr>
                <w:rFonts w:ascii="宋体" w:hAnsi="宋体" w:cs="宋体" w:eastAsia="宋体" w:hint="default"/>
                <w:sz w:val="18"/>
                <w:szCs w:val="18"/>
              </w:rPr>
              <w:t>鞍山市开发区国家税务 局</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4"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1,534,410.43</w:t>
            </w:r>
          </w:p>
        </w:tc>
        <w:tc>
          <w:tcPr>
            <w:tcW w:w="1914" w:type="dxa"/>
            <w:tcBorders>
              <w:top w:val="nil" w:sz="6" w:space="0" w:color="auto"/>
              <w:left w:val="single" w:sz="4" w:space="0" w:color="000000"/>
              <w:bottom w:val="nil" w:sz="6" w:space="0" w:color="auto"/>
              <w:right w:val="single" w:sz="4" w:space="0" w:color="000000"/>
            </w:tcBorders>
          </w:tcPr>
          <w:p>
            <w:pPr>
              <w:pStyle w:val="TableParagraph"/>
              <w:spacing w:line="240" w:lineRule="auto" w:before="1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6"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3" w:right="20"/>
              <w:jc w:val="left"/>
              <w:rPr>
                <w:rFonts w:ascii="宋体" w:hAnsi="宋体" w:cs="宋体" w:eastAsia="宋体" w:hint="default"/>
                <w:sz w:val="18"/>
                <w:szCs w:val="18"/>
              </w:rPr>
            </w:pPr>
            <w:r>
              <w:rPr>
                <w:rFonts w:ascii="宋体" w:hAnsi="宋体" w:cs="宋体" w:eastAsia="宋体" w:hint="default"/>
                <w:sz w:val="18"/>
                <w:szCs w:val="18"/>
              </w:rPr>
              <w:t>全部回收，主要依据财 </w:t>
            </w:r>
            <w:r>
              <w:rPr>
                <w:rFonts w:ascii="宋体" w:hAnsi="宋体" w:cs="宋体" w:eastAsia="宋体" w:hint="default"/>
                <w:spacing w:val="-8"/>
                <w:sz w:val="18"/>
                <w:szCs w:val="18"/>
              </w:rPr>
              <w:t>税〔</w:t>
            </w:r>
            <w:r>
              <w:rPr>
                <w:rFonts w:ascii="Times New Roman" w:hAnsi="Times New Roman" w:cs="Times New Roman" w:eastAsia="Times New Roman" w:hint="default"/>
                <w:spacing w:val="-8"/>
                <w:sz w:val="18"/>
                <w:szCs w:val="18"/>
              </w:rPr>
              <w:t>2011</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号文件进</w:t>
            </w:r>
          </w:p>
        </w:tc>
      </w:tr>
      <w:tr>
        <w:trPr>
          <w:trHeight w:val="351" w:hRule="exact"/>
        </w:trPr>
        <w:tc>
          <w:tcPr>
            <w:tcW w:w="1912"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4" w:type="dxa"/>
            <w:tcBorders>
              <w:top w:val="nil" w:sz="6" w:space="0" w:color="auto"/>
              <w:left w:val="single" w:sz="4" w:space="0" w:color="000000"/>
              <w:bottom w:val="single" w:sz="4" w:space="0" w:color="000000"/>
              <w:right w:val="single" w:sz="4" w:space="0" w:color="000000"/>
            </w:tcBorders>
          </w:tcPr>
          <w:p>
            <w:pPr/>
          </w:p>
        </w:tc>
        <w:tc>
          <w:tcPr>
            <w:tcW w:w="19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行确认</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1,534,410.43</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133,298,277.93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133,298,277.93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193,479,290.47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193,479,290.47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490,263,819.04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490,263,819.04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307,296,036.92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307,296,036.92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50,632,077.26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5" w:right="0"/>
              <w:jc w:val="left"/>
              <w:rPr>
                <w:rFonts w:ascii="Times New Roman" w:hAnsi="Times New Roman" w:cs="Times New Roman" w:eastAsia="Times New Roman" w:hint="default"/>
                <w:sz w:val="18"/>
                <w:szCs w:val="18"/>
              </w:rPr>
            </w:pPr>
            <w:r>
              <w:rPr>
                <w:rFonts w:ascii="Times New Roman"/>
                <w:sz w:val="18"/>
              </w:rPr>
              <w:t>4,611,120.13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46,020,957.13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44,020,253.44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44,020,253.44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1,905,245.43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1,905,245.43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2,565,187.39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2,565,187.39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748,213.86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748,213.86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676,847,633.52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5" w:right="0"/>
              <w:jc w:val="left"/>
              <w:rPr>
                <w:rFonts w:ascii="Times New Roman" w:hAnsi="Times New Roman" w:cs="Times New Roman" w:eastAsia="Times New Roman" w:hint="default"/>
                <w:sz w:val="18"/>
                <w:szCs w:val="18"/>
              </w:rPr>
            </w:pPr>
            <w:r>
              <w:rPr>
                <w:rFonts w:ascii="Times New Roman"/>
                <w:sz w:val="18"/>
              </w:rPr>
              <w:t>4,611,120.13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9" w:right="0"/>
              <w:jc w:val="left"/>
              <w:rPr>
                <w:rFonts w:ascii="Times New Roman" w:hAnsi="Times New Roman" w:cs="Times New Roman" w:eastAsia="Times New Roman" w:hint="default"/>
                <w:sz w:val="18"/>
                <w:szCs w:val="18"/>
              </w:rPr>
            </w:pPr>
            <w:r>
              <w:rPr>
                <w:rFonts w:ascii="Times New Roman"/>
                <w:sz w:val="18"/>
              </w:rPr>
              <w:t>672,236,513.39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547,360,768.22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547,360,768.22</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1368"/>
        <w:gridCol w:w="764"/>
        <w:gridCol w:w="604"/>
        <w:gridCol w:w="1367"/>
        <w:gridCol w:w="161"/>
        <w:gridCol w:w="1206"/>
        <w:gridCol w:w="734"/>
        <w:gridCol w:w="634"/>
        <w:gridCol w:w="1367"/>
        <w:gridCol w:w="324"/>
        <w:gridCol w:w="1043"/>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gridSpan w:val="2"/>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gridSpan w:val="2"/>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9" w:right="0"/>
              <w:jc w:val="left"/>
              <w:rPr>
                <w:rFonts w:ascii="Times New Roman" w:hAnsi="Times New Roman" w:cs="Times New Roman" w:eastAsia="Times New Roman" w:hint="default"/>
                <w:sz w:val="18"/>
                <w:szCs w:val="18"/>
              </w:rPr>
            </w:pPr>
            <w:r>
              <w:rPr>
                <w:rFonts w:ascii="Times New Roman"/>
                <w:sz w:val="18"/>
              </w:rPr>
              <w:t>5,991,693.92</w:t>
            </w:r>
          </w:p>
        </w:tc>
        <w:tc>
          <w:tcPr>
            <w:tcW w:w="13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1,380,573.79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6" w:right="0"/>
              <w:jc w:val="left"/>
              <w:rPr>
                <w:rFonts w:ascii="Times New Roman" w:hAnsi="Times New Roman" w:cs="Times New Roman" w:eastAsia="Times New Roman" w:hint="default"/>
                <w:sz w:val="18"/>
                <w:szCs w:val="18"/>
              </w:rPr>
            </w:pPr>
            <w:r>
              <w:rPr>
                <w:rFonts w:ascii="Times New Roman"/>
                <w:sz w:val="18"/>
              </w:rPr>
              <w:t>4,611,120.13</w:t>
            </w:r>
          </w:p>
        </w:tc>
      </w:tr>
      <w:tr>
        <w:trPr>
          <w:trHeight w:val="404" w:hRule="exact"/>
        </w:trPr>
        <w:tc>
          <w:tcPr>
            <w:tcW w:w="1368" w:type="dxa"/>
            <w:tcBorders>
              <w:top w:val="single" w:sz="4" w:space="0" w:color="000000"/>
              <w:left w:val="single" w:sz="4" w:space="0" w:color="000000"/>
              <w:bottom w:val="single" w:sz="6"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gridSpan w:val="2"/>
            <w:tcBorders>
              <w:top w:val="single" w:sz="4" w:space="0" w:color="000000"/>
              <w:left w:val="single" w:sz="4" w:space="0" w:color="000000"/>
              <w:bottom w:val="single" w:sz="6" w:space="0" w:color="000000"/>
              <w:right w:val="single" w:sz="4" w:space="0" w:color="000000"/>
            </w:tcBorders>
          </w:tcPr>
          <w:p>
            <w:pPr/>
          </w:p>
        </w:tc>
        <w:tc>
          <w:tcPr>
            <w:tcW w:w="1367" w:type="dxa"/>
            <w:tcBorders>
              <w:top w:val="single" w:sz="4" w:space="0" w:color="000000"/>
              <w:left w:val="single" w:sz="4" w:space="0" w:color="000000"/>
              <w:bottom w:val="single" w:sz="6" w:space="0" w:color="000000"/>
              <w:right w:val="single" w:sz="4" w:space="0" w:color="000000"/>
            </w:tcBorders>
          </w:tcPr>
          <w:p>
            <w:pPr/>
          </w:p>
        </w:tc>
        <w:tc>
          <w:tcPr>
            <w:tcW w:w="1367" w:type="dxa"/>
            <w:gridSpan w:val="2"/>
            <w:tcBorders>
              <w:top w:val="single" w:sz="4" w:space="0" w:color="000000"/>
              <w:left w:val="single" w:sz="4" w:space="0" w:color="000000"/>
              <w:bottom w:val="single" w:sz="6" w:space="0" w:color="000000"/>
              <w:right w:val="single" w:sz="4" w:space="0" w:color="000000"/>
            </w:tcBorders>
          </w:tcPr>
          <w:p>
            <w:pPr>
              <w:pStyle w:val="TableParagraph"/>
              <w:spacing w:line="240" w:lineRule="auto" w:before="91"/>
              <w:ind w:left="389" w:right="0"/>
              <w:jc w:val="left"/>
              <w:rPr>
                <w:rFonts w:ascii="Times New Roman" w:hAnsi="Times New Roman" w:cs="Times New Roman" w:eastAsia="Times New Roman" w:hint="default"/>
                <w:sz w:val="18"/>
                <w:szCs w:val="18"/>
              </w:rPr>
            </w:pPr>
            <w:r>
              <w:rPr>
                <w:rFonts w:ascii="Times New Roman"/>
                <w:sz w:val="18"/>
              </w:rPr>
              <w:t>5,991,693.92</w:t>
            </w:r>
          </w:p>
        </w:tc>
        <w:tc>
          <w:tcPr>
            <w:tcW w:w="1368" w:type="dxa"/>
            <w:gridSpan w:val="2"/>
            <w:tcBorders>
              <w:top w:val="single" w:sz="4" w:space="0" w:color="000000"/>
              <w:left w:val="single" w:sz="4" w:space="0" w:color="000000"/>
              <w:bottom w:val="single" w:sz="6" w:space="0" w:color="000000"/>
              <w:right w:val="single" w:sz="4" w:space="0" w:color="000000"/>
            </w:tcBorders>
          </w:tcPr>
          <w:p>
            <w:pPr>
              <w:pStyle w:val="TableParagraph"/>
              <w:spacing w:line="240" w:lineRule="auto" w:before="91"/>
              <w:ind w:left="391" w:right="0"/>
              <w:jc w:val="left"/>
              <w:rPr>
                <w:rFonts w:ascii="Times New Roman" w:hAnsi="Times New Roman" w:cs="Times New Roman" w:eastAsia="Times New Roman" w:hint="default"/>
                <w:sz w:val="18"/>
                <w:szCs w:val="18"/>
              </w:rPr>
            </w:pPr>
            <w:r>
              <w:rPr>
                <w:rFonts w:ascii="Times New Roman"/>
                <w:sz w:val="18"/>
              </w:rPr>
              <w:t>1,380,573.79</w:t>
            </w:r>
          </w:p>
        </w:tc>
        <w:tc>
          <w:tcPr>
            <w:tcW w:w="1367" w:type="dxa"/>
            <w:tcBorders>
              <w:top w:val="single" w:sz="4" w:space="0" w:color="000000"/>
              <w:left w:val="single" w:sz="4" w:space="0" w:color="000000"/>
              <w:bottom w:val="single" w:sz="6" w:space="0" w:color="000000"/>
              <w:right w:val="single" w:sz="4" w:space="0" w:color="000000"/>
            </w:tcBorders>
          </w:tcPr>
          <w:p>
            <w:pPr/>
          </w:p>
        </w:tc>
        <w:tc>
          <w:tcPr>
            <w:tcW w:w="1367" w:type="dxa"/>
            <w:gridSpan w:val="2"/>
            <w:tcBorders>
              <w:top w:val="single" w:sz="4" w:space="0" w:color="000000"/>
              <w:left w:val="single" w:sz="4" w:space="0" w:color="000000"/>
              <w:bottom w:val="single" w:sz="6" w:space="0" w:color="000000"/>
              <w:right w:val="single" w:sz="4" w:space="0" w:color="000000"/>
            </w:tcBorders>
          </w:tcPr>
          <w:p>
            <w:pPr>
              <w:pStyle w:val="TableParagraph"/>
              <w:spacing w:line="240" w:lineRule="auto" w:before="91"/>
              <w:ind w:left="396" w:right="0"/>
              <w:jc w:val="left"/>
              <w:rPr>
                <w:rFonts w:ascii="Times New Roman" w:hAnsi="Times New Roman" w:cs="Times New Roman" w:eastAsia="Times New Roman" w:hint="default"/>
                <w:sz w:val="18"/>
                <w:szCs w:val="18"/>
              </w:rPr>
            </w:pPr>
            <w:r>
              <w:rPr>
                <w:rFonts w:ascii="Times New Roman"/>
                <w:sz w:val="18"/>
              </w:rPr>
              <w:t>4,611,120.13</w:t>
            </w:r>
          </w:p>
        </w:tc>
      </w:tr>
      <w:tr>
        <w:trPr>
          <w:trHeight w:val="659" w:hRule="exact"/>
        </w:trPr>
        <w:tc>
          <w:tcPr>
            <w:tcW w:w="21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2131" w:type="dxa"/>
            <w:gridSpan w:val="3"/>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952" w:right="6" w:hanging="945"/>
              <w:jc w:val="left"/>
              <w:rPr>
                <w:rFonts w:ascii="宋体" w:hAnsi="宋体" w:cs="宋体" w:eastAsia="宋体" w:hint="default"/>
                <w:sz w:val="21"/>
                <w:szCs w:val="21"/>
              </w:rPr>
            </w:pPr>
            <w:r>
              <w:rPr>
                <w:rFonts w:ascii="宋体" w:hAnsi="宋体" w:cs="宋体" w:eastAsia="宋体" w:hint="default"/>
                <w:sz w:val="21"/>
                <w:szCs w:val="21"/>
              </w:rPr>
              <w:t>计提存货跌价准备的依 据</w:t>
            </w:r>
          </w:p>
        </w:tc>
        <w:tc>
          <w:tcPr>
            <w:tcW w:w="19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27" w:right="16" w:hanging="210"/>
              <w:jc w:val="left"/>
              <w:rPr>
                <w:rFonts w:ascii="宋体" w:hAnsi="宋体" w:cs="宋体" w:eastAsia="宋体" w:hint="default"/>
                <w:sz w:val="21"/>
                <w:szCs w:val="21"/>
              </w:rPr>
            </w:pPr>
            <w:r>
              <w:rPr>
                <w:rFonts w:ascii="宋体" w:hAnsi="宋体" w:cs="宋体" w:eastAsia="宋体" w:hint="default"/>
                <w:sz w:val="21"/>
                <w:szCs w:val="21"/>
              </w:rPr>
              <w:t>本期转回或转销存货 跌价准备的原因</w:t>
            </w:r>
          </w:p>
        </w:tc>
        <w:tc>
          <w:tcPr>
            <w:tcW w:w="2324" w:type="dxa"/>
            <w:gridSpan w:val="3"/>
            <w:tcBorders>
              <w:top w:val="single" w:sz="6" w:space="0" w:color="000000"/>
              <w:left w:val="single" w:sz="6" w:space="0" w:color="000000"/>
              <w:bottom w:val="single" w:sz="6" w:space="0" w:color="000000"/>
              <w:right w:val="nil" w:sz="6" w:space="0" w:color="auto"/>
            </w:tcBorders>
          </w:tcPr>
          <w:p>
            <w:pPr>
              <w:pStyle w:val="TableParagraph"/>
              <w:spacing w:line="273" w:lineRule="auto"/>
              <w:ind w:left="157" w:right="110"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本期转回金额占该项存 货期末余额的比例</w:t>
            </w:r>
            <w:r>
              <w:rPr>
                <w:rFonts w:ascii="Times New Roman" w:hAnsi="Times New Roman" w:cs="Times New Roman" w:eastAsia="Times New Roman" w:hint="default"/>
                <w:sz w:val="21"/>
                <w:szCs w:val="21"/>
              </w:rPr>
              <w:t>(%)</w:t>
            </w:r>
          </w:p>
        </w:tc>
        <w:tc>
          <w:tcPr>
            <w:tcW w:w="1043" w:type="dxa"/>
            <w:vMerge w:val="restart"/>
            <w:tcBorders>
              <w:top w:val="single" w:sz="4" w:space="0" w:color="000000"/>
              <w:left w:val="nil" w:sz="6" w:space="0" w:color="auto"/>
              <w:right w:val="nil" w:sz="6" w:space="0" w:color="auto"/>
            </w:tcBorders>
          </w:tcPr>
          <w:p>
            <w:pPr/>
          </w:p>
        </w:tc>
      </w:tr>
      <w:tr>
        <w:trPr>
          <w:trHeight w:val="660" w:hRule="exact"/>
        </w:trPr>
        <w:tc>
          <w:tcPr>
            <w:tcW w:w="21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131" w:type="dxa"/>
            <w:gridSpan w:val="3"/>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
              <w:jc w:val="left"/>
              <w:rPr>
                <w:rFonts w:ascii="宋体" w:hAnsi="宋体" w:cs="宋体" w:eastAsia="宋体" w:hint="default"/>
                <w:sz w:val="21"/>
                <w:szCs w:val="21"/>
              </w:rPr>
            </w:pPr>
            <w:r>
              <w:rPr>
                <w:rFonts w:ascii="宋体" w:hAnsi="宋体" w:cs="宋体" w:eastAsia="宋体" w:hint="default"/>
                <w:sz w:val="21"/>
                <w:szCs w:val="21"/>
              </w:rPr>
              <w:t>采用成本与可变现净值</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孰低原则计量</w:t>
            </w:r>
          </w:p>
        </w:tc>
        <w:tc>
          <w:tcPr>
            <w:tcW w:w="19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left"/>
              <w:rPr>
                <w:rFonts w:ascii="宋体" w:hAnsi="宋体" w:cs="宋体" w:eastAsia="宋体" w:hint="default"/>
                <w:sz w:val="21"/>
                <w:szCs w:val="21"/>
              </w:rPr>
            </w:pPr>
            <w:r>
              <w:rPr>
                <w:rFonts w:ascii="宋体" w:hAnsi="宋体" w:cs="宋体" w:eastAsia="宋体" w:hint="default"/>
                <w:sz w:val="21"/>
                <w:szCs w:val="21"/>
              </w:rPr>
              <w:t>本期对外销售</w:t>
            </w:r>
          </w:p>
        </w:tc>
        <w:tc>
          <w:tcPr>
            <w:tcW w:w="2324" w:type="dxa"/>
            <w:gridSpan w:val="3"/>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3.00%</w:t>
            </w:r>
          </w:p>
        </w:tc>
        <w:tc>
          <w:tcPr>
            <w:tcW w:w="1043" w:type="dxa"/>
            <w:vMerge/>
            <w:tcBorders>
              <w:left w:val="nil" w:sz="6" w:space="0" w:color="auto"/>
              <w:bottom w:val="nil" w:sz="6" w:space="0" w:color="auto"/>
              <w:right w:val="nil" w:sz="6" w:space="0" w:color="auto"/>
            </w:tcBorders>
          </w:tcPr>
          <w:p>
            <w:pP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8</w:t>
      </w:r>
      <w:r>
        <w:rPr/>
        <w:t>、一年内到期的非流动资产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分期收款销售商品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14,301,230.00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19,494,099.80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14,301,230.00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19,494,099.80</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9</w:t>
      </w:r>
      <w:r>
        <w:rPr/>
        <w:t>、其他流动资产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留抵增值税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47,521,308.58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65,488,232.14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多交税费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5,519,628.14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2,125,686.89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55,040,936.72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86,613,919.03</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10</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00"/>
        <w:gridCol w:w="1195"/>
        <w:gridCol w:w="1195"/>
        <w:gridCol w:w="1196"/>
        <w:gridCol w:w="1248"/>
        <w:gridCol w:w="1367"/>
        <w:gridCol w:w="1367"/>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38,040,000.00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center"/>
              <w:rPr>
                <w:rFonts w:ascii="Times New Roman" w:hAnsi="Times New Roman" w:cs="Times New Roman" w:eastAsia="Times New Roman" w:hint="default"/>
                <w:sz w:val="18"/>
                <w:szCs w:val="18"/>
              </w:rPr>
            </w:pPr>
            <w:r>
              <w:rPr>
                <w:rFonts w:ascii="Times New Roman"/>
                <w:sz w:val="18"/>
              </w:rPr>
              <w:t>38,040,000.00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9" w:right="0"/>
              <w:jc w:val="left"/>
              <w:rPr>
                <w:rFonts w:ascii="Times New Roman" w:hAnsi="Times New Roman" w:cs="Times New Roman" w:eastAsia="Times New Roman" w:hint="default"/>
                <w:sz w:val="18"/>
                <w:szCs w:val="18"/>
              </w:rPr>
            </w:pPr>
            <w:r>
              <w:rPr>
                <w:rFonts w:ascii="Times New Roman"/>
                <w:sz w:val="18"/>
              </w:rPr>
              <w:t>8,000,000.00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8,000,000.00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按公允价值计量的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31,040,000.00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center"/>
              <w:rPr>
                <w:rFonts w:ascii="Times New Roman" w:hAnsi="Times New Roman" w:cs="Times New Roman" w:eastAsia="Times New Roman" w:hint="default"/>
                <w:sz w:val="18"/>
                <w:szCs w:val="18"/>
              </w:rPr>
            </w:pPr>
            <w:r>
              <w:rPr>
                <w:rFonts w:ascii="Times New Roman"/>
                <w:sz w:val="18"/>
              </w:rPr>
              <w:t>31,040,000.00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000"/>
        <w:gridCol w:w="1196"/>
        <w:gridCol w:w="1195"/>
        <w:gridCol w:w="1196"/>
        <w:gridCol w:w="1248"/>
        <w:gridCol w:w="1367"/>
        <w:gridCol w:w="1367"/>
      </w:tblGrid>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w:t>
            </w:r>
          </w:p>
        </w:tc>
        <w:tc>
          <w:tcPr>
            <w:tcW w:w="124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38,040,000.00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38,040,000.00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9" w:right="0"/>
              <w:jc w:val="left"/>
              <w:rPr>
                <w:rFonts w:ascii="Times New Roman" w:hAnsi="Times New Roman" w:cs="Times New Roman" w:eastAsia="Times New Roman" w:hint="default"/>
                <w:sz w:val="18"/>
                <w:szCs w:val="18"/>
              </w:rPr>
            </w:pPr>
            <w:r>
              <w:rPr>
                <w:rFonts w:ascii="Times New Roman"/>
                <w:sz w:val="18"/>
              </w:rPr>
              <w:t>8,000,000.00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0" w:right="0"/>
              <w:jc w:val="left"/>
              <w:rPr>
                <w:rFonts w:ascii="Times New Roman" w:hAnsi="Times New Roman" w:cs="Times New Roman" w:eastAsia="Times New Roman" w:hint="default"/>
                <w:sz w:val="18"/>
                <w:szCs w:val="18"/>
              </w:rPr>
            </w:pPr>
            <w:r>
              <w:rPr>
                <w:rFonts w:ascii="Times New Roman"/>
                <w:sz w:val="18"/>
              </w:rPr>
              <w:t>8,000,000.00</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权益工具的成本</w:t>
            </w:r>
            <w:r>
              <w:rPr>
                <w:rFonts w:ascii="Times New Roman" w:hAnsi="Times New Roman" w:cs="Times New Roman" w:eastAsia="Times New Roman" w:hint="default"/>
                <w:sz w:val="18"/>
                <w:szCs w:val="18"/>
              </w:rPr>
              <w:t>/</w:t>
            </w:r>
            <w:r>
              <w:rPr>
                <w:rFonts w:ascii="宋体" w:hAnsi="宋体" w:cs="宋体" w:eastAsia="宋体" w:hint="default"/>
                <w:sz w:val="18"/>
                <w:szCs w:val="18"/>
              </w:rPr>
              <w:t>债务工 具的摊余成本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8,000,000.00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31,040,000.00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31,040,000.00</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累计计入其他综合收益 的公允价值变动金额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23,040,000.00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23,040,000.00</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3D3D3"/>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68"/>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3D3D3"/>
          </w:tcPr>
          <w:p>
            <w:pPr/>
          </w:p>
        </w:tc>
        <w:tc>
          <w:tcPr>
            <w:tcW w:w="870" w:type="dxa"/>
            <w:vMerge/>
            <w:tcBorders>
              <w:left w:val="single" w:sz="4" w:space="0" w:color="000000"/>
              <w:bottom w:val="single" w:sz="4" w:space="0" w:color="000000"/>
              <w:right w:val="single" w:sz="4" w:space="0" w:color="000000"/>
            </w:tcBorders>
            <w:shd w:val="clear" w:color="auto" w:fill="D3D3D3"/>
          </w:tcPr>
          <w:p>
            <w:pPr/>
          </w:p>
        </w:tc>
      </w:tr>
      <w:tr>
        <w:trPr>
          <w:trHeight w:val="358" w:hRule="exact"/>
        </w:trPr>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广州高澜</w:t>
            </w: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316"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节能技术</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8,000,000.</w:t>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8,000,000.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r>
      <w:tr>
        <w:trPr>
          <w:trHeight w:val="313"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股份有限</w:t>
            </w: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00</w:t>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Times New Roman" w:hAnsi="Times New Roman" w:cs="Times New Roman" w:eastAsia="Times New Roman" w:hint="default"/>
                <w:sz w:val="18"/>
                <w:szCs w:val="18"/>
              </w:rPr>
            </w:pPr>
            <w:r>
              <w:rPr>
                <w:rFonts w:ascii="Times New Roman"/>
                <w:sz w:val="18"/>
              </w:rPr>
              <w:t>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r>
      <w:tr>
        <w:trPr>
          <w:trHeight w:val="351" w:hRule="exact"/>
        </w:trPr>
        <w:tc>
          <w:tcPr>
            <w:tcW w:w="8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r>
        <w:trPr>
          <w:trHeight w:val="358" w:hRule="exact"/>
        </w:trPr>
        <w:tc>
          <w:tcPr>
            <w:tcW w:w="8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北京博电</w:t>
            </w: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c>
          <w:tcPr>
            <w:tcW w:w="870" w:type="dxa"/>
            <w:tcBorders>
              <w:top w:val="single" w:sz="4" w:space="0" w:color="000000"/>
              <w:left w:val="single" w:sz="4" w:space="0" w:color="000000"/>
              <w:bottom w:val="nil" w:sz="6" w:space="0" w:color="auto"/>
              <w:right w:val="single" w:sz="4" w:space="0" w:color="000000"/>
            </w:tcBorders>
          </w:tcPr>
          <w:p>
            <w:pPr/>
          </w:p>
        </w:tc>
        <w:tc>
          <w:tcPr>
            <w:tcW w:w="870" w:type="dxa"/>
            <w:vMerge w:val="restart"/>
            <w:tcBorders>
              <w:top w:val="single" w:sz="4" w:space="0" w:color="000000"/>
              <w:left w:val="single" w:sz="4" w:space="0" w:color="000000"/>
              <w:right w:val="single" w:sz="4" w:space="0" w:color="000000"/>
            </w:tcBorders>
          </w:tcPr>
          <w:p>
            <w:pPr/>
          </w:p>
        </w:tc>
      </w:tr>
      <w:tr>
        <w:trPr>
          <w:trHeight w:val="311"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新力电气</w:t>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r>
      <w:tr>
        <w:trPr>
          <w:trHeight w:val="629"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48"/>
              <w:jc w:val="left"/>
              <w:rPr>
                <w:rFonts w:ascii="宋体" w:hAnsi="宋体" w:cs="宋体" w:eastAsia="宋体" w:hint="default"/>
                <w:sz w:val="18"/>
                <w:szCs w:val="18"/>
              </w:rPr>
            </w:pPr>
            <w:r>
              <w:rPr>
                <w:rFonts w:ascii="宋体" w:hAnsi="宋体" w:cs="宋体" w:eastAsia="宋体" w:hint="default"/>
                <w:sz w:val="18"/>
                <w:szCs w:val="18"/>
              </w:rPr>
              <w:t>股份有限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w:t>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7,000,000.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pacing w:val="-1"/>
                <w:sz w:val="18"/>
              </w:rPr>
              <w:t>7,000,000.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1" w:right="0"/>
              <w:jc w:val="left"/>
              <w:rPr>
                <w:rFonts w:ascii="Times New Roman" w:hAnsi="Times New Roman" w:cs="Times New Roman" w:eastAsia="Times New Roman" w:hint="default"/>
                <w:sz w:val="18"/>
                <w:szCs w:val="18"/>
              </w:rPr>
            </w:pPr>
            <w:r>
              <w:rPr>
                <w:rFonts w:ascii="Times New Roman"/>
                <w:sz w:val="18"/>
              </w:rPr>
              <w:t>10.00%</w:t>
            </w:r>
          </w:p>
        </w:tc>
        <w:tc>
          <w:tcPr>
            <w:tcW w:w="870" w:type="dxa"/>
            <w:vMerge/>
            <w:tcBorders>
              <w:left w:val="single" w:sz="4" w:space="0" w:color="000000"/>
              <w:right w:val="single" w:sz="4" w:space="0" w:color="000000"/>
            </w:tcBorders>
          </w:tcPr>
          <w:p>
            <w:pPr/>
          </w:p>
        </w:tc>
      </w:tr>
      <w:tr>
        <w:trPr>
          <w:trHeight w:val="308" w:hRule="exact"/>
        </w:trPr>
        <w:tc>
          <w:tcPr>
            <w:tcW w:w="86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简称北京</w:t>
            </w: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vMerge/>
            <w:tcBorders>
              <w:left w:val="single" w:sz="4" w:space="0" w:color="000000"/>
              <w:right w:val="single" w:sz="4" w:space="0" w:color="000000"/>
            </w:tcBorders>
          </w:tcPr>
          <w:p>
            <w:pPr/>
          </w:p>
        </w:tc>
        <w:tc>
          <w:tcPr>
            <w:tcW w:w="870" w:type="dxa"/>
            <w:tcBorders>
              <w:top w:val="nil" w:sz="6" w:space="0" w:color="auto"/>
              <w:left w:val="single" w:sz="4" w:space="0" w:color="000000"/>
              <w:bottom w:val="nil" w:sz="6" w:space="0" w:color="auto"/>
              <w:right w:val="single" w:sz="4" w:space="0" w:color="000000"/>
            </w:tcBorders>
          </w:tcPr>
          <w:p>
            <w:pPr/>
          </w:p>
        </w:tc>
        <w:tc>
          <w:tcPr>
            <w:tcW w:w="870" w:type="dxa"/>
            <w:vMerge/>
            <w:tcBorders>
              <w:left w:val="single" w:sz="4" w:space="0" w:color="000000"/>
              <w:right w:val="single" w:sz="4" w:space="0" w:color="000000"/>
            </w:tcBorders>
          </w:tcPr>
          <w:p>
            <w:pPr/>
          </w:p>
        </w:tc>
      </w:tr>
      <w:tr>
        <w:trPr>
          <w:trHeight w:val="356" w:hRule="exact"/>
        </w:trPr>
        <w:tc>
          <w:tcPr>
            <w:tcW w:w="86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博电</w:t>
            </w:r>
            <w:r>
              <w:rPr>
                <w:rFonts w:ascii="Times New Roman" w:hAnsi="Times New Roman" w:cs="Times New Roman" w:eastAsia="Times New Roman" w:hint="default"/>
                <w:sz w:val="18"/>
                <w:szCs w:val="18"/>
              </w:rPr>
              <w:t>)</w:t>
            </w: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c>
          <w:tcPr>
            <w:tcW w:w="870" w:type="dxa"/>
            <w:tcBorders>
              <w:top w:val="nil" w:sz="6" w:space="0" w:color="auto"/>
              <w:left w:val="single" w:sz="4" w:space="0" w:color="000000"/>
              <w:bottom w:val="single" w:sz="4" w:space="0" w:color="000000"/>
              <w:right w:val="single" w:sz="4" w:space="0" w:color="000000"/>
            </w:tcBorders>
          </w:tcPr>
          <w:p>
            <w:pPr/>
          </w:p>
        </w:tc>
        <w:tc>
          <w:tcPr>
            <w:tcW w:w="870" w:type="dxa"/>
            <w:vMerge/>
            <w:tcBorders>
              <w:left w:val="single" w:sz="4" w:space="0" w:color="000000"/>
              <w:bottom w:val="single" w:sz="4" w:space="0" w:color="000000"/>
              <w:right w:val="single" w:sz="4" w:space="0" w:color="000000"/>
            </w:tcBorders>
          </w:tcPr>
          <w:p>
            <w:pPr/>
          </w:p>
        </w:tc>
      </w:tr>
      <w:tr>
        <w:trPr>
          <w:trHeight w:val="715" w:hRule="exact"/>
        </w:trPr>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11</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19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山东荣信 汇盛机电 科技有限 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 下简称山 东汇盛</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8,772,395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.91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-2,891,46</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0.46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-5,880,93</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5.45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9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中煤科创 节能技术 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 称中煤科 创</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27,833,75</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1.91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-8,674,11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7.92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19,159,63</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3.99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9"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36,606,14</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7.82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-2,891,46</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0.46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-14,555,0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53.37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19,159,63</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3.99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962"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哈密荣信 新能源有 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 称哈密荣 信</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18,530,15</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3.44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19,665,10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-862,149.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-2,240,00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35,093,10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3.79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227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41"/>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北京信力 筑正新能 源技术股 份有限公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 简称信力 筑正</w:t>
            </w:r>
            <w:r>
              <w:rPr>
                <w:rFonts w:ascii="Times New Roman" w:hAnsi="Times New Roman" w:cs="Times New Roman" w:eastAsia="Times New Roman" w:hint="default"/>
                <w:sz w:val="18"/>
                <w:szCs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107,142,0</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85.39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-31,847,9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54.82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75,294,13</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0.57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125,672,2</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38.83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19,665,10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-32,710,1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04.47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-2,240,00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110,387,2</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34.36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162,278,3</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86.65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19,665,10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-2,891,46</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0.46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-47,265,1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57.84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-2,240,00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129,546,8</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68.35</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12</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left="153"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3"/>
        <w:gridCol w:w="1063"/>
        <w:gridCol w:w="1063"/>
        <w:gridCol w:w="1062"/>
        <w:gridCol w:w="1063"/>
        <w:gridCol w:w="1063"/>
        <w:gridCol w:w="1063"/>
        <w:gridCol w:w="1063"/>
        <w:gridCol w:w="1063"/>
      </w:tblGrid>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房屋及建筑 物</w:t>
            </w:r>
          </w:p>
        </w:tc>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062"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交通工具</w:t>
            </w:r>
          </w:p>
        </w:tc>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仪器仪表设 备</w:t>
            </w:r>
          </w:p>
        </w:tc>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房屋装修</w:t>
            </w:r>
          </w:p>
        </w:tc>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right="106"/>
              <w:jc w:val="center"/>
              <w:rPr>
                <w:rFonts w:ascii="宋体" w:hAnsi="宋体" w:cs="宋体" w:eastAsia="宋体" w:hint="default"/>
                <w:sz w:val="18"/>
                <w:szCs w:val="18"/>
              </w:rPr>
            </w:pPr>
            <w:r>
              <w:rPr>
                <w:rFonts w:ascii="宋体" w:hAnsi="宋体" w:cs="宋体" w:eastAsia="宋体" w:hint="default"/>
                <w:sz w:val="18"/>
                <w:szCs w:val="18"/>
              </w:rPr>
              <w:t>一、账面原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r>
        <w:rPr/>
        <w:pict>
          <v:group style="position:absolute;margin-left:110.099998pt;margin-top:269.100006pt;width:52.65pt;height:35.25pt;mso-position-horizontal-relative:page;mso-position-vertical-relative:page;z-index:-1027240" coordorigin="2202,5382" coordsize="1053,705">
            <v:group style="position:absolute;left:2202;top:5382;width:1053;height:705" coordorigin="2202,5382" coordsize="1053,705">
              <v:shape style="position:absolute;left:2202;top:5382;width:1053;height:705" coordorigin="2202,5382" coordsize="1053,705" path="m2202,6086l3254,6086,3254,5382,2202,5382,2202,6086xe" filled="true" fillcolor="#ffffff" stroked="false">
                <v:path arrowok="t"/>
                <v:fill type="solid"/>
              </v:shape>
            </v:group>
            <v:group style="position:absolute;left:2225;top:5538;width:1007;height:393" coordorigin="2225,5538" coordsize="1007,393">
              <v:shape style="position:absolute;left:2225;top:5538;width:1007;height:393" coordorigin="2225,5538" coordsize="1007,393" path="m2225,5930l3232,5930,3232,5538,2225,5538,2225,5930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3"/>
        <w:gridCol w:w="1063"/>
        <w:gridCol w:w="1063"/>
        <w:gridCol w:w="1062"/>
        <w:gridCol w:w="1063"/>
        <w:gridCol w:w="1063"/>
        <w:gridCol w:w="1063"/>
        <w:gridCol w:w="1063"/>
        <w:gridCol w:w="1063"/>
      </w:tblGrid>
      <w:tr>
        <w:trPr>
          <w:trHeight w:val="362"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7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 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451,631,313.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286,973,040.</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18,621,812.9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14,242,479.7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9,931,359.00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4,084,298.14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66,270,072.3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851,754,376.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04</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7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8,389,171.29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11,958,839.8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9,736,865.34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6,313,987.06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89,130.11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19,468,353.3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55,956,346.9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1,280,000.00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3,513,804.19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1,715,942.48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3,532,967.23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89,130.11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823,958.55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10,955,802.5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3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 建工程转入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5,114,123.59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8,445,035.62</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9,141,177.48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22,700,336.6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3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 业合并增加</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6,775,922.86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2,495,019.83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9,503,217.34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18,774,160.0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65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before="51"/>
              <w:ind w:left="-14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85" w:right="0"/>
              <w:jc w:val="left"/>
              <w:rPr>
                <w:rFonts w:ascii="Times New Roman" w:hAnsi="Times New Roman" w:cs="Times New Roman" w:eastAsia="Times New Roman" w:hint="default"/>
                <w:sz w:val="18"/>
                <w:szCs w:val="18"/>
              </w:rPr>
            </w:pPr>
            <w:r>
              <w:rPr>
                <w:rFonts w:ascii="Times New Roman"/>
                <w:sz w:val="18"/>
              </w:rPr>
              <w:t>1,995,047.70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1,245,000.00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286,000.00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3,526,047.70</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7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83,280,670.5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28,018,752.8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9,626,131.02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2,854,170.80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851,306.65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2,676,887.67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127,307,919.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52</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3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 置或报废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83,280,670.5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27,787,392.9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9,033,838.76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2,266,833.10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744,813.47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1,738,118.64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124,851,667.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52</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00" w:lineRule="auto" w:before="51"/>
              <w:ind w:left="22" w:right="3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）合并范 围减少</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231,359.83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592,292.26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587,337.70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106,493.18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938,769.03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2,456,252.00</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7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 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376,739,814.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270,913,127.</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z w:val="18"/>
              </w:rPr>
              <w:t>09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18,732,547.2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17,702,296.0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9,169,182.46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4,084,298.14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83,061,538.0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780,402,803.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50</w:t>
            </w:r>
          </w:p>
        </w:tc>
      </w:tr>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74"/>
                <w:sz w:val="18"/>
                <w:szCs w:val="18"/>
              </w:rPr>
              <w:t>、</w:t>
            </w:r>
            <w:r>
              <w:rPr>
                <w:rFonts w:ascii="宋体" w:hAnsi="宋体" w:cs="宋体" w:eastAsia="宋体" w:hint="default"/>
                <w:sz w:val="18"/>
                <w:szCs w:val="18"/>
              </w:rPr>
              <w:t>累计折旧</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7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 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45,572,432.5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43,287,173.3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13,344,352.7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7,541,835.13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7,787,589.75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1,807,941.15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39,847,944.5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159,189,269.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28</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7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10,332,343.4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18,586,107.3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4,999,498.77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4,126,125.76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694,734.93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537,954.12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9,335,426.32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48,612,190.6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10,332,343.4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18,586,107.3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1,861,406.95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2,712,573.56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694,734.93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537,954.12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7,359,950.35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42,085,070.7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00" w:lineRule="auto" w:before="51"/>
              <w:ind w:left="22" w:right="3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 并增加</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3,138,091.82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1,413,552.20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1,975,475.97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6,527,119.99</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7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11,191,626.0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11,421,764.6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6,389,069.33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1,807,977.64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747,883.90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1,963,553.30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33,521,874.8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3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 置或报废</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11,191,626.0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11,321,987.5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6,239,968.14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1,421,722.71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662,656.54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1,133,611.77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31,971,572.7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00" w:lineRule="auto" w:before="51"/>
              <w:ind w:left="22" w:right="3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）企业合 并增加</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99,777.12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149,101.19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386,254.93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85,227.36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829,941.53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1,550,302.13</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7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 额</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44,713,149.9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50,451,516.1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11,954,782.2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9,859,983.25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7,734,440.78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2,345,895.27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47,219,817.5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174,279,585.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63"/>
        <w:gridCol w:w="1063"/>
        <w:gridCol w:w="1063"/>
        <w:gridCol w:w="1062"/>
        <w:gridCol w:w="1063"/>
        <w:gridCol w:w="1063"/>
        <w:gridCol w:w="1063"/>
        <w:gridCol w:w="1063"/>
        <w:gridCol w:w="1063"/>
      </w:tblGrid>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74"/>
                <w:sz w:val="18"/>
                <w:szCs w:val="18"/>
              </w:rPr>
              <w:t>、</w:t>
            </w:r>
            <w:r>
              <w:rPr>
                <w:rFonts w:ascii="宋体" w:hAnsi="宋体" w:cs="宋体" w:eastAsia="宋体" w:hint="default"/>
                <w:sz w:val="18"/>
                <w:szCs w:val="18"/>
              </w:rPr>
              <w:t>减值准备</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7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 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7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284,775.03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284,775.03</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22" w:right="128"/>
              <w:jc w:val="left"/>
              <w:rPr>
                <w:rFonts w:ascii="宋体" w:hAnsi="宋体" w:cs="宋体" w:eastAsia="宋体" w:hint="default"/>
                <w:sz w:val="18"/>
                <w:szCs w:val="18"/>
              </w:rPr>
            </w:pPr>
            <w:r>
              <w:rPr>
                <w:rFonts w:ascii="宋体" w:hAnsi="宋体" w:cs="宋体" w:eastAsia="宋体" w:hint="default"/>
                <w:sz w:val="18"/>
                <w:szCs w:val="18"/>
              </w:rPr>
              <w:t>企业合并增 加</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284,775.03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284,775.03</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7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38"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 置或报废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7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 额</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284,775.03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284,775.03</w:t>
            </w:r>
          </w:p>
        </w:tc>
      </w:tr>
      <w:tr>
        <w:trPr>
          <w:trHeight w:val="402"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74"/>
                <w:sz w:val="18"/>
                <w:szCs w:val="18"/>
              </w:rPr>
              <w:t>、</w:t>
            </w: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7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332,026,664.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220,461,610.</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99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6,777,765.07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7,842,312.76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1,434,741.68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1,738,402.87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35,556,945.4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605,838,443.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35</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73"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406,058,881.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243,685,866.</w:t>
            </w:r>
          </w:p>
          <w:p>
            <w:pPr>
              <w:pStyle w:val="TableParagraph"/>
              <w:spacing w:line="240" w:lineRule="auto" w:before="106"/>
              <w:ind w:right="22"/>
              <w:jc w:val="right"/>
              <w:rPr>
                <w:rFonts w:ascii="Times New Roman" w:hAnsi="Times New Roman" w:cs="Times New Roman" w:eastAsia="Times New Roman" w:hint="default"/>
                <w:sz w:val="18"/>
                <w:szCs w:val="18"/>
              </w:rPr>
            </w:pPr>
            <w:r>
              <w:rPr>
                <w:rFonts w:ascii="Times New Roman"/>
                <w:sz w:val="18"/>
              </w:rPr>
              <w:t>73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5,277,460.19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6,700,644.62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2,143,769.25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2,276,356.99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26,422,127.8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692,565,106.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76</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新疆厂房工程</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21,487,438.98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重庆房屋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 </w:t>
            </w:r>
            <w:r>
              <w:rPr>
                <w:rFonts w:ascii="宋体" w:hAnsi="宋体" w:cs="宋体" w:eastAsia="宋体" w:hint="default"/>
                <w:sz w:val="18"/>
                <w:szCs w:val="18"/>
              </w:rPr>
              <w:t>幢</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1,995,047.70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13</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left="153"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设备安装项目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275,659.69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275,659.69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14,621,058.85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14,621,058.85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新疆厂房工程</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5,117,091.59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5,117,091.59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功率单元项目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1,490,121.82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1,490,121.82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2,474,518.01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2,474,518.01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3,063,742.54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3,063,742.54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4,240,299.52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4,240,299.52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22,801,892.98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22,801,892.98</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9"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7"/>
              <w:jc w:val="left"/>
              <w:rPr>
                <w:rFonts w:ascii="宋体" w:hAnsi="宋体" w:cs="宋体" w:eastAsia="宋体" w:hint="default"/>
                <w:sz w:val="18"/>
                <w:szCs w:val="18"/>
              </w:rPr>
            </w:pPr>
            <w:r>
              <w:rPr>
                <w:rFonts w:ascii="宋体" w:hAnsi="宋体" w:cs="宋体" w:eastAsia="宋体" w:hint="default"/>
                <w:sz w:val="18"/>
                <w:szCs w:val="18"/>
              </w:rPr>
              <w:t>设备安 装项目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14,621,0</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58.85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1,687,77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16,033,1</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76.00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275,659.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7"/>
              <w:jc w:val="left"/>
              <w:rPr>
                <w:rFonts w:ascii="宋体" w:hAnsi="宋体" w:cs="宋体" w:eastAsia="宋体" w:hint="default"/>
                <w:sz w:val="18"/>
                <w:szCs w:val="18"/>
              </w:rPr>
            </w:pPr>
            <w:r>
              <w:rPr>
                <w:rFonts w:ascii="宋体" w:hAnsi="宋体" w:cs="宋体" w:eastAsia="宋体" w:hint="default"/>
                <w:sz w:val="18"/>
                <w:szCs w:val="18"/>
              </w:rPr>
              <w:t>新疆厂 房工程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17,550,0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5,117,09</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1.59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5,114,12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2,968.00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center"/>
              <w:rPr>
                <w:rFonts w:ascii="Times New Roman" w:hAnsi="Times New Roman" w:cs="Times New Roman" w:eastAsia="Times New Roman" w:hint="default"/>
                <w:sz w:val="18"/>
                <w:szCs w:val="18"/>
              </w:rPr>
            </w:pPr>
            <w:r>
              <w:rPr>
                <w:rFonts w:ascii="Times New Roman"/>
                <w:sz w:val="18"/>
              </w:rPr>
              <w:t>119.35%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7"/>
              <w:jc w:val="left"/>
              <w:rPr>
                <w:rFonts w:ascii="宋体" w:hAnsi="宋体" w:cs="宋体" w:eastAsia="宋体" w:hint="default"/>
                <w:sz w:val="18"/>
                <w:szCs w:val="18"/>
              </w:rPr>
            </w:pPr>
            <w:r>
              <w:rPr>
                <w:rFonts w:ascii="宋体" w:hAnsi="宋体" w:cs="宋体" w:eastAsia="宋体" w:hint="default"/>
                <w:sz w:val="18"/>
                <w:szCs w:val="18"/>
              </w:rPr>
              <w:t>功率单 元项目</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1,490,12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1.82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1,490,12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1.82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3,063,74</w:t>
            </w:r>
          </w:p>
          <w:p>
            <w:pPr>
              <w:pStyle w:val="TableParagraph"/>
              <w:spacing w:line="240" w:lineRule="auto" w:before="105"/>
              <w:ind w:left="389" w:right="0"/>
              <w:jc w:val="left"/>
              <w:rPr>
                <w:rFonts w:ascii="Times New Roman" w:hAnsi="Times New Roman" w:cs="Times New Roman" w:eastAsia="Times New Roman" w:hint="default"/>
                <w:sz w:val="18"/>
                <w:szCs w:val="18"/>
              </w:rPr>
            </w:pPr>
            <w:r>
              <w:rPr>
                <w:rFonts w:ascii="Times New Roman"/>
                <w:sz w:val="18"/>
              </w:rPr>
              <w:t>2.54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963,812.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1,553,03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7.10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2,474,51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8.01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732"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17,550,0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22,801,8</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92.98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4,141,71</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1.23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22,700,3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36.69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2,968.00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4,240,29</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9.52</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14</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left="153"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软件</w:t>
            </w:r>
          </w:p>
        </w:tc>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商标、著作权</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6"/>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37,854,174.92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11,840,542.60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17,483,544.43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5,380,748.36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72,559,010.31</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1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271,844.43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30,057.57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2,870,844.07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153,519,514.51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156,692,260.58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271,844.43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30,057.57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1,273,504.26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1,575,406.26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3"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22" w:firstLine="52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1,597,339.81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153,519,514.51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155,116,854.32</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24,615.38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2,004,615.38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980,000.00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）合并范围减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24,615.38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1,024,615.38</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37,854,174.92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12,112,387.03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15,553,602.00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8,226,977.05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153,519,514.51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227,246,655.51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4,700,659.70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2,487,144.59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7,623,069.92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4,102,450.71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18,913,324.92</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877,123.20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2,041,457.99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1,488,996.97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1,500,732.29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7,420,813.21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13,329,123.66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877,123.20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2,041,457.99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1,488,996.97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777,128.57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7,412,641.25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12,597,347.98</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）企业合并增</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723,603.72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8,171.96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731,775.68</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812,126.77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18,461.70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830,588.47</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503,793.56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503,793.56</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）合并范围减</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少</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308,333.21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18,461.70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326,794.91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5,577,782.90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4,528,602.58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8,299,940.12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5,584,721.30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7,420,813.21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31,411,860.11</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32,276,392.02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7,583,748.45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7,233,66.188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2,642,255.75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146,098,701.30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195,834,795.40</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33,153,515.22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9,353,398.01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9,860,474.51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1,278,297.65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53,645,685.39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ind w:right="0"/>
        <w:jc w:val="left"/>
        <w:rPr>
          <w:b w:val="0"/>
          <w:bCs w:val="0"/>
        </w:rPr>
      </w:pPr>
      <w:r>
        <w:rPr>
          <w:rFonts w:ascii="Times New Roman" w:hAnsi="Times New Roman" w:cs="Times New Roman" w:eastAsia="Times New Roman" w:hint="default"/>
        </w:rPr>
        <w:t>15</w:t>
      </w:r>
      <w:r>
        <w:rPr/>
        <w:t>、开发支出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3"/>
        <w:gridCol w:w="1063"/>
        <w:gridCol w:w="1063"/>
        <w:gridCol w:w="1062"/>
        <w:gridCol w:w="1063"/>
        <w:gridCol w:w="1063"/>
        <w:gridCol w:w="1063"/>
        <w:gridCol w:w="1063"/>
        <w:gridCol w:w="1063"/>
      </w:tblGrid>
      <w:tr>
        <w:trPr>
          <w:trHeight w:val="401"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347"/>
              <w:jc w:val="righ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2"/>
              <w:ind w:left="22" w:right="128"/>
              <w:jc w:val="both"/>
              <w:rPr>
                <w:rFonts w:ascii="宋体" w:hAnsi="宋体" w:cs="宋体" w:eastAsia="宋体" w:hint="default"/>
                <w:sz w:val="18"/>
                <w:szCs w:val="18"/>
              </w:rPr>
            </w:pPr>
            <w:r>
              <w:rPr>
                <w:rFonts w:ascii="宋体" w:hAnsi="宋体" w:cs="宋体" w:eastAsia="宋体" w:hint="default"/>
                <w:sz w:val="18"/>
                <w:szCs w:val="18"/>
              </w:rPr>
              <w:t>一种多晶闸 管串联均压 检测电路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846,897.51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846,897.51</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09"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一种晶闸管 </w:t>
            </w:r>
            <w:r>
              <w:rPr>
                <w:rFonts w:ascii="Times New Roman" w:hAnsi="Times New Roman" w:cs="Times New Roman" w:eastAsia="Times New Roman" w:hint="default"/>
                <w:sz w:val="18"/>
                <w:szCs w:val="18"/>
              </w:rPr>
              <w:t>BOD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及回报 电路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846,897.49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846,897.49</w:t>
            </w:r>
          </w:p>
        </w:tc>
      </w:tr>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6" w:lineRule="auto" w:before="52"/>
              <w:ind w:left="22" w:right="128"/>
              <w:jc w:val="both"/>
              <w:rPr>
                <w:rFonts w:ascii="宋体" w:hAnsi="宋体" w:cs="宋体" w:eastAsia="宋体" w:hint="default"/>
                <w:sz w:val="18"/>
                <w:szCs w:val="18"/>
              </w:rPr>
            </w:pPr>
            <w:r>
              <w:rPr>
                <w:rFonts w:ascii="宋体" w:hAnsi="宋体" w:cs="宋体" w:eastAsia="宋体" w:hint="default"/>
                <w:sz w:val="18"/>
                <w:szCs w:val="18"/>
              </w:rPr>
              <w:t>一种晶闸管 自取能光电 触发电路</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846,897.50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846,897.50</w:t>
            </w:r>
          </w:p>
        </w:tc>
      </w:tr>
      <w:tr>
        <w:trPr>
          <w:trHeight w:val="403"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347"/>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2,540,692.50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2,540,692.50</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16</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left="153" w:right="0"/>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上海地澳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3,993,764.63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3,993,764.63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梦网科技</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2,470,041,051.95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2,470,041,051.95</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3,993,764.63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2,470,041,051.95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2,474,034,816.58</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上海地澳</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3,993,764.63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3,993,764.63</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3,993,764.63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3,993,764.63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w:t>
      </w:r>
    </w:p>
    <w:p>
      <w:pPr>
        <w:pStyle w:val="BodyText"/>
        <w:spacing w:line="273" w:lineRule="auto" w:before="90"/>
        <w:ind w:left="153" w:right="128" w:firstLine="420"/>
        <w:jc w:val="both"/>
      </w:pPr>
      <w:r>
        <w:rPr/>
        <w:t>商誉的可收回金额按照预计未来现金流量的现值计算，其预计现金流量根据公司批准的</w:t>
      </w:r>
      <w:r>
        <w:rPr>
          <w:spacing w:val="77"/>
        </w:rPr>
        <w:t> </w:t>
      </w:r>
      <w:r>
        <w:rPr/>
        <w:t>年期现金流</w:t>
      </w:r>
      <w:r>
        <w:rPr/>
        <w:t> 量预测为基础，预测期以后的现金流量根据增长率推断得出，该增长率和行业总体长期平均增长率相当。 </w:t>
      </w:r>
      <w:r>
        <w:rPr>
          <w:spacing w:val="-1"/>
        </w:rPr>
        <w:t>减值测试中采用的其他关键数据包括：产品预计售价、销量、生产成本及其他相关费用。公司根据历史经</w:t>
      </w:r>
      <w:r>
        <w:rPr>
          <w:spacing w:val="-82"/>
        </w:rPr>
        <w:t> </w:t>
      </w:r>
      <w:r>
        <w:rPr>
          <w:spacing w:val="-82"/>
        </w:rPr>
      </w:r>
      <w:r>
        <w:rPr>
          <w:spacing w:val="-1"/>
        </w:rPr>
        <w:t>验及对市场发展的预测确定上述关键数据。公司采用的折现率是反映当前市场货币时间价值和相关资产组</w:t>
      </w:r>
    </w:p>
    <w:p>
      <w:pPr>
        <w:spacing w:after="0" w:line="273" w:lineRule="auto"/>
        <w:jc w:val="both"/>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BodyText"/>
        <w:spacing w:line="273" w:lineRule="auto" w:before="35"/>
        <w:ind w:left="573" w:right="741" w:hanging="420"/>
        <w:jc w:val="left"/>
      </w:pPr>
      <w:r>
        <w:rPr/>
        <w:t>特定风险的税前利率。 上述测试后，对上海地澳的商誉全额计提减值准备，梦网科技的商誉并未出现减值损失迹象。</w:t>
      </w:r>
    </w:p>
    <w:p>
      <w:pPr>
        <w:spacing w:line="240" w:lineRule="auto" w:before="8"/>
        <w:rPr>
          <w:rFonts w:ascii="宋体" w:hAnsi="宋体" w:cs="宋体" w:eastAsia="宋体" w:hint="default"/>
          <w:sz w:val="23"/>
          <w:szCs w:val="23"/>
        </w:rPr>
      </w:pPr>
    </w:p>
    <w:p>
      <w:pPr>
        <w:pStyle w:val="Heading3"/>
        <w:spacing w:line="240" w:lineRule="auto" w:before="0"/>
        <w:ind w:left="153" w:right="0"/>
        <w:jc w:val="left"/>
        <w:rPr>
          <w:b w:val="0"/>
          <w:bCs w:val="0"/>
        </w:rPr>
      </w:pPr>
      <w:r>
        <w:rPr>
          <w:rFonts w:ascii="Times New Roman" w:hAnsi="Times New Roman" w:cs="Times New Roman" w:eastAsia="Times New Roman" w:hint="default"/>
        </w:rPr>
        <w:t>17</w:t>
      </w:r>
      <w:r>
        <w:rPr/>
        <w:t>、长期待摊费用</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经营租入固定资产 改良</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276,953.12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706,622.55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518,948.10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37,500.00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427,127.57</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276,953.12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706,622.55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518,948.10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37,500.00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427,127.57</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18</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208,755,190.83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31,598,584.53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194,044,641.81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29,136,960.87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财政补贴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15,871,912.98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2,380,786.95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224,627,103.81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33,979,371.48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194,044,641.81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29,136,960.87</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146,285,456.07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21,942,818.41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146,285,456.07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21,942,818.41</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14"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11"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33,979,371.48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29,136,960.87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19,163,523.08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56,990,266.79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3,164,870.55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129,253,420.91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337,214,636.20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186,243,687.70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340,379,506.75</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2,787,453.44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7,111,581.73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10,075,046.08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26,510,766.59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26,570,996.15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52,080,551.00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58,585,797.54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251,511,736.88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31,234,127.70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129,253,420.91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337,214,636.20</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19</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before="0"/>
        <w:ind w:left="153"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20,565,098.50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477,300,000.00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214,565,098.50</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20</w:t>
      </w:r>
      <w:r>
        <w:rPr/>
        <w:t>、应付票据</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252,732,902.23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163,817,791.24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252,732,902.23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163,817,791.24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21</w:t>
      </w:r>
      <w:r>
        <w:rPr/>
        <w:t>、应付账款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left="153" w:right="0"/>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613,893,216.49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339,745,612.23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应付设备款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896,744.02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1,511,815.90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5,843.00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38,543.00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614,795,803.51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341,295,971.13</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沈阳变压器研究院股份有限公司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10,293,014.10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项目尚在进行中</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北京四方继保自动化股份有限公司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5,856,500.00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项目尚在进行中</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江苏上上电缆集团有限公司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4,736,306.84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项目尚在进行中</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珠海兴业绿色建筑科技有限公司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4,388,790.00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项目尚在进行中</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25,274,610.94</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22</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left="153" w:right="0"/>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208,913,922.67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158,972,805.15</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208,913,922.67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158,972,805.15</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Lake turkana wind power</w:t>
            </w:r>
            <w:r>
              <w:rPr>
                <w:rFonts w:ascii="Times New Roman"/>
                <w:spacing w:val="-4"/>
                <w:sz w:val="18"/>
              </w:rPr>
              <w:t> </w:t>
            </w:r>
            <w:r>
              <w:rPr>
                <w:rFonts w:ascii="Times New Roman"/>
                <w:sz w:val="18"/>
              </w:rPr>
              <w:t>limited</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19,371,564.00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尚未交付产品</w:t>
            </w: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2"/>
              <w:jc w:val="left"/>
              <w:rPr>
                <w:rFonts w:ascii="宋体" w:hAnsi="宋体" w:cs="宋体" w:eastAsia="宋体" w:hint="default"/>
                <w:sz w:val="18"/>
                <w:szCs w:val="18"/>
              </w:rPr>
            </w:pPr>
            <w:r>
              <w:rPr>
                <w:rFonts w:ascii="宋体" w:hAnsi="宋体" w:cs="宋体" w:eastAsia="宋体" w:hint="default"/>
                <w:sz w:val="18"/>
                <w:szCs w:val="18"/>
              </w:rPr>
              <w:t>中国航空工业集团公司沈阳空气动力研 究所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9,662,051.26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尚未交付产品</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29,033,615.26</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23</w:t>
      </w:r>
      <w:r>
        <w:rPr/>
        <w:t>、应付职工薪酬</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left="153" w:right="0"/>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3,518,086.60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174,389,187.22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135,950,265.29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41,957,008.53</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474,370.22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17,040,437.97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16,777,544.50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737,263.69</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3,992,456.82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191,429,625.19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152,727,809.79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42,694,272.22</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812,445.39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152,263,621.17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112,952,987.50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40,123,079.06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168,088.63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2,095,033.37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2,258,735.80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4,386.20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634,851.27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9,598,622.80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9,751,046.26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482,427.81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144,747.97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9,180,271.87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8,871,476.06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453,543.78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8,081.86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386,636.14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382,106.19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12,611.81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482,021.44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31,714.79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497,464.01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16,272.22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512,563.00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5,773,281.62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5,833,778.86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452,065.76</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2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1,390,138.31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2,503,142.59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2,998,231.20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895,049.70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、辞职福利</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2,155,485.67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2,155,485.67</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3,518,086.60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174,389,187.22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135,950,265.29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41,957,008.53</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429,516.05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16,114,868.83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15,894,338.62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650,046.26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44,854.17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925,569.14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883,205.88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87,217.43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474,370.22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17,040,437.97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16,777,544.50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737,263.69</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24</w:t>
      </w:r>
      <w:r>
        <w:rPr/>
        <w:t>、应交税费</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5,372,500.79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2,018,713.69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28,718.28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79,985.40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21,776,950.15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1,425,159.82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1,352,363.26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210,517.14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1,210,777.15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577,117.01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215,868.62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213,844.63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189,076.60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189,076.60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522,335.39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247,204.81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348,223.61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165,021.60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43,032.84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45,439.71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31,059,846.69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5,172,080.41</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25</w:t>
      </w:r>
      <w:r>
        <w:rPr/>
        <w:t>、应付利息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企业债券利息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33,751,220.40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33,751,232.88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749,898.35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3,724,888.89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34,501,118.75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37,476,121.77</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26</w:t>
      </w:r>
      <w:r>
        <w:rPr/>
        <w:t>、其他应付款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left="153" w:right="0"/>
        <w:jc w:val="left"/>
        <w:rPr>
          <w:b w:val="0"/>
          <w:bCs w:val="0"/>
        </w:rPr>
      </w:pP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877,616.80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171,919.13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3,916,399.95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8,905,962.06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应付暂收款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8,904,318.84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4,095,316.42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超额盈利奖励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19,664,750.88</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4,061,080.72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2,088,667.09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37,424,167.19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15,261,864.70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BodyText"/>
        <w:spacing w:line="273" w:lineRule="auto" w:before="35"/>
        <w:ind w:right="0"/>
        <w:jc w:val="left"/>
      </w:pPr>
      <w:r>
        <w:rPr/>
        <w:t>超额盈利奖励系本公司根据与梦网科技签订的《盈利预测补偿协议》，</w:t>
      </w:r>
      <w:r>
        <w:rPr>
          <w:spacing w:val="-30"/>
        </w:rPr>
        <w:t> </w:t>
      </w:r>
      <w:r>
        <w:rPr/>
        <w:t>按梦网科技</w:t>
      </w:r>
      <w:r>
        <w:rPr>
          <w:spacing w:val="-66"/>
        </w:rPr>
        <w:t> </w:t>
      </w:r>
      <w:r>
        <w:rPr/>
        <w:t>2015</w:t>
      </w:r>
      <w:r>
        <w:rPr>
          <w:spacing w:val="-65"/>
        </w:rPr>
        <w:t> </w:t>
      </w:r>
      <w:r>
        <w:rPr/>
        <w:t>年实现的超额盈</w:t>
      </w:r>
      <w:r>
        <w:rPr>
          <w:spacing w:val="-1"/>
        </w:rPr>
        <w:t> </w:t>
      </w:r>
      <w:r>
        <w:rPr/>
        <w:t>利的</w:t>
      </w:r>
      <w:r>
        <w:rPr>
          <w:spacing w:val="-55"/>
        </w:rPr>
        <w:t> </w:t>
      </w:r>
      <w:r>
        <w:rPr/>
        <w:t>50%计算所致。</w:t>
      </w:r>
    </w:p>
    <w:p>
      <w:pPr>
        <w:spacing w:line="240" w:lineRule="auto" w:before="8"/>
        <w:rPr>
          <w:rFonts w:ascii="宋体" w:hAnsi="宋体" w:cs="宋体" w:eastAsia="宋体" w:hint="default"/>
          <w:sz w:val="23"/>
          <w:szCs w:val="23"/>
        </w:rPr>
      </w:pPr>
    </w:p>
    <w:p>
      <w:pPr>
        <w:pStyle w:val="Heading3"/>
        <w:spacing w:line="240" w:lineRule="auto" w:before="0"/>
        <w:ind w:left="153" w:right="0"/>
        <w:jc w:val="left"/>
        <w:rPr>
          <w:b w:val="0"/>
          <w:bCs w:val="0"/>
        </w:rPr>
      </w:pPr>
      <w:r>
        <w:rPr>
          <w:rFonts w:ascii="Times New Roman" w:hAnsi="Times New Roman" w:cs="Times New Roman" w:eastAsia="Times New Roman" w:hint="default"/>
        </w:rPr>
        <w:t>27</w:t>
      </w:r>
      <w:r>
        <w:rPr/>
        <w:t>、一年内到期的非流动负债</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28</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left="153"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100,000,000.00</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29</w:t>
      </w:r>
      <w:r>
        <w:rPr/>
        <w:t>、应付债券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left="153" w:right="0"/>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13 </w:t>
            </w:r>
            <w:r>
              <w:rPr>
                <w:rFonts w:ascii="宋体" w:hAnsi="宋体" w:cs="宋体" w:eastAsia="宋体" w:hint="default"/>
                <w:sz w:val="18"/>
                <w:szCs w:val="18"/>
              </w:rPr>
              <w:t>荣信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600,000,000.00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600,000,000.00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600,000,000.00</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荣信</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01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center"/>
              <w:rPr>
                <w:rFonts w:ascii="Times New Roman" w:hAnsi="Times New Roman" w:cs="Times New Roman" w:eastAsia="Times New Roman" w:hint="default"/>
                <w:sz w:val="18"/>
                <w:szCs w:val="18"/>
              </w:rPr>
            </w:pPr>
            <w:r>
              <w:rPr>
                <w:rFonts w:ascii="Times New Roman"/>
                <w:sz w:val="18"/>
              </w:rPr>
              <w:t>2013.1.18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354,000,0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35,400,00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60,000.00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354,000,0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35,400,00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600,000,0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30</w:t>
      </w:r>
      <w:r>
        <w:rPr/>
        <w:t>、递延收益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49,940,961.00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38,275,724.68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25,721,051.34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62,495,634.34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财政拨款</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49,940,961.00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38,275,724.68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25,721,051.34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62,495,634.34</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87" w:right="47"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本期计入营业外 收入金额</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408" w:right="23" w:hanging="38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 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58"/>
              <w:jc w:val="both"/>
              <w:rPr>
                <w:rFonts w:ascii="Times New Roman" w:hAnsi="Times New Roman" w:cs="Times New Roman" w:eastAsia="Times New Roman" w:hint="default"/>
                <w:sz w:val="18"/>
                <w:szCs w:val="18"/>
              </w:rPr>
            </w:pPr>
            <w:r>
              <w:rPr>
                <w:rFonts w:ascii="宋体" w:hAnsi="宋体" w:cs="宋体" w:eastAsia="宋体" w:hint="default"/>
                <w:sz w:val="18"/>
                <w:szCs w:val="18"/>
              </w:rPr>
              <w:t>大型煤矿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RGM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国家发改 委</w:t>
            </w:r>
            <w:r>
              <w:rPr>
                <w:rFonts w:ascii="Times New Roman" w:hAnsi="Times New Roman" w:cs="Times New Roman" w:eastAsia="Times New Roman" w:hint="default"/>
                <w:sz w:val="18"/>
                <w:szCs w:val="18"/>
              </w:rPr>
              <w:t>) [</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9,194,975.47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684,210.52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8,510,764.95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2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10KV</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大功率变 频装置项目</w:t>
            </w:r>
            <w:r>
              <w:rPr>
                <w:rFonts w:ascii="Times New Roman" w:hAnsi="Times New Roman" w:cs="Times New Roman" w:eastAsia="Times New Roman" w:hint="default"/>
                <w:sz w:val="18"/>
                <w:szCs w:val="18"/>
              </w:rPr>
              <w:t>[</w:t>
            </w:r>
            <w:r>
              <w:rPr>
                <w:rFonts w:ascii="宋体" w:hAnsi="宋体" w:cs="宋体" w:eastAsia="宋体" w:hint="default"/>
                <w:sz w:val="18"/>
                <w:szCs w:val="18"/>
              </w:rPr>
              <w:t>注 </w:t>
            </w:r>
            <w:r>
              <w:rPr>
                <w:rFonts w:ascii="Times New Roman" w:hAnsi="Times New Roman" w:cs="Times New Roman" w:eastAsia="Times New Roman" w:hint="default"/>
                <w:sz w:val="18"/>
                <w:szCs w:val="18"/>
              </w:rPr>
              <w:t>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16,153,508.79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666,666.68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15,486,842.11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58"/>
              <w:jc w:val="both"/>
              <w:rPr>
                <w:rFonts w:ascii="Times New Roman" w:hAnsi="Times New Roman" w:cs="Times New Roman" w:eastAsia="Times New Roman" w:hint="default"/>
                <w:sz w:val="18"/>
                <w:szCs w:val="18"/>
              </w:rPr>
            </w:pPr>
            <w:r>
              <w:rPr>
                <w:rFonts w:ascii="宋体" w:hAnsi="宋体" w:cs="宋体" w:eastAsia="宋体" w:hint="default"/>
                <w:sz w:val="18"/>
                <w:szCs w:val="18"/>
              </w:rPr>
              <w:t>大型煤矿</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RGM</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省信息产 业厅</w:t>
            </w:r>
            <w:r>
              <w:rPr>
                <w:rFonts w:ascii="Times New Roman" w:hAnsi="Times New Roman" w:cs="Times New Roman" w:eastAsia="Times New Roman"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1,414,642.36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105,263.16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1,309,379.20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SVC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升级项目</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7,073,211.83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526,315.80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6,546,896.03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57"/>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台</w:t>
            </w:r>
            <w:r>
              <w:rPr>
                <w:rFonts w:ascii="Times New Roman" w:hAnsi="Times New Roman" w:cs="Times New Roman" w:eastAsia="Times New Roman" w:hint="default"/>
                <w:sz w:val="18"/>
                <w:szCs w:val="18"/>
              </w:rPr>
              <w:t>/</w:t>
            </w:r>
            <w:r>
              <w:rPr>
                <w:rFonts w:ascii="宋体" w:hAnsi="宋体" w:cs="宋体" w:eastAsia="宋体" w:hint="default"/>
                <w:sz w:val="18"/>
                <w:szCs w:val="18"/>
              </w:rPr>
              <w:t>套新型 电抗器项目</w:t>
            </w:r>
            <w:r>
              <w:rPr>
                <w:rFonts w:ascii="Times New Roman" w:hAnsi="Times New Roman" w:cs="Times New Roman" w:eastAsia="Times New Roman" w:hint="default"/>
                <w:sz w:val="18"/>
                <w:szCs w:val="18"/>
              </w:rPr>
              <w:t>[</w:t>
            </w:r>
            <w:r>
              <w:rPr>
                <w:rFonts w:ascii="宋体" w:hAnsi="宋体" w:cs="宋体" w:eastAsia="宋体" w:hint="default"/>
                <w:sz w:val="18"/>
                <w:szCs w:val="18"/>
              </w:rPr>
              <w:t>注 </w:t>
            </w:r>
            <w:r>
              <w:rPr>
                <w:rFonts w:ascii="Times New Roman" w:hAnsi="Times New Roman" w:cs="Times New Roman" w:eastAsia="Times New Roman" w:hint="default"/>
                <w:sz w:val="18"/>
                <w:szCs w:val="18"/>
              </w:rPr>
              <w:t>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10,969,822.55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672,983.48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10,296,839.07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特大功率变频装 置产业升级项目 </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107,000.00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4,173,000.00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both"/>
              <w:rPr>
                <w:rFonts w:ascii="Times New Roman" w:hAnsi="Times New Roman" w:cs="Times New Roman" w:eastAsia="Times New Roman" w:hint="default"/>
                <w:sz w:val="18"/>
                <w:szCs w:val="18"/>
              </w:rPr>
            </w:pPr>
            <w:r>
              <w:rPr>
                <w:rFonts w:ascii="宋体" w:hAnsi="宋体" w:cs="宋体" w:eastAsia="宋体" w:hint="default"/>
                <w:sz w:val="18"/>
                <w:szCs w:val="18"/>
              </w:rPr>
              <w:t>轻型直流输电设 备项目专项资金 项目</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9"/>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年企业科技 发展资金补助项 目</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1000mw</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柔性直 流输电换流阀成 套设备项目</w:t>
            </w:r>
            <w:r>
              <w:rPr>
                <w:rFonts w:ascii="Times New Roman" w:hAnsi="Times New Roman" w:cs="Times New Roman" w:eastAsia="Times New Roman" w:hint="default"/>
                <w:sz w:val="18"/>
                <w:szCs w:val="18"/>
              </w:rPr>
              <w:t>[</w:t>
            </w:r>
            <w:r>
              <w:rPr>
                <w:rFonts w:ascii="宋体" w:hAnsi="宋体" w:cs="宋体" w:eastAsia="宋体" w:hint="default"/>
                <w:sz w:val="18"/>
                <w:szCs w:val="18"/>
              </w:rPr>
              <w:t>注 </w:t>
            </w:r>
            <w:r>
              <w:rPr>
                <w:rFonts w:ascii="Times New Roman" w:hAnsi="Times New Roman" w:cs="Times New Roman" w:eastAsia="Times New Roman" w:hint="default"/>
                <w:sz w:val="18"/>
                <w:szCs w:val="18"/>
              </w:rPr>
              <w:t>9]</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年战 略性新兴产业发 展专项资金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注 </w:t>
            </w:r>
            <w:r>
              <w:rPr>
                <w:rFonts w:ascii="Times New Roman" w:hAnsi="Times New Roman" w:cs="Times New Roman" w:eastAsia="Times New Roman" w:hint="default"/>
                <w:sz w:val="18"/>
                <w:szCs w:val="18"/>
              </w:rPr>
              <w:t>10]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8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3"/>
              <w:jc w:val="both"/>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年战 略性新兴产业发 展专项资金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800,000.00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pacing w:val="-3"/>
                <w:sz w:val="18"/>
              </w:rPr>
              <w:t>11]</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362" w:hRule="exact"/>
        </w:trPr>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年战</w:t>
            </w:r>
          </w:p>
        </w:tc>
        <w:tc>
          <w:tcPr>
            <w:tcW w:w="1369"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72"/>
              <w:jc w:val="left"/>
              <w:rPr>
                <w:rFonts w:ascii="宋体" w:hAnsi="宋体" w:cs="宋体" w:eastAsia="宋体" w:hint="default"/>
                <w:sz w:val="18"/>
                <w:szCs w:val="18"/>
              </w:rPr>
            </w:pPr>
            <w:r>
              <w:rPr>
                <w:rFonts w:ascii="宋体" w:hAnsi="宋体" w:cs="宋体" w:eastAsia="宋体" w:hint="default"/>
                <w:sz w:val="18"/>
                <w:szCs w:val="18"/>
              </w:rPr>
              <w:t>略性新兴产业发 展专项资金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第</w:t>
            </w:r>
          </w:p>
        </w:tc>
        <w:tc>
          <w:tcPr>
            <w:tcW w:w="1369"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800,000.00</w:t>
            </w: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800,000.00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2" w:hRule="exact"/>
        </w:trPr>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二批</w:t>
            </w:r>
            <w:r>
              <w:rPr>
                <w:rFonts w:ascii="Times New Roman" w:hAnsi="Times New Roman" w:cs="Times New Roman" w:eastAsia="Times New Roman" w:hint="default"/>
                <w:sz w:val="18"/>
                <w:szCs w:val="18"/>
              </w:rPr>
              <w:t>) [</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tc>
        <w:tc>
          <w:tcPr>
            <w:tcW w:w="1369"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年战</w:t>
            </w:r>
          </w:p>
        </w:tc>
        <w:tc>
          <w:tcPr>
            <w:tcW w:w="1369"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略性新兴产业发</w:t>
            </w:r>
          </w:p>
        </w:tc>
        <w:tc>
          <w:tcPr>
            <w:tcW w:w="1369"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展专项资金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移</w:t>
            </w:r>
          </w:p>
        </w:tc>
        <w:tc>
          <w:tcPr>
            <w:tcW w:w="1369"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4,100,000.00</w:t>
            </w: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4,100,000.00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8" w:hRule="exact"/>
        </w:trPr>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动商务互动云平</w:t>
            </w:r>
          </w:p>
        </w:tc>
        <w:tc>
          <w:tcPr>
            <w:tcW w:w="1369"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台产业化</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tc>
        <w:tc>
          <w:tcPr>
            <w:tcW w:w="1369"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年文</w:t>
            </w:r>
          </w:p>
        </w:tc>
        <w:tc>
          <w:tcPr>
            <w:tcW w:w="1369"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化创意产业发展</w:t>
            </w:r>
          </w:p>
        </w:tc>
        <w:tc>
          <w:tcPr>
            <w:tcW w:w="1369"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手机</w:t>
            </w:r>
          </w:p>
        </w:tc>
        <w:tc>
          <w:tcPr>
            <w:tcW w:w="1369"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3,900,000.00</w:t>
            </w: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pacing w:val="-1"/>
                <w:sz w:val="18"/>
              </w:rPr>
              <w:t>3,900,000.00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08" w:hRule="exact"/>
        </w:trPr>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媒体互动技术工</w:t>
            </w:r>
          </w:p>
        </w:tc>
        <w:tc>
          <w:tcPr>
            <w:tcW w:w="1369"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程实验室</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tc>
        <w:tc>
          <w:tcPr>
            <w:tcW w:w="1369"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年技</w:t>
            </w:r>
          </w:p>
        </w:tc>
        <w:tc>
          <w:tcPr>
            <w:tcW w:w="1369"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306" w:hRule="exact"/>
        </w:trPr>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术创新计划技术</w:t>
            </w:r>
          </w:p>
        </w:tc>
        <w:tc>
          <w:tcPr>
            <w:tcW w:w="1369"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开发项目专项资 金</w:t>
            </w:r>
            <w:r>
              <w:rPr>
                <w:rFonts w:ascii="Times New Roman" w:hAnsi="Times New Roman" w:cs="Times New Roman" w:eastAsia="Times New Roman" w:hint="default"/>
                <w:sz w:val="18"/>
                <w:szCs w:val="18"/>
              </w:rPr>
              <w:t>-</w:t>
            </w:r>
            <w:r>
              <w:rPr>
                <w:rFonts w:ascii="宋体" w:hAnsi="宋体" w:cs="宋体" w:eastAsia="宋体" w:hint="default"/>
                <w:sz w:val="18"/>
                <w:szCs w:val="18"/>
              </w:rPr>
              <w:t>第一代融合</w:t>
            </w:r>
          </w:p>
        </w:tc>
        <w:tc>
          <w:tcPr>
            <w:tcW w:w="1369"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08" w:hRule="exact"/>
        </w:trPr>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通讯客户服务平</w:t>
            </w:r>
          </w:p>
        </w:tc>
        <w:tc>
          <w:tcPr>
            <w:tcW w:w="1369"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台</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tc>
        <w:tc>
          <w:tcPr>
            <w:tcW w:w="1369"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基于柔性直流的</w:t>
            </w:r>
          </w:p>
        </w:tc>
        <w:tc>
          <w:tcPr>
            <w:tcW w:w="1369"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智能配电关键技 术研究与应用项</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504,800.00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420,000.00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924,800.00</w:t>
            </w:r>
          </w:p>
        </w:tc>
        <w:tc>
          <w:tcPr>
            <w:tcW w:w="136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目</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tc>
        <w:tc>
          <w:tcPr>
            <w:tcW w:w="1369"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大电流整流器设</w:t>
            </w:r>
          </w:p>
        </w:tc>
        <w:tc>
          <w:tcPr>
            <w:tcW w:w="1369"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备的熔断状态检</w:t>
            </w:r>
          </w:p>
        </w:tc>
        <w:tc>
          <w:tcPr>
            <w:tcW w:w="1369"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测技术的研发及</w:t>
            </w:r>
          </w:p>
        </w:tc>
        <w:tc>
          <w:tcPr>
            <w:tcW w:w="1369"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800,000.00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800,000.00</w:t>
            </w:r>
          </w:p>
        </w:tc>
        <w:tc>
          <w:tcPr>
            <w:tcW w:w="136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17" w:hRule="exact"/>
        </w:trPr>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产业化项目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p>
        </w:tc>
        <w:tc>
          <w:tcPr>
            <w:tcW w:w="1369"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r>
      <w:tr>
        <w:trPr>
          <w:trHeight w:val="348" w:hRule="exact"/>
        </w:trPr>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2"/>
              <w:ind w:left="22" w:right="0"/>
              <w:jc w:val="left"/>
              <w:rPr>
                <w:rFonts w:ascii="Times New Roman" w:hAnsi="Times New Roman" w:cs="Times New Roman" w:eastAsia="Times New Roman" w:hint="default"/>
                <w:sz w:val="18"/>
                <w:szCs w:val="18"/>
              </w:rPr>
            </w:pPr>
            <w:r>
              <w:rPr>
                <w:rFonts w:ascii="Times New Roman"/>
                <w:sz w:val="18"/>
              </w:rPr>
              <w:t>17]</w:t>
            </w:r>
          </w:p>
        </w:tc>
        <w:tc>
          <w:tcPr>
            <w:tcW w:w="1369"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年深圳市文</w:t>
            </w:r>
          </w:p>
        </w:tc>
        <w:tc>
          <w:tcPr>
            <w:tcW w:w="1369"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化创意产业百强</w:t>
            </w:r>
          </w:p>
        </w:tc>
        <w:tc>
          <w:tcPr>
            <w:tcW w:w="1369"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700,000.00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19"/>
              <w:jc w:val="right"/>
              <w:rPr>
                <w:rFonts w:ascii="Times New Roman" w:hAnsi="Times New Roman" w:cs="Times New Roman" w:eastAsia="Times New Roman" w:hint="default"/>
                <w:sz w:val="18"/>
                <w:szCs w:val="18"/>
              </w:rPr>
            </w:pPr>
            <w:r>
              <w:rPr>
                <w:rFonts w:ascii="Times New Roman"/>
                <w:sz w:val="18"/>
              </w:rPr>
              <w:t>700,000.00</w:t>
            </w:r>
          </w:p>
        </w:tc>
        <w:tc>
          <w:tcPr>
            <w:tcW w:w="136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3" w:hRule="exact"/>
        </w:trPr>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认定奖励</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tc>
        <w:tc>
          <w:tcPr>
            <w:tcW w:w="1369"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南山财政局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p>
        </w:tc>
        <w:tc>
          <w:tcPr>
            <w:tcW w:w="1369"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619" w:hRule="exact"/>
        </w:trPr>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72"/>
              <w:jc w:val="left"/>
              <w:rPr>
                <w:rFonts w:ascii="宋体" w:hAnsi="宋体" w:cs="宋体" w:eastAsia="宋体" w:hint="default"/>
                <w:sz w:val="18"/>
                <w:szCs w:val="18"/>
              </w:rPr>
            </w:pPr>
            <w:r>
              <w:rPr>
                <w:rFonts w:ascii="宋体" w:hAnsi="宋体" w:cs="宋体" w:eastAsia="宋体" w:hint="default"/>
                <w:sz w:val="18"/>
                <w:szCs w:val="18"/>
              </w:rPr>
              <w:t>年重点企事业单 位住房补助款</w:t>
            </w:r>
          </w:p>
        </w:tc>
        <w:tc>
          <w:tcPr>
            <w:tcW w:w="1369"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680,000.00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680,000.00</w:t>
            </w:r>
          </w:p>
        </w:tc>
        <w:tc>
          <w:tcPr>
            <w:tcW w:w="1368"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57" w:hRule="exact"/>
        </w:trPr>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tc>
        <w:tc>
          <w:tcPr>
            <w:tcW w:w="1369"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辽宁省电力电子</w:t>
            </w:r>
          </w:p>
        </w:tc>
        <w:tc>
          <w:tcPr>
            <w:tcW w:w="1369"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节能装备工程实</w:t>
            </w:r>
          </w:p>
        </w:tc>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350,000.00</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50,000.00</w:t>
            </w:r>
          </w:p>
        </w:tc>
        <w:tc>
          <w:tcPr>
            <w:tcW w:w="1368"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300,000.00</w:t>
            </w: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53" w:hRule="exact"/>
        </w:trPr>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验室项目</w:t>
            </w:r>
          </w:p>
        </w:tc>
        <w:tc>
          <w:tcPr>
            <w:tcW w:w="1369"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互联网产业</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25,600.69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16,466.28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9,134.41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7"/>
        <w:gridCol w:w="1367"/>
        <w:gridCol w:w="1368"/>
        <w:gridCol w:w="1367"/>
        <w:gridCol w:w="1367"/>
      </w:tblGrid>
      <w:tr>
        <w:trPr>
          <w:trHeight w:val="986"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发展专项资金</w:t>
            </w:r>
            <w:r>
              <w:rPr>
                <w:rFonts w:ascii="Times New Roman" w:hAnsi="Times New Roman" w:cs="Times New Roman" w:eastAsia="Times New Roman" w:hint="default"/>
                <w:sz w:val="18"/>
                <w:szCs w:val="18"/>
              </w:rPr>
              <w:t>- </w:t>
            </w:r>
            <w:r>
              <w:rPr>
                <w:rFonts w:ascii="宋体" w:hAnsi="宋体" w:cs="宋体" w:eastAsia="宋体" w:hint="default"/>
                <w:sz w:val="18"/>
                <w:szCs w:val="18"/>
              </w:rPr>
              <w:t>移动信息化数码 营销平台</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宋体" w:hAnsi="宋体" w:cs="宋体" w:eastAsia="宋体" w:hint="default"/>
                <w:sz w:val="18"/>
                <w:szCs w:val="18"/>
              </w:rPr>
              <w:t>南山区</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文化 产业发展专项资 </w:t>
            </w:r>
            <w:r>
              <w:rPr>
                <w:rFonts w:ascii="宋体" w:hAnsi="宋体" w:cs="宋体" w:eastAsia="宋体" w:hint="default"/>
                <w:spacing w:val="-2"/>
                <w:sz w:val="18"/>
                <w:szCs w:val="18"/>
              </w:rPr>
              <w:t>金</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《众信网》成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果产业化及市场 推广</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南山区</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文化 产业发展专项资 金</w:t>
            </w:r>
            <w:r>
              <w:rPr>
                <w:rFonts w:ascii="Times New Roman" w:hAnsi="Times New Roman" w:cs="Times New Roman" w:eastAsia="Times New Roman" w:hint="default"/>
                <w:sz w:val="18"/>
                <w:szCs w:val="18"/>
              </w:rPr>
              <w:t>-</w:t>
            </w:r>
            <w:r>
              <w:rPr>
                <w:rFonts w:ascii="宋体" w:hAnsi="宋体" w:cs="宋体" w:eastAsia="宋体" w:hint="default"/>
                <w:sz w:val="18"/>
                <w:szCs w:val="18"/>
              </w:rPr>
              <w:t>企业网讯平 台</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年文 化创意产业发展 专项资金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手机 传媒研发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200,123.99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47,345.42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152,778.57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650"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南山区</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文化 产业发展专项资 金</w:t>
            </w:r>
            <w:r>
              <w:rPr>
                <w:rFonts w:ascii="Times New Roman" w:hAnsi="Times New Roman" w:cs="Times New Roman" w:eastAsia="Times New Roman" w:hint="default"/>
                <w:sz w:val="18"/>
                <w:szCs w:val="18"/>
              </w:rPr>
              <w:t>-</w:t>
            </w:r>
            <w:r>
              <w:rPr>
                <w:rFonts w:ascii="宋体" w:hAnsi="宋体" w:cs="宋体" w:eastAsia="宋体" w:hint="default"/>
                <w:sz w:val="18"/>
                <w:szCs w:val="18"/>
              </w:rPr>
              <w:t>企业管理智 能云平台市场推 广</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96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深圳市</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文化 创意产业发展专 项资金</w:t>
            </w:r>
            <w:r>
              <w:rPr>
                <w:rFonts w:ascii="Times New Roman" w:hAnsi="Times New Roman" w:cs="Times New Roman" w:eastAsia="Times New Roman" w:hint="default"/>
                <w:sz w:val="18"/>
                <w:szCs w:val="18"/>
              </w:rPr>
              <w:t>-</w:t>
            </w:r>
            <w:r>
              <w:rPr>
                <w:rFonts w:ascii="宋体" w:hAnsi="宋体" w:cs="宋体" w:eastAsia="宋体" w:hint="default"/>
                <w:sz w:val="18"/>
                <w:szCs w:val="18"/>
              </w:rPr>
              <w:t>基于移 动互联网的企业 文化展示平台研 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中小型创新企业 补助</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中小企业发展专 项</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深圳手机媒体互 动技术工程实验 室</w:t>
            </w:r>
            <w:r>
              <w:rPr>
                <w:rFonts w:ascii="Times New Roman" w:hAnsi="Times New Roman" w:cs="Times New Roman" w:eastAsia="Times New Roman" w:hint="default"/>
                <w:sz w:val="18"/>
                <w:szCs w:val="18"/>
              </w:rPr>
              <w:t>-</w:t>
            </w:r>
            <w:r>
              <w:rPr>
                <w:rFonts w:ascii="宋体" w:hAnsi="宋体" w:cs="宋体" w:eastAsia="宋体" w:hint="default"/>
                <w:sz w:val="18"/>
                <w:szCs w:val="18"/>
              </w:rPr>
              <w:t>南山区文化 产业配套资助款</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49,940,961.00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38,275,724.68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25,721,051.34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62,495,634.34</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64" w:lineRule="auto" w:before="90"/>
        <w:ind w:left="153" w:right="142" w:firstLine="420"/>
        <w:jc w:val="both"/>
      </w:pPr>
      <w:r>
        <w:rPr>
          <w:rFonts w:ascii="Times New Roman" w:hAnsi="Times New Roman" w:cs="Times New Roman" w:eastAsia="Times New Roman" w:hint="default"/>
        </w:rPr>
        <w:t>[</w:t>
      </w:r>
      <w:r>
        <w:rPr/>
        <w:t>注</w:t>
      </w:r>
      <w:r>
        <w:rPr>
          <w:rFonts w:ascii="Times New Roman" w:hAnsi="Times New Roman" w:cs="Times New Roman" w:eastAsia="Times New Roman" w:hint="default"/>
        </w:rPr>
        <w:t>1]</w:t>
      </w:r>
      <w:r>
        <w:rPr/>
        <w:t>：根据发改高技〔</w:t>
      </w:r>
      <w:r>
        <w:rPr>
          <w:rFonts w:ascii="Times New Roman" w:hAnsi="Times New Roman" w:cs="Times New Roman" w:eastAsia="Times New Roman" w:hint="default"/>
        </w:rPr>
        <w:t>2004</w:t>
      </w:r>
      <w:r>
        <w:rPr/>
        <w:t>〕</w:t>
      </w:r>
      <w:r>
        <w:rPr>
          <w:rFonts w:ascii="Times New Roman" w:hAnsi="Times New Roman" w:cs="Times New Roman" w:eastAsia="Times New Roman" w:hint="default"/>
        </w:rPr>
        <w:t>2653</w:t>
      </w:r>
      <w:r>
        <w:rPr/>
        <w:t>号文及发改高技〔</w:t>
      </w:r>
      <w:r>
        <w:rPr>
          <w:rFonts w:ascii="Times New Roman" w:hAnsi="Times New Roman" w:cs="Times New Roman" w:eastAsia="Times New Roman" w:hint="default"/>
        </w:rPr>
        <w:t>2005</w:t>
      </w:r>
      <w:r>
        <w:rPr/>
        <w:t>〕</w:t>
      </w:r>
      <w:r>
        <w:rPr>
          <w:rFonts w:ascii="Times New Roman" w:hAnsi="Times New Roman" w:cs="Times New Roman" w:eastAsia="Times New Roman" w:hint="default"/>
        </w:rPr>
        <w:t>912</w:t>
      </w:r>
      <w:r>
        <w:rPr/>
        <w:t>号文，公司研发的大型煤矿瓦斯安全 </w:t>
      </w:r>
      <w:r>
        <w:rPr>
          <w:spacing w:val="3"/>
        </w:rPr>
        <w:t>监控与排放自动化成套系统产业化项目获得国家发改委立项的第一批国家高科技产业发展项目和产业技</w:t>
      </w:r>
      <w:r>
        <w:rPr>
          <w:spacing w:val="-78"/>
        </w:rPr>
        <w:t> </w:t>
      </w:r>
      <w:r>
        <w:rPr>
          <w:spacing w:val="-78"/>
        </w:rPr>
      </w:r>
      <w:r>
        <w:rPr/>
        <w:t>术研究与开发资金支持，取得拨款共计</w:t>
      </w:r>
      <w:r>
        <w:rPr>
          <w:rFonts w:ascii="Times New Roman" w:hAnsi="Times New Roman" w:cs="Times New Roman" w:eastAsia="Times New Roman" w:hint="default"/>
        </w:rPr>
        <w:t>1,300</w:t>
      </w:r>
      <w:r>
        <w:rPr/>
        <w:t>万元。本年度结转营业外收入</w:t>
      </w:r>
      <w:r>
        <w:rPr>
          <w:rFonts w:ascii="Times New Roman" w:hAnsi="Times New Roman" w:cs="Times New Roman" w:eastAsia="Times New Roman" w:hint="default"/>
        </w:rPr>
        <w:t>684,210.52</w:t>
      </w:r>
      <w:r>
        <w:rPr/>
        <w:t>元。</w:t>
      </w:r>
    </w:p>
    <w:p>
      <w:pPr>
        <w:pStyle w:val="BodyText"/>
        <w:spacing w:line="289" w:lineRule="exact"/>
        <w:ind w:left="573" w:right="0"/>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2]</w:t>
      </w:r>
      <w:r>
        <w:rPr/>
        <w:t>：根据发改办能源〔</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1126</w:t>
      </w:r>
      <w:r>
        <w:rPr/>
        <w:t>号文及发改投资〔</w:t>
      </w:r>
      <w:r>
        <w:rPr>
          <w:rFonts w:ascii="Times New Roman" w:hAnsi="Times New Roman" w:cs="Times New Roman" w:eastAsia="Times New Roman" w:hint="default"/>
        </w:rPr>
        <w:t>2009</w:t>
      </w:r>
      <w:r>
        <w:rPr/>
        <w:t>〕</w:t>
      </w:r>
      <w:r>
        <w:rPr>
          <w:rFonts w:ascii="Times New Roman" w:hAnsi="Times New Roman" w:cs="Times New Roman" w:eastAsia="Times New Roman" w:hint="default"/>
        </w:rPr>
        <w:t>1416</w:t>
      </w:r>
      <w:r>
        <w:rPr/>
        <w:t>号文，公司</w:t>
      </w:r>
      <w:r>
        <w:rPr>
          <w:rFonts w:ascii="Times New Roman" w:hAnsi="Times New Roman" w:cs="Times New Roman" w:eastAsia="Times New Roman" w:hint="default"/>
        </w:rPr>
        <w:t>10KV</w:t>
      </w:r>
      <w:r>
        <w:rPr/>
        <w:t>大功率变频装置</w:t>
      </w:r>
    </w:p>
    <w:p>
      <w:pPr>
        <w:spacing w:after="0" w:line="289" w:lineRule="exact"/>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BodyText"/>
        <w:spacing w:line="256" w:lineRule="auto" w:before="35"/>
        <w:ind w:right="117"/>
        <w:jc w:val="left"/>
      </w:pPr>
      <w:r>
        <w:rPr/>
        <w:t>项目被列入</w:t>
      </w:r>
      <w:r>
        <w:rPr>
          <w:rFonts w:ascii="Times New Roman" w:hAnsi="Times New Roman" w:cs="Times New Roman" w:eastAsia="Times New Roman" w:hint="default"/>
        </w:rPr>
        <w:t>2009</w:t>
      </w:r>
      <w:r>
        <w:rPr/>
        <w:t>年核电风电装备自主化和能源装备专项，并获得中央项目预算内投资补助拨款</w:t>
      </w:r>
      <w:r>
        <w:rPr>
          <w:rFonts w:ascii="Times New Roman" w:hAnsi="Times New Roman" w:cs="Times New Roman" w:eastAsia="Times New Roman" w:hint="default"/>
        </w:rPr>
        <w:t>1,800</w:t>
      </w:r>
      <w:r>
        <w:rPr/>
        <w:t>万元。 本年度结转营业外收入</w:t>
      </w:r>
      <w:r>
        <w:rPr>
          <w:rFonts w:ascii="Times New Roman" w:hAnsi="Times New Roman" w:cs="Times New Roman" w:eastAsia="Times New Roman" w:hint="default"/>
        </w:rPr>
        <w:t>666,666.68</w:t>
      </w:r>
      <w:r>
        <w:rPr/>
        <w:t>元。</w:t>
      </w:r>
    </w:p>
    <w:p>
      <w:pPr>
        <w:pStyle w:val="BodyText"/>
        <w:spacing w:line="256" w:lineRule="auto" w:before="5"/>
        <w:ind w:left="153" w:right="206" w:firstLine="420"/>
        <w:jc w:val="both"/>
      </w:pPr>
      <w:r>
        <w:rPr>
          <w:rFonts w:ascii="Times New Roman" w:hAnsi="Times New Roman" w:cs="Times New Roman" w:eastAsia="Times New Roman" w:hint="default"/>
          <w:spacing w:val="-2"/>
        </w:rPr>
        <w:t>[</w:t>
      </w:r>
      <w:r>
        <w:rPr>
          <w:spacing w:val="-2"/>
        </w:rPr>
        <w:t>注</w:t>
      </w:r>
      <w:r>
        <w:rPr>
          <w:rFonts w:ascii="Times New Roman" w:hAnsi="Times New Roman" w:cs="Times New Roman" w:eastAsia="Times New Roman" w:hint="default"/>
          <w:spacing w:val="-2"/>
        </w:rPr>
        <w:t>3]</w:t>
      </w:r>
      <w:r>
        <w:rPr>
          <w:spacing w:val="-2"/>
        </w:rPr>
        <w:t>：根据辽信息产字〔</w:t>
      </w:r>
      <w:r>
        <w:rPr>
          <w:rFonts w:ascii="Times New Roman" w:hAnsi="Times New Roman" w:cs="Times New Roman" w:eastAsia="Times New Roman" w:hint="default"/>
          <w:spacing w:val="-2"/>
        </w:rPr>
        <w:t>2004</w:t>
      </w:r>
      <w:r>
        <w:rPr>
          <w:spacing w:val="-2"/>
        </w:rPr>
        <w:t>〕</w:t>
      </w:r>
      <w:r>
        <w:rPr>
          <w:rFonts w:ascii="Times New Roman" w:hAnsi="Times New Roman" w:cs="Times New Roman" w:eastAsia="Times New Roman" w:hint="default"/>
          <w:spacing w:val="-2"/>
        </w:rPr>
        <w:t>62</w:t>
      </w:r>
      <w:r>
        <w:rPr>
          <w:spacing w:val="-2"/>
        </w:rPr>
        <w:t>号文，公司的大型煤矿瓦斯安全监控与排放自动化成套系统获得辽</w:t>
      </w:r>
      <w:r>
        <w:rPr/>
        <w:t> 宁省信息产业厅立项的</w:t>
      </w:r>
      <w:r>
        <w:rPr>
          <w:rFonts w:ascii="Times New Roman" w:hAnsi="Times New Roman" w:cs="Times New Roman" w:eastAsia="Times New Roman" w:hint="default"/>
        </w:rPr>
        <w:t>2004</w:t>
      </w:r>
      <w:r>
        <w:rPr/>
        <w:t>年度省信息产品制造专业专项资金支持，取得拨款</w:t>
      </w:r>
      <w:r>
        <w:rPr>
          <w:rFonts w:ascii="Times New Roman" w:hAnsi="Times New Roman" w:cs="Times New Roman" w:eastAsia="Times New Roman" w:hint="default"/>
        </w:rPr>
        <w:t>200</w:t>
      </w:r>
      <w:r>
        <w:rPr/>
        <w:t>万元。本年度结转营业</w:t>
      </w:r>
      <w:r>
        <w:rPr>
          <w:spacing w:val="-36"/>
        </w:rPr>
        <w:t> </w:t>
      </w:r>
      <w:r>
        <w:rPr>
          <w:spacing w:val="-36"/>
        </w:rPr>
      </w:r>
      <w:r>
        <w:rPr/>
        <w:t>外收入</w:t>
      </w:r>
      <w:r>
        <w:rPr>
          <w:rFonts w:ascii="Times New Roman" w:hAnsi="Times New Roman" w:cs="Times New Roman" w:eastAsia="Times New Roman" w:hint="default"/>
        </w:rPr>
        <w:t>105,263.16</w:t>
      </w:r>
      <w:r>
        <w:rPr/>
        <w:t>元。</w:t>
      </w:r>
    </w:p>
    <w:p>
      <w:pPr>
        <w:pStyle w:val="BodyText"/>
        <w:spacing w:line="256" w:lineRule="auto" w:before="5"/>
        <w:ind w:right="209" w:firstLine="419"/>
        <w:jc w:val="both"/>
      </w:pPr>
      <w:r>
        <w:rPr>
          <w:rFonts w:ascii="Times New Roman" w:hAnsi="Times New Roman" w:cs="Times New Roman" w:eastAsia="Times New Roman" w:hint="default"/>
          <w:spacing w:val="-2"/>
        </w:rPr>
        <w:t>[</w:t>
      </w:r>
      <w:r>
        <w:rPr>
          <w:spacing w:val="-2"/>
        </w:rPr>
        <w:t>注</w:t>
      </w:r>
      <w:r>
        <w:rPr>
          <w:rFonts w:ascii="Times New Roman" w:hAnsi="Times New Roman" w:cs="Times New Roman" w:eastAsia="Times New Roman" w:hint="default"/>
          <w:spacing w:val="-2"/>
        </w:rPr>
        <w:t>4]</w:t>
      </w:r>
      <w:r>
        <w:rPr>
          <w:spacing w:val="-2"/>
        </w:rPr>
        <w:t>：根据鞍山市财政局鞍发改发〔</w:t>
      </w:r>
      <w:r>
        <w:rPr>
          <w:rFonts w:ascii="Times New Roman" w:hAnsi="Times New Roman" w:cs="Times New Roman" w:eastAsia="Times New Roman" w:hint="default"/>
          <w:spacing w:val="-2"/>
        </w:rPr>
        <w:t>2008</w:t>
      </w:r>
      <w:r>
        <w:rPr>
          <w:spacing w:val="-2"/>
        </w:rPr>
        <w:t>〕</w:t>
      </w:r>
      <w:r>
        <w:rPr>
          <w:rFonts w:ascii="Times New Roman" w:hAnsi="Times New Roman" w:cs="Times New Roman" w:eastAsia="Times New Roman" w:hint="default"/>
          <w:spacing w:val="-2"/>
        </w:rPr>
        <w:t>3</w:t>
      </w:r>
      <w:r>
        <w:rPr>
          <w:spacing w:val="-2"/>
        </w:rPr>
        <w:t>号文及鞍山市财政局鞍财指经〔</w:t>
      </w:r>
      <w:r>
        <w:rPr>
          <w:rFonts w:ascii="Times New Roman" w:hAnsi="Times New Roman" w:cs="Times New Roman" w:eastAsia="Times New Roman" w:hint="default"/>
          <w:spacing w:val="-2"/>
        </w:rPr>
        <w:t>2007</w:t>
      </w:r>
      <w:r>
        <w:rPr>
          <w:spacing w:val="-2"/>
        </w:rPr>
        <w:t>〕</w:t>
      </w:r>
      <w:r>
        <w:rPr>
          <w:rFonts w:ascii="Times New Roman" w:hAnsi="Times New Roman" w:cs="Times New Roman" w:eastAsia="Times New Roman" w:hint="default"/>
          <w:spacing w:val="-2"/>
        </w:rPr>
        <w:t>597</w:t>
      </w:r>
      <w:r>
        <w:rPr>
          <w:spacing w:val="-2"/>
        </w:rPr>
        <w:t>号文，本公司</w:t>
      </w:r>
      <w:r>
        <w:rPr/>
        <w:t> </w:t>
      </w:r>
      <w:r>
        <w:rPr>
          <w:spacing w:val="-2"/>
        </w:rPr>
        <w:t>取得拨款共计</w:t>
      </w:r>
      <w:r>
        <w:rPr>
          <w:rFonts w:ascii="Times New Roman" w:hAnsi="Times New Roman" w:cs="Times New Roman" w:eastAsia="Times New Roman" w:hint="default"/>
          <w:spacing w:val="-2"/>
        </w:rPr>
        <w:t>1,000</w:t>
      </w:r>
      <w:r>
        <w:rPr>
          <w:spacing w:val="-2"/>
        </w:rPr>
        <w:t>万元，专项用于提高自主创新能力及高技术产业发展项目建设。本年度结转营业外收入</w:t>
      </w:r>
      <w:r>
        <w:rPr>
          <w:spacing w:val="-86"/>
        </w:rPr>
        <w:t> </w:t>
      </w:r>
      <w:r>
        <w:rPr>
          <w:spacing w:val="-86"/>
        </w:rPr>
      </w:r>
      <w:r>
        <w:rPr>
          <w:rFonts w:ascii="Times New Roman" w:hAnsi="Times New Roman" w:cs="Times New Roman" w:eastAsia="Times New Roman" w:hint="default"/>
        </w:rPr>
        <w:t>526,315.80</w:t>
      </w:r>
      <w:r>
        <w:rPr/>
        <w:t>元。</w:t>
      </w:r>
    </w:p>
    <w:p>
      <w:pPr>
        <w:pStyle w:val="BodyText"/>
        <w:spacing w:line="256" w:lineRule="auto" w:before="5"/>
        <w:ind w:right="208" w:firstLine="420"/>
        <w:jc w:val="both"/>
      </w:pPr>
      <w:r>
        <w:rPr>
          <w:rFonts w:ascii="Times New Roman" w:hAnsi="Times New Roman" w:cs="Times New Roman" w:eastAsia="Times New Roman" w:hint="default"/>
          <w:spacing w:val="-2"/>
        </w:rPr>
        <w:t>[</w:t>
      </w:r>
      <w:r>
        <w:rPr>
          <w:spacing w:val="-2"/>
        </w:rPr>
        <w:t>注</w:t>
      </w:r>
      <w:r>
        <w:rPr>
          <w:rFonts w:ascii="Times New Roman" w:hAnsi="Times New Roman" w:cs="Times New Roman" w:eastAsia="Times New Roman" w:hint="default"/>
          <w:spacing w:val="-2"/>
        </w:rPr>
        <w:t>5]</w:t>
      </w:r>
      <w:r>
        <w:rPr>
          <w:spacing w:val="-2"/>
        </w:rPr>
        <w:t>：根据辽宁省财政厅辽财指经〔</w:t>
      </w:r>
      <w:r>
        <w:rPr>
          <w:rFonts w:ascii="Times New Roman" w:hAnsi="Times New Roman" w:cs="Times New Roman" w:eastAsia="Times New Roman" w:hint="default"/>
          <w:spacing w:val="-2"/>
        </w:rPr>
        <w:t>2009</w:t>
      </w:r>
      <w:r>
        <w:rPr>
          <w:spacing w:val="-2"/>
        </w:rPr>
        <w:t>〕</w:t>
      </w:r>
      <w:r>
        <w:rPr>
          <w:rFonts w:ascii="Times New Roman" w:hAnsi="Times New Roman" w:cs="Times New Roman" w:eastAsia="Times New Roman" w:hint="default"/>
          <w:spacing w:val="-2"/>
        </w:rPr>
        <w:t>8051</w:t>
      </w:r>
      <w:r>
        <w:rPr>
          <w:spacing w:val="-2"/>
        </w:rPr>
        <w:t>号文、辽宁省发改委辽发改投资〔</w:t>
      </w:r>
      <w:r>
        <w:rPr>
          <w:rFonts w:ascii="Times New Roman" w:hAnsi="Times New Roman" w:cs="Times New Roman" w:eastAsia="Times New Roman" w:hint="default"/>
          <w:spacing w:val="-2"/>
        </w:rPr>
        <w:t>2009</w:t>
      </w:r>
      <w:r>
        <w:rPr>
          <w:spacing w:val="-2"/>
        </w:rPr>
        <w:t>〕</w:t>
      </w:r>
      <w:r>
        <w:rPr>
          <w:rFonts w:ascii="Times New Roman" w:hAnsi="Times New Roman" w:cs="Times New Roman" w:eastAsia="Times New Roman" w:hint="default"/>
          <w:spacing w:val="-2"/>
        </w:rPr>
        <w:t>1141</w:t>
      </w:r>
      <w:r>
        <w:rPr>
          <w:spacing w:val="-2"/>
        </w:rPr>
        <w:t>号文及</w:t>
      </w:r>
      <w:r>
        <w:rPr/>
        <w:t> </w:t>
      </w:r>
      <w:r>
        <w:rPr>
          <w:spacing w:val="-1"/>
        </w:rPr>
        <w:t>鞍山市发改委鞍发改发〔</w:t>
      </w:r>
      <w:r>
        <w:rPr>
          <w:rFonts w:ascii="Times New Roman" w:hAnsi="Times New Roman" w:cs="Times New Roman" w:eastAsia="Times New Roman" w:hint="default"/>
          <w:spacing w:val="-1"/>
        </w:rPr>
        <w:t>2009</w:t>
      </w:r>
      <w:r>
        <w:rPr>
          <w:spacing w:val="-1"/>
        </w:rPr>
        <w:t>〕</w:t>
      </w:r>
      <w:r>
        <w:rPr>
          <w:rFonts w:ascii="Times New Roman" w:hAnsi="Times New Roman" w:cs="Times New Roman" w:eastAsia="Times New Roman" w:hint="default"/>
          <w:spacing w:val="-1"/>
        </w:rPr>
        <w:t>204</w:t>
      </w:r>
      <w:r>
        <w:rPr>
          <w:spacing w:val="-1"/>
        </w:rPr>
        <w:t>号文，本公司取得拨款</w:t>
      </w:r>
      <w:r>
        <w:rPr>
          <w:rFonts w:ascii="Times New Roman" w:hAnsi="Times New Roman" w:cs="Times New Roman" w:eastAsia="Times New Roman" w:hint="default"/>
          <w:spacing w:val="-1"/>
        </w:rPr>
        <w:t>1,300</w:t>
      </w:r>
      <w:r>
        <w:rPr>
          <w:spacing w:val="-1"/>
        </w:rPr>
        <w:t>万元，专项用于年产</w:t>
      </w:r>
      <w:r>
        <w:rPr>
          <w:rFonts w:ascii="Times New Roman" w:hAnsi="Times New Roman" w:cs="Times New Roman" w:eastAsia="Times New Roman" w:hint="default"/>
          <w:spacing w:val="-1"/>
        </w:rPr>
        <w:t>5000</w:t>
      </w:r>
      <w:r>
        <w:rPr>
          <w:spacing w:val="-1"/>
        </w:rPr>
        <w:t>台</w:t>
      </w:r>
      <w:r>
        <w:rPr>
          <w:rFonts w:ascii="Times New Roman" w:hAnsi="Times New Roman" w:cs="Times New Roman" w:eastAsia="Times New Roman" w:hint="default"/>
          <w:spacing w:val="-1"/>
        </w:rPr>
        <w:t>/</w:t>
      </w:r>
      <w:r>
        <w:rPr>
          <w:spacing w:val="-1"/>
        </w:rPr>
        <w:t>套新型电抗器</w:t>
      </w:r>
      <w:r>
        <w:rPr>
          <w:spacing w:val="-91"/>
        </w:rPr>
        <w:t> </w:t>
      </w:r>
      <w:r>
        <w:rPr>
          <w:spacing w:val="-91"/>
        </w:rPr>
      </w:r>
      <w:r>
        <w:rPr/>
        <w:t>产业化项目建设。本年度结转营业外收入</w:t>
      </w:r>
      <w:r>
        <w:rPr>
          <w:rFonts w:ascii="Times New Roman" w:hAnsi="Times New Roman" w:cs="Times New Roman" w:eastAsia="Times New Roman" w:hint="default"/>
        </w:rPr>
        <w:t>672,983.48</w:t>
      </w:r>
      <w:r>
        <w:rPr/>
        <w:t>元。</w:t>
      </w:r>
    </w:p>
    <w:p>
      <w:pPr>
        <w:pStyle w:val="BodyText"/>
        <w:spacing w:line="256" w:lineRule="auto" w:before="5"/>
        <w:ind w:right="198" w:firstLine="420"/>
        <w:jc w:val="both"/>
      </w:pPr>
      <w:r>
        <w:rPr>
          <w:rFonts w:ascii="Times New Roman" w:hAnsi="Times New Roman" w:cs="Times New Roman" w:eastAsia="Times New Roman" w:hint="default"/>
        </w:rPr>
        <w:t>[</w:t>
      </w:r>
      <w:r>
        <w:rPr/>
        <w:t>注</w:t>
      </w:r>
      <w:r>
        <w:rPr>
          <w:rFonts w:ascii="Times New Roman" w:hAnsi="Times New Roman" w:cs="Times New Roman" w:eastAsia="Times New Roman" w:hint="default"/>
        </w:rPr>
        <w:t>6]</w:t>
      </w:r>
      <w:r>
        <w:rPr/>
        <w:t>：根据辽宁省财政厅辽财指经〔</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8026</w:t>
      </w:r>
      <w:r>
        <w:rPr/>
        <w:t>号文、鞍山市财政局鞍财指经〔</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611</w:t>
      </w:r>
      <w:r>
        <w:rPr/>
        <w:t>号文，本 </w:t>
      </w:r>
      <w:r>
        <w:rPr>
          <w:spacing w:val="11"/>
        </w:rPr>
        <w:t>公司取得拨款</w:t>
      </w:r>
      <w:r>
        <w:rPr>
          <w:rFonts w:ascii="Times New Roman" w:hAnsi="Times New Roman" w:cs="Times New Roman" w:eastAsia="Times New Roman" w:hint="default"/>
          <w:spacing w:val="11"/>
        </w:rPr>
        <w:t>428</w:t>
      </w:r>
      <w:r>
        <w:rPr>
          <w:spacing w:val="11"/>
        </w:rPr>
        <w:t>万元，专项用于大功率变频装置产业升级项目的资金支出。本年度结转营业外收入</w:t>
      </w:r>
      <w:r>
        <w:rPr>
          <w:spacing w:val="-88"/>
        </w:rPr>
        <w:t> </w:t>
      </w:r>
      <w:r>
        <w:rPr>
          <w:spacing w:val="-88"/>
        </w:rPr>
      </w:r>
      <w:r>
        <w:rPr>
          <w:rFonts w:ascii="Times New Roman" w:hAnsi="Times New Roman" w:cs="Times New Roman" w:eastAsia="Times New Roman" w:hint="default"/>
        </w:rPr>
        <w:t>107,000.00</w:t>
      </w:r>
      <w:r>
        <w:rPr/>
        <w:t>元。</w:t>
      </w:r>
    </w:p>
    <w:p>
      <w:pPr>
        <w:pStyle w:val="BodyText"/>
        <w:spacing w:line="256" w:lineRule="auto" w:before="5"/>
        <w:ind w:right="259" w:firstLine="420"/>
        <w:jc w:val="both"/>
      </w:pPr>
      <w:r>
        <w:rPr>
          <w:rFonts w:ascii="Times New Roman" w:hAnsi="Times New Roman" w:cs="Times New Roman" w:eastAsia="Times New Roman" w:hint="default"/>
        </w:rPr>
        <w:t>[</w:t>
      </w:r>
      <w:r>
        <w:rPr/>
        <w:t>注</w:t>
      </w:r>
      <w:r>
        <w:rPr>
          <w:rFonts w:ascii="Times New Roman" w:hAnsi="Times New Roman" w:cs="Times New Roman" w:eastAsia="Times New Roman" w:hint="default"/>
        </w:rPr>
        <w:t>7]</w:t>
      </w:r>
      <w:r>
        <w:rPr/>
        <w:t>：根据辽宁省经济和信息化委员会、辽宁省财政厅辽经信装备〔</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246</w:t>
      </w:r>
      <w:r>
        <w:rPr/>
        <w:t>号文，本公司本年度 取得拨款</w:t>
      </w:r>
      <w:r>
        <w:rPr>
          <w:rFonts w:ascii="Times New Roman" w:hAnsi="Times New Roman" w:cs="Times New Roman" w:eastAsia="Times New Roman" w:hint="default"/>
        </w:rPr>
        <w:t>199</w:t>
      </w:r>
      <w:r>
        <w:rPr/>
        <w:t>万元，专项用于轻型直流输电设备项目。截至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日，项目已经验收，本年度结转 营业外收入</w:t>
      </w:r>
      <w:r>
        <w:rPr>
          <w:rFonts w:ascii="Times New Roman" w:hAnsi="Times New Roman" w:cs="Times New Roman" w:eastAsia="Times New Roman" w:hint="default"/>
        </w:rPr>
        <w:t>199</w:t>
      </w:r>
      <w:r>
        <w:rPr/>
        <w:t>万元。</w:t>
      </w:r>
    </w:p>
    <w:p>
      <w:pPr>
        <w:pStyle w:val="BodyText"/>
        <w:spacing w:line="256" w:lineRule="auto" w:before="5"/>
        <w:ind w:right="102" w:firstLine="420"/>
        <w:jc w:val="left"/>
      </w:pPr>
      <w:r>
        <w:rPr>
          <w:rFonts w:ascii="Times New Roman" w:hAnsi="Times New Roman" w:cs="Times New Roman" w:eastAsia="Times New Roman" w:hint="default"/>
          <w:spacing w:val="-2"/>
        </w:rPr>
        <w:t>[</w:t>
      </w:r>
      <w:r>
        <w:rPr>
          <w:spacing w:val="-2"/>
        </w:rPr>
        <w:t>注</w:t>
      </w:r>
      <w:r>
        <w:rPr>
          <w:rFonts w:ascii="Times New Roman" w:hAnsi="Times New Roman" w:cs="Times New Roman" w:eastAsia="Times New Roman" w:hint="default"/>
          <w:spacing w:val="-2"/>
        </w:rPr>
        <w:t>8]</w:t>
      </w:r>
      <w:r>
        <w:rPr>
          <w:spacing w:val="-2"/>
        </w:rPr>
        <w:t>：根据鞍山高新技术产业开发区财政局鞍高财预字〔</w:t>
      </w:r>
      <w:r>
        <w:rPr>
          <w:rFonts w:ascii="Times New Roman" w:hAnsi="Times New Roman" w:cs="Times New Roman" w:eastAsia="Times New Roman" w:hint="default"/>
          <w:spacing w:val="-2"/>
        </w:rPr>
        <w:t>2015</w:t>
      </w:r>
      <w:r>
        <w:rPr>
          <w:spacing w:val="-2"/>
        </w:rPr>
        <w:t>〕</w:t>
      </w:r>
      <w:r>
        <w:rPr>
          <w:rFonts w:ascii="Times New Roman" w:hAnsi="Times New Roman" w:cs="Times New Roman" w:eastAsia="Times New Roman" w:hint="default"/>
          <w:spacing w:val="-2"/>
        </w:rPr>
        <w:t>228</w:t>
      </w:r>
      <w:r>
        <w:rPr>
          <w:spacing w:val="-2"/>
        </w:rPr>
        <w:t>号文，本公司本年度取得拨款</w:t>
      </w:r>
      <w:r>
        <w:rPr>
          <w:rFonts w:ascii="Times New Roman" w:hAnsi="Times New Roman" w:cs="Times New Roman" w:eastAsia="Times New Roman" w:hint="default"/>
          <w:spacing w:val="-2"/>
        </w:rPr>
        <w:t>800</w:t>
      </w:r>
      <w:r>
        <w:rPr>
          <w:rFonts w:ascii="Times New Roman" w:hAnsi="Times New Roman" w:cs="Times New Roman" w:eastAsia="Times New Roman" w:hint="default"/>
        </w:rPr>
        <w:t> </w:t>
      </w:r>
      <w:r>
        <w:rPr/>
        <w:t>万元，用于企业科技发展专项资金。截至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日，项目已经验收，本年度结转营业外收入</w:t>
      </w:r>
      <w:r>
        <w:rPr>
          <w:rFonts w:ascii="Times New Roman" w:hAnsi="Times New Roman" w:cs="Times New Roman" w:eastAsia="Times New Roman" w:hint="default"/>
        </w:rPr>
        <w:t>800</w:t>
      </w:r>
      <w:r>
        <w:rPr/>
        <w:t>万 元。</w:t>
      </w:r>
    </w:p>
    <w:p>
      <w:pPr>
        <w:pStyle w:val="BodyText"/>
        <w:spacing w:line="264" w:lineRule="auto" w:before="22"/>
        <w:ind w:left="153" w:right="102" w:firstLine="420"/>
        <w:jc w:val="left"/>
      </w:pPr>
      <w:r>
        <w:rPr>
          <w:rFonts w:ascii="Times New Roman" w:hAnsi="Times New Roman" w:cs="Times New Roman" w:eastAsia="Times New Roman" w:hint="default"/>
          <w:spacing w:val="-8"/>
        </w:rPr>
        <w:t>[</w:t>
      </w:r>
      <w:r>
        <w:rPr>
          <w:spacing w:val="-8"/>
        </w:rPr>
        <w:t>注</w:t>
      </w:r>
      <w:r>
        <w:rPr>
          <w:rFonts w:ascii="Times New Roman" w:hAnsi="Times New Roman" w:cs="Times New Roman" w:eastAsia="Times New Roman" w:hint="default"/>
          <w:spacing w:val="-8"/>
        </w:rPr>
        <w:t>9]</w:t>
      </w:r>
      <w:r>
        <w:rPr>
          <w:spacing w:val="-8"/>
        </w:rPr>
        <w:t>：根据鞍山市财政局鞍财指企〔</w:t>
      </w:r>
      <w:r>
        <w:rPr>
          <w:rFonts w:ascii="Times New Roman" w:hAnsi="Times New Roman" w:cs="Times New Roman" w:eastAsia="Times New Roman" w:hint="default"/>
          <w:spacing w:val="-8"/>
        </w:rPr>
        <w:t>2015</w:t>
      </w:r>
      <w:r>
        <w:rPr>
          <w:spacing w:val="-8"/>
        </w:rPr>
        <w:t>〕</w:t>
      </w:r>
      <w:r>
        <w:rPr>
          <w:rFonts w:ascii="Times New Roman" w:hAnsi="Times New Roman" w:cs="Times New Roman" w:eastAsia="Times New Roman" w:hint="default"/>
          <w:spacing w:val="-8"/>
        </w:rPr>
        <w:t>445</w:t>
      </w:r>
      <w:r>
        <w:rPr>
          <w:spacing w:val="-8"/>
        </w:rPr>
        <w:t>号文，本公司本年度取得拨款</w:t>
      </w:r>
      <w:r>
        <w:rPr>
          <w:rFonts w:ascii="Times New Roman" w:hAnsi="Times New Roman" w:cs="Times New Roman" w:eastAsia="Times New Roman" w:hint="default"/>
          <w:spacing w:val="-8"/>
        </w:rPr>
        <w:t>800</w:t>
      </w:r>
      <w:r>
        <w:rPr>
          <w:spacing w:val="-8"/>
        </w:rPr>
        <w:t>万元，专项用于</w:t>
      </w:r>
      <w:r>
        <w:rPr>
          <w:rFonts w:ascii="Times New Roman" w:hAnsi="Times New Roman" w:cs="Times New Roman" w:eastAsia="Times New Roman" w:hint="default"/>
          <w:spacing w:val="-8"/>
        </w:rPr>
        <w:t>1000mw</w:t>
      </w:r>
      <w:r>
        <w:rPr>
          <w:rFonts w:ascii="Times New Roman" w:hAnsi="Times New Roman" w:cs="Times New Roman" w:eastAsia="Times New Roman" w:hint="default"/>
        </w:rPr>
        <w:t> </w:t>
      </w:r>
      <w:r>
        <w:rPr/>
        <w:t>柔性直流输电换流阀成套设备项目。该项目形成的资产于2013年8月23日已对外转让，固本年度结转营业 外收入</w:t>
      </w:r>
      <w:r>
        <w:rPr>
          <w:rFonts w:ascii="Times New Roman" w:hAnsi="Times New Roman" w:cs="Times New Roman" w:eastAsia="Times New Roman" w:hint="default"/>
        </w:rPr>
        <w:t>800</w:t>
      </w:r>
      <w:r>
        <w:rPr/>
        <w:t>万元。</w:t>
      </w:r>
    </w:p>
    <w:p>
      <w:pPr>
        <w:pStyle w:val="BodyText"/>
        <w:spacing w:line="256" w:lineRule="auto"/>
        <w:ind w:right="211" w:firstLine="419"/>
        <w:jc w:val="both"/>
      </w:pPr>
      <w:r>
        <w:rPr>
          <w:rFonts w:ascii="Times New Roman" w:hAnsi="Times New Roman" w:cs="Times New Roman" w:eastAsia="Times New Roman" w:hint="default"/>
        </w:rPr>
        <w:t>[</w:t>
      </w:r>
      <w:r>
        <w:rPr/>
        <w:t>注</w:t>
      </w:r>
      <w:r>
        <w:rPr>
          <w:rFonts w:ascii="Times New Roman" w:hAnsi="Times New Roman" w:cs="Times New Roman" w:eastAsia="Times New Roman" w:hint="default"/>
        </w:rPr>
        <w:t>10]</w:t>
      </w:r>
      <w:r>
        <w:rPr/>
        <w:t>：根据深圳市发展改革委等根据深发改〔</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535</w:t>
      </w:r>
      <w:r>
        <w:rPr>
          <w:rFonts w:ascii="Times New Roman" w:hAnsi="Times New Roman" w:cs="Times New Roman" w:eastAsia="Times New Roman" w:hint="default"/>
          <w:spacing w:val="-9"/>
        </w:rPr>
        <w:t> </w:t>
      </w:r>
      <w:r>
        <w:rPr/>
        <w:t>号文，梦网科技</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日取得拨款人 民币 </w:t>
      </w:r>
      <w:r>
        <w:rPr>
          <w:rFonts w:ascii="Times New Roman" w:hAnsi="Times New Roman" w:cs="Times New Roman" w:eastAsia="Times New Roman" w:hint="default"/>
        </w:rPr>
        <w:t>360</w:t>
      </w:r>
      <w:r>
        <w:rPr>
          <w:rFonts w:ascii="Times New Roman" w:hAnsi="Times New Roman" w:cs="Times New Roman" w:eastAsia="Times New Roman" w:hint="default"/>
          <w:spacing w:val="3"/>
        </w:rPr>
        <w:t> </w:t>
      </w:r>
      <w:r>
        <w:rPr/>
        <w:t>万元，用于智眸平安社区监控系统产业化。截至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日，项目未通过验收。</w:t>
      </w:r>
    </w:p>
    <w:p>
      <w:pPr>
        <w:pStyle w:val="BodyText"/>
        <w:spacing w:line="256" w:lineRule="auto" w:before="5"/>
        <w:ind w:right="257" w:firstLine="420"/>
        <w:jc w:val="both"/>
      </w:pPr>
      <w:r>
        <w:rPr>
          <w:rFonts w:ascii="Times New Roman" w:hAnsi="Times New Roman" w:cs="Times New Roman" w:eastAsia="Times New Roman" w:hint="default"/>
        </w:rPr>
        <w:t>[</w:t>
      </w:r>
      <w:r>
        <w:rPr/>
        <w:t>注</w:t>
      </w:r>
      <w:r>
        <w:rPr>
          <w:rFonts w:ascii="Times New Roman" w:hAnsi="Times New Roman" w:cs="Times New Roman" w:eastAsia="Times New Roman" w:hint="default"/>
        </w:rPr>
        <w:t>11]</w:t>
      </w:r>
      <w:r>
        <w:rPr/>
        <w:t>：根据深圳市经济贸易和信息化委员会根据深发改〔</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535</w:t>
      </w:r>
      <w:r>
        <w:rPr/>
        <w:t>号文，梦网科技</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 取得拨款人民币 </w:t>
      </w:r>
      <w:r>
        <w:rPr>
          <w:rFonts w:ascii="Times New Roman" w:hAnsi="Times New Roman" w:cs="Times New Roman" w:eastAsia="Times New Roman" w:hint="default"/>
        </w:rPr>
        <w:t>80</w:t>
      </w:r>
      <w:r>
        <w:rPr>
          <w:rFonts w:ascii="Times New Roman" w:hAnsi="Times New Roman" w:cs="Times New Roman" w:eastAsia="Times New Roman" w:hint="default"/>
          <w:spacing w:val="1"/>
        </w:rPr>
        <w:t> </w:t>
      </w:r>
      <w:r>
        <w:rPr/>
        <w:t>万元，用于码信通积分营销平台项目。截至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日，项目未通过验收。</w:t>
      </w:r>
    </w:p>
    <w:p>
      <w:pPr>
        <w:pStyle w:val="BodyText"/>
        <w:spacing w:line="240" w:lineRule="auto" w:before="5"/>
        <w:ind w:left="574" w:right="102"/>
        <w:jc w:val="left"/>
        <w:rPr>
          <w:rFonts w:ascii="Times New Roman" w:hAnsi="Times New Roman" w:cs="Times New Roman" w:eastAsia="Times New Roman" w:hint="default"/>
        </w:rPr>
      </w:pPr>
      <w:r>
        <w:rPr>
          <w:rFonts w:ascii="Times New Roman" w:hAnsi="Times New Roman" w:cs="Times New Roman" w:eastAsia="Times New Roman" w:hint="default"/>
        </w:rPr>
        <w:t>[</w:t>
      </w:r>
      <w:r>
        <w:rPr/>
        <w:t>注</w:t>
      </w:r>
      <w:r>
        <w:rPr>
          <w:rFonts w:ascii="Times New Roman" w:hAnsi="Times New Roman" w:cs="Times New Roman" w:eastAsia="Times New Roman" w:hint="default"/>
        </w:rPr>
        <w:t>12]</w:t>
      </w:r>
      <w:r>
        <w:rPr/>
        <w:t>：根据深圳市经济贸易和信息化委员会根据深发改〔</w:t>
      </w:r>
      <w:r>
        <w:rPr>
          <w:rFonts w:ascii="Times New Roman" w:hAnsi="Times New Roman" w:cs="Times New Roman" w:eastAsia="Times New Roman" w:hint="default"/>
        </w:rPr>
        <w:t>2013</w:t>
      </w:r>
      <w:r>
        <w:rPr/>
        <w:t>〕</w:t>
      </w:r>
      <w:r>
        <w:rPr>
          <w:rFonts w:ascii="Times New Roman" w:hAnsi="Times New Roman" w:cs="Times New Roman" w:eastAsia="Times New Roman" w:hint="default"/>
        </w:rPr>
        <w:t>993 </w:t>
      </w:r>
      <w:r>
        <w:rPr/>
        <w:t>号文，梦网科技</w:t>
      </w:r>
      <w:r>
        <w:rPr>
          <w:rFonts w:ascii="Times New Roman" w:hAnsi="Times New Roman" w:cs="Times New Roman" w:eastAsia="Times New Roman" w:hint="default"/>
        </w:rPr>
        <w:t>2013 </w:t>
      </w:r>
      <w:r>
        <w:rPr/>
        <w:t>年 </w:t>
      </w:r>
      <w:r>
        <w:rPr>
          <w:rFonts w:ascii="Times New Roman" w:hAnsi="Times New Roman" w:cs="Times New Roman" w:eastAsia="Times New Roman" w:hint="default"/>
        </w:rPr>
        <w:t>8 </w:t>
      </w:r>
      <w:r>
        <w:rPr/>
        <w:t>月</w:t>
      </w:r>
      <w:r>
        <w:rPr>
          <w:spacing w:val="-19"/>
        </w:rPr>
        <w:t> </w:t>
      </w:r>
      <w:r>
        <w:rPr>
          <w:rFonts w:ascii="Times New Roman" w:hAnsi="Times New Roman" w:cs="Times New Roman" w:eastAsia="Times New Roman" w:hint="default"/>
        </w:rPr>
        <w:t>5</w:t>
      </w:r>
    </w:p>
    <w:p>
      <w:pPr>
        <w:pStyle w:val="BodyText"/>
        <w:spacing w:line="256" w:lineRule="auto" w:before="21"/>
        <w:ind w:left="153" w:right="221"/>
        <w:jc w:val="left"/>
      </w:pPr>
      <w:r>
        <w:rPr/>
        <w:t>日取得拨款人民币 </w:t>
      </w:r>
      <w:r>
        <w:rPr>
          <w:rFonts w:ascii="Times New Roman" w:hAnsi="Times New Roman" w:cs="Times New Roman" w:eastAsia="Times New Roman" w:hint="default"/>
        </w:rPr>
        <w:t>80</w:t>
      </w:r>
      <w:r>
        <w:rPr>
          <w:rFonts w:ascii="Times New Roman" w:hAnsi="Times New Roman" w:cs="Times New Roman" w:eastAsia="Times New Roman" w:hint="default"/>
          <w:spacing w:val="2"/>
        </w:rPr>
        <w:t> </w:t>
      </w:r>
      <w:r>
        <w:rPr/>
        <w:t>万元，用于企业商务管理智能云平台高端软件。截止</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日，项目未通过 验收。</w:t>
      </w:r>
    </w:p>
    <w:p>
      <w:pPr>
        <w:pStyle w:val="BodyText"/>
        <w:spacing w:line="256" w:lineRule="auto" w:before="22"/>
        <w:ind w:left="153" w:right="229" w:firstLine="420"/>
        <w:jc w:val="both"/>
      </w:pPr>
      <w:r>
        <w:rPr>
          <w:rFonts w:ascii="Times New Roman" w:hAnsi="Times New Roman" w:cs="Times New Roman" w:eastAsia="Times New Roman" w:hint="default"/>
        </w:rPr>
        <w:t>[</w:t>
      </w:r>
      <w:r>
        <w:rPr/>
        <w:t>注</w:t>
      </w:r>
      <w:r>
        <w:rPr>
          <w:rFonts w:ascii="Times New Roman" w:hAnsi="Times New Roman" w:cs="Times New Roman" w:eastAsia="Times New Roman" w:hint="default"/>
        </w:rPr>
        <w:t>13]</w:t>
      </w:r>
      <w:r>
        <w:rPr/>
        <w:t>：根据深圳市发展改革委、深圳市经贸信息委、深圳市科技创新委根据深发改〔</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555</w:t>
      </w:r>
      <w:r>
        <w:rPr>
          <w:rFonts w:ascii="Times New Roman" w:hAnsi="Times New Roman" w:cs="Times New Roman" w:eastAsia="Times New Roman" w:hint="default"/>
          <w:spacing w:val="28"/>
        </w:rPr>
        <w:t> </w:t>
      </w:r>
      <w:r>
        <w:rPr/>
        <w:t>号 文，梦网科技</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6 </w:t>
      </w:r>
      <w:r>
        <w:rPr/>
        <w:t>月 </w:t>
      </w:r>
      <w:r>
        <w:rPr>
          <w:rFonts w:ascii="Times New Roman" w:hAnsi="Times New Roman" w:cs="Times New Roman" w:eastAsia="Times New Roman" w:hint="default"/>
        </w:rPr>
        <w:t>13 </w:t>
      </w:r>
      <w:r>
        <w:rPr/>
        <w:t>日取得拨款人民币 </w:t>
      </w:r>
      <w:r>
        <w:rPr>
          <w:rFonts w:ascii="Times New Roman" w:hAnsi="Times New Roman" w:cs="Times New Roman" w:eastAsia="Times New Roman" w:hint="default"/>
        </w:rPr>
        <w:t>410</w:t>
      </w:r>
      <w:r>
        <w:rPr>
          <w:rFonts w:ascii="Times New Roman" w:hAnsi="Times New Roman" w:cs="Times New Roman" w:eastAsia="Times New Roman" w:hint="default"/>
          <w:spacing w:val="5"/>
        </w:rPr>
        <w:t> </w:t>
      </w:r>
      <w:r>
        <w:rPr/>
        <w:t>万元，用途为：企业移动商务互动云平台产业化项 目实施过程中的研发、生产仪器设备及软件购置。截至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日，项目未通过验收。</w:t>
      </w:r>
    </w:p>
    <w:p>
      <w:pPr>
        <w:pStyle w:val="BodyText"/>
        <w:spacing w:line="256" w:lineRule="auto" w:before="5"/>
        <w:ind w:left="153" w:right="90" w:firstLine="420"/>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14]</w:t>
      </w:r>
      <w:r>
        <w:rPr/>
        <w:t>：根据深圳市发展改革委根据深发改〔</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987 </w:t>
      </w:r>
      <w:r>
        <w:rPr/>
        <w:t>号文，梦网科技</w:t>
      </w:r>
      <w:r>
        <w:rPr>
          <w:rFonts w:ascii="Times New Roman" w:hAnsi="Times New Roman" w:cs="Times New Roman" w:eastAsia="Times New Roman" w:hint="default"/>
        </w:rPr>
        <w:t>2014 </w:t>
      </w:r>
      <w:r>
        <w:rPr/>
        <w:t>年 </w:t>
      </w:r>
      <w:r>
        <w:rPr>
          <w:rFonts w:ascii="Times New Roman" w:hAnsi="Times New Roman" w:cs="Times New Roman" w:eastAsia="Times New Roman" w:hint="default"/>
        </w:rPr>
        <w:t>7 </w:t>
      </w:r>
      <w:r>
        <w:rPr/>
        <w:t>月 </w:t>
      </w:r>
      <w:r>
        <w:rPr>
          <w:rFonts w:ascii="Times New Roman" w:hAnsi="Times New Roman" w:cs="Times New Roman" w:eastAsia="Times New Roman" w:hint="default"/>
        </w:rPr>
        <w:t>28</w:t>
      </w:r>
      <w:r>
        <w:rPr>
          <w:rFonts w:ascii="Times New Roman" w:hAnsi="Times New Roman" w:cs="Times New Roman" w:eastAsia="Times New Roman" w:hint="default"/>
          <w:spacing w:val="44"/>
        </w:rPr>
        <w:t> </w:t>
      </w:r>
      <w:r>
        <w:rPr/>
        <w:t>日取得拨款 人民币 </w:t>
      </w:r>
      <w:r>
        <w:rPr>
          <w:rFonts w:ascii="Times New Roman" w:hAnsi="Times New Roman" w:cs="Times New Roman" w:eastAsia="Times New Roman" w:hint="default"/>
        </w:rPr>
        <w:t>390</w:t>
      </w:r>
      <w:r>
        <w:rPr>
          <w:rFonts w:ascii="Times New Roman" w:hAnsi="Times New Roman" w:cs="Times New Roman" w:eastAsia="Times New Roman" w:hint="default"/>
          <w:spacing w:val="28"/>
        </w:rPr>
        <w:t> </w:t>
      </w:r>
      <w:r>
        <w:rPr>
          <w:spacing w:val="-5"/>
        </w:rPr>
        <w:t>万元，用途为：深圳手机媒体互动技术工程实验室项目实施过程中的研发仪器设备及软件购置。</w:t>
      </w:r>
      <w:r>
        <w:rPr/>
        <w:t> 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日，项目未通过验收。</w:t>
      </w:r>
    </w:p>
    <w:p>
      <w:pPr>
        <w:pStyle w:val="BodyText"/>
        <w:spacing w:line="256" w:lineRule="auto" w:before="5"/>
        <w:ind w:left="153" w:right="211" w:firstLine="420"/>
        <w:jc w:val="both"/>
      </w:pPr>
      <w:r>
        <w:rPr>
          <w:rFonts w:ascii="Times New Roman" w:hAnsi="Times New Roman" w:cs="Times New Roman" w:eastAsia="Times New Roman" w:hint="default"/>
          <w:spacing w:val="-2"/>
        </w:rPr>
        <w:t>[</w:t>
      </w:r>
      <w:r>
        <w:rPr>
          <w:spacing w:val="-2"/>
        </w:rPr>
        <w:t>注</w:t>
      </w:r>
      <w:r>
        <w:rPr>
          <w:rFonts w:ascii="Times New Roman" w:hAnsi="Times New Roman" w:cs="Times New Roman" w:eastAsia="Times New Roman" w:hint="default"/>
          <w:spacing w:val="-2"/>
        </w:rPr>
        <w:t>15]</w:t>
      </w:r>
      <w:r>
        <w:rPr>
          <w:spacing w:val="-2"/>
        </w:rPr>
        <w:t>：根据深圳市科技创新委员会深科技创新〔</w:t>
      </w:r>
      <w:r>
        <w:rPr>
          <w:rFonts w:ascii="Times New Roman" w:hAnsi="Times New Roman" w:cs="Times New Roman" w:eastAsia="Times New Roman" w:hint="default"/>
          <w:spacing w:val="-2"/>
        </w:rPr>
        <w:t>2014</w:t>
      </w:r>
      <w:r>
        <w:rPr>
          <w:spacing w:val="-2"/>
        </w:rPr>
        <w:t>〕</w:t>
      </w:r>
      <w:r>
        <w:rPr>
          <w:rFonts w:ascii="Times New Roman" w:hAnsi="Times New Roman" w:cs="Times New Roman" w:eastAsia="Times New Roman" w:hint="default"/>
          <w:spacing w:val="-2"/>
        </w:rPr>
        <w:t>286</w:t>
      </w:r>
      <w:r>
        <w:rPr>
          <w:spacing w:val="-2"/>
        </w:rPr>
        <w:t>号文，梦网科技</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16</w:t>
      </w:r>
      <w:r>
        <w:rPr>
          <w:spacing w:val="-2"/>
        </w:rPr>
        <w:t>日收到拨款</w:t>
      </w:r>
      <w:r>
        <w:rPr/>
        <w:t> 人民币</w:t>
      </w:r>
      <w:r>
        <w:rPr>
          <w:rFonts w:ascii="Times New Roman" w:hAnsi="Times New Roman" w:cs="Times New Roman" w:eastAsia="Times New Roman" w:hint="default"/>
        </w:rPr>
        <w:t>150</w:t>
      </w:r>
      <w:r>
        <w:rPr/>
        <w:t>万元，项目经费转款专用。截至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日，项目未通过验收。</w:t>
      </w:r>
    </w:p>
    <w:p>
      <w:pPr>
        <w:pStyle w:val="BodyText"/>
        <w:spacing w:line="256" w:lineRule="auto" w:before="5"/>
        <w:ind w:left="153" w:right="211" w:firstLine="420"/>
        <w:jc w:val="both"/>
      </w:pPr>
      <w:r>
        <w:rPr>
          <w:rFonts w:ascii="Times New Roman" w:hAnsi="Times New Roman" w:cs="Times New Roman" w:eastAsia="Times New Roman" w:hint="default"/>
        </w:rPr>
        <w:t>[</w:t>
      </w:r>
      <w:r>
        <w:rPr/>
        <w:t>注</w:t>
      </w:r>
      <w:r>
        <w:rPr>
          <w:rFonts w:ascii="Times New Roman" w:hAnsi="Times New Roman" w:cs="Times New Roman" w:eastAsia="Times New Roman" w:hint="default"/>
        </w:rPr>
        <w:t>16]</w:t>
      </w:r>
      <w:r>
        <w:rPr/>
        <w:t>：深圳供电局有限公司联合本公司承担国家高技术研究发展计划</w:t>
      </w:r>
      <w:r>
        <w:rPr>
          <w:rFonts w:ascii="Times New Roman" w:hAnsi="Times New Roman" w:cs="Times New Roman" w:eastAsia="Times New Roman" w:hint="default"/>
        </w:rPr>
        <w:t>(863</w:t>
      </w:r>
      <w:r>
        <w:rPr/>
        <w:t>计划</w:t>
      </w:r>
      <w:r>
        <w:rPr>
          <w:rFonts w:ascii="Times New Roman" w:hAnsi="Times New Roman" w:cs="Times New Roman" w:eastAsia="Times New Roman" w:hint="default"/>
        </w:rPr>
        <w:t>)</w:t>
      </w:r>
      <w:r>
        <w:rPr/>
        <w:t>先进能源技术领域项 </w:t>
      </w:r>
      <w:r>
        <w:rPr>
          <w:spacing w:val="-1"/>
        </w:rPr>
        <w:t>目</w:t>
      </w:r>
      <w:r>
        <w:rPr>
          <w:rFonts w:ascii="Times New Roman" w:hAnsi="Times New Roman" w:cs="Times New Roman" w:eastAsia="Times New Roman" w:hint="default"/>
          <w:spacing w:val="-1"/>
        </w:rPr>
        <w:t>“</w:t>
      </w:r>
      <w:r>
        <w:rPr>
          <w:spacing w:val="-1"/>
        </w:rPr>
        <w:t>基于柔性直流的智能配电关键技术研究与应用</w:t>
      </w:r>
      <w:r>
        <w:rPr>
          <w:rFonts w:ascii="Times New Roman" w:hAnsi="Times New Roman" w:cs="Times New Roman" w:eastAsia="Times New Roman" w:hint="default"/>
          <w:spacing w:val="-1"/>
        </w:rPr>
        <w:t>”</w:t>
      </w:r>
      <w:r>
        <w:rPr>
          <w:spacing w:val="-1"/>
        </w:rPr>
        <w:t>的课题</w:t>
      </w:r>
      <w:r>
        <w:rPr>
          <w:rFonts w:ascii="Times New Roman" w:hAnsi="Times New Roman" w:cs="Times New Roman" w:eastAsia="Times New Roman" w:hint="default"/>
          <w:spacing w:val="-1"/>
        </w:rPr>
        <w:t>(</w:t>
      </w:r>
      <w:r>
        <w:rPr>
          <w:spacing w:val="-1"/>
        </w:rPr>
        <w:t>课题编号：</w:t>
      </w:r>
      <w:r>
        <w:rPr>
          <w:rFonts w:ascii="Times New Roman" w:hAnsi="Times New Roman" w:cs="Times New Roman" w:eastAsia="Times New Roman" w:hint="default"/>
          <w:spacing w:val="-1"/>
        </w:rPr>
        <w:t>2013AA050104)</w:t>
      </w:r>
      <w:r>
        <w:rPr>
          <w:spacing w:val="-1"/>
        </w:rPr>
        <w:t>，本公司共收到拨款</w:t>
      </w:r>
      <w:r>
        <w:rPr>
          <w:spacing w:val="-82"/>
        </w:rPr>
        <w:t> </w:t>
      </w:r>
      <w:r>
        <w:rPr>
          <w:spacing w:val="-82"/>
        </w:rPr>
      </w:r>
      <w:r>
        <w:rPr/>
        <w:t>人民币</w:t>
      </w:r>
      <w:r>
        <w:rPr>
          <w:rFonts w:ascii="Times New Roman" w:hAnsi="Times New Roman" w:cs="Times New Roman" w:eastAsia="Times New Roman" w:hint="default"/>
        </w:rPr>
        <w:t>92.40</w:t>
      </w:r>
      <w:r>
        <w:rPr/>
        <w:t>万元。本年度结转营业外收入</w:t>
      </w:r>
      <w:r>
        <w:rPr>
          <w:rFonts w:ascii="Times New Roman" w:hAnsi="Times New Roman" w:cs="Times New Roman" w:eastAsia="Times New Roman" w:hint="default"/>
        </w:rPr>
        <w:t>92.40</w:t>
      </w:r>
      <w:r>
        <w:rPr/>
        <w:t>万元。</w:t>
      </w:r>
    </w:p>
    <w:p>
      <w:pPr>
        <w:pStyle w:val="BodyText"/>
        <w:spacing w:line="256" w:lineRule="auto" w:before="5"/>
        <w:ind w:left="153" w:right="258" w:firstLine="420"/>
        <w:jc w:val="both"/>
      </w:pPr>
      <w:r>
        <w:rPr>
          <w:rFonts w:ascii="Times New Roman" w:hAnsi="Times New Roman" w:cs="Times New Roman" w:eastAsia="Times New Roman" w:hint="default"/>
        </w:rPr>
        <w:t>[</w:t>
      </w:r>
      <w:r>
        <w:rPr/>
        <w:t>注</w:t>
      </w:r>
      <w:r>
        <w:rPr>
          <w:rFonts w:ascii="Times New Roman" w:hAnsi="Times New Roman" w:cs="Times New Roman" w:eastAsia="Times New Roman" w:hint="default"/>
        </w:rPr>
        <w:t>17]</w:t>
      </w:r>
      <w:r>
        <w:rPr/>
        <w:t>：根据北京市科学技术委员会下发《北京市科技计划专项课题任务书》，荣科恒阳收到拨款人 民币</w:t>
      </w:r>
      <w:r>
        <w:rPr>
          <w:rFonts w:ascii="Times New Roman" w:hAnsi="Times New Roman" w:cs="Times New Roman" w:eastAsia="Times New Roman" w:hint="default"/>
        </w:rPr>
        <w:t>80</w:t>
      </w:r>
      <w:r>
        <w:rPr/>
        <w:t>万元。截至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日项目已经结题，本年度结转营业外收入</w:t>
      </w:r>
      <w:r>
        <w:rPr>
          <w:rFonts w:ascii="Times New Roman" w:hAnsi="Times New Roman" w:cs="Times New Roman" w:eastAsia="Times New Roman" w:hint="default"/>
        </w:rPr>
        <w:t>80</w:t>
      </w:r>
      <w:r>
        <w:rPr/>
        <w:t>万元。</w:t>
      </w:r>
    </w:p>
    <w:p>
      <w:pPr>
        <w:pStyle w:val="BodyText"/>
        <w:spacing w:line="240" w:lineRule="auto" w:before="5"/>
        <w:ind w:left="573" w:right="102"/>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18]</w:t>
      </w:r>
      <w:r>
        <w:rPr/>
        <w:t>：根据深圳市文体旅游局下发《</w:t>
      </w:r>
      <w:r>
        <w:rPr>
          <w:rFonts w:ascii="Times New Roman" w:hAnsi="Times New Roman" w:cs="Times New Roman" w:eastAsia="Times New Roman" w:hint="default"/>
        </w:rPr>
        <w:t>2014</w:t>
      </w:r>
      <w:r>
        <w:rPr/>
        <w:t>年第三批文化创意产业发展专项资金拟资助项目公示的通</w:t>
      </w:r>
    </w:p>
    <w:p>
      <w:pPr>
        <w:spacing w:after="0" w:line="240" w:lineRule="auto"/>
        <w:jc w:val="left"/>
        <w:sectPr>
          <w:pgSz w:w="11910" w:h="16840"/>
          <w:pgMar w:header="747" w:footer="982" w:top="1060" w:bottom="1180" w:left="980" w:right="920"/>
        </w:sectPr>
      </w:pPr>
    </w:p>
    <w:p>
      <w:pPr>
        <w:spacing w:line="240" w:lineRule="auto" w:before="9"/>
        <w:rPr>
          <w:rFonts w:ascii="宋体" w:hAnsi="宋体" w:cs="宋体" w:eastAsia="宋体" w:hint="default"/>
          <w:sz w:val="24"/>
          <w:szCs w:val="24"/>
        </w:rPr>
      </w:pPr>
    </w:p>
    <w:p>
      <w:pPr>
        <w:pStyle w:val="BodyText"/>
        <w:spacing w:line="256" w:lineRule="auto" w:before="35"/>
        <w:ind w:right="102"/>
        <w:jc w:val="left"/>
      </w:pPr>
      <w:r>
        <w:rPr>
          <w:spacing w:val="-1"/>
        </w:rPr>
        <w:t>知》，梦网科技</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29</w:t>
      </w:r>
      <w:r>
        <w:rPr>
          <w:spacing w:val="-1"/>
        </w:rPr>
        <w:t>日收到拨款人民币</w:t>
      </w:r>
      <w:r>
        <w:rPr>
          <w:rFonts w:ascii="Times New Roman" w:hAnsi="Times New Roman" w:cs="Times New Roman" w:eastAsia="Times New Roman" w:hint="default"/>
          <w:spacing w:val="-1"/>
        </w:rPr>
        <w:t>70</w:t>
      </w:r>
      <w:r>
        <w:rPr>
          <w:spacing w:val="-1"/>
        </w:rPr>
        <w:t>万元；截至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日，项目已经结题，本年度结</w:t>
      </w:r>
      <w:r>
        <w:rPr>
          <w:spacing w:val="-68"/>
        </w:rPr>
        <w:t> </w:t>
      </w:r>
      <w:r>
        <w:rPr>
          <w:spacing w:val="-68"/>
        </w:rPr>
      </w:r>
      <w:r>
        <w:rPr/>
        <w:t>转营业外收入</w:t>
      </w:r>
      <w:r>
        <w:rPr>
          <w:rFonts w:ascii="Times New Roman" w:hAnsi="Times New Roman" w:cs="Times New Roman" w:eastAsia="Times New Roman" w:hint="default"/>
        </w:rPr>
        <w:t>70</w:t>
      </w:r>
      <w:r>
        <w:rPr/>
        <w:t>万元。</w:t>
      </w:r>
    </w:p>
    <w:p>
      <w:pPr>
        <w:pStyle w:val="BodyText"/>
        <w:spacing w:line="256" w:lineRule="auto" w:before="5"/>
        <w:ind w:left="153" w:right="241" w:firstLine="420"/>
        <w:jc w:val="left"/>
      </w:pPr>
      <w:r>
        <w:rPr>
          <w:rFonts w:ascii="Times New Roman" w:hAnsi="Times New Roman" w:cs="Times New Roman" w:eastAsia="Times New Roman" w:hint="default"/>
        </w:rPr>
        <w:t>[</w:t>
      </w:r>
      <w:r>
        <w:rPr/>
        <w:t>注</w:t>
      </w:r>
      <w:r>
        <w:rPr>
          <w:rFonts w:ascii="Times New Roman" w:hAnsi="Times New Roman" w:cs="Times New Roman" w:eastAsia="Times New Roman" w:hint="default"/>
        </w:rPr>
        <w:t>19]</w:t>
      </w:r>
      <w:r>
        <w:rPr/>
        <w:t>：根据深圳市南山区住房和建设局下发《关于受理南山区</w:t>
      </w:r>
      <w:r>
        <w:rPr>
          <w:rFonts w:ascii="Times New Roman" w:hAnsi="Times New Roman" w:cs="Times New Roman" w:eastAsia="Times New Roman" w:hint="default"/>
        </w:rPr>
        <w:t>2015</w:t>
      </w:r>
      <w:r>
        <w:rPr/>
        <w:t>年度重点企事业单位住房补租申 请的通告》，梦网科技</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日收到拨款人民币</w:t>
      </w:r>
      <w:r>
        <w:rPr>
          <w:rFonts w:ascii="Times New Roman" w:hAnsi="Times New Roman" w:cs="Times New Roman" w:eastAsia="Times New Roman" w:hint="default"/>
        </w:rPr>
        <w:t>68</w:t>
      </w:r>
      <w:r>
        <w:rPr/>
        <w:t>万元，本年度结转营业外收入</w:t>
      </w:r>
      <w:r>
        <w:rPr>
          <w:rFonts w:ascii="Times New Roman" w:hAnsi="Times New Roman" w:cs="Times New Roman" w:eastAsia="Times New Roman" w:hint="default"/>
        </w:rPr>
        <w:t>68</w:t>
      </w:r>
      <w:r>
        <w:rPr/>
        <w:t>万元。</w:t>
      </w:r>
    </w:p>
    <w:p>
      <w:pPr>
        <w:spacing w:line="240" w:lineRule="auto" w:before="5"/>
        <w:rPr>
          <w:rFonts w:ascii="宋体" w:hAnsi="宋体" w:cs="宋体" w:eastAsia="宋体" w:hint="default"/>
          <w:sz w:val="23"/>
          <w:szCs w:val="23"/>
        </w:rPr>
      </w:pPr>
    </w:p>
    <w:p>
      <w:pPr>
        <w:pStyle w:val="Heading3"/>
        <w:spacing w:line="240" w:lineRule="auto" w:before="0"/>
        <w:ind w:left="153" w:right="102"/>
        <w:jc w:val="left"/>
        <w:rPr>
          <w:b w:val="0"/>
          <w:bCs w:val="0"/>
        </w:rPr>
      </w:pPr>
      <w:r>
        <w:rPr>
          <w:rFonts w:ascii="Times New Roman" w:hAnsi="Times New Roman" w:cs="Times New Roman" w:eastAsia="Times New Roman" w:hint="default"/>
        </w:rPr>
        <w:t>31</w:t>
      </w:r>
      <w:r>
        <w:rPr/>
        <w:t>、股本</w:t>
      </w:r>
      <w:r>
        <w:rPr>
          <w:b w:val="0"/>
          <w:bCs w:val="0"/>
        </w:rPr>
      </w:r>
    </w:p>
    <w:p>
      <w:pPr>
        <w:spacing w:line="240" w:lineRule="auto" w:before="8"/>
        <w:rPr>
          <w:rFonts w:ascii="宋体" w:hAnsi="宋体" w:cs="宋体" w:eastAsia="宋体" w:hint="default"/>
          <w:b/>
          <w:bCs/>
          <w:sz w:val="26"/>
          <w:szCs w:val="26"/>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5"/>
        <w:gridCol w:w="1196"/>
        <w:gridCol w:w="1196"/>
        <w:gridCol w:w="1196"/>
        <w:gridCol w:w="1195"/>
        <w:gridCol w:w="1196"/>
        <w:gridCol w:w="1196"/>
        <w:gridCol w:w="1195"/>
      </w:tblGrid>
      <w:tr>
        <w:trPr>
          <w:trHeight w:val="402" w:hRule="exact"/>
        </w:trPr>
        <w:tc>
          <w:tcPr>
            <w:tcW w:w="1195" w:type="dxa"/>
            <w:vMerge w:val="restart"/>
            <w:tcBorders>
              <w:top w:val="single" w:sz="4" w:space="0" w:color="000000"/>
              <w:left w:val="single" w:sz="4" w:space="0" w:color="000000"/>
              <w:right w:val="single" w:sz="4" w:space="0" w:color="000000"/>
            </w:tcBorders>
            <w:shd w:val="clear" w:color="auto" w:fill="D3D3D3"/>
          </w:tcPr>
          <w:p>
            <w:pP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195"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504,000,000.00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8" w:right="0"/>
              <w:jc w:val="center"/>
              <w:rPr>
                <w:rFonts w:ascii="Times New Roman" w:hAnsi="Times New Roman" w:cs="Times New Roman" w:eastAsia="Times New Roman" w:hint="default"/>
                <w:sz w:val="18"/>
                <w:szCs w:val="18"/>
              </w:rPr>
            </w:pPr>
            <w:r>
              <w:rPr>
                <w:rFonts w:ascii="Times New Roman"/>
                <w:sz w:val="18"/>
              </w:rPr>
              <w:t>357,595,025.00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 w:right="0"/>
              <w:jc w:val="center"/>
              <w:rPr>
                <w:rFonts w:ascii="Times New Roman" w:hAnsi="Times New Roman" w:cs="Times New Roman" w:eastAsia="Times New Roman" w:hint="default"/>
                <w:sz w:val="18"/>
                <w:szCs w:val="18"/>
              </w:rPr>
            </w:pPr>
            <w:r>
              <w:rPr>
                <w:rFonts w:ascii="Times New Roman"/>
                <w:sz w:val="18"/>
              </w:rPr>
              <w:t>357,595,025.00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8" w:right="0"/>
              <w:jc w:val="left"/>
              <w:rPr>
                <w:rFonts w:ascii="Times New Roman" w:hAnsi="Times New Roman" w:cs="Times New Roman" w:eastAsia="Times New Roman" w:hint="default"/>
                <w:sz w:val="18"/>
                <w:szCs w:val="18"/>
              </w:rPr>
            </w:pPr>
            <w:r>
              <w:rPr>
                <w:rFonts w:ascii="Times New Roman"/>
                <w:sz w:val="18"/>
              </w:rPr>
              <w:t>861,595,025.00</w:t>
            </w:r>
          </w:p>
        </w:tc>
      </w:tr>
    </w:tbl>
    <w:p>
      <w:pPr>
        <w:spacing w:before="51"/>
        <w:ind w:left="154" w:right="102"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89"/>
        <w:ind w:left="153" w:right="99" w:firstLine="42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w:t>
      </w:r>
      <w:r>
        <w:rPr/>
        <w:t>日，根据公司第五届第十四次董事会和</w:t>
      </w:r>
      <w:r>
        <w:rPr>
          <w:rFonts w:ascii="Times New Roman" w:hAnsi="Times New Roman" w:cs="Times New Roman" w:eastAsia="Times New Roman" w:hint="default"/>
        </w:rPr>
        <w:t>2015</w:t>
      </w:r>
      <w:r>
        <w:rPr/>
        <w:t>年第一次临时股东大会决议，本公司申请通过 发行股份购买资产并募集配套资金定向增发人民币普通股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w:t>
      </w:r>
      <w:r>
        <w:rPr/>
        <w:t>增加注册资本人民币</w:t>
      </w:r>
      <w:r>
        <w:rPr>
          <w:rFonts w:ascii="Times New Roman" w:hAnsi="Times New Roman" w:cs="Times New Roman" w:eastAsia="Times New Roman" w:hint="default"/>
        </w:rPr>
        <w:t>357,595,025.00</w:t>
      </w:r>
      <w:r>
        <w:rPr/>
        <w:t>元。向 余文胜等</w:t>
      </w:r>
      <w:r>
        <w:rPr>
          <w:spacing w:val="-33"/>
        </w:rPr>
        <w:t> </w:t>
      </w:r>
      <w:r>
        <w:rPr>
          <w:rFonts w:ascii="Times New Roman" w:hAnsi="Times New Roman" w:cs="Times New Roman" w:eastAsia="Times New Roman" w:hint="default"/>
        </w:rPr>
        <w:t>21</w:t>
      </w:r>
      <w:r>
        <w:rPr/>
        <w:t>名交易对方合计非公开发行</w:t>
      </w:r>
      <w:r>
        <w:rPr>
          <w:rFonts w:ascii="Times New Roman" w:hAnsi="Times New Roman" w:cs="Times New Roman" w:eastAsia="Times New Roman" w:hint="default"/>
        </w:rPr>
        <w:t>279,156,161</w:t>
      </w:r>
      <w:r>
        <w:rPr/>
        <w:t>股股份，每股发行价</w:t>
      </w:r>
      <w:r>
        <w:rPr>
          <w:rFonts w:ascii="Times New Roman" w:hAnsi="Times New Roman" w:cs="Times New Roman" w:eastAsia="Times New Roman" w:hint="default"/>
        </w:rPr>
        <w:t>7.94</w:t>
      </w:r>
      <w:r>
        <w:rPr/>
        <w:t>元，认购价值为</w:t>
      </w:r>
      <w:r>
        <w:rPr>
          <w:rFonts w:ascii="Times New Roman" w:hAnsi="Times New Roman" w:cs="Times New Roman" w:eastAsia="Times New Roman" w:hint="default"/>
        </w:rPr>
        <w:t>221,650</w:t>
      </w:r>
      <w:r>
        <w:rPr/>
        <w:t>万元， 其中计入股本</w:t>
      </w:r>
      <w:r>
        <w:rPr>
          <w:rFonts w:ascii="Times New Roman" w:hAnsi="Times New Roman" w:cs="Times New Roman" w:eastAsia="Times New Roman" w:hint="default"/>
        </w:rPr>
        <w:t>279,156,161.00</w:t>
      </w:r>
      <w:r>
        <w:rPr/>
        <w:t>元，计入股本溢价</w:t>
      </w:r>
      <w:r>
        <w:rPr>
          <w:rFonts w:ascii="Times New Roman" w:hAnsi="Times New Roman" w:cs="Times New Roman" w:eastAsia="Times New Roman" w:hint="default"/>
        </w:rPr>
        <w:t>1,937,343,839.00</w:t>
      </w:r>
      <w:r>
        <w:rPr/>
        <w:t>元。向孙慧、上海域鸿投资管理中心</w:t>
      </w:r>
      <w:r>
        <w:rPr>
          <w:rFonts w:ascii="Times New Roman" w:hAnsi="Times New Roman" w:cs="Times New Roman" w:eastAsia="Times New Roman" w:hint="default"/>
        </w:rPr>
        <w:t>(</w:t>
      </w:r>
      <w:r>
        <w:rPr/>
        <w:t>有限 合伙</w:t>
      </w:r>
      <w:r>
        <w:rPr>
          <w:rFonts w:ascii="Times New Roman" w:hAnsi="Times New Roman" w:cs="Times New Roman" w:eastAsia="Times New Roman" w:hint="default"/>
        </w:rPr>
        <w:t>)</w:t>
      </w:r>
      <w:r>
        <w:rPr/>
        <w:t>非公开发行</w:t>
      </w:r>
      <w:r>
        <w:rPr>
          <w:rFonts w:ascii="Times New Roman" w:hAnsi="Times New Roman" w:cs="Times New Roman" w:eastAsia="Times New Roman" w:hint="default"/>
        </w:rPr>
        <w:t>78,438,864</w:t>
      </w:r>
      <w:r>
        <w:rPr/>
        <w:t>股，发行价格为</w:t>
      </w:r>
      <w:r>
        <w:rPr>
          <w:rFonts w:ascii="Times New Roman" w:hAnsi="Times New Roman" w:cs="Times New Roman" w:eastAsia="Times New Roman" w:hint="default"/>
        </w:rPr>
        <w:t>9.16</w:t>
      </w:r>
      <w:r>
        <w:rPr/>
        <w:t>元</w:t>
      </w:r>
      <w:r>
        <w:rPr>
          <w:rFonts w:ascii="Times New Roman" w:hAnsi="Times New Roman" w:cs="Times New Roman" w:eastAsia="Times New Roman" w:hint="default"/>
        </w:rPr>
        <w:t>/</w:t>
      </w:r>
      <w:r>
        <w:rPr/>
        <w:t>股，认购价值为</w:t>
      </w:r>
      <w:r>
        <w:rPr>
          <w:rFonts w:ascii="Times New Roman" w:hAnsi="Times New Roman" w:cs="Times New Roman" w:eastAsia="Times New Roman" w:hint="default"/>
        </w:rPr>
        <w:t>71,850</w:t>
      </w:r>
      <w:r>
        <w:rPr/>
        <w:t>万元，减除发行费用人民币 </w:t>
      </w:r>
      <w:r>
        <w:rPr>
          <w:rFonts w:ascii="Times New Roman" w:hAnsi="Times New Roman" w:cs="Times New Roman" w:eastAsia="Times New Roman" w:hint="default"/>
        </w:rPr>
        <w:t>20,000,000.00</w:t>
      </w:r>
      <w:r>
        <w:rPr/>
        <w:t>元，募集资金净额为人民币</w:t>
      </w:r>
      <w:r>
        <w:rPr>
          <w:rFonts w:ascii="Times New Roman" w:hAnsi="Times New Roman" w:cs="Times New Roman" w:eastAsia="Times New Roman" w:hint="default"/>
        </w:rPr>
        <w:t>698,499,994.24</w:t>
      </w:r>
      <w:r>
        <w:rPr/>
        <w:t>元，计入股本</w:t>
      </w:r>
      <w:r>
        <w:rPr>
          <w:rFonts w:ascii="Times New Roman" w:hAnsi="Times New Roman" w:cs="Times New Roman" w:eastAsia="Times New Roman" w:hint="default"/>
        </w:rPr>
        <w:t>78,438,864.00</w:t>
      </w:r>
      <w:r>
        <w:rPr/>
        <w:t>元，计入股本溢价</w:t>
      </w:r>
    </w:p>
    <w:p>
      <w:pPr>
        <w:pStyle w:val="BodyText"/>
        <w:spacing w:line="240" w:lineRule="auto" w:before="5"/>
        <w:ind w:left="153" w:right="88"/>
        <w:jc w:val="left"/>
      </w:pPr>
      <w:r>
        <w:rPr>
          <w:rFonts w:ascii="Times New Roman" w:hAnsi="Times New Roman" w:cs="Times New Roman" w:eastAsia="Times New Roman" w:hint="default"/>
        </w:rPr>
        <w:t>620,061,130.24</w:t>
      </w:r>
      <w:r>
        <w:rPr/>
        <w:t>元。本次增资业经天健会计师事务所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w:t>
      </w:r>
      <w:r>
        <w:rPr/>
        <w:t>审验，并由其出具《验资报告》</w:t>
      </w:r>
      <w:r>
        <w:rPr>
          <w:rFonts w:ascii="Times New Roman" w:hAnsi="Times New Roman" w:cs="Times New Roman" w:eastAsia="Times New Roman" w:hint="default"/>
        </w:rPr>
        <w:t>(</w:t>
      </w:r>
      <w:r>
        <w:rPr/>
        <w:t>天健验</w:t>
      </w:r>
    </w:p>
    <w:p>
      <w:pPr>
        <w:pStyle w:val="BodyText"/>
        <w:spacing w:line="240" w:lineRule="auto" w:before="21"/>
        <w:ind w:left="153" w:right="102"/>
        <w:jc w:val="left"/>
      </w:pPr>
      <w:r>
        <w:rPr/>
        <w:t>〔</w:t>
      </w:r>
      <w:r>
        <w:rPr>
          <w:rFonts w:ascii="Times New Roman" w:hAnsi="Times New Roman" w:cs="Times New Roman" w:eastAsia="Times New Roman" w:hint="default"/>
        </w:rPr>
        <w:t>2015</w:t>
      </w:r>
      <w:r>
        <w:rPr/>
        <w:t>〕</w:t>
      </w:r>
      <w:r>
        <w:rPr>
          <w:rFonts w:ascii="Times New Roman" w:hAnsi="Times New Roman" w:cs="Times New Roman" w:eastAsia="Times New Roman" w:hint="default"/>
        </w:rPr>
        <w:t>3-110</w:t>
      </w:r>
      <w:r>
        <w:rPr>
          <w:rFonts w:ascii="Times New Roman" w:hAnsi="Times New Roman" w:cs="Times New Roman" w:eastAsia="Times New Roman" w:hint="default"/>
          <w:spacing w:val="26"/>
        </w:rPr>
        <w:t> </w:t>
      </w:r>
      <w:r>
        <w:rPr/>
        <w:t>号</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24"/>
          <w:szCs w:val="24"/>
        </w:rPr>
      </w:pPr>
    </w:p>
    <w:p>
      <w:pPr>
        <w:pStyle w:val="Heading3"/>
        <w:spacing w:line="240" w:lineRule="auto" w:before="0"/>
        <w:ind w:left="153" w:right="102"/>
        <w:jc w:val="left"/>
        <w:rPr>
          <w:b w:val="0"/>
          <w:bCs w:val="0"/>
        </w:rPr>
      </w:pPr>
      <w:r>
        <w:rPr>
          <w:rFonts w:ascii="Times New Roman" w:hAnsi="Times New Roman" w:cs="Times New Roman" w:eastAsia="Times New Roman" w:hint="default"/>
        </w:rPr>
        <w:t>32</w:t>
      </w:r>
      <w:r>
        <w:rPr/>
        <w:t>、资本公积</w:t>
      </w:r>
      <w:r>
        <w:rPr>
          <w:b w:val="0"/>
          <w:bCs w:val="0"/>
        </w:rPr>
      </w:r>
    </w:p>
    <w:p>
      <w:pPr>
        <w:spacing w:line="240" w:lineRule="auto" w:before="8"/>
        <w:rPr>
          <w:rFonts w:ascii="宋体" w:hAnsi="宋体" w:cs="宋体" w:eastAsia="宋体" w:hint="default"/>
          <w:b/>
          <w:bCs/>
          <w:sz w:val="26"/>
          <w:szCs w:val="26"/>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397,066,490.98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2,575,333,425.10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2,952,399,916.08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1,163,307.14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1,163,307.14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398,229,798.12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2,575,333,425.10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21,163,307.14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2,952,399,916.08</w:t>
            </w:r>
          </w:p>
        </w:tc>
      </w:tr>
    </w:tbl>
    <w:p>
      <w:pPr>
        <w:spacing w:before="51"/>
        <w:ind w:left="154" w:right="102"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40" w:lineRule="auto" w:before="90"/>
        <w:ind w:left="574" w:right="10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股本溢价变动详见本财务报表附注五</w:t>
      </w: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t>股本</w:t>
      </w:r>
      <w:r>
        <w:rPr>
          <w:rFonts w:ascii="Times New Roman" w:hAnsi="Times New Roman" w:cs="Times New Roman" w:eastAsia="Times New Roman" w:hint="default"/>
        </w:rPr>
        <w:t>31</w:t>
      </w:r>
      <w:r>
        <w:rPr/>
        <w:t>之说明。</w:t>
      </w:r>
    </w:p>
    <w:p>
      <w:pPr>
        <w:pStyle w:val="BodyText"/>
        <w:spacing w:line="256" w:lineRule="auto" w:before="21"/>
        <w:ind w:right="197" w:firstLine="420"/>
        <w:jc w:val="both"/>
      </w:pPr>
      <w:r>
        <w:rPr>
          <w:rFonts w:ascii="Times New Roman" w:hAnsi="Times New Roman" w:cs="Times New Roman" w:eastAsia="Times New Roman" w:hint="default"/>
          <w:spacing w:val="-1"/>
        </w:rPr>
        <w:t>2)</w:t>
      </w:r>
      <w:r>
        <w:rPr>
          <w:spacing w:val="-1"/>
        </w:rPr>
        <w:t>其他资本公积本期共减少</w:t>
      </w:r>
      <w:r>
        <w:rPr>
          <w:rFonts w:ascii="Times New Roman" w:hAnsi="Times New Roman" w:cs="Times New Roman" w:eastAsia="Times New Roman" w:hint="default"/>
          <w:spacing w:val="-1"/>
        </w:rPr>
        <w:t>3,234,851.28</w:t>
      </w:r>
      <w:r>
        <w:rPr>
          <w:spacing w:val="-1"/>
        </w:rPr>
        <w:t>元，其中：对子公司荣信嘉时、荣西电力单方面增资导致少数</w:t>
      </w:r>
      <w:r>
        <w:rPr/>
        <w:t> </w:t>
      </w:r>
      <w:r>
        <w:rPr>
          <w:spacing w:val="8"/>
        </w:rPr>
        <w:t>股东股权变动分别减少资本公积</w:t>
      </w:r>
      <w:r>
        <w:rPr>
          <w:rFonts w:ascii="Times New Roman" w:hAnsi="Times New Roman" w:cs="Times New Roman" w:eastAsia="Times New Roman" w:hint="default"/>
          <w:spacing w:val="8"/>
        </w:rPr>
        <w:t>2,740,951.72</w:t>
      </w:r>
      <w:r>
        <w:rPr>
          <w:spacing w:val="8"/>
        </w:rPr>
        <w:t>元、</w:t>
      </w:r>
      <w:r>
        <w:rPr>
          <w:rFonts w:ascii="Times New Roman" w:hAnsi="Times New Roman" w:cs="Times New Roman" w:eastAsia="Times New Roman" w:hint="default"/>
          <w:spacing w:val="8"/>
        </w:rPr>
        <w:t>493,899.56</w:t>
      </w:r>
      <w:r>
        <w:rPr>
          <w:spacing w:val="8"/>
        </w:rPr>
        <w:t>元，超出</w:t>
      </w:r>
      <w:r>
        <w:rPr>
          <w:rFonts w:ascii="Times New Roman" w:hAnsi="Times New Roman" w:cs="Times New Roman" w:eastAsia="Times New Roman" w:hint="default"/>
          <w:spacing w:val="8"/>
        </w:rPr>
        <w:t>“</w:t>
      </w:r>
      <w:r>
        <w:rPr>
          <w:spacing w:val="8"/>
        </w:rPr>
        <w:t>其他资本公积</w:t>
      </w:r>
      <w:r>
        <w:rPr>
          <w:rFonts w:ascii="Times New Roman" w:hAnsi="Times New Roman" w:cs="Times New Roman" w:eastAsia="Times New Roman" w:hint="default"/>
          <w:spacing w:val="8"/>
        </w:rPr>
        <w:t>”</w:t>
      </w:r>
      <w:r>
        <w:rPr>
          <w:spacing w:val="8"/>
        </w:rPr>
        <w:t>期初余额的部分</w:t>
      </w:r>
      <w:r>
        <w:rPr>
          <w:spacing w:val="-94"/>
        </w:rPr>
        <w:t> </w:t>
      </w:r>
      <w:r>
        <w:rPr>
          <w:rFonts w:ascii="Times New Roman" w:hAnsi="Times New Roman" w:cs="Times New Roman" w:eastAsia="Times New Roman" w:hint="default"/>
        </w:rPr>
        <w:t>2,071,544.14</w:t>
      </w:r>
      <w:r>
        <w:rPr/>
        <w:t>元冲减</w:t>
      </w:r>
      <w:r>
        <w:rPr>
          <w:rFonts w:ascii="Times New Roman" w:hAnsi="Times New Roman" w:cs="Times New Roman" w:eastAsia="Times New Roman" w:hint="default"/>
        </w:rPr>
        <w:t>“</w:t>
      </w:r>
      <w:r>
        <w:rPr/>
        <w:t>资本溢价</w:t>
      </w:r>
      <w:r>
        <w:rPr>
          <w:rFonts w:ascii="Times New Roman" w:hAnsi="Times New Roman" w:cs="Times New Roman" w:eastAsia="Times New Roman" w:hint="default"/>
        </w:rPr>
        <w:t>”</w:t>
      </w:r>
      <w:r>
        <w:rPr/>
        <w:t>本期增加。</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3"/>
        <w:spacing w:line="240" w:lineRule="auto" w:before="0"/>
        <w:ind w:right="102"/>
        <w:jc w:val="left"/>
        <w:rPr>
          <w:b w:val="0"/>
          <w:bCs w:val="0"/>
        </w:rPr>
      </w:pPr>
      <w:r>
        <w:rPr>
          <w:rFonts w:ascii="Times New Roman" w:hAnsi="Times New Roman" w:cs="Times New Roman" w:eastAsia="Times New Roman" w:hint="default"/>
        </w:rPr>
        <w:t>33</w:t>
      </w:r>
      <w:r>
        <w:rPr/>
        <w:t>、其他综合收益</w:t>
      </w:r>
      <w:r>
        <w:rPr>
          <w:b w:val="0"/>
          <w:bCs w:val="0"/>
        </w:rPr>
      </w:r>
    </w:p>
    <w:p>
      <w:pPr>
        <w:spacing w:line="240" w:lineRule="auto" w:before="8"/>
        <w:rPr>
          <w:rFonts w:ascii="宋体" w:hAnsi="宋体" w:cs="宋体" w:eastAsia="宋体" w:hint="default"/>
          <w:b/>
          <w:bCs/>
          <w:sz w:val="26"/>
          <w:szCs w:val="26"/>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10"/>
        <w:gridCol w:w="1069"/>
        <w:gridCol w:w="935"/>
        <w:gridCol w:w="1152"/>
        <w:gridCol w:w="935"/>
        <w:gridCol w:w="936"/>
        <w:gridCol w:w="935"/>
        <w:gridCol w:w="796"/>
      </w:tblGrid>
      <w:tr>
        <w:trPr>
          <w:trHeight w:val="401" w:hRule="exact"/>
        </w:trPr>
        <w:tc>
          <w:tcPr>
            <w:tcW w:w="28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489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2810" w:type="dxa"/>
            <w:vMerge/>
            <w:tcBorders>
              <w:left w:val="single" w:sz="4" w:space="0" w:color="000000"/>
              <w:bottom w:val="single" w:sz="4" w:space="0" w:color="000000"/>
              <w:right w:val="single" w:sz="4" w:space="0" w:color="000000"/>
            </w:tcBorders>
            <w:shd w:val="clear" w:color="auto" w:fill="D3D3D3"/>
          </w:tcPr>
          <w:p>
            <w:pPr/>
          </w:p>
        </w:tc>
        <w:tc>
          <w:tcPr>
            <w:tcW w:w="1069" w:type="dxa"/>
            <w:vMerge/>
            <w:tcBorders>
              <w:left w:val="single" w:sz="4" w:space="0" w:color="000000"/>
              <w:bottom w:val="single" w:sz="4" w:space="0" w:color="000000"/>
              <w:right w:val="single" w:sz="4" w:space="0" w:color="000000"/>
            </w:tcBorders>
            <w:shd w:val="clear" w:color="auto" w:fill="D3D3D3"/>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101" w:right="101"/>
              <w:jc w:val="left"/>
              <w:rPr>
                <w:rFonts w:ascii="宋体" w:hAnsi="宋体" w:cs="宋体" w:eastAsia="宋体" w:hint="default"/>
                <w:sz w:val="18"/>
                <w:szCs w:val="18"/>
              </w:rPr>
            </w:pPr>
            <w:r>
              <w:rPr>
                <w:rFonts w:ascii="宋体" w:hAnsi="宋体" w:cs="宋体" w:eastAsia="宋体" w:hint="default"/>
                <w:sz w:val="18"/>
                <w:szCs w:val="18"/>
              </w:rPr>
              <w:t>本期所得 税前发生</w:t>
            </w:r>
          </w:p>
        </w:tc>
        <w:tc>
          <w:tcPr>
            <w:tcW w:w="11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29" w:right="30"/>
              <w:jc w:val="left"/>
              <w:rPr>
                <w:rFonts w:ascii="宋体" w:hAnsi="宋体" w:cs="宋体" w:eastAsia="宋体" w:hint="default"/>
                <w:sz w:val="18"/>
                <w:szCs w:val="18"/>
              </w:rPr>
            </w:pPr>
            <w:r>
              <w:rPr>
                <w:rFonts w:ascii="宋体" w:hAnsi="宋体" w:cs="宋体" w:eastAsia="宋体" w:hint="default"/>
                <w:sz w:val="18"/>
                <w:szCs w:val="18"/>
              </w:rPr>
              <w:t>减：前期计入 其他综合收益</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01"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101" w:right="101"/>
              <w:jc w:val="left"/>
              <w:rPr>
                <w:rFonts w:ascii="宋体" w:hAnsi="宋体" w:cs="宋体" w:eastAsia="宋体" w:hint="default"/>
                <w:sz w:val="18"/>
                <w:szCs w:val="18"/>
              </w:rPr>
            </w:pPr>
            <w:r>
              <w:rPr>
                <w:rFonts w:ascii="宋体" w:hAnsi="宋体" w:cs="宋体" w:eastAsia="宋体" w:hint="default"/>
                <w:sz w:val="18"/>
                <w:szCs w:val="18"/>
              </w:rPr>
              <w:t>税后归属 于少数股</w:t>
            </w:r>
          </w:p>
        </w:tc>
        <w:tc>
          <w:tcPr>
            <w:tcW w:w="796" w:type="dxa"/>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810"/>
        <w:gridCol w:w="1069"/>
        <w:gridCol w:w="935"/>
        <w:gridCol w:w="1152"/>
        <w:gridCol w:w="935"/>
        <w:gridCol w:w="936"/>
        <w:gridCol w:w="935"/>
        <w:gridCol w:w="796"/>
      </w:tblGrid>
      <w:tr>
        <w:trPr>
          <w:trHeight w:val="362" w:hRule="exact"/>
        </w:trPr>
        <w:tc>
          <w:tcPr>
            <w:tcW w:w="281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06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额</w:t>
            </w:r>
          </w:p>
        </w:tc>
        <w:tc>
          <w:tcPr>
            <w:tcW w:w="11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当期转入损益</w:t>
            </w: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东</w:t>
            </w:r>
          </w:p>
        </w:tc>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 合收益</w:t>
            </w:r>
          </w:p>
        </w:tc>
        <w:tc>
          <w:tcPr>
            <w:tcW w:w="1069" w:type="dxa"/>
            <w:tcBorders>
              <w:top w:val="single" w:sz="4" w:space="0" w:color="000000"/>
              <w:left w:val="single" w:sz="13" w:space="0" w:color="D3D3D3"/>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23,324,688.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13</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23,324,688.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13</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23,324,68</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8.13</w:t>
            </w: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7"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可供出售金融资产公允价值 变动损益</w:t>
            </w:r>
          </w:p>
        </w:tc>
        <w:tc>
          <w:tcPr>
            <w:tcW w:w="1069" w:type="dxa"/>
            <w:tcBorders>
              <w:top w:val="single" w:sz="4" w:space="0" w:color="000000"/>
              <w:left w:val="single" w:sz="13" w:space="0" w:color="D3D3D3"/>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23,040,000.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23,040,000.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23,040,00</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281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9"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284,688.13</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284,688.13</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284,688.1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392" w:hRule="exact"/>
        </w:trPr>
        <w:tc>
          <w:tcPr>
            <w:tcW w:w="28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69"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81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9"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61" w:hRule="exact"/>
        </w:trPr>
        <w:tc>
          <w:tcPr>
            <w:tcW w:w="2810" w:type="dxa"/>
            <w:tcBorders>
              <w:top w:val="single" w:sz="4" w:space="0" w:color="000000"/>
              <w:left w:val="single" w:sz="4" w:space="0" w:color="000000"/>
              <w:bottom w:val="nil" w:sz="6" w:space="0" w:color="auto"/>
              <w:right w:val="single" w:sz="4" w:space="0" w:color="000000"/>
            </w:tcBorders>
            <w:shd w:val="clear" w:color="auto" w:fill="D3D3D3"/>
          </w:tcPr>
          <w:p>
            <w:pPr/>
          </w:p>
        </w:tc>
        <w:tc>
          <w:tcPr>
            <w:tcW w:w="1069"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23,324,688.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13</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23,324,688.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13</w:t>
            </w:r>
          </w:p>
        </w:tc>
        <w:tc>
          <w:tcPr>
            <w:tcW w:w="935" w:type="dxa"/>
            <w:vMerge w:val="restart"/>
            <w:tcBorders>
              <w:top w:val="single" w:sz="4" w:space="0" w:color="000000"/>
              <w:left w:val="single" w:sz="4" w:space="0" w:color="000000"/>
              <w:right w:val="single" w:sz="4" w:space="0" w:color="000000"/>
            </w:tcBorders>
          </w:tcPr>
          <w:p>
            <w:pP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23,324,68</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8.13</w:t>
            </w:r>
          </w:p>
        </w:tc>
      </w:tr>
      <w:tr>
        <w:trPr>
          <w:trHeight w:val="392" w:hRule="exact"/>
        </w:trPr>
        <w:tc>
          <w:tcPr>
            <w:tcW w:w="28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69"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810" w:type="dxa"/>
            <w:tcBorders>
              <w:top w:val="nil" w:sz="6" w:space="0" w:color="auto"/>
              <w:left w:val="single" w:sz="4" w:space="0" w:color="000000"/>
              <w:bottom w:val="single" w:sz="4" w:space="0" w:color="000000"/>
              <w:right w:val="single" w:sz="4" w:space="0" w:color="000000"/>
            </w:tcBorders>
            <w:shd w:val="clear" w:color="auto" w:fill="D3D3D3"/>
          </w:tcPr>
          <w:p>
            <w:pPr/>
          </w:p>
        </w:tc>
        <w:tc>
          <w:tcPr>
            <w:tcW w:w="1069"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34</w:t>
      </w:r>
      <w:r>
        <w:rPr/>
        <w:t>、盈余公积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132,983,485.33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132,983,485.33</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132,983,485.33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132,983,485.33</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35</w:t>
      </w:r>
      <w:r>
        <w:rPr/>
        <w:t>、未分配利润</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25"/>
        <w:gridCol w:w="2924"/>
        <w:gridCol w:w="2918"/>
      </w:tblGrid>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753,477,118.61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1,021,241,057.41</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753,477,118.61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1,021,241,057.41</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98,559,203.95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-257,683,938.81</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10,079,999.99</w:t>
            </w:r>
          </w:p>
        </w:tc>
      </w:tr>
      <w:tr>
        <w:trPr>
          <w:trHeight w:val="402"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852,036,322.56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753,477,118.61</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36</w:t>
      </w:r>
      <w:r>
        <w:rPr/>
        <w:t>、营业收入和营业成本</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3D3D3"/>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1"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1"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1,800,533,320.43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1,127,942,960.19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927,799,821.68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564,912,029.53</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3,928,276.94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5,084,308.63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1,804,461,597.37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1,133,027,268.82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927,799,821.68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564,912,029.53</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37</w:t>
      </w:r>
      <w:r>
        <w:rPr/>
        <w:t>、营业税金及附加</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882,461.13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262,795.77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5,986,496.23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5,003,539.20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2,583,750.64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2,182,279.48</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1,722,304.95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1,446,849.80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其他税费</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522.37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11,175,012.95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8,895,986.62</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38</w:t>
      </w:r>
      <w:r>
        <w:rPr/>
        <w:t>、销售费用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47,705,750.02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17,379,606.22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3,474,270.69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7,505,219.73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13,958,845.65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24,329,261.73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维修调试费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16,391,662.04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59,093,302.21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104,014,557.42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95,560,162.99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运费及包装费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18,903,412.57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24,900,332.82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23,793,111.99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29,458,210.18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228,241,610.38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258,226,095.88</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39</w:t>
      </w:r>
      <w:r>
        <w:rPr/>
        <w:t>、管理费用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51,641,766.01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57,424,343.73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5,221,676.23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4,679,180.74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666,387.89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1,246,320.13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22,084,084.53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23,612,651.47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10,065,253.22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939,576.54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46,022,685.45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58,322,072.16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25,769,641.11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14,874,807.60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100,369,177.10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125,332,097.80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7,968,725.84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6,964,464.20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8,040,731.86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25,624,576.92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277,850,129.24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319,020,091.29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40</w:t>
      </w:r>
      <w:r>
        <w:rPr/>
        <w:t>、财务费用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53,223,104.41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57,540,431.93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7,900,165.74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11,620,855.64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209,320.71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2,461,104.59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银行手续费等其他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9,628,067.73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13,654,597.94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55,160,327.11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62,035,278.82</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41</w:t>
      </w:r>
      <w:r>
        <w:rPr/>
        <w:t>、资产减值损失</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56,689,357.98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24,252,810.56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二、商誉减值损失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3,,993764.63</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60,683,122.61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24,252,810.56</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42</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3191"/>
        <w:gridCol w:w="2917"/>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-43,413,649.38</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-4,894,020.22</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7,894,070.88</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334,906.61</w:t>
            </w:r>
          </w:p>
        </w:tc>
      </w:tr>
      <w:tr>
        <w:trPr>
          <w:trHeight w:val="714"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191" w:type="dxa"/>
            <w:tcBorders>
              <w:top w:val="single" w:sz="4" w:space="0" w:color="000000"/>
              <w:left w:val="single" w:sz="13" w:space="0" w:color="D3D3D3"/>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-1,721,740.92</w:t>
            </w:r>
          </w:p>
        </w:tc>
      </w:tr>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-35,519,578.50</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-6,280,854.53</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43</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161" w:hRule="exact"/>
        </w:trPr>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89" w:type="dxa"/>
            <w:vMerge/>
            <w:tcBorders>
              <w:left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54,880,545.12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788,442.65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54,880,545.12</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54,880,545.12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788,442.65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54,880,545.12</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86,335,689.47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53,017,841.00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39,581,647.64</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6,041,174.29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6,609,030.15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6,041,174.29</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147,257,408.88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60,415,313.80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100,503,367.05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3"/>
        <w:rPr>
          <w:rFonts w:ascii="宋体" w:hAnsi="宋体" w:cs="宋体" w:eastAsia="宋体" w:hint="default"/>
          <w:sz w:val="25"/>
          <w:szCs w:val="25"/>
        </w:rPr>
      </w:pPr>
    </w:p>
    <w:p>
      <w:pPr>
        <w:spacing w:before="44"/>
        <w:ind w:left="153"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6"/>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10" w:h="16840"/>
          <w:pgMar w:header="747" w:footer="982" w:top="1060" w:bottom="1180" w:left="980" w:right="980"/>
        </w:sectPr>
      </w:pPr>
    </w:p>
    <w:p>
      <w:pPr>
        <w:spacing w:line="240" w:lineRule="auto" w:before="4"/>
        <w:rPr>
          <w:rFonts w:ascii="宋体" w:hAnsi="宋体" w:cs="宋体" w:eastAsia="宋体" w:hint="default"/>
          <w:sz w:val="15"/>
          <w:szCs w:val="15"/>
        </w:rPr>
      </w:pPr>
    </w:p>
    <w:p>
      <w:pPr>
        <w:tabs>
          <w:tab w:pos="1389" w:val="left" w:leader="none"/>
          <w:tab w:pos="2453" w:val="left" w:leader="none"/>
          <w:tab w:pos="3515" w:val="left" w:leader="none"/>
        </w:tabs>
        <w:spacing w:before="0"/>
        <w:ind w:left="325" w:right="-20" w:firstLine="0"/>
        <w:jc w:val="left"/>
        <w:rPr>
          <w:rFonts w:ascii="宋体" w:hAnsi="宋体" w:cs="宋体" w:eastAsia="宋体" w:hint="default"/>
          <w:sz w:val="18"/>
          <w:szCs w:val="18"/>
        </w:rPr>
      </w:pPr>
      <w:r>
        <w:rPr>
          <w:rFonts w:ascii="宋体" w:hAnsi="宋体" w:cs="宋体" w:eastAsia="宋体" w:hint="default"/>
          <w:sz w:val="18"/>
          <w:szCs w:val="18"/>
        </w:rPr>
        <w:t>补助项目</w:t>
        <w:tab/>
        <w:t>发放主体</w:t>
        <w:tab/>
        <w:t>发放原因</w:t>
        <w:tab/>
        <w:t>性质类型</w:t>
      </w:r>
    </w:p>
    <w:p>
      <w:pPr>
        <w:spacing w:line="316" w:lineRule="auto" w:before="44"/>
        <w:ind w:left="213"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补贴是否影 响当年盈亏</w:t>
      </w:r>
    </w:p>
    <w:p>
      <w:pPr>
        <w:spacing w:line="316" w:lineRule="auto" w:before="44"/>
        <w:ind w:left="483" w:right="-20" w:hanging="360"/>
        <w:jc w:val="left"/>
        <w:rPr>
          <w:rFonts w:ascii="宋体" w:hAnsi="宋体" w:cs="宋体" w:eastAsia="宋体" w:hint="default"/>
          <w:sz w:val="18"/>
          <w:szCs w:val="18"/>
        </w:rPr>
      </w:pPr>
      <w:r>
        <w:rPr/>
        <w:br w:type="column"/>
      </w:r>
      <w:r>
        <w:rPr>
          <w:rFonts w:ascii="宋体" w:hAnsi="宋体" w:cs="宋体" w:eastAsia="宋体" w:hint="default"/>
          <w:sz w:val="18"/>
          <w:szCs w:val="18"/>
        </w:rPr>
        <w:t>是否特殊补 贴</w:t>
      </w:r>
    </w:p>
    <w:p>
      <w:pPr>
        <w:spacing w:line="316" w:lineRule="auto" w:before="44"/>
        <w:ind w:left="483" w:right="-20" w:hanging="360"/>
        <w:jc w:val="left"/>
        <w:rPr>
          <w:rFonts w:ascii="宋体" w:hAnsi="宋体" w:cs="宋体" w:eastAsia="宋体" w:hint="default"/>
          <w:sz w:val="18"/>
          <w:szCs w:val="18"/>
        </w:rPr>
      </w:pPr>
      <w:r>
        <w:rPr/>
        <w:br w:type="column"/>
      </w:r>
      <w:r>
        <w:rPr>
          <w:rFonts w:ascii="宋体" w:hAnsi="宋体" w:cs="宋体" w:eastAsia="宋体" w:hint="default"/>
          <w:sz w:val="18"/>
          <w:szCs w:val="18"/>
        </w:rPr>
        <w:t>本期发生金 额</w:t>
      </w:r>
    </w:p>
    <w:p>
      <w:pPr>
        <w:spacing w:line="316" w:lineRule="auto" w:before="44"/>
        <w:ind w:left="483" w:right="-20" w:hanging="360"/>
        <w:jc w:val="left"/>
        <w:rPr>
          <w:rFonts w:ascii="宋体" w:hAnsi="宋体" w:cs="宋体" w:eastAsia="宋体" w:hint="default"/>
          <w:sz w:val="18"/>
          <w:szCs w:val="18"/>
        </w:rPr>
      </w:pPr>
      <w:r>
        <w:rPr/>
        <w:br w:type="column"/>
      </w:r>
      <w:r>
        <w:rPr>
          <w:rFonts w:ascii="宋体" w:hAnsi="宋体" w:cs="宋体" w:eastAsia="宋体" w:hint="default"/>
          <w:sz w:val="18"/>
          <w:szCs w:val="18"/>
        </w:rPr>
        <w:t>上期发生金 额</w:t>
      </w:r>
    </w:p>
    <w:p>
      <w:pPr>
        <w:spacing w:line="300" w:lineRule="auto" w:before="44"/>
        <w:ind w:left="123" w:right="259" w:hanging="26"/>
        <w:jc w:val="left"/>
        <w:rPr>
          <w:rFonts w:ascii="宋体" w:hAnsi="宋体" w:cs="宋体" w:eastAsia="宋体" w:hint="default"/>
          <w:sz w:val="18"/>
          <w:szCs w:val="18"/>
        </w:rPr>
      </w:pPr>
      <w:r>
        <w:rPr/>
        <w:br w:type="column"/>
      </w: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p>
      <w:pPr>
        <w:spacing w:after="0" w:line="300" w:lineRule="auto"/>
        <w:jc w:val="left"/>
        <w:rPr>
          <w:rFonts w:ascii="宋体" w:hAnsi="宋体" w:cs="宋体" w:eastAsia="宋体" w:hint="default"/>
          <w:sz w:val="18"/>
          <w:szCs w:val="18"/>
        </w:rPr>
        <w:sectPr>
          <w:type w:val="continuous"/>
          <w:pgSz w:w="11910" w:h="16840"/>
          <w:pgMar w:top="1060" w:bottom="1180" w:left="980" w:right="980"/>
          <w:cols w:num="6" w:equalWidth="0">
            <w:col w:w="4236" w:space="40"/>
            <w:col w:w="1114" w:space="40"/>
            <w:col w:w="1024" w:space="40"/>
            <w:col w:w="1024" w:space="40"/>
            <w:col w:w="1024" w:space="40"/>
            <w:col w:w="1328"/>
          </w:cols>
        </w:sectPr>
      </w:pPr>
    </w:p>
    <w:p>
      <w:pPr>
        <w:spacing w:line="240" w:lineRule="auto" w:before="3"/>
        <w:rPr>
          <w:rFonts w:ascii="宋体" w:hAnsi="宋体" w:cs="宋体" w:eastAsia="宋体" w:hint="default"/>
          <w:sz w:val="20"/>
          <w:szCs w:val="20"/>
        </w:rPr>
      </w:pPr>
    </w:p>
    <w:p>
      <w:pPr>
        <w:spacing w:before="0"/>
        <w:ind w:left="181"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季</w:t>
      </w:r>
    </w:p>
    <w:p>
      <w:pPr>
        <w:spacing w:line="319" w:lineRule="auto" w:before="61"/>
        <w:ind w:left="181" w:right="23" w:firstLine="0"/>
        <w:jc w:val="left"/>
        <w:rPr>
          <w:rFonts w:ascii="宋体" w:hAnsi="宋体" w:cs="宋体" w:eastAsia="宋体" w:hint="default"/>
          <w:sz w:val="18"/>
          <w:szCs w:val="18"/>
        </w:rPr>
      </w:pPr>
      <w:r>
        <w:rPr>
          <w:rFonts w:ascii="宋体" w:hAnsi="宋体" w:cs="宋体" w:eastAsia="宋体" w:hint="default"/>
          <w:sz w:val="18"/>
          <w:szCs w:val="18"/>
        </w:rPr>
        <w:t>度营改增财 政扶持资金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26"/>
          <w:szCs w:val="26"/>
        </w:rPr>
      </w:pPr>
    </w:p>
    <w:p>
      <w:pPr>
        <w:tabs>
          <w:tab w:pos="1145" w:val="left" w:leader="none"/>
        </w:tabs>
        <w:spacing w:before="0"/>
        <w:ind w:left="82" w:right="-20" w:firstLine="0"/>
        <w:jc w:val="left"/>
        <w:rPr>
          <w:rFonts w:ascii="宋体" w:hAnsi="宋体" w:cs="宋体" w:eastAsia="宋体" w:hint="default"/>
          <w:sz w:val="18"/>
          <w:szCs w:val="18"/>
        </w:rPr>
      </w:pPr>
      <w:r>
        <w:rPr>
          <w:rFonts w:ascii="宋体" w:hAnsi="宋体" w:cs="宋体" w:eastAsia="宋体" w:hint="default"/>
          <w:sz w:val="18"/>
          <w:szCs w:val="18"/>
        </w:rPr>
        <w:t>财政</w:t>
        <w:tab/>
        <w:t>补助</w:t>
      </w:r>
    </w:p>
    <w:p>
      <w:pPr>
        <w:spacing w:line="310" w:lineRule="atLeast" w:before="34"/>
        <w:ind w:left="181" w:right="5472"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因研究开发、 技术更新及</w:t>
      </w:r>
    </w:p>
    <w:p>
      <w:pPr>
        <w:tabs>
          <w:tab w:pos="2307" w:val="left" w:leader="none"/>
          <w:tab w:pos="3567" w:val="left" w:leader="none"/>
          <w:tab w:pos="5497" w:val="left" w:leader="none"/>
        </w:tabs>
        <w:spacing w:line="124" w:lineRule="exact" w:before="0"/>
        <w:ind w:left="1244" w:right="0" w:firstLine="0"/>
        <w:jc w:val="left"/>
        <w:rPr>
          <w:rFonts w:ascii="宋体" w:hAnsi="宋体" w:cs="宋体" w:eastAsia="宋体" w:hint="default"/>
          <w:sz w:val="18"/>
          <w:szCs w:val="18"/>
        </w:rPr>
      </w:pPr>
      <w:r>
        <w:rPr>
          <w:rFonts w:ascii="宋体" w:hAnsi="宋体" w:cs="宋体" w:eastAsia="宋体" w:hint="default"/>
          <w:sz w:val="18"/>
          <w:szCs w:val="18"/>
        </w:rPr>
        <w:t>否</w:t>
        <w:tab/>
        <w:t>否</w:t>
        <w:tab/>
      </w:r>
      <w:r>
        <w:rPr>
          <w:rFonts w:ascii="Times New Roman" w:hAnsi="Times New Roman" w:cs="Times New Roman" w:eastAsia="Times New Roman" w:hint="default"/>
          <w:sz w:val="18"/>
          <w:szCs w:val="18"/>
        </w:rPr>
        <w:t>882,206.14</w:t>
        <w:tab/>
      </w:r>
      <w:r>
        <w:rPr>
          <w:rFonts w:ascii="宋体" w:hAnsi="宋体" w:cs="宋体" w:eastAsia="宋体" w:hint="default"/>
          <w:sz w:val="18"/>
          <w:szCs w:val="18"/>
        </w:rPr>
        <w:t>与收益相关</w:t>
      </w:r>
    </w:p>
    <w:p>
      <w:pPr>
        <w:spacing w:line="188" w:lineRule="exact" w:before="0"/>
        <w:ind w:left="181" w:right="5472"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7"/>
        <w:ind w:left="181" w:right="5472"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80" w:left="980" w:right="980"/>
          <w:cols w:num="3" w:equalWidth="0">
            <w:col w:w="1125" w:space="40"/>
            <w:col w:w="1506" w:space="520"/>
            <w:col w:w="6759"/>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spacing w:line="240" w:lineRule="auto" w:before="4"/>
        <w:rPr>
          <w:rFonts w:ascii="宋体" w:hAnsi="宋体" w:cs="宋体" w:eastAsia="宋体" w:hint="default"/>
          <w:sz w:val="15"/>
          <w:szCs w:val="15"/>
        </w:rPr>
      </w:pPr>
    </w:p>
    <w:p>
      <w:pPr>
        <w:spacing w:line="316" w:lineRule="auto"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企业改制上 市培育项目</w:t>
      </w:r>
    </w:p>
    <w:p>
      <w:pPr>
        <w:spacing w:line="240" w:lineRule="auto" w:before="0"/>
        <w:rPr>
          <w:rFonts w:ascii="宋体" w:hAnsi="宋体" w:cs="宋体" w:eastAsia="宋体" w:hint="default"/>
          <w:sz w:val="18"/>
          <w:szCs w:val="18"/>
        </w:rPr>
      </w:pPr>
      <w:r>
        <w:rPr/>
        <w:br w:type="column"/>
      </w:r>
      <w:r>
        <w:rPr>
          <w:rFonts w:ascii="宋体"/>
          <w:sz w:val="18"/>
        </w:rPr>
      </w:r>
    </w:p>
    <w:p>
      <w:pPr>
        <w:tabs>
          <w:tab w:pos="1188" w:val="left" w:leader="none"/>
        </w:tabs>
        <w:spacing w:before="121"/>
        <w:ind w:left="125" w:right="-20" w:firstLine="0"/>
        <w:jc w:val="left"/>
        <w:rPr>
          <w:rFonts w:ascii="宋体" w:hAnsi="宋体" w:cs="宋体" w:eastAsia="宋体" w:hint="default"/>
          <w:sz w:val="18"/>
          <w:szCs w:val="18"/>
        </w:rPr>
      </w:pPr>
      <w:r>
        <w:rPr>
          <w:rFonts w:ascii="宋体" w:hAnsi="宋体" w:cs="宋体" w:eastAsia="宋体" w:hint="default"/>
          <w:sz w:val="18"/>
          <w:szCs w:val="18"/>
        </w:rPr>
        <w:t>财政</w:t>
        <w:tab/>
        <w:t>补助</w:t>
      </w:r>
    </w:p>
    <w:p>
      <w:pPr>
        <w:spacing w:line="316" w:lineRule="auto" w:before="44"/>
        <w:ind w:left="181"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奖励上市而 给予的政府 补助</w:t>
      </w:r>
    </w:p>
    <w:p>
      <w:pPr>
        <w:spacing w:line="240" w:lineRule="auto" w:before="0"/>
        <w:rPr>
          <w:rFonts w:ascii="宋体" w:hAnsi="宋体" w:cs="宋体" w:eastAsia="宋体" w:hint="default"/>
          <w:sz w:val="18"/>
          <w:szCs w:val="18"/>
        </w:rPr>
      </w:pPr>
      <w:r>
        <w:rPr/>
        <w:br w:type="column"/>
      </w:r>
      <w:r>
        <w:rPr>
          <w:rFonts w:ascii="宋体"/>
          <w:sz w:val="18"/>
        </w:rPr>
      </w:r>
    </w:p>
    <w:p>
      <w:pPr>
        <w:tabs>
          <w:tab w:pos="1186" w:val="left" w:leader="none"/>
          <w:tab w:pos="2446" w:val="left" w:leader="none"/>
          <w:tab w:pos="4375" w:val="left" w:leader="none"/>
        </w:tabs>
        <w:spacing w:before="121"/>
        <w:ind w:left="123" w:right="0" w:firstLine="0"/>
        <w:jc w:val="left"/>
        <w:rPr>
          <w:rFonts w:ascii="宋体" w:hAnsi="宋体" w:cs="宋体" w:eastAsia="宋体" w:hint="default"/>
          <w:sz w:val="18"/>
          <w:szCs w:val="18"/>
        </w:rPr>
      </w:pPr>
      <w:r>
        <w:rPr>
          <w:rFonts w:ascii="宋体" w:hAnsi="宋体" w:cs="宋体" w:eastAsia="宋体" w:hint="default"/>
          <w:sz w:val="18"/>
          <w:szCs w:val="18"/>
        </w:rPr>
        <w:t>否</w:t>
        <w:tab/>
        <w:t>否</w:t>
        <w:tab/>
      </w:r>
      <w:r>
        <w:rPr>
          <w:rFonts w:ascii="Times New Roman" w:hAnsi="Times New Roman" w:cs="Times New Roman" w:eastAsia="Times New Roman" w:hint="default"/>
          <w:sz w:val="18"/>
          <w:szCs w:val="18"/>
        </w:rPr>
        <w:t>451,500.00</w:t>
        <w:tab/>
      </w:r>
      <w:r>
        <w:rPr>
          <w:rFonts w:ascii="宋体" w:hAnsi="宋体" w:cs="宋体" w:eastAsia="宋体" w:hint="default"/>
          <w:sz w:val="18"/>
          <w:szCs w:val="18"/>
        </w:rPr>
        <w:t>与收益相关</w:t>
      </w:r>
    </w:p>
    <w:p>
      <w:pPr>
        <w:spacing w:after="0"/>
        <w:jc w:val="left"/>
        <w:rPr>
          <w:rFonts w:ascii="宋体" w:hAnsi="宋体" w:cs="宋体" w:eastAsia="宋体" w:hint="default"/>
          <w:sz w:val="18"/>
          <w:szCs w:val="18"/>
        </w:rPr>
        <w:sectPr>
          <w:type w:val="continuous"/>
          <w:pgSz w:w="11910" w:h="16840"/>
          <w:pgMar w:top="1060" w:bottom="1180" w:left="980" w:right="980"/>
          <w:cols w:num="4" w:equalWidth="0">
            <w:col w:w="1082" w:space="40"/>
            <w:col w:w="1549" w:space="520"/>
            <w:col w:w="1082" w:space="40"/>
            <w:col w:w="5637"/>
          </w:cols>
        </w:sectPr>
      </w:pPr>
    </w:p>
    <w:p>
      <w:pPr>
        <w:spacing w:line="312" w:lineRule="auto" w:before="109"/>
        <w:ind w:left="181" w:right="-19" w:firstLine="0"/>
        <w:jc w:val="left"/>
        <w:rPr>
          <w:rFonts w:ascii="宋体" w:hAnsi="宋体" w:cs="宋体" w:eastAsia="宋体" w:hint="default"/>
          <w:sz w:val="18"/>
          <w:szCs w:val="18"/>
        </w:rPr>
      </w:pPr>
      <w:r>
        <w:rPr>
          <w:rFonts w:ascii="宋体" w:hAnsi="宋体" w:cs="宋体" w:eastAsia="宋体" w:hint="default"/>
          <w:sz w:val="18"/>
          <w:szCs w:val="18"/>
        </w:rPr>
        <w:t>鞍山市财政 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年首 台</w:t>
      </w:r>
      <w:r>
        <w:rPr>
          <w:rFonts w:ascii="Times New Roman" w:hAnsi="Times New Roman" w:cs="Times New Roman" w:eastAsia="Times New Roman" w:hint="default"/>
          <w:sz w:val="18"/>
          <w:szCs w:val="18"/>
        </w:rPr>
        <w:t>(</w:t>
      </w:r>
      <w:r>
        <w:rPr>
          <w:rFonts w:ascii="宋体" w:hAnsi="宋体" w:cs="宋体" w:eastAsia="宋体" w:hint="default"/>
          <w:sz w:val="18"/>
          <w:szCs w:val="18"/>
        </w:rPr>
        <w:t>套</w:t>
      </w:r>
      <w:r>
        <w:rPr>
          <w:rFonts w:ascii="Times New Roman" w:hAnsi="Times New Roman" w:cs="Times New Roman" w:eastAsia="Times New Roman" w:hint="default"/>
          <w:sz w:val="18"/>
          <w:szCs w:val="18"/>
        </w:rPr>
        <w:t>)</w:t>
      </w:r>
      <w:r>
        <w:rPr>
          <w:rFonts w:ascii="宋体" w:hAnsi="宋体" w:cs="宋体" w:eastAsia="宋体" w:hint="default"/>
          <w:sz w:val="18"/>
          <w:szCs w:val="18"/>
        </w:rPr>
        <w:t>重大 技术装备首 次销售价格 专项补助资 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5"/>
          <w:szCs w:val="25"/>
        </w:rPr>
      </w:pPr>
    </w:p>
    <w:p>
      <w:pPr>
        <w:tabs>
          <w:tab w:pos="1099" w:val="left" w:leader="none"/>
        </w:tabs>
        <w:spacing w:before="0"/>
        <w:ind w:left="36" w:right="-19" w:firstLine="0"/>
        <w:jc w:val="left"/>
        <w:rPr>
          <w:rFonts w:ascii="宋体" w:hAnsi="宋体" w:cs="宋体" w:eastAsia="宋体" w:hint="default"/>
          <w:sz w:val="18"/>
          <w:szCs w:val="18"/>
        </w:rPr>
      </w:pPr>
      <w:r>
        <w:rPr>
          <w:rFonts w:ascii="宋体" w:hAnsi="宋体" w:cs="宋体" w:eastAsia="宋体" w:hint="default"/>
          <w:sz w:val="18"/>
          <w:szCs w:val="18"/>
        </w:rPr>
        <w:t>财政</w:t>
        <w:tab/>
        <w:t>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20"/>
          <w:szCs w:val="20"/>
        </w:rPr>
      </w:pPr>
    </w:p>
    <w:p>
      <w:pPr>
        <w:spacing w:line="310" w:lineRule="atLeast" w:before="0"/>
        <w:ind w:left="181" w:right="5472" w:firstLine="0"/>
        <w:jc w:val="left"/>
        <w:rPr>
          <w:rFonts w:ascii="宋体" w:hAnsi="宋体" w:cs="宋体" w:eastAsia="宋体" w:hint="default"/>
          <w:sz w:val="18"/>
          <w:szCs w:val="18"/>
        </w:rPr>
      </w:pPr>
      <w:r>
        <w:rPr>
          <w:rFonts w:ascii="宋体" w:hAnsi="宋体" w:cs="宋体" w:eastAsia="宋体" w:hint="default"/>
          <w:sz w:val="18"/>
          <w:szCs w:val="18"/>
        </w:rPr>
        <w:t>因研究开发、 技术更新及</w:t>
      </w:r>
    </w:p>
    <w:p>
      <w:pPr>
        <w:tabs>
          <w:tab w:pos="2307" w:val="left" w:leader="none"/>
          <w:tab w:pos="4496" w:val="left" w:leader="none"/>
        </w:tabs>
        <w:spacing w:line="124" w:lineRule="exact" w:before="0"/>
        <w:ind w:left="1244" w:right="0" w:firstLine="0"/>
        <w:jc w:val="left"/>
        <w:rPr>
          <w:rFonts w:ascii="宋体" w:hAnsi="宋体" w:cs="宋体" w:eastAsia="宋体" w:hint="default"/>
          <w:sz w:val="18"/>
          <w:szCs w:val="18"/>
        </w:rPr>
      </w:pPr>
      <w:r>
        <w:rPr>
          <w:rFonts w:ascii="宋体" w:hAnsi="宋体" w:cs="宋体" w:eastAsia="宋体" w:hint="default"/>
          <w:sz w:val="18"/>
          <w:szCs w:val="18"/>
        </w:rPr>
        <w:t>否</w:t>
        <w:tab/>
        <w:t>否</w:t>
        <w:tab/>
      </w:r>
      <w:r>
        <w:rPr>
          <w:rFonts w:ascii="Times New Roman" w:hAnsi="Times New Roman" w:cs="Times New Roman" w:eastAsia="Times New Roman" w:hint="default"/>
          <w:sz w:val="18"/>
          <w:szCs w:val="18"/>
        </w:rPr>
        <w:t>2,300,000.00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与收益相关</w:t>
      </w:r>
    </w:p>
    <w:p>
      <w:pPr>
        <w:spacing w:line="188" w:lineRule="exact" w:before="0"/>
        <w:ind w:left="181" w:right="5472"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7"/>
        <w:ind w:left="181" w:right="5472"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80" w:left="980" w:right="980"/>
          <w:cols w:num="3" w:equalWidth="0">
            <w:col w:w="1171" w:space="40"/>
            <w:col w:w="1460" w:space="520"/>
            <w:col w:w="6759"/>
          </w:cols>
        </w:sectPr>
      </w:pPr>
    </w:p>
    <w:p>
      <w:pPr>
        <w:spacing w:line="314" w:lineRule="auto" w:before="112"/>
        <w:ind w:left="181"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ITER</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工程的 激光控制超 大容量无功 补偿装置经 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0"/>
          <w:szCs w:val="20"/>
        </w:rPr>
      </w:pPr>
    </w:p>
    <w:p>
      <w:pPr>
        <w:tabs>
          <w:tab w:pos="1103" w:val="left" w:leader="none"/>
        </w:tabs>
        <w:spacing w:before="0"/>
        <w:ind w:left="40" w:right="-20" w:firstLine="0"/>
        <w:jc w:val="left"/>
        <w:rPr>
          <w:rFonts w:ascii="宋体" w:hAnsi="宋体" w:cs="宋体" w:eastAsia="宋体" w:hint="default"/>
          <w:sz w:val="18"/>
          <w:szCs w:val="18"/>
        </w:rPr>
      </w:pPr>
      <w:r>
        <w:rPr>
          <w:rFonts w:ascii="宋体" w:hAnsi="宋体" w:cs="宋体" w:eastAsia="宋体" w:hint="default"/>
          <w:sz w:val="18"/>
          <w:szCs w:val="18"/>
        </w:rPr>
        <w:t>财政</w:t>
        <w:tab/>
        <w:t>补助</w:t>
      </w:r>
    </w:p>
    <w:p>
      <w:pPr>
        <w:spacing w:line="240" w:lineRule="auto" w:before="11"/>
        <w:rPr>
          <w:rFonts w:ascii="宋体" w:hAnsi="宋体" w:cs="宋体" w:eastAsia="宋体" w:hint="default"/>
          <w:sz w:val="14"/>
          <w:szCs w:val="14"/>
        </w:rPr>
      </w:pPr>
      <w:r>
        <w:rPr/>
        <w:br w:type="column"/>
      </w:r>
      <w:r>
        <w:rPr>
          <w:rFonts w:ascii="宋体"/>
          <w:sz w:val="14"/>
        </w:rPr>
      </w:r>
    </w:p>
    <w:p>
      <w:pPr>
        <w:spacing w:line="310" w:lineRule="atLeast" w:before="0"/>
        <w:ind w:left="181" w:right="5472" w:firstLine="0"/>
        <w:jc w:val="left"/>
        <w:rPr>
          <w:rFonts w:ascii="宋体" w:hAnsi="宋体" w:cs="宋体" w:eastAsia="宋体" w:hint="default"/>
          <w:sz w:val="18"/>
          <w:szCs w:val="18"/>
        </w:rPr>
      </w:pPr>
      <w:r>
        <w:rPr>
          <w:rFonts w:ascii="宋体" w:hAnsi="宋体" w:cs="宋体" w:eastAsia="宋体" w:hint="default"/>
          <w:sz w:val="18"/>
          <w:szCs w:val="18"/>
        </w:rPr>
        <w:t>因研究开发、 技术更新及</w:t>
      </w:r>
    </w:p>
    <w:p>
      <w:pPr>
        <w:tabs>
          <w:tab w:pos="2307" w:val="left" w:leader="none"/>
          <w:tab w:pos="4496" w:val="left" w:leader="none"/>
        </w:tabs>
        <w:spacing w:line="124" w:lineRule="exact" w:before="0"/>
        <w:ind w:left="1244" w:right="0" w:firstLine="0"/>
        <w:jc w:val="left"/>
        <w:rPr>
          <w:rFonts w:ascii="宋体" w:hAnsi="宋体" w:cs="宋体" w:eastAsia="宋体" w:hint="default"/>
          <w:sz w:val="18"/>
          <w:szCs w:val="18"/>
        </w:rPr>
      </w:pPr>
      <w:r>
        <w:rPr>
          <w:rFonts w:ascii="宋体" w:hAnsi="宋体" w:cs="宋体" w:eastAsia="宋体" w:hint="default"/>
          <w:sz w:val="18"/>
          <w:szCs w:val="18"/>
        </w:rPr>
        <w:t>否</w:t>
        <w:tab/>
        <w:t>否</w:t>
        <w:tab/>
      </w:r>
      <w:r>
        <w:rPr>
          <w:rFonts w:ascii="Times New Roman" w:hAnsi="Times New Roman" w:cs="Times New Roman" w:eastAsia="Times New Roman" w:hint="default"/>
          <w:sz w:val="18"/>
          <w:szCs w:val="18"/>
        </w:rPr>
        <w:t>2,000,000.00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与收益相关</w:t>
      </w:r>
    </w:p>
    <w:p>
      <w:pPr>
        <w:spacing w:line="188" w:lineRule="exact" w:before="0"/>
        <w:ind w:left="181" w:right="5472"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7"/>
        <w:ind w:left="181" w:right="5472"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80" w:left="980" w:right="980"/>
          <w:cols w:num="3" w:equalWidth="0">
            <w:col w:w="1167" w:space="40"/>
            <w:col w:w="1464" w:space="520"/>
            <w:col w:w="6759"/>
          </w:cols>
        </w:sectPr>
      </w:pPr>
    </w:p>
    <w:p>
      <w:pPr>
        <w:spacing w:line="240" w:lineRule="auto" w:before="5"/>
        <w:rPr>
          <w:rFonts w:ascii="宋体" w:hAnsi="宋体" w:cs="宋体" w:eastAsia="宋体" w:hint="default"/>
          <w:sz w:val="20"/>
          <w:szCs w:val="20"/>
        </w:rPr>
      </w:pPr>
    </w:p>
    <w:p>
      <w:pPr>
        <w:spacing w:line="316" w:lineRule="auto" w:before="0"/>
        <w:ind w:left="181" w:right="0" w:firstLine="0"/>
        <w:jc w:val="both"/>
        <w:rPr>
          <w:rFonts w:ascii="宋体" w:hAnsi="宋体" w:cs="宋体" w:eastAsia="宋体" w:hint="default"/>
          <w:sz w:val="18"/>
          <w:szCs w:val="18"/>
        </w:rPr>
      </w:pPr>
      <w:r>
        <w:rPr>
          <w:rFonts w:ascii="宋体" w:hAnsi="宋体" w:cs="宋体" w:eastAsia="宋体" w:hint="default"/>
          <w:sz w:val="18"/>
          <w:szCs w:val="18"/>
        </w:rPr>
        <w:t>柔性直流输 电关键技术 联合开发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3"/>
        <w:rPr>
          <w:rFonts w:ascii="宋体" w:hAnsi="宋体" w:cs="宋体" w:eastAsia="宋体" w:hint="default"/>
          <w:sz w:val="26"/>
          <w:szCs w:val="26"/>
        </w:rPr>
      </w:pPr>
    </w:p>
    <w:p>
      <w:pPr>
        <w:tabs>
          <w:tab w:pos="1188" w:val="left" w:leader="none"/>
        </w:tabs>
        <w:spacing w:before="0"/>
        <w:ind w:left="125" w:right="-20" w:firstLine="0"/>
        <w:jc w:val="left"/>
        <w:rPr>
          <w:rFonts w:ascii="宋体" w:hAnsi="宋体" w:cs="宋体" w:eastAsia="宋体" w:hint="default"/>
          <w:sz w:val="18"/>
          <w:szCs w:val="18"/>
        </w:rPr>
      </w:pPr>
      <w:r>
        <w:rPr>
          <w:rFonts w:ascii="宋体" w:hAnsi="宋体" w:cs="宋体" w:eastAsia="宋体" w:hint="default"/>
          <w:sz w:val="18"/>
          <w:szCs w:val="18"/>
        </w:rPr>
        <w:t>财政</w:t>
        <w:tab/>
        <w:t>补助</w:t>
      </w:r>
    </w:p>
    <w:p>
      <w:pPr>
        <w:spacing w:line="310" w:lineRule="atLeast" w:before="36"/>
        <w:ind w:left="181" w:right="5472"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因研究开发、 技术更新及</w:t>
      </w:r>
    </w:p>
    <w:p>
      <w:pPr>
        <w:tabs>
          <w:tab w:pos="2307" w:val="left" w:leader="none"/>
          <w:tab w:pos="4496" w:val="left" w:leader="none"/>
        </w:tabs>
        <w:spacing w:line="124" w:lineRule="exact" w:before="0"/>
        <w:ind w:left="1244" w:right="0" w:firstLine="0"/>
        <w:jc w:val="left"/>
        <w:rPr>
          <w:rFonts w:ascii="宋体" w:hAnsi="宋体" w:cs="宋体" w:eastAsia="宋体" w:hint="default"/>
          <w:sz w:val="18"/>
          <w:szCs w:val="18"/>
        </w:rPr>
      </w:pPr>
      <w:r>
        <w:rPr>
          <w:rFonts w:ascii="宋体" w:hAnsi="宋体" w:cs="宋体" w:eastAsia="宋体" w:hint="default"/>
          <w:sz w:val="18"/>
          <w:szCs w:val="18"/>
        </w:rPr>
        <w:t>否</w:t>
        <w:tab/>
        <w:t>否</w:t>
        <w:tab/>
      </w:r>
      <w:r>
        <w:rPr>
          <w:rFonts w:ascii="Times New Roman" w:hAnsi="Times New Roman" w:cs="Times New Roman" w:eastAsia="Times New Roman" w:hint="default"/>
          <w:sz w:val="18"/>
          <w:szCs w:val="18"/>
        </w:rPr>
        <w:t>1,250,000.00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与收益相关</w:t>
      </w:r>
    </w:p>
    <w:p>
      <w:pPr>
        <w:spacing w:line="188" w:lineRule="exact" w:before="0"/>
        <w:ind w:left="181" w:right="5472"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7"/>
        <w:ind w:left="181" w:right="5472"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80" w:left="980" w:right="980"/>
          <w:cols w:num="3" w:equalWidth="0">
            <w:col w:w="1082" w:space="40"/>
            <w:col w:w="1549" w:space="520"/>
            <w:col w:w="6759"/>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spacing w:line="240" w:lineRule="auto" w:before="0"/>
        <w:rPr>
          <w:rFonts w:ascii="宋体" w:hAnsi="宋体" w:cs="宋体" w:eastAsia="宋体" w:hint="default"/>
          <w:sz w:val="18"/>
          <w:szCs w:val="18"/>
        </w:rPr>
      </w:pPr>
    </w:p>
    <w:p>
      <w:pPr>
        <w:spacing w:line="316" w:lineRule="auto" w:before="121"/>
        <w:ind w:left="181" w:right="-20" w:firstLine="0"/>
        <w:jc w:val="left"/>
        <w:rPr>
          <w:rFonts w:ascii="宋体" w:hAnsi="宋体" w:cs="宋体" w:eastAsia="宋体" w:hint="default"/>
          <w:sz w:val="18"/>
          <w:szCs w:val="18"/>
        </w:rPr>
      </w:pPr>
      <w:r>
        <w:rPr>
          <w:rFonts w:ascii="宋体" w:hAnsi="宋体" w:cs="宋体" w:eastAsia="宋体" w:hint="default"/>
          <w:sz w:val="18"/>
          <w:szCs w:val="18"/>
        </w:rPr>
        <w:t>科技专项补 助资金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tabs>
          <w:tab w:pos="1188" w:val="left" w:leader="none"/>
        </w:tabs>
        <w:spacing w:before="0"/>
        <w:ind w:left="125" w:right="-20" w:firstLine="0"/>
        <w:jc w:val="left"/>
        <w:rPr>
          <w:rFonts w:ascii="宋体" w:hAnsi="宋体" w:cs="宋体" w:eastAsia="宋体" w:hint="default"/>
          <w:sz w:val="18"/>
          <w:szCs w:val="18"/>
        </w:rPr>
      </w:pPr>
      <w:r>
        <w:rPr>
          <w:rFonts w:ascii="宋体" w:hAnsi="宋体" w:cs="宋体" w:eastAsia="宋体" w:hint="default"/>
          <w:sz w:val="18"/>
          <w:szCs w:val="18"/>
        </w:rPr>
        <w:t>财政</w:t>
        <w:tab/>
        <w:t>奖励</w:t>
      </w:r>
    </w:p>
    <w:p>
      <w:pPr>
        <w:spacing w:line="310" w:lineRule="exact" w:before="6"/>
        <w:ind w:left="181" w:right="5472"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因研究开发、 技术更新及</w:t>
      </w:r>
    </w:p>
    <w:p>
      <w:pPr>
        <w:tabs>
          <w:tab w:pos="2307" w:val="left" w:leader="none"/>
          <w:tab w:pos="4496" w:val="left" w:leader="none"/>
        </w:tabs>
        <w:spacing w:line="87" w:lineRule="exact" w:before="0"/>
        <w:ind w:left="1244" w:right="0" w:firstLine="0"/>
        <w:jc w:val="left"/>
        <w:rPr>
          <w:rFonts w:ascii="宋体" w:hAnsi="宋体" w:cs="宋体" w:eastAsia="宋体" w:hint="default"/>
          <w:sz w:val="18"/>
          <w:szCs w:val="18"/>
        </w:rPr>
      </w:pPr>
      <w:r>
        <w:rPr>
          <w:rFonts w:ascii="宋体" w:hAnsi="宋体" w:cs="宋体" w:eastAsia="宋体" w:hint="default"/>
          <w:sz w:val="18"/>
          <w:szCs w:val="18"/>
        </w:rPr>
        <w:t>否</w:t>
        <w:tab/>
        <w:t>否</w:t>
        <w:tab/>
      </w:r>
      <w:r>
        <w:rPr>
          <w:rFonts w:ascii="Times New Roman" w:hAnsi="Times New Roman" w:cs="Times New Roman" w:eastAsia="Times New Roman" w:hint="default"/>
          <w:sz w:val="18"/>
          <w:szCs w:val="18"/>
        </w:rPr>
        <w:t>1,000,000.00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与收益相关</w:t>
      </w:r>
    </w:p>
    <w:p>
      <w:pPr>
        <w:spacing w:line="188" w:lineRule="exact" w:before="0"/>
        <w:ind w:left="181" w:right="5472"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7"/>
        <w:ind w:left="181" w:right="5472"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80" w:left="980" w:right="980"/>
          <w:cols w:num="3" w:equalWidth="0">
            <w:col w:w="1082" w:space="40"/>
            <w:col w:w="1549" w:space="520"/>
            <w:col w:w="6759"/>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spacing w:line="240" w:lineRule="auto" w:before="0"/>
        <w:rPr>
          <w:rFonts w:ascii="宋体" w:hAnsi="宋体" w:cs="宋体" w:eastAsia="宋体" w:hint="default"/>
          <w:sz w:val="18"/>
          <w:szCs w:val="18"/>
        </w:rPr>
      </w:pPr>
    </w:p>
    <w:p>
      <w:pPr>
        <w:spacing w:line="316" w:lineRule="auto" w:before="121"/>
        <w:ind w:left="181" w:right="0" w:firstLine="0"/>
        <w:jc w:val="both"/>
        <w:rPr>
          <w:rFonts w:ascii="宋体" w:hAnsi="宋体" w:cs="宋体" w:eastAsia="宋体" w:hint="default"/>
          <w:sz w:val="18"/>
          <w:szCs w:val="18"/>
        </w:rPr>
      </w:pPr>
      <w:r>
        <w:rPr>
          <w:rFonts w:ascii="宋体" w:hAnsi="宋体" w:cs="宋体" w:eastAsia="宋体" w:hint="default"/>
          <w:sz w:val="18"/>
          <w:szCs w:val="18"/>
        </w:rPr>
        <w:t>辽宁省创新 型中小企业 认定补助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tabs>
          <w:tab w:pos="1188" w:val="left" w:leader="none"/>
        </w:tabs>
        <w:spacing w:before="0"/>
        <w:ind w:left="125" w:right="-20" w:firstLine="0"/>
        <w:jc w:val="left"/>
        <w:rPr>
          <w:rFonts w:ascii="宋体" w:hAnsi="宋体" w:cs="宋体" w:eastAsia="宋体" w:hint="default"/>
          <w:sz w:val="18"/>
          <w:szCs w:val="18"/>
        </w:rPr>
      </w:pPr>
      <w:r>
        <w:rPr>
          <w:rFonts w:ascii="宋体" w:hAnsi="宋体" w:cs="宋体" w:eastAsia="宋体" w:hint="default"/>
          <w:sz w:val="18"/>
          <w:szCs w:val="18"/>
        </w:rPr>
        <w:t>财政</w:t>
        <w:tab/>
        <w:t>补助</w:t>
      </w:r>
    </w:p>
    <w:p>
      <w:pPr>
        <w:spacing w:line="316" w:lineRule="auto" w:before="44"/>
        <w:ind w:left="181"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因符合地方 政府招商引 资等地方性 扶持政策而 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tabs>
          <w:tab w:pos="1186" w:val="left" w:leader="none"/>
          <w:tab w:pos="3375" w:val="left" w:leader="none"/>
        </w:tabs>
        <w:spacing w:before="0"/>
        <w:ind w:left="123" w:right="0" w:firstLine="0"/>
        <w:jc w:val="left"/>
        <w:rPr>
          <w:rFonts w:ascii="宋体" w:hAnsi="宋体" w:cs="宋体" w:eastAsia="宋体" w:hint="default"/>
          <w:sz w:val="18"/>
          <w:szCs w:val="18"/>
        </w:rPr>
      </w:pPr>
      <w:r>
        <w:rPr>
          <w:rFonts w:ascii="宋体" w:hAnsi="宋体" w:cs="宋体" w:eastAsia="宋体" w:hint="default"/>
          <w:sz w:val="18"/>
          <w:szCs w:val="18"/>
        </w:rPr>
        <w:t>否</w:t>
        <w:tab/>
        <w:t>否</w:t>
        <w:tab/>
      </w:r>
      <w:r>
        <w:rPr>
          <w:rFonts w:ascii="Times New Roman" w:hAnsi="Times New Roman" w:cs="Times New Roman" w:eastAsia="Times New Roman" w:hint="default"/>
          <w:sz w:val="18"/>
          <w:szCs w:val="18"/>
        </w:rPr>
        <w:t>1,000,000.00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与收益相关</w:t>
      </w:r>
    </w:p>
    <w:p>
      <w:pPr>
        <w:spacing w:after="0"/>
        <w:jc w:val="left"/>
        <w:rPr>
          <w:rFonts w:ascii="宋体" w:hAnsi="宋体" w:cs="宋体" w:eastAsia="宋体" w:hint="default"/>
          <w:sz w:val="18"/>
          <w:szCs w:val="18"/>
        </w:rPr>
        <w:sectPr>
          <w:type w:val="continuous"/>
          <w:pgSz w:w="11910" w:h="16840"/>
          <w:pgMar w:top="1060" w:bottom="1180" w:left="980" w:right="980"/>
          <w:cols w:num="4" w:equalWidth="0">
            <w:col w:w="1082" w:space="40"/>
            <w:col w:w="1549" w:space="520"/>
            <w:col w:w="1082" w:space="40"/>
            <w:col w:w="5637"/>
          </w:cols>
        </w:sectPr>
      </w:pPr>
    </w:p>
    <w:p>
      <w:pPr>
        <w:spacing w:line="316" w:lineRule="auto" w:before="109"/>
        <w:ind w:left="181" w:right="0" w:firstLine="0"/>
        <w:jc w:val="both"/>
        <w:rPr>
          <w:rFonts w:ascii="宋体" w:hAnsi="宋体" w:cs="宋体" w:eastAsia="宋体" w:hint="default"/>
          <w:sz w:val="18"/>
          <w:szCs w:val="18"/>
        </w:rPr>
      </w:pPr>
      <w:r>
        <w:rPr>
          <w:rFonts w:ascii="宋体" w:hAnsi="宋体" w:cs="宋体" w:eastAsia="宋体" w:hint="default"/>
          <w:sz w:val="18"/>
          <w:szCs w:val="18"/>
        </w:rPr>
        <w:t>高压大功率 电子设备制 造项目专项 资金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26"/>
          <w:szCs w:val="26"/>
        </w:rPr>
      </w:pPr>
    </w:p>
    <w:p>
      <w:pPr>
        <w:tabs>
          <w:tab w:pos="1188" w:val="left" w:leader="none"/>
        </w:tabs>
        <w:spacing w:before="0"/>
        <w:ind w:left="125" w:right="-20" w:firstLine="0"/>
        <w:jc w:val="left"/>
        <w:rPr>
          <w:rFonts w:ascii="宋体" w:hAnsi="宋体" w:cs="宋体" w:eastAsia="宋体" w:hint="default"/>
          <w:sz w:val="18"/>
          <w:szCs w:val="18"/>
        </w:rPr>
      </w:pPr>
      <w:r>
        <w:rPr>
          <w:rFonts w:ascii="宋体" w:hAnsi="宋体" w:cs="宋体" w:eastAsia="宋体" w:hint="default"/>
          <w:sz w:val="18"/>
          <w:szCs w:val="18"/>
        </w:rPr>
        <w:t>财政</w:t>
        <w:tab/>
        <w:t>补助</w:t>
      </w:r>
    </w:p>
    <w:p>
      <w:pPr>
        <w:spacing w:line="310" w:lineRule="atLeast" w:before="34"/>
        <w:ind w:left="181" w:right="5472"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因研究开发、 技术更新及</w:t>
      </w:r>
    </w:p>
    <w:p>
      <w:pPr>
        <w:tabs>
          <w:tab w:pos="2307" w:val="left" w:leader="none"/>
          <w:tab w:pos="4496" w:val="left" w:leader="none"/>
        </w:tabs>
        <w:spacing w:line="124" w:lineRule="exact" w:before="0"/>
        <w:ind w:left="1244" w:right="0" w:firstLine="0"/>
        <w:jc w:val="left"/>
        <w:rPr>
          <w:rFonts w:ascii="宋体" w:hAnsi="宋体" w:cs="宋体" w:eastAsia="宋体" w:hint="default"/>
          <w:sz w:val="18"/>
          <w:szCs w:val="18"/>
        </w:rPr>
      </w:pPr>
      <w:r>
        <w:rPr>
          <w:rFonts w:ascii="宋体" w:hAnsi="宋体" w:cs="宋体" w:eastAsia="宋体" w:hint="default"/>
          <w:sz w:val="18"/>
          <w:szCs w:val="18"/>
        </w:rPr>
        <w:t>否</w:t>
        <w:tab/>
        <w:t>否</w:t>
        <w:tab/>
      </w:r>
      <w:r>
        <w:rPr>
          <w:rFonts w:ascii="Times New Roman" w:hAnsi="Times New Roman" w:cs="Times New Roman" w:eastAsia="Times New Roman" w:hint="default"/>
          <w:sz w:val="18"/>
          <w:szCs w:val="18"/>
        </w:rPr>
        <w:t>1,000,000.00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与收益相关</w:t>
      </w:r>
    </w:p>
    <w:p>
      <w:pPr>
        <w:spacing w:line="188" w:lineRule="exact" w:before="0"/>
        <w:ind w:left="181" w:right="5472"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7"/>
        <w:ind w:left="181" w:right="5472"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80" w:left="980" w:right="980"/>
          <w:cols w:num="3" w:equalWidth="0">
            <w:col w:w="1082" w:space="40"/>
            <w:col w:w="1549" w:space="520"/>
            <w:col w:w="6759"/>
          </w:cols>
        </w:sectPr>
      </w:pPr>
    </w:p>
    <w:p>
      <w:pPr>
        <w:tabs>
          <w:tab w:pos="2310" w:val="left" w:leader="none"/>
          <w:tab w:pos="3372" w:val="left" w:leader="none"/>
          <w:tab w:pos="5498" w:val="left" w:leader="none"/>
          <w:tab w:pos="7687" w:val="left" w:leader="none"/>
        </w:tabs>
        <w:spacing w:before="109"/>
        <w:ind w:left="181" w:right="0" w:firstLine="0"/>
        <w:jc w:val="left"/>
        <w:rPr>
          <w:rFonts w:ascii="宋体" w:hAnsi="宋体" w:cs="宋体" w:eastAsia="宋体" w:hint="default"/>
          <w:sz w:val="18"/>
          <w:szCs w:val="18"/>
        </w:rPr>
      </w:pPr>
      <w:r>
        <w:rPr/>
        <w:pict>
          <v:group style="position:absolute;margin-left:56.219994pt;margin-top:106.980019pt;width:479.4pt;height:654.4pt;mso-position-horizontal-relative:page;mso-position-vertical-relative:page;z-index:-1027216" coordorigin="1124,2140" coordsize="9588,13088">
            <v:group style="position:absolute;left:1139;top:2154;width:1055;height:705" coordorigin="1139,2154" coordsize="1055,705">
              <v:shape style="position:absolute;left:1139;top:2154;width:1055;height:705" coordorigin="1139,2154" coordsize="1055,705" path="m1139,2858l2194,2858,2194,2154,1139,2154,1139,2858xe" filled="true" fillcolor="#d3d3d3" stroked="false">
                <v:path arrowok="t"/>
                <v:fill type="solid"/>
              </v:shape>
            </v:group>
            <v:group style="position:absolute;left:1162;top:2310;width:1010;height:393" coordorigin="1162,2310" coordsize="1010,393">
              <v:shape style="position:absolute;left:1162;top:2310;width:1010;height:393" coordorigin="1162,2310" coordsize="1010,393" path="m1162,2702l2171,2702,2171,2310,1162,2310,1162,2702xe" filled="true" fillcolor="#d3d3d3" stroked="false">
                <v:path arrowok="t"/>
                <v:fill type="solid"/>
              </v:shape>
            </v:group>
            <v:group style="position:absolute;left:2204;top:2154;width:1053;height:705" coordorigin="2204,2154" coordsize="1053,705">
              <v:shape style="position:absolute;left:2204;top:2154;width:1053;height:705" coordorigin="2204,2154" coordsize="1053,705" path="m2204,2858l3257,2858,3257,2154,2204,2154,2204,2858xe" filled="true" fillcolor="#d3d3d3" stroked="false">
                <v:path arrowok="t"/>
                <v:fill type="solid"/>
              </v:shape>
            </v:group>
            <v:group style="position:absolute;left:2227;top:2310;width:1007;height:393" coordorigin="2227,2310" coordsize="1007,393">
              <v:shape style="position:absolute;left:2227;top:2310;width:1007;height:393" coordorigin="2227,2310" coordsize="1007,393" path="m2227,2702l3234,2702,3234,2310,2227,2310,2227,2702xe" filled="true" fillcolor="#d3d3d3" stroked="false">
                <v:path arrowok="t"/>
                <v:fill type="solid"/>
              </v:shape>
            </v:group>
            <v:group style="position:absolute;left:3266;top:2154;width:1054;height:705" coordorigin="3266,2154" coordsize="1054,705">
              <v:shape style="position:absolute;left:3266;top:2154;width:1054;height:705" coordorigin="3266,2154" coordsize="1054,705" path="m3266,2858l4320,2858,4320,2154,3266,2154,3266,2858xe" filled="true" fillcolor="#d3d3d3" stroked="false">
                <v:path arrowok="t"/>
                <v:fill type="solid"/>
              </v:shape>
            </v:group>
            <v:group style="position:absolute;left:3290;top:2310;width:1007;height:393" coordorigin="3290,2310" coordsize="1007,393">
              <v:shape style="position:absolute;left:3290;top:2310;width:1007;height:393" coordorigin="3290,2310" coordsize="1007,393" path="m3290,2702l4297,2702,4297,2310,3290,2310,3290,2702xe" filled="true" fillcolor="#d3d3d3" stroked="false">
                <v:path arrowok="t"/>
                <v:fill type="solid"/>
              </v:shape>
            </v:group>
            <v:group style="position:absolute;left:4330;top:2154;width:1054;height:705" coordorigin="4330,2154" coordsize="1054,705">
              <v:shape style="position:absolute;left:4330;top:2154;width:1054;height:705" coordorigin="4330,2154" coordsize="1054,705" path="m4330,2858l5383,2858,5383,2154,4330,2154,4330,2858xe" filled="true" fillcolor="#d3d3d3" stroked="false">
                <v:path arrowok="t"/>
                <v:fill type="solid"/>
              </v:shape>
            </v:group>
            <v:group style="position:absolute;left:4352;top:2310;width:1008;height:393" coordorigin="4352,2310" coordsize="1008,393">
              <v:shape style="position:absolute;left:4352;top:2310;width:1008;height:393" coordorigin="4352,2310" coordsize="1008,393" path="m4352,2702l5360,2702,5360,2310,4352,2310,4352,2702xe" filled="true" fillcolor="#d3d3d3" stroked="false">
                <v:path arrowok="t"/>
                <v:fill type="solid"/>
              </v:shape>
            </v:group>
            <v:group style="position:absolute;left:5393;top:2154;width:1054;height:705" coordorigin="5393,2154" coordsize="1054,705">
              <v:shape style="position:absolute;left:5393;top:2154;width:1054;height:705" coordorigin="5393,2154" coordsize="1054,705" path="m5393,2858l6446,2858,6446,2154,5393,2154,5393,2858xe" filled="true" fillcolor="#d3d3d3" stroked="false">
                <v:path arrowok="t"/>
                <v:fill type="solid"/>
              </v:shape>
            </v:group>
            <v:group style="position:absolute;left:5416;top:2154;width:1007;height:352" coordorigin="5416,2154" coordsize="1007,352">
              <v:shape style="position:absolute;left:5416;top:2154;width:1007;height:352" coordorigin="5416,2154" coordsize="1007,352" path="m5416,2506l6422,2506,6422,2154,5416,2154,5416,2506xe" filled="true" fillcolor="#d3d3d3" stroked="false">
                <v:path arrowok="t"/>
                <v:fill type="solid"/>
              </v:shape>
            </v:group>
            <v:group style="position:absolute;left:5416;top:2506;width:1007;height:353" coordorigin="5416,2506" coordsize="1007,353">
              <v:shape style="position:absolute;left:5416;top:2506;width:1007;height:353" coordorigin="5416,2506" coordsize="1007,353" path="m5416,2858l6422,2858,6422,2506,5416,2506,5416,2858xe" filled="true" fillcolor="#d3d3d3" stroked="false">
                <v:path arrowok="t"/>
                <v:fill type="solid"/>
              </v:shape>
            </v:group>
            <v:group style="position:absolute;left:6456;top:2154;width:1053;height:705" coordorigin="6456,2154" coordsize="1053,705">
              <v:shape style="position:absolute;left:6456;top:2154;width:1053;height:705" coordorigin="6456,2154" coordsize="1053,705" path="m6456,2858l7508,2858,7508,2154,6456,2154,6456,2858xe" filled="true" fillcolor="#d3d3d3" stroked="false">
                <v:path arrowok="t"/>
                <v:fill type="solid"/>
              </v:shape>
            </v:group>
            <v:group style="position:absolute;left:6479;top:2154;width:1007;height:352" coordorigin="6479,2154" coordsize="1007,352">
              <v:shape style="position:absolute;left:6479;top:2154;width:1007;height:352" coordorigin="6479,2154" coordsize="1007,352" path="m6479,2506l7486,2506,7486,2154,6479,2154,6479,2506xe" filled="true" fillcolor="#d3d3d3" stroked="false">
                <v:path arrowok="t"/>
                <v:fill type="solid"/>
              </v:shape>
            </v:group>
            <v:group style="position:absolute;left:6479;top:2506;width:1007;height:353" coordorigin="6479,2506" coordsize="1007,353">
              <v:shape style="position:absolute;left:6479;top:2506;width:1007;height:353" coordorigin="6479,2506" coordsize="1007,353" path="m6479,2858l7486,2858,7486,2506,6479,2506,6479,2858xe" filled="true" fillcolor="#d3d3d3" stroked="false">
                <v:path arrowok="t"/>
                <v:fill type="solid"/>
              </v:shape>
            </v:group>
            <v:group style="position:absolute;left:7519;top:2154;width:1053;height:705" coordorigin="7519,2154" coordsize="1053,705">
              <v:shape style="position:absolute;left:7519;top:2154;width:1053;height:705" coordorigin="7519,2154" coordsize="1053,705" path="m7519,2858l8572,2858,8572,2154,7519,2154,7519,2858xe" filled="true" fillcolor="#d3d3d3" stroked="false">
                <v:path arrowok="t"/>
                <v:fill type="solid"/>
              </v:shape>
            </v:group>
            <v:group style="position:absolute;left:7542;top:2154;width:1007;height:352" coordorigin="7542,2154" coordsize="1007,352">
              <v:shape style="position:absolute;left:7542;top:2154;width:1007;height:352" coordorigin="7542,2154" coordsize="1007,352" path="m7542,2506l8549,2506,8549,2154,7542,2154,7542,2506xe" filled="true" fillcolor="#d3d3d3" stroked="false">
                <v:path arrowok="t"/>
                <v:fill type="solid"/>
              </v:shape>
            </v:group>
            <v:group style="position:absolute;left:7542;top:2506;width:1007;height:353" coordorigin="7542,2506" coordsize="1007,353">
              <v:shape style="position:absolute;left:7542;top:2506;width:1007;height:353" coordorigin="7542,2506" coordsize="1007,353" path="m7542,2858l8549,2858,8549,2506,7542,2506,7542,2858xe" filled="true" fillcolor="#d3d3d3" stroked="false">
                <v:path arrowok="t"/>
                <v:fill type="solid"/>
              </v:shape>
            </v:group>
            <v:group style="position:absolute;left:8582;top:2154;width:1053;height:705" coordorigin="8582,2154" coordsize="1053,705">
              <v:shape style="position:absolute;left:8582;top:2154;width:1053;height:705" coordorigin="8582,2154" coordsize="1053,705" path="m8582,2858l9635,2858,9635,2154,8582,2154,8582,2858xe" filled="true" fillcolor="#d3d3d3" stroked="false">
                <v:path arrowok="t"/>
                <v:fill type="solid"/>
              </v:shape>
            </v:group>
            <v:group style="position:absolute;left:8605;top:2154;width:1007;height:352" coordorigin="8605,2154" coordsize="1007,352">
              <v:shape style="position:absolute;left:8605;top:2154;width:1007;height:352" coordorigin="8605,2154" coordsize="1007,352" path="m8605,2506l9612,2506,9612,2154,8605,2154,8605,2506xe" filled="true" fillcolor="#d3d3d3" stroked="false">
                <v:path arrowok="t"/>
                <v:fill type="solid"/>
              </v:shape>
            </v:group>
            <v:group style="position:absolute;left:8605;top:2506;width:1007;height:353" coordorigin="8605,2506" coordsize="1007,353">
              <v:shape style="position:absolute;left:8605;top:2506;width:1007;height:353" coordorigin="8605,2506" coordsize="1007,353" path="m8605,2858l9612,2858,9612,2506,8605,2506,8605,2858xe" filled="true" fillcolor="#d3d3d3" stroked="false">
                <v:path arrowok="t"/>
                <v:fill type="solid"/>
              </v:shape>
            </v:group>
            <v:group style="position:absolute;left:9646;top:2154;width:1053;height:705" coordorigin="9646,2154" coordsize="1053,705">
              <v:shape style="position:absolute;left:9646;top:2154;width:1053;height:705" coordorigin="9646,2154" coordsize="1053,705" path="m9646,2858l10698,2858,10698,2154,9646,2154,9646,2858xe" filled="true" fillcolor="#d3d3d3" stroked="false">
                <v:path arrowok="t"/>
                <v:fill type="solid"/>
              </v:shape>
            </v:group>
            <v:group style="position:absolute;left:9668;top:2154;width:1007;height:352" coordorigin="9668,2154" coordsize="1007,352">
              <v:shape style="position:absolute;left:9668;top:2154;width:1007;height:352" coordorigin="9668,2154" coordsize="1007,352" path="m9668,2506l10675,2506,10675,2154,9668,2154,9668,2506xe" filled="true" fillcolor="#d3d3d3" stroked="false">
                <v:path arrowok="t"/>
                <v:fill type="solid"/>
              </v:shape>
            </v:group>
            <v:group style="position:absolute;left:9668;top:2506;width:1007;height:353" coordorigin="9668,2506" coordsize="1007,353">
              <v:shape style="position:absolute;left:9668;top:2506;width:1007;height:353" coordorigin="9668,2506" coordsize="1007,353" path="m9668,2858l10675,2858,10675,2506,9668,2506,9668,2858xe" filled="true" fillcolor="#d3d3d3" stroked="false">
                <v:path arrowok="t"/>
                <v:fill type="solid"/>
              </v:shape>
            </v:group>
            <v:group style="position:absolute;left:1129;top:2149;width:9579;height:2" coordorigin="1129,2149" coordsize="9579,2">
              <v:shape style="position:absolute;left:1129;top:2149;width:9579;height:2" coordorigin="1129,2149" coordsize="9579,0" path="m1129,2149l10708,2149e" filled="false" stroked="true" strokeweight=".47998pt" strokecolor="#000000">
                <v:path arrowok="t"/>
              </v:shape>
            </v:group>
            <v:group style="position:absolute;left:2200;top:2154;width:2;height:705" coordorigin="2200,2154" coordsize="2,705">
              <v:shape style="position:absolute;left:2200;top:2154;width:2;height:705" coordorigin="2200,2154" coordsize="0,705" path="m2200,2154l2200,2858e" filled="false" stroked="true" strokeweight=".48pt" strokecolor="#000000">
                <v:path arrowok="t"/>
              </v:shape>
            </v:group>
            <v:group style="position:absolute;left:3262;top:2154;width:2;height:705" coordorigin="3262,2154" coordsize="2,705">
              <v:shape style="position:absolute;left:3262;top:2154;width:2;height:705" coordorigin="3262,2154" coordsize="0,705" path="m3262,2154l3262,2858e" filled="false" stroked="true" strokeweight=".48001pt" strokecolor="#000000">
                <v:path arrowok="t"/>
              </v:shape>
            </v:group>
            <v:group style="position:absolute;left:4325;top:2154;width:2;height:705" coordorigin="4325,2154" coordsize="2,705">
              <v:shape style="position:absolute;left:4325;top:2154;width:2;height:705" coordorigin="4325,2154" coordsize="0,705" path="m4325,2154l4325,2858e" filled="false" stroked="true" strokeweight=".48pt" strokecolor="#000000">
                <v:path arrowok="t"/>
              </v:shape>
            </v:group>
            <v:group style="position:absolute;left:5388;top:2154;width:2;height:705" coordorigin="5388,2154" coordsize="2,705">
              <v:shape style="position:absolute;left:5388;top:2154;width:2;height:705" coordorigin="5388,2154" coordsize="0,705" path="m5388,2154l5388,2858e" filled="false" stroked="true" strokeweight=".48001pt" strokecolor="#000000">
                <v:path arrowok="t"/>
              </v:shape>
            </v:group>
            <v:group style="position:absolute;left:6451;top:2154;width:2;height:705" coordorigin="6451,2154" coordsize="2,705">
              <v:shape style="position:absolute;left:6451;top:2154;width:2;height:705" coordorigin="6451,2154" coordsize="0,705" path="m6451,2154l6451,2858e" filled="false" stroked="true" strokeweight=".48001pt" strokecolor="#000000">
                <v:path arrowok="t"/>
              </v:shape>
            </v:group>
            <v:group style="position:absolute;left:7514;top:2154;width:2;height:705" coordorigin="7514,2154" coordsize="2,705">
              <v:shape style="position:absolute;left:7514;top:2154;width:2;height:705" coordorigin="7514,2154" coordsize="0,705" path="m7514,2154l7514,2858e" filled="false" stroked="true" strokeweight=".47998pt" strokecolor="#000000">
                <v:path arrowok="t"/>
              </v:shape>
            </v:group>
            <v:group style="position:absolute;left:8578;top:2154;width:2;height:705" coordorigin="8578,2154" coordsize="2,705">
              <v:shape style="position:absolute;left:8578;top:2154;width:2;height:705" coordorigin="8578,2154" coordsize="0,705" path="m8578,2154l8578,2858e" filled="false" stroked="true" strokeweight=".48001pt" strokecolor="#000000">
                <v:path arrowok="t"/>
              </v:shape>
            </v:group>
            <v:group style="position:absolute;left:9640;top:2154;width:2;height:705" coordorigin="9640,2154" coordsize="2,705">
              <v:shape style="position:absolute;left:9640;top:2154;width:2;height:705" coordorigin="9640,2154" coordsize="0,705" path="m9640,2154l9640,2858e" filled="false" stroked="true" strokeweight=".47998pt" strokecolor="#000000">
                <v:path arrowok="t"/>
              </v:shape>
            </v:group>
            <v:group style="position:absolute;left:5393;top:2868;width:1054;height:1329" coordorigin="5393,2868" coordsize="1054,1329">
              <v:shape style="position:absolute;left:5393;top:2868;width:1054;height:1329" coordorigin="5393,2868" coordsize="1054,1329" path="m5393,4196l6446,4196,6446,2868,5393,2868,5393,4196xe" filled="true" fillcolor="#ffffff" stroked="false">
                <v:path arrowok="t"/>
                <v:fill type="solid"/>
              </v:shape>
            </v:group>
            <v:group style="position:absolute;left:5416;top:3336;width:1007;height:393" coordorigin="5416,3336" coordsize="1007,393">
              <v:shape style="position:absolute;left:5416;top:3336;width:1007;height:393" coordorigin="5416,3336" coordsize="1007,393" path="m5416,3728l6422,3728,6422,3336,5416,3336,5416,3728xe" filled="true" fillcolor="#ffffff" stroked="false">
                <v:path arrowok="t"/>
                <v:fill type="solid"/>
              </v:shape>
            </v:group>
            <v:group style="position:absolute;left:1129;top:2863;width:9579;height:2" coordorigin="1129,2863" coordsize="9579,2">
              <v:shape style="position:absolute;left:1129;top:2863;width:9579;height:2" coordorigin="1129,2863" coordsize="9579,0" path="m1129,2863l10708,2863e" filled="false" stroked="true" strokeweight=".47998pt" strokecolor="#000000">
                <v:path arrowok="t"/>
              </v:shape>
            </v:group>
            <v:group style="position:absolute;left:2200;top:2868;width:2;height:1329" coordorigin="2200,2868" coordsize="2,1329">
              <v:shape style="position:absolute;left:2200;top:2868;width:2;height:1329" coordorigin="2200,2868" coordsize="0,1329" path="m2200,2868l2200,4196e" filled="false" stroked="true" strokeweight=".48pt" strokecolor="#000000">
                <v:path arrowok="t"/>
              </v:shape>
            </v:group>
            <v:group style="position:absolute;left:3262;top:2868;width:2;height:1329" coordorigin="3262,2868" coordsize="2,1329">
              <v:shape style="position:absolute;left:3262;top:2868;width:2;height:1329" coordorigin="3262,2868" coordsize="0,1329" path="m3262,2868l3262,4196e" filled="false" stroked="true" strokeweight=".48001pt" strokecolor="#000000">
                <v:path arrowok="t"/>
              </v:shape>
            </v:group>
            <v:group style="position:absolute;left:4325;top:2868;width:2;height:1329" coordorigin="4325,2868" coordsize="2,1329">
              <v:shape style="position:absolute;left:4325;top:2868;width:2;height:1329" coordorigin="4325,2868" coordsize="0,1329" path="m4325,2868l4325,4196e" filled="false" stroked="true" strokeweight=".48pt" strokecolor="#000000">
                <v:path arrowok="t"/>
              </v:shape>
            </v:group>
            <v:group style="position:absolute;left:5388;top:2868;width:2;height:1329" coordorigin="5388,2868" coordsize="2,1329">
              <v:shape style="position:absolute;left:5388;top:2868;width:2;height:1329" coordorigin="5388,2868" coordsize="0,1329" path="m5388,2868l5388,4196e" filled="false" stroked="true" strokeweight=".48001pt" strokecolor="#000000">
                <v:path arrowok="t"/>
              </v:shape>
            </v:group>
            <v:group style="position:absolute;left:6451;top:2868;width:2;height:1329" coordorigin="6451,2868" coordsize="2,1329">
              <v:shape style="position:absolute;left:6451;top:2868;width:2;height:1329" coordorigin="6451,2868" coordsize="0,1329" path="m6451,2868l6451,4196e" filled="false" stroked="true" strokeweight=".48001pt" strokecolor="#000000">
                <v:path arrowok="t"/>
              </v:shape>
            </v:group>
            <v:group style="position:absolute;left:7514;top:2868;width:2;height:1329" coordorigin="7514,2868" coordsize="2,1329">
              <v:shape style="position:absolute;left:7514;top:2868;width:2;height:1329" coordorigin="7514,2868" coordsize="0,1329" path="m7514,2868l7514,4196e" filled="false" stroked="true" strokeweight=".47998pt" strokecolor="#000000">
                <v:path arrowok="t"/>
              </v:shape>
            </v:group>
            <v:group style="position:absolute;left:8578;top:2868;width:2;height:1329" coordorigin="8578,2868" coordsize="2,1329">
              <v:shape style="position:absolute;left:8578;top:2868;width:2;height:1329" coordorigin="8578,2868" coordsize="0,1329" path="m8578,2868l8578,4196e" filled="false" stroked="true" strokeweight=".48001pt" strokecolor="#000000">
                <v:path arrowok="t"/>
              </v:shape>
            </v:group>
            <v:group style="position:absolute;left:9640;top:2868;width:2;height:1329" coordorigin="9640,2868" coordsize="2,1329">
              <v:shape style="position:absolute;left:9640;top:2868;width:2;height:1329" coordorigin="9640,2868" coordsize="0,1329" path="m9640,2868l9640,4196e" filled="false" stroked="true" strokeweight=".47998pt" strokecolor="#000000">
                <v:path arrowok="t"/>
              </v:shape>
            </v:group>
            <v:group style="position:absolute;left:1129;top:4201;width:9579;height:2" coordorigin="1129,4201" coordsize="9579,2">
              <v:shape style="position:absolute;left:1129;top:4201;width:9579;height:2" coordorigin="1129,4201" coordsize="9579,0" path="m1129,4201l10708,4201e" filled="false" stroked="true" strokeweight=".47998pt" strokecolor="#000000">
                <v:path arrowok="t"/>
              </v:shape>
            </v:group>
            <v:group style="position:absolute;left:2200;top:4206;width:2;height:1017" coordorigin="2200,4206" coordsize="2,1017">
              <v:shape style="position:absolute;left:2200;top:4206;width:2;height:1017" coordorigin="2200,4206" coordsize="0,1017" path="m2200,4206l2200,5222e" filled="false" stroked="true" strokeweight=".48pt" strokecolor="#000000">
                <v:path arrowok="t"/>
              </v:shape>
            </v:group>
            <v:group style="position:absolute;left:3262;top:4206;width:2;height:1017" coordorigin="3262,4206" coordsize="2,1017">
              <v:shape style="position:absolute;left:3262;top:4206;width:2;height:1017" coordorigin="3262,4206" coordsize="0,1017" path="m3262,4206l3262,5222e" filled="false" stroked="true" strokeweight=".48001pt" strokecolor="#000000">
                <v:path arrowok="t"/>
              </v:shape>
            </v:group>
            <v:group style="position:absolute;left:4325;top:4206;width:2;height:1017" coordorigin="4325,4206" coordsize="2,1017">
              <v:shape style="position:absolute;left:4325;top:4206;width:2;height:1017" coordorigin="4325,4206" coordsize="0,1017" path="m4325,4206l4325,5222e" filled="false" stroked="true" strokeweight=".48pt" strokecolor="#000000">
                <v:path arrowok="t"/>
              </v:shape>
            </v:group>
            <v:group style="position:absolute;left:5388;top:4206;width:2;height:1017" coordorigin="5388,4206" coordsize="2,1017">
              <v:shape style="position:absolute;left:5388;top:4206;width:2;height:1017" coordorigin="5388,4206" coordsize="0,1017" path="m5388,4206l5388,5222e" filled="false" stroked="true" strokeweight=".48001pt" strokecolor="#000000">
                <v:path arrowok="t"/>
              </v:shape>
            </v:group>
            <v:group style="position:absolute;left:6451;top:4206;width:2;height:1017" coordorigin="6451,4206" coordsize="2,1017">
              <v:shape style="position:absolute;left:6451;top:4206;width:2;height:1017" coordorigin="6451,4206" coordsize="0,1017" path="m6451,4206l6451,5222e" filled="false" stroked="true" strokeweight=".48001pt" strokecolor="#000000">
                <v:path arrowok="t"/>
              </v:shape>
            </v:group>
            <v:group style="position:absolute;left:7514;top:4206;width:2;height:1017" coordorigin="7514,4206" coordsize="2,1017">
              <v:shape style="position:absolute;left:7514;top:4206;width:2;height:1017" coordorigin="7514,4206" coordsize="0,1017" path="m7514,4206l7514,5222e" filled="false" stroked="true" strokeweight=".47998pt" strokecolor="#000000">
                <v:path arrowok="t"/>
              </v:shape>
            </v:group>
            <v:group style="position:absolute;left:8578;top:4206;width:2;height:1017" coordorigin="8578,4206" coordsize="2,1017">
              <v:shape style="position:absolute;left:8578;top:4206;width:2;height:1017" coordorigin="8578,4206" coordsize="0,1017" path="m8578,4206l8578,5222e" filled="false" stroked="true" strokeweight=".48001pt" strokecolor="#000000">
                <v:path arrowok="t"/>
              </v:shape>
            </v:group>
            <v:group style="position:absolute;left:9640;top:4206;width:2;height:1017" coordorigin="9640,4206" coordsize="2,1017">
              <v:shape style="position:absolute;left:9640;top:4206;width:2;height:1017" coordorigin="9640,4206" coordsize="0,1017" path="m9640,4206l9640,5222e" filled="false" stroked="true" strokeweight=".47998pt" strokecolor="#000000">
                <v:path arrowok="t"/>
              </v:shape>
            </v:group>
            <v:group style="position:absolute;left:5393;top:5232;width:1054;height:2265" coordorigin="5393,5232" coordsize="1054,2265">
              <v:shape style="position:absolute;left:5393;top:5232;width:1054;height:2265" coordorigin="5393,5232" coordsize="1054,2265" path="m5393,7496l6446,7496,6446,5232,5393,5232,5393,7496xe" filled="true" fillcolor="#ffffff" stroked="false">
                <v:path arrowok="t"/>
                <v:fill type="solid"/>
              </v:shape>
            </v:group>
            <v:group style="position:absolute;left:5416;top:6168;width:1007;height:393" coordorigin="5416,6168" coordsize="1007,393">
              <v:shape style="position:absolute;left:5416;top:6168;width:1007;height:393" coordorigin="5416,6168" coordsize="1007,393" path="m5416,6560l6422,6560,6422,6168,5416,6168,5416,6560xe" filled="true" fillcolor="#ffffff" stroked="false">
                <v:path arrowok="t"/>
                <v:fill type="solid"/>
              </v:shape>
            </v:group>
            <v:group style="position:absolute;left:1129;top:5227;width:9579;height:2" coordorigin="1129,5227" coordsize="9579,2">
              <v:shape style="position:absolute;left:1129;top:5227;width:9579;height:2" coordorigin="1129,5227" coordsize="9579,0" path="m1129,5227l10708,5227e" filled="false" stroked="true" strokeweight=".47998pt" strokecolor="#000000">
                <v:path arrowok="t"/>
              </v:shape>
            </v:group>
            <v:group style="position:absolute;left:2200;top:5232;width:2;height:2265" coordorigin="2200,5232" coordsize="2,2265">
              <v:shape style="position:absolute;left:2200;top:5232;width:2;height:2265" coordorigin="2200,5232" coordsize="0,2265" path="m2200,5232l2200,7496e" filled="false" stroked="true" strokeweight=".48pt" strokecolor="#000000">
                <v:path arrowok="t"/>
              </v:shape>
            </v:group>
            <v:group style="position:absolute;left:3262;top:5232;width:2;height:2265" coordorigin="3262,5232" coordsize="2,2265">
              <v:shape style="position:absolute;left:3262;top:5232;width:2;height:2265" coordorigin="3262,5232" coordsize="0,2265" path="m3262,5232l3262,7496e" filled="false" stroked="true" strokeweight=".48001pt" strokecolor="#000000">
                <v:path arrowok="t"/>
              </v:shape>
            </v:group>
            <v:group style="position:absolute;left:4325;top:5232;width:2;height:2265" coordorigin="4325,5232" coordsize="2,2265">
              <v:shape style="position:absolute;left:4325;top:5232;width:2;height:2265" coordorigin="4325,5232" coordsize="0,2265" path="m4325,5232l4325,7496e" filled="false" stroked="true" strokeweight=".48pt" strokecolor="#000000">
                <v:path arrowok="t"/>
              </v:shape>
            </v:group>
            <v:group style="position:absolute;left:5388;top:5232;width:2;height:2265" coordorigin="5388,5232" coordsize="2,2265">
              <v:shape style="position:absolute;left:5388;top:5232;width:2;height:2265" coordorigin="5388,5232" coordsize="0,2265" path="m5388,5232l5388,7496e" filled="false" stroked="true" strokeweight=".48001pt" strokecolor="#000000">
                <v:path arrowok="t"/>
              </v:shape>
            </v:group>
            <v:group style="position:absolute;left:6451;top:5232;width:2;height:2265" coordorigin="6451,5232" coordsize="2,2265">
              <v:shape style="position:absolute;left:6451;top:5232;width:2;height:2265" coordorigin="6451,5232" coordsize="0,2265" path="m6451,5232l6451,7496e" filled="false" stroked="true" strokeweight=".48001pt" strokecolor="#000000">
                <v:path arrowok="t"/>
              </v:shape>
            </v:group>
            <v:group style="position:absolute;left:7514;top:5232;width:2;height:2265" coordorigin="7514,5232" coordsize="2,2265">
              <v:shape style="position:absolute;left:7514;top:5232;width:2;height:2265" coordorigin="7514,5232" coordsize="0,2265" path="m7514,5232l7514,7496e" filled="false" stroked="true" strokeweight=".47998pt" strokecolor="#000000">
                <v:path arrowok="t"/>
              </v:shape>
            </v:group>
            <v:group style="position:absolute;left:8578;top:5232;width:2;height:2265" coordorigin="8578,5232" coordsize="2,2265">
              <v:shape style="position:absolute;left:8578;top:5232;width:2;height:2265" coordorigin="8578,5232" coordsize="0,2265" path="m8578,5232l8578,7496e" filled="false" stroked="true" strokeweight=".48001pt" strokecolor="#000000">
                <v:path arrowok="t"/>
              </v:shape>
            </v:group>
            <v:group style="position:absolute;left:9640;top:5232;width:2;height:2265" coordorigin="9640,5232" coordsize="2,2265">
              <v:shape style="position:absolute;left:9640;top:5232;width:2;height:2265" coordorigin="9640,5232" coordsize="0,2265" path="m9640,5232l9640,7496e" filled="false" stroked="true" strokeweight=".47998pt" strokecolor="#000000">
                <v:path arrowok="t"/>
              </v:shape>
            </v:group>
            <v:group style="position:absolute;left:5393;top:7506;width:1054;height:1641" coordorigin="5393,7506" coordsize="1054,1641">
              <v:shape style="position:absolute;left:5393;top:7506;width:1054;height:1641" coordorigin="5393,7506" coordsize="1054,1641" path="m5393,9146l6446,9146,6446,7506,5393,7506,5393,9146xe" filled="true" fillcolor="#ffffff" stroked="false">
                <v:path arrowok="t"/>
                <v:fill type="solid"/>
              </v:shape>
            </v:group>
            <v:group style="position:absolute;left:5416;top:8130;width:1007;height:393" coordorigin="5416,8130" coordsize="1007,393">
              <v:shape style="position:absolute;left:5416;top:8130;width:1007;height:393" coordorigin="5416,8130" coordsize="1007,393" path="m5416,8522l6422,8522,6422,8130,5416,8130,5416,8522xe" filled="true" fillcolor="#ffffff" stroked="false">
                <v:path arrowok="t"/>
                <v:fill type="solid"/>
              </v:shape>
            </v:group>
            <v:group style="position:absolute;left:1129;top:7501;width:9579;height:2" coordorigin="1129,7501" coordsize="9579,2">
              <v:shape style="position:absolute;left:1129;top:7501;width:9579;height:2" coordorigin="1129,7501" coordsize="9579,0" path="m1129,7501l10708,7501e" filled="false" stroked="true" strokeweight=".48001pt" strokecolor="#000000">
                <v:path arrowok="t"/>
              </v:shape>
            </v:group>
            <v:group style="position:absolute;left:2200;top:7506;width:2;height:1641" coordorigin="2200,7506" coordsize="2,1641">
              <v:shape style="position:absolute;left:2200;top:7506;width:2;height:1641" coordorigin="2200,7506" coordsize="0,1641" path="m2200,7506l2200,9146e" filled="false" stroked="true" strokeweight=".48pt" strokecolor="#000000">
                <v:path arrowok="t"/>
              </v:shape>
            </v:group>
            <v:group style="position:absolute;left:3262;top:7506;width:2;height:1641" coordorigin="3262,7506" coordsize="2,1641">
              <v:shape style="position:absolute;left:3262;top:7506;width:2;height:1641" coordorigin="3262,7506" coordsize="0,1641" path="m3262,7506l3262,9146e" filled="false" stroked="true" strokeweight=".48001pt" strokecolor="#000000">
                <v:path arrowok="t"/>
              </v:shape>
            </v:group>
            <v:group style="position:absolute;left:4325;top:7506;width:2;height:1641" coordorigin="4325,7506" coordsize="2,1641">
              <v:shape style="position:absolute;left:4325;top:7506;width:2;height:1641" coordorigin="4325,7506" coordsize="0,1641" path="m4325,7506l4325,9146e" filled="false" stroked="true" strokeweight=".48pt" strokecolor="#000000">
                <v:path arrowok="t"/>
              </v:shape>
            </v:group>
            <v:group style="position:absolute;left:5388;top:7506;width:2;height:1641" coordorigin="5388,7506" coordsize="2,1641">
              <v:shape style="position:absolute;left:5388;top:7506;width:2;height:1641" coordorigin="5388,7506" coordsize="0,1641" path="m5388,7506l5388,9146e" filled="false" stroked="true" strokeweight=".48001pt" strokecolor="#000000">
                <v:path arrowok="t"/>
              </v:shape>
            </v:group>
            <v:group style="position:absolute;left:6451;top:7506;width:2;height:1641" coordorigin="6451,7506" coordsize="2,1641">
              <v:shape style="position:absolute;left:6451;top:7506;width:2;height:1641" coordorigin="6451,7506" coordsize="0,1641" path="m6451,7506l6451,9146e" filled="false" stroked="true" strokeweight=".48001pt" strokecolor="#000000">
                <v:path arrowok="t"/>
              </v:shape>
            </v:group>
            <v:group style="position:absolute;left:7514;top:7506;width:2;height:1641" coordorigin="7514,7506" coordsize="2,1641">
              <v:shape style="position:absolute;left:7514;top:7506;width:2;height:1641" coordorigin="7514,7506" coordsize="0,1641" path="m7514,7506l7514,9146e" filled="false" stroked="true" strokeweight=".47998pt" strokecolor="#000000">
                <v:path arrowok="t"/>
              </v:shape>
            </v:group>
            <v:group style="position:absolute;left:8578;top:7506;width:2;height:1641" coordorigin="8578,7506" coordsize="2,1641">
              <v:shape style="position:absolute;left:8578;top:7506;width:2;height:1641" coordorigin="8578,7506" coordsize="0,1641" path="m8578,7506l8578,9146e" filled="false" stroked="true" strokeweight=".48001pt" strokecolor="#000000">
                <v:path arrowok="t"/>
              </v:shape>
            </v:group>
            <v:group style="position:absolute;left:9640;top:7506;width:2;height:1641" coordorigin="9640,7506" coordsize="2,1641">
              <v:shape style="position:absolute;left:9640;top:7506;width:2;height:1641" coordorigin="9640,7506" coordsize="0,1641" path="m9640,7506l9640,9146e" filled="false" stroked="true" strokeweight=".47998pt" strokecolor="#000000">
                <v:path arrowok="t"/>
              </v:shape>
            </v:group>
            <v:group style="position:absolute;left:5393;top:9156;width:1054;height:1329" coordorigin="5393,9156" coordsize="1054,1329">
              <v:shape style="position:absolute;left:5393;top:9156;width:1054;height:1329" coordorigin="5393,9156" coordsize="1054,1329" path="m5393,10484l6446,10484,6446,9156,5393,9156,5393,10484xe" filled="true" fillcolor="#ffffff" stroked="false">
                <v:path arrowok="t"/>
                <v:fill type="solid"/>
              </v:shape>
            </v:group>
            <v:group style="position:absolute;left:5416;top:9624;width:1007;height:393" coordorigin="5416,9624" coordsize="1007,393">
              <v:shape style="position:absolute;left:5416;top:9624;width:1007;height:393" coordorigin="5416,9624" coordsize="1007,393" path="m5416,10016l6422,10016,6422,9624,5416,9624,5416,10016xe" filled="true" fillcolor="#ffffff" stroked="false">
                <v:path arrowok="t"/>
                <v:fill type="solid"/>
              </v:shape>
            </v:group>
            <v:group style="position:absolute;left:1129;top:9151;width:9579;height:2" coordorigin="1129,9151" coordsize="9579,2">
              <v:shape style="position:absolute;left:1129;top:9151;width:9579;height:2" coordorigin="1129,9151" coordsize="9579,0" path="m1129,9151l10708,9151e" filled="false" stroked="true" strokeweight=".48001pt" strokecolor="#000000">
                <v:path arrowok="t"/>
              </v:shape>
            </v:group>
            <v:group style="position:absolute;left:2200;top:9156;width:2;height:1329" coordorigin="2200,9156" coordsize="2,1329">
              <v:shape style="position:absolute;left:2200;top:9156;width:2;height:1329" coordorigin="2200,9156" coordsize="0,1329" path="m2200,9156l2200,10484e" filled="false" stroked="true" strokeweight=".48pt" strokecolor="#000000">
                <v:path arrowok="t"/>
              </v:shape>
            </v:group>
            <v:group style="position:absolute;left:3262;top:9156;width:2;height:1329" coordorigin="3262,9156" coordsize="2,1329">
              <v:shape style="position:absolute;left:3262;top:9156;width:2;height:1329" coordorigin="3262,9156" coordsize="0,1329" path="m3262,9156l3262,10484e" filled="false" stroked="true" strokeweight=".48001pt" strokecolor="#000000">
                <v:path arrowok="t"/>
              </v:shape>
            </v:group>
            <v:group style="position:absolute;left:4325;top:9156;width:2;height:1329" coordorigin="4325,9156" coordsize="2,1329">
              <v:shape style="position:absolute;left:4325;top:9156;width:2;height:1329" coordorigin="4325,9156" coordsize="0,1329" path="m4325,9156l4325,10484e" filled="false" stroked="true" strokeweight=".48pt" strokecolor="#000000">
                <v:path arrowok="t"/>
              </v:shape>
            </v:group>
            <v:group style="position:absolute;left:5388;top:9156;width:2;height:1329" coordorigin="5388,9156" coordsize="2,1329">
              <v:shape style="position:absolute;left:5388;top:9156;width:2;height:1329" coordorigin="5388,9156" coordsize="0,1329" path="m5388,9156l5388,10484e" filled="false" stroked="true" strokeweight=".48001pt" strokecolor="#000000">
                <v:path arrowok="t"/>
              </v:shape>
            </v:group>
            <v:group style="position:absolute;left:6451;top:9156;width:2;height:1329" coordorigin="6451,9156" coordsize="2,1329">
              <v:shape style="position:absolute;left:6451;top:9156;width:2;height:1329" coordorigin="6451,9156" coordsize="0,1329" path="m6451,9156l6451,10484e" filled="false" stroked="true" strokeweight=".48001pt" strokecolor="#000000">
                <v:path arrowok="t"/>
              </v:shape>
            </v:group>
            <v:group style="position:absolute;left:7514;top:9156;width:2;height:1329" coordorigin="7514,9156" coordsize="2,1329">
              <v:shape style="position:absolute;left:7514;top:9156;width:2;height:1329" coordorigin="7514,9156" coordsize="0,1329" path="m7514,9156l7514,10484e" filled="false" stroked="true" strokeweight=".47998pt" strokecolor="#000000">
                <v:path arrowok="t"/>
              </v:shape>
            </v:group>
            <v:group style="position:absolute;left:8578;top:9156;width:2;height:1329" coordorigin="8578,9156" coordsize="2,1329">
              <v:shape style="position:absolute;left:8578;top:9156;width:2;height:1329" coordorigin="8578,9156" coordsize="0,1329" path="m8578,9156l8578,10484e" filled="false" stroked="true" strokeweight=".48001pt" strokecolor="#000000">
                <v:path arrowok="t"/>
              </v:shape>
            </v:group>
            <v:group style="position:absolute;left:9640;top:9156;width:2;height:1329" coordorigin="9640,9156" coordsize="2,1329">
              <v:shape style="position:absolute;left:9640;top:9156;width:2;height:1329" coordorigin="9640,9156" coordsize="0,1329" path="m9640,9156l9640,10484e" filled="false" stroked="true" strokeweight=".47998pt" strokecolor="#000000">
                <v:path arrowok="t"/>
              </v:shape>
            </v:group>
            <v:group style="position:absolute;left:5393;top:10494;width:1054;height:1329" coordorigin="5393,10494" coordsize="1054,1329">
              <v:shape style="position:absolute;left:5393;top:10494;width:1054;height:1329" coordorigin="5393,10494" coordsize="1054,1329" path="m5393,11822l6446,11822,6446,10494,5393,10494,5393,11822xe" filled="true" fillcolor="#ffffff" stroked="false">
                <v:path arrowok="t"/>
                <v:fill type="solid"/>
              </v:shape>
            </v:group>
            <v:group style="position:absolute;left:5416;top:10962;width:1007;height:393" coordorigin="5416,10962" coordsize="1007,393">
              <v:shape style="position:absolute;left:5416;top:10962;width:1007;height:393" coordorigin="5416,10962" coordsize="1007,393" path="m5416,11354l6422,11354,6422,10962,5416,10962,5416,11354xe" filled="true" fillcolor="#ffffff" stroked="false">
                <v:path arrowok="t"/>
                <v:fill type="solid"/>
              </v:shape>
            </v:group>
            <v:group style="position:absolute;left:1129;top:10489;width:9579;height:2" coordorigin="1129,10489" coordsize="9579,2">
              <v:shape style="position:absolute;left:1129;top:10489;width:9579;height:2" coordorigin="1129,10489" coordsize="9579,0" path="m1129,10489l10708,10489e" filled="false" stroked="true" strokeweight=".47998pt" strokecolor="#000000">
                <v:path arrowok="t"/>
              </v:shape>
            </v:group>
            <v:group style="position:absolute;left:2200;top:10494;width:2;height:1329" coordorigin="2200,10494" coordsize="2,1329">
              <v:shape style="position:absolute;left:2200;top:10494;width:2;height:1329" coordorigin="2200,10494" coordsize="0,1329" path="m2200,10494l2200,11822e" filled="false" stroked="true" strokeweight=".48pt" strokecolor="#000000">
                <v:path arrowok="t"/>
              </v:shape>
            </v:group>
            <v:group style="position:absolute;left:3262;top:10494;width:2;height:1329" coordorigin="3262,10494" coordsize="2,1329">
              <v:shape style="position:absolute;left:3262;top:10494;width:2;height:1329" coordorigin="3262,10494" coordsize="0,1329" path="m3262,10494l3262,11822e" filled="false" stroked="true" strokeweight=".48001pt" strokecolor="#000000">
                <v:path arrowok="t"/>
              </v:shape>
            </v:group>
            <v:group style="position:absolute;left:4325;top:10494;width:2;height:1329" coordorigin="4325,10494" coordsize="2,1329">
              <v:shape style="position:absolute;left:4325;top:10494;width:2;height:1329" coordorigin="4325,10494" coordsize="0,1329" path="m4325,10494l4325,11822e" filled="false" stroked="true" strokeweight=".48pt" strokecolor="#000000">
                <v:path arrowok="t"/>
              </v:shape>
            </v:group>
            <v:group style="position:absolute;left:5388;top:10494;width:2;height:1329" coordorigin="5388,10494" coordsize="2,1329">
              <v:shape style="position:absolute;left:5388;top:10494;width:2;height:1329" coordorigin="5388,10494" coordsize="0,1329" path="m5388,10494l5388,11822e" filled="false" stroked="true" strokeweight=".48001pt" strokecolor="#000000">
                <v:path arrowok="t"/>
              </v:shape>
            </v:group>
            <v:group style="position:absolute;left:6451;top:10494;width:2;height:1329" coordorigin="6451,10494" coordsize="2,1329">
              <v:shape style="position:absolute;left:6451;top:10494;width:2;height:1329" coordorigin="6451,10494" coordsize="0,1329" path="m6451,10494l6451,11822e" filled="false" stroked="true" strokeweight=".48001pt" strokecolor="#000000">
                <v:path arrowok="t"/>
              </v:shape>
            </v:group>
            <v:group style="position:absolute;left:7514;top:10494;width:2;height:1329" coordorigin="7514,10494" coordsize="2,1329">
              <v:shape style="position:absolute;left:7514;top:10494;width:2;height:1329" coordorigin="7514,10494" coordsize="0,1329" path="m7514,10494l7514,11822e" filled="false" stroked="true" strokeweight=".47998pt" strokecolor="#000000">
                <v:path arrowok="t"/>
              </v:shape>
            </v:group>
            <v:group style="position:absolute;left:8578;top:10494;width:2;height:1329" coordorigin="8578,10494" coordsize="2,1329">
              <v:shape style="position:absolute;left:8578;top:10494;width:2;height:1329" coordorigin="8578,10494" coordsize="0,1329" path="m8578,10494l8578,11822e" filled="false" stroked="true" strokeweight=".48001pt" strokecolor="#000000">
                <v:path arrowok="t"/>
              </v:shape>
            </v:group>
            <v:group style="position:absolute;left:9640;top:10494;width:2;height:1329" coordorigin="9640,10494" coordsize="2,1329">
              <v:shape style="position:absolute;left:9640;top:10494;width:2;height:1329" coordorigin="9640,10494" coordsize="0,1329" path="m9640,10494l9640,11822e" filled="false" stroked="true" strokeweight=".47998pt" strokecolor="#000000">
                <v:path arrowok="t"/>
              </v:shape>
            </v:group>
            <v:group style="position:absolute;left:1129;top:11827;width:9579;height:2" coordorigin="1129,11827" coordsize="9579,2">
              <v:shape style="position:absolute;left:1129;top:11827;width:9579;height:2" coordorigin="1129,11827" coordsize="9579,0" path="m1129,11827l10708,11827e" filled="false" stroked="true" strokeweight=".48pt" strokecolor="#000000">
                <v:path arrowok="t"/>
              </v:shape>
            </v:group>
            <v:group style="position:absolute;left:2200;top:11832;width:2;height:1641" coordorigin="2200,11832" coordsize="2,1641">
              <v:shape style="position:absolute;left:2200;top:11832;width:2;height:1641" coordorigin="2200,11832" coordsize="0,1641" path="m2200,11832l2200,13472e" filled="false" stroked="true" strokeweight=".48pt" strokecolor="#000000">
                <v:path arrowok="t"/>
              </v:shape>
            </v:group>
            <v:group style="position:absolute;left:3262;top:11832;width:2;height:1641" coordorigin="3262,11832" coordsize="2,1641">
              <v:shape style="position:absolute;left:3262;top:11832;width:2;height:1641" coordorigin="3262,11832" coordsize="0,1641" path="m3262,11832l3262,13472e" filled="false" stroked="true" strokeweight=".48001pt" strokecolor="#000000">
                <v:path arrowok="t"/>
              </v:shape>
            </v:group>
            <v:group style="position:absolute;left:4325;top:11832;width:2;height:1641" coordorigin="4325,11832" coordsize="2,1641">
              <v:shape style="position:absolute;left:4325;top:11832;width:2;height:1641" coordorigin="4325,11832" coordsize="0,1641" path="m4325,11832l4325,13472e" filled="false" stroked="true" strokeweight=".48pt" strokecolor="#000000">
                <v:path arrowok="t"/>
              </v:shape>
            </v:group>
            <v:group style="position:absolute;left:5388;top:11832;width:2;height:1641" coordorigin="5388,11832" coordsize="2,1641">
              <v:shape style="position:absolute;left:5388;top:11832;width:2;height:1641" coordorigin="5388,11832" coordsize="0,1641" path="m5388,11832l5388,13472e" filled="false" stroked="true" strokeweight=".48001pt" strokecolor="#000000">
                <v:path arrowok="t"/>
              </v:shape>
            </v:group>
            <v:group style="position:absolute;left:6451;top:11832;width:2;height:1641" coordorigin="6451,11832" coordsize="2,1641">
              <v:shape style="position:absolute;left:6451;top:11832;width:2;height:1641" coordorigin="6451,11832" coordsize="0,1641" path="m6451,11832l6451,13472e" filled="false" stroked="true" strokeweight=".48001pt" strokecolor="#000000">
                <v:path arrowok="t"/>
              </v:shape>
            </v:group>
            <v:group style="position:absolute;left:7514;top:11832;width:2;height:1641" coordorigin="7514,11832" coordsize="2,1641">
              <v:shape style="position:absolute;left:7514;top:11832;width:2;height:1641" coordorigin="7514,11832" coordsize="0,1641" path="m7514,11832l7514,13472e" filled="false" stroked="true" strokeweight=".47998pt" strokecolor="#000000">
                <v:path arrowok="t"/>
              </v:shape>
            </v:group>
            <v:group style="position:absolute;left:8578;top:11832;width:2;height:1641" coordorigin="8578,11832" coordsize="2,1641">
              <v:shape style="position:absolute;left:8578;top:11832;width:2;height:1641" coordorigin="8578,11832" coordsize="0,1641" path="m8578,11832l8578,13472e" filled="false" stroked="true" strokeweight=".48001pt" strokecolor="#000000">
                <v:path arrowok="t"/>
              </v:shape>
            </v:group>
            <v:group style="position:absolute;left:9640;top:11832;width:2;height:1641" coordorigin="9640,11832" coordsize="2,1641">
              <v:shape style="position:absolute;left:9640;top:11832;width:2;height:1641" coordorigin="9640,11832" coordsize="0,1641" path="m9640,11832l9640,13472e" filled="false" stroked="true" strokeweight=".47998pt" strokecolor="#000000">
                <v:path arrowok="t"/>
              </v:shape>
            </v:group>
            <v:group style="position:absolute;left:5393;top:13482;width:1054;height:1329" coordorigin="5393,13482" coordsize="1054,1329">
              <v:shape style="position:absolute;left:5393;top:13482;width:1054;height:1329" coordorigin="5393,13482" coordsize="1054,1329" path="m5393,14810l6446,14810,6446,13482,5393,13482,5393,14810xe" filled="true" fillcolor="#ffffff" stroked="false">
                <v:path arrowok="t"/>
                <v:fill type="solid"/>
              </v:shape>
            </v:group>
            <v:group style="position:absolute;left:5416;top:13950;width:1007;height:393" coordorigin="5416,13950" coordsize="1007,393">
              <v:shape style="position:absolute;left:5416;top:13950;width:1007;height:393" coordorigin="5416,13950" coordsize="1007,393" path="m5416,14342l6422,14342,6422,13950,5416,13950,5416,14342xe" filled="true" fillcolor="#ffffff" stroked="false">
                <v:path arrowok="t"/>
                <v:fill type="solid"/>
              </v:shape>
            </v:group>
            <v:group style="position:absolute;left:1129;top:13477;width:9579;height:2" coordorigin="1129,13477" coordsize="9579,2">
              <v:shape style="position:absolute;left:1129;top:13477;width:9579;height:2" coordorigin="1129,13477" coordsize="9579,0" path="m1129,13477l10708,13477e" filled="false" stroked="true" strokeweight=".48pt" strokecolor="#000000">
                <v:path arrowok="t"/>
              </v:shape>
            </v:group>
            <v:group style="position:absolute;left:2200;top:13482;width:2;height:1329" coordorigin="2200,13482" coordsize="2,1329">
              <v:shape style="position:absolute;left:2200;top:13482;width:2;height:1329" coordorigin="2200,13482" coordsize="0,1329" path="m2200,13482l2200,14810e" filled="false" stroked="true" strokeweight=".48pt" strokecolor="#000000">
                <v:path arrowok="t"/>
              </v:shape>
            </v:group>
            <v:group style="position:absolute;left:3262;top:13482;width:2;height:1329" coordorigin="3262,13482" coordsize="2,1329">
              <v:shape style="position:absolute;left:3262;top:13482;width:2;height:1329" coordorigin="3262,13482" coordsize="0,1329" path="m3262,13482l3262,14810e" filled="false" stroked="true" strokeweight=".48001pt" strokecolor="#000000">
                <v:path arrowok="t"/>
              </v:shape>
            </v:group>
            <v:group style="position:absolute;left:4325;top:13482;width:2;height:1329" coordorigin="4325,13482" coordsize="2,1329">
              <v:shape style="position:absolute;left:4325;top:13482;width:2;height:1329" coordorigin="4325,13482" coordsize="0,1329" path="m4325,13482l4325,14810e" filled="false" stroked="true" strokeweight=".48pt" strokecolor="#000000">
                <v:path arrowok="t"/>
              </v:shape>
            </v:group>
            <v:group style="position:absolute;left:5388;top:13482;width:2;height:1329" coordorigin="5388,13482" coordsize="2,1329">
              <v:shape style="position:absolute;left:5388;top:13482;width:2;height:1329" coordorigin="5388,13482" coordsize="0,1329" path="m5388,13482l5388,14810e" filled="false" stroked="true" strokeweight=".48001pt" strokecolor="#000000">
                <v:path arrowok="t"/>
              </v:shape>
            </v:group>
            <v:group style="position:absolute;left:6451;top:13482;width:2;height:1329" coordorigin="6451,13482" coordsize="2,1329">
              <v:shape style="position:absolute;left:6451;top:13482;width:2;height:1329" coordorigin="6451,13482" coordsize="0,1329" path="m6451,13482l6451,14810e" filled="false" stroked="true" strokeweight=".48001pt" strokecolor="#000000">
                <v:path arrowok="t"/>
              </v:shape>
            </v:group>
            <v:group style="position:absolute;left:7514;top:13482;width:2;height:1329" coordorigin="7514,13482" coordsize="2,1329">
              <v:shape style="position:absolute;left:7514;top:13482;width:2;height:1329" coordorigin="7514,13482" coordsize="0,1329" path="m7514,13482l7514,14810e" filled="false" stroked="true" strokeweight=".47998pt" strokecolor="#000000">
                <v:path arrowok="t"/>
              </v:shape>
            </v:group>
            <v:group style="position:absolute;left:8578;top:13482;width:2;height:1329" coordorigin="8578,13482" coordsize="2,1329">
              <v:shape style="position:absolute;left:8578;top:13482;width:2;height:1329" coordorigin="8578,13482" coordsize="0,1329" path="m8578,13482l8578,14810e" filled="false" stroked="true" strokeweight=".48001pt" strokecolor="#000000">
                <v:path arrowok="t"/>
              </v:shape>
            </v:group>
            <v:group style="position:absolute;left:9640;top:13482;width:2;height:1329" coordorigin="9640,13482" coordsize="2,1329">
              <v:shape style="position:absolute;left:9640;top:13482;width:2;height:1329" coordorigin="9640,13482" coordsize="0,1329" path="m9640,13482l9640,14810e" filled="false" stroked="true" strokeweight=".47998pt" strokecolor="#000000">
                <v:path arrowok="t"/>
              </v:shape>
            </v:group>
            <v:group style="position:absolute;left:6422;top:14820;width:24;height:393" coordorigin="6422,14820" coordsize="24,393">
              <v:shape style="position:absolute;left:6422;top:14820;width:24;height:393" coordorigin="6422,14820" coordsize="24,393" path="m6422,15212l6446,15212,6446,14820,6422,14820,6422,15212xe" filled="true" fillcolor="#ffffff" stroked="false">
                <v:path arrowok="t"/>
                <v:fill type="solid"/>
              </v:shape>
            </v:group>
            <v:group style="position:absolute;left:5393;top:14820;width:23;height:393" coordorigin="5393,14820" coordsize="23,393">
              <v:shape style="position:absolute;left:5393;top:14820;width:23;height:393" coordorigin="5393,14820" coordsize="23,393" path="m5393,15212l5416,15212,5416,14820,5393,14820,5393,15212xe" filled="true" fillcolor="#ffffff" stroked="false">
                <v:path arrowok="t"/>
                <v:fill type="solid"/>
              </v:shape>
            </v:group>
            <v:group style="position:absolute;left:1129;top:14815;width:9579;height:2" coordorigin="1129,14815" coordsize="9579,2">
              <v:shape style="position:absolute;left:1129;top:14815;width:9579;height:2" coordorigin="1129,14815" coordsize="9579,0" path="m1129,14815l10708,14815e" filled="false" stroked="true" strokeweight=".48001pt" strokecolor="#000000">
                <v:path arrowok="t"/>
              </v:shape>
            </v:group>
            <v:group style="position:absolute;left:1134;top:2144;width:2;height:13078" coordorigin="1134,2144" coordsize="2,13078">
              <v:shape style="position:absolute;left:1134;top:2144;width:2;height:13078" coordorigin="1134,2144" coordsize="0,13078" path="m1134,2144l1134,15222e" filled="false" stroked="true" strokeweight=".48001pt" strokecolor="#000000">
                <v:path arrowok="t"/>
              </v:shape>
            </v:group>
            <v:group style="position:absolute;left:1129;top:15217;width:1066;height:2" coordorigin="1129,15217" coordsize="1066,2">
              <v:shape style="position:absolute;left:1129;top:15217;width:1066;height:2" coordorigin="1129,15217" coordsize="1066,0" path="m1129,15217l2195,15217e" filled="false" stroked="true" strokeweight=".48001pt" strokecolor="#000000">
                <v:path arrowok="t"/>
              </v:shape>
            </v:group>
            <v:group style="position:absolute;left:2200;top:14820;width:2;height:402" coordorigin="2200,14820" coordsize="2,402">
              <v:shape style="position:absolute;left:2200;top:14820;width:2;height:402" coordorigin="2200,14820" coordsize="0,402" path="m2200,14820l2200,15222e" filled="false" stroked="true" strokeweight=".48pt" strokecolor="#000000">
                <v:path arrowok="t"/>
              </v:shape>
            </v:group>
            <v:group style="position:absolute;left:2204;top:15217;width:1053;height:2" coordorigin="2204,15217" coordsize="1053,2">
              <v:shape style="position:absolute;left:2204;top:15217;width:1053;height:2" coordorigin="2204,15217" coordsize="1053,0" path="m2204,15217l3257,15217e" filled="false" stroked="true" strokeweight=".48001pt" strokecolor="#000000">
                <v:path arrowok="t"/>
              </v:shape>
            </v:group>
            <v:group style="position:absolute;left:3262;top:14820;width:2;height:402" coordorigin="3262,14820" coordsize="2,402">
              <v:shape style="position:absolute;left:3262;top:14820;width:2;height:402" coordorigin="3262,14820" coordsize="0,402" path="m3262,14820l3262,15222e" filled="false" stroked="true" strokeweight=".48001pt" strokecolor="#000000">
                <v:path arrowok="t"/>
              </v:shape>
            </v:group>
            <v:group style="position:absolute;left:3266;top:15217;width:1054;height:2" coordorigin="3266,15217" coordsize="1054,2">
              <v:shape style="position:absolute;left:3266;top:15217;width:1054;height:2" coordorigin="3266,15217" coordsize="1054,0" path="m3266,15217l4320,15217e" filled="false" stroked="true" strokeweight=".48001pt" strokecolor="#000000">
                <v:path arrowok="t"/>
              </v:shape>
            </v:group>
            <v:group style="position:absolute;left:4325;top:14820;width:2;height:402" coordorigin="4325,14820" coordsize="2,402">
              <v:shape style="position:absolute;left:4325;top:14820;width:2;height:402" coordorigin="4325,14820" coordsize="0,402" path="m4325,14820l4325,15222e" filled="false" stroked="true" strokeweight=".48pt" strokecolor="#000000">
                <v:path arrowok="t"/>
              </v:shape>
            </v:group>
            <v:group style="position:absolute;left:4330;top:15217;width:1054;height:2" coordorigin="4330,15217" coordsize="1054,2">
              <v:shape style="position:absolute;left:4330;top:15217;width:1054;height:2" coordorigin="4330,15217" coordsize="1054,0" path="m4330,15217l5383,15217e" filled="false" stroked="true" strokeweight=".48001pt" strokecolor="#000000">
                <v:path arrowok="t"/>
              </v:shape>
            </v:group>
            <v:group style="position:absolute;left:5388;top:14820;width:2;height:402" coordorigin="5388,14820" coordsize="2,402">
              <v:shape style="position:absolute;left:5388;top:14820;width:2;height:402" coordorigin="5388,14820" coordsize="0,402" path="m5388,14820l5388,15222e" filled="false" stroked="true" strokeweight=".48001pt" strokecolor="#000000">
                <v:path arrowok="t"/>
              </v:shape>
            </v:group>
            <v:group style="position:absolute;left:5393;top:15217;width:1054;height:2" coordorigin="5393,15217" coordsize="1054,2">
              <v:shape style="position:absolute;left:5393;top:15217;width:1054;height:2" coordorigin="5393,15217" coordsize="1054,0" path="m5393,15217l6446,15217e" filled="false" stroked="true" strokeweight=".48001pt" strokecolor="#000000">
                <v:path arrowok="t"/>
              </v:shape>
            </v:group>
            <v:group style="position:absolute;left:6451;top:14820;width:2;height:402" coordorigin="6451,14820" coordsize="2,402">
              <v:shape style="position:absolute;left:6451;top:14820;width:2;height:402" coordorigin="6451,14820" coordsize="0,402" path="m6451,14820l6451,15222e" filled="false" stroked="true" strokeweight=".48001pt" strokecolor="#000000">
                <v:path arrowok="t"/>
              </v:shape>
            </v:group>
            <v:group style="position:absolute;left:6456;top:15217;width:1054;height:2" coordorigin="6456,15217" coordsize="1054,2">
              <v:shape style="position:absolute;left:6456;top:15217;width:1054;height:2" coordorigin="6456,15217" coordsize="1054,0" path="m6456,15217l7510,15217e" filled="false" stroked="true" strokeweight=".48001pt" strokecolor="#000000">
                <v:path arrowok="t"/>
              </v:shape>
            </v:group>
            <v:group style="position:absolute;left:7514;top:14820;width:2;height:402" coordorigin="7514,14820" coordsize="2,402">
              <v:shape style="position:absolute;left:7514;top:14820;width:2;height:402" coordorigin="7514,14820" coordsize="0,402" path="m7514,14820l7514,15222e" filled="false" stroked="true" strokeweight=".47998pt" strokecolor="#000000">
                <v:path arrowok="t"/>
              </v:shape>
            </v:group>
            <v:group style="position:absolute;left:7519;top:15217;width:1054;height:2" coordorigin="7519,15217" coordsize="1054,2">
              <v:shape style="position:absolute;left:7519;top:15217;width:1054;height:2" coordorigin="7519,15217" coordsize="1054,0" path="m7519,15217l8573,15217e" filled="false" stroked="true" strokeweight=".48001pt" strokecolor="#000000">
                <v:path arrowok="t"/>
              </v:shape>
            </v:group>
            <v:group style="position:absolute;left:8578;top:14820;width:2;height:402" coordorigin="8578,14820" coordsize="2,402">
              <v:shape style="position:absolute;left:8578;top:14820;width:2;height:402" coordorigin="8578,14820" coordsize="0,402" path="m8578,14820l8578,15222e" filled="false" stroked="true" strokeweight=".48001pt" strokecolor="#000000">
                <v:path arrowok="t"/>
              </v:shape>
            </v:group>
            <v:group style="position:absolute;left:8582;top:15217;width:1053;height:2" coordorigin="8582,15217" coordsize="1053,2">
              <v:shape style="position:absolute;left:8582;top:15217;width:1053;height:2" coordorigin="8582,15217" coordsize="1053,0" path="m8582,15217l9635,15217e" filled="false" stroked="true" strokeweight=".48001pt" strokecolor="#000000">
                <v:path arrowok="t"/>
              </v:shape>
            </v:group>
            <v:group style="position:absolute;left:9640;top:14820;width:2;height:402" coordorigin="9640,14820" coordsize="2,402">
              <v:shape style="position:absolute;left:9640;top:14820;width:2;height:402" coordorigin="9640,14820" coordsize="0,402" path="m9640,14820l9640,15222e" filled="false" stroked="true" strokeweight=".47998pt" strokecolor="#000000">
                <v:path arrowok="t"/>
              </v:shape>
            </v:group>
            <v:group style="position:absolute;left:9644;top:15217;width:1054;height:2" coordorigin="9644,15217" coordsize="1054,2">
              <v:shape style="position:absolute;left:9644;top:15217;width:1054;height:2" coordorigin="9644,15217" coordsize="1054,0" path="m9644,15217l10698,15217e" filled="false" stroked="true" strokeweight=".48001pt" strokecolor="#000000">
                <v:path arrowok="t"/>
              </v:shape>
            </v:group>
            <v:group style="position:absolute;left:10703;top:2144;width:2;height:13078" coordorigin="10703,2144" coordsize="2,13078">
              <v:shape style="position:absolute;left:10703;top:2144;width:2;height:13078" coordorigin="10703,2144" coordsize="0,13078" path="m10703,2144l10703,15222e" filled="false" stroked="true" strokeweight=".47998pt" strokecolor="#000000">
                <v:path arrowok="t"/>
              </v:shape>
            </v:group>
            <w10:wrap type="none"/>
          </v:group>
        </w:pict>
      </w:r>
      <w:r>
        <w:rPr>
          <w:rFonts w:ascii="宋体" w:hAnsi="宋体" w:cs="宋体" w:eastAsia="宋体" w:hint="default"/>
          <w:position w:val="-1"/>
          <w:sz w:val="18"/>
          <w:szCs w:val="18"/>
        </w:rPr>
        <w:t>百兆伏安级</w:t>
      </w:r>
      <w:r>
        <w:rPr>
          <w:rFonts w:ascii="宋体" w:hAnsi="宋体" w:cs="宋体" w:eastAsia="宋体" w:hint="default"/>
          <w:spacing w:val="75"/>
          <w:position w:val="-1"/>
          <w:sz w:val="18"/>
          <w:szCs w:val="18"/>
        </w:rPr>
        <w:t> </w:t>
      </w:r>
      <w:r>
        <w:rPr>
          <w:rFonts w:ascii="宋体" w:hAnsi="宋体" w:cs="宋体" w:eastAsia="宋体" w:hint="default"/>
          <w:sz w:val="18"/>
          <w:szCs w:val="18"/>
        </w:rPr>
        <w:t>财政</w:t>
        <w:tab/>
        <w:t>补助</w:t>
        <w:tab/>
      </w:r>
      <w:r>
        <w:rPr>
          <w:rFonts w:ascii="宋体" w:hAnsi="宋体" w:cs="宋体" w:eastAsia="宋体" w:hint="default"/>
          <w:spacing w:val="-3"/>
          <w:position w:val="-1"/>
          <w:sz w:val="18"/>
          <w:szCs w:val="18"/>
        </w:rPr>
        <w:t>因研究开发、</w:t>
      </w:r>
      <w:r>
        <w:rPr>
          <w:rFonts w:ascii="宋体" w:hAnsi="宋体" w:cs="宋体" w:eastAsia="宋体" w:hint="default"/>
          <w:spacing w:val="-3"/>
          <w:sz w:val="18"/>
          <w:szCs w:val="18"/>
        </w:rPr>
        <w:t>否</w:t>
        <w:tab/>
      </w:r>
      <w:r>
        <w:rPr>
          <w:rFonts w:ascii="宋体" w:hAnsi="宋体" w:cs="宋体" w:eastAsia="宋体" w:hint="default"/>
          <w:sz w:val="18"/>
          <w:szCs w:val="18"/>
        </w:rPr>
        <w:t>否</w:t>
        <w:tab/>
      </w:r>
      <w:r>
        <w:rPr>
          <w:rFonts w:ascii="Times New Roman" w:hAnsi="Times New Roman" w:cs="Times New Roman" w:eastAsia="Times New Roman" w:hint="default"/>
          <w:sz w:val="18"/>
          <w:szCs w:val="18"/>
        </w:rPr>
        <w:t>1,000,000.00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与收益相关</w:t>
      </w:r>
    </w:p>
    <w:p>
      <w:pPr>
        <w:spacing w:after="0"/>
        <w:jc w:val="left"/>
        <w:rPr>
          <w:rFonts w:ascii="宋体" w:hAnsi="宋体" w:cs="宋体" w:eastAsia="宋体" w:hint="default"/>
          <w:sz w:val="18"/>
          <w:szCs w:val="18"/>
        </w:rPr>
        <w:sectPr>
          <w:type w:val="continuous"/>
          <w:pgSz w:w="11910" w:h="16840"/>
          <w:pgMar w:top="1060" w:bottom="1180" w:left="980" w:right="980"/>
        </w:sectPr>
      </w:pPr>
    </w:p>
    <w:p>
      <w:pPr>
        <w:spacing w:line="240" w:lineRule="auto" w:before="8"/>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747" w:footer="982" w:top="1060" w:bottom="1180" w:left="980" w:right="980"/>
        </w:sectPr>
      </w:pPr>
    </w:p>
    <w:p>
      <w:pPr>
        <w:spacing w:line="319" w:lineRule="auto" w:before="44"/>
        <w:ind w:left="181" w:right="0" w:firstLine="0"/>
        <w:jc w:val="both"/>
        <w:rPr>
          <w:rFonts w:ascii="宋体" w:hAnsi="宋体" w:cs="宋体" w:eastAsia="宋体" w:hint="default"/>
          <w:sz w:val="18"/>
          <w:szCs w:val="18"/>
        </w:rPr>
      </w:pPr>
      <w:r>
        <w:rPr>
          <w:rFonts w:ascii="宋体" w:hAnsi="宋体" w:cs="宋体" w:eastAsia="宋体" w:hint="default"/>
          <w:sz w:val="18"/>
          <w:szCs w:val="18"/>
        </w:rPr>
        <w:t>链式静止无 功补偿器经 费</w:t>
      </w:r>
    </w:p>
    <w:p>
      <w:pPr>
        <w:spacing w:line="319" w:lineRule="auto" w:before="44"/>
        <w:ind w:left="181" w:right="5671" w:firstLine="0"/>
        <w:jc w:val="both"/>
        <w:rPr>
          <w:rFonts w:ascii="宋体" w:hAnsi="宋体" w:cs="宋体" w:eastAsia="宋体" w:hint="default"/>
          <w:sz w:val="18"/>
          <w:szCs w:val="18"/>
        </w:rPr>
      </w:pPr>
      <w:r>
        <w:rPr/>
        <w:br w:type="column"/>
      </w:r>
      <w:r>
        <w:rPr>
          <w:rFonts w:ascii="宋体" w:hAnsi="宋体" w:cs="宋体" w:eastAsia="宋体" w:hint="default"/>
          <w:sz w:val="18"/>
          <w:szCs w:val="18"/>
        </w:rPr>
        <w:t>技术更新及 改造等获得 的补助</w:t>
      </w:r>
    </w:p>
    <w:p>
      <w:pPr>
        <w:spacing w:after="0" w:line="319" w:lineRule="auto"/>
        <w:jc w:val="both"/>
        <w:rPr>
          <w:rFonts w:ascii="宋体" w:hAnsi="宋体" w:cs="宋体" w:eastAsia="宋体" w:hint="default"/>
          <w:sz w:val="18"/>
          <w:szCs w:val="18"/>
        </w:rPr>
        <w:sectPr>
          <w:type w:val="continuous"/>
          <w:pgSz w:w="11910" w:h="16840"/>
          <w:pgMar w:top="1060" w:bottom="1180" w:left="980" w:right="980"/>
          <w:cols w:num="2" w:equalWidth="0">
            <w:col w:w="1082" w:space="2109"/>
            <w:col w:w="6759"/>
          </w:cols>
        </w:sectPr>
      </w:pPr>
    </w:p>
    <w:p>
      <w:pPr>
        <w:spacing w:line="240" w:lineRule="auto" w:before="9"/>
        <w:rPr>
          <w:rFonts w:ascii="宋体" w:hAnsi="宋体" w:cs="宋体" w:eastAsia="宋体" w:hint="default"/>
          <w:sz w:val="16"/>
          <w:szCs w:val="16"/>
        </w:rPr>
      </w:pPr>
    </w:p>
    <w:p>
      <w:pPr>
        <w:spacing w:line="310" w:lineRule="exact" w:before="6"/>
        <w:ind w:left="3372" w:right="5472" w:firstLine="0"/>
        <w:jc w:val="left"/>
        <w:rPr>
          <w:rFonts w:ascii="宋体" w:hAnsi="宋体" w:cs="宋体" w:eastAsia="宋体" w:hint="default"/>
          <w:sz w:val="18"/>
          <w:szCs w:val="18"/>
        </w:rPr>
      </w:pPr>
      <w:r>
        <w:rPr/>
        <w:pict>
          <v:shape style="position:absolute;margin-left:56.330002pt;margin-top:-7.834363pt;width:127.95pt;height:81.4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18"/>
                    <w:gridCol w:w="1541"/>
                  </w:tblGrid>
                  <w:tr>
                    <w:trPr>
                      <w:trHeight w:val="345" w:hRule="exact"/>
                    </w:trPr>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鞍山市财政</w:t>
                        </w:r>
                      </w:p>
                    </w:tc>
                    <w:tc>
                      <w:tcPr>
                        <w:tcW w:w="1541" w:type="dxa"/>
                        <w:vMerge w:val="restart"/>
                        <w:tcBorders>
                          <w:top w:val="nil" w:sz="6" w:space="0" w:color="auto"/>
                          <w:left w:val="nil" w:sz="6" w:space="0" w:color="auto"/>
                          <w:right w:val="nil" w:sz="6" w:space="0" w:color="auto"/>
                        </w:tcBorders>
                      </w:tcPr>
                      <w:p>
                        <w:pPr/>
                      </w:p>
                    </w:tc>
                  </w:tr>
                  <w:tr>
                    <w:trPr>
                      <w:trHeight w:val="311" w:hRule="exact"/>
                    </w:trPr>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局柔性直流</w:t>
                        </w:r>
                      </w:p>
                    </w:tc>
                    <w:tc>
                      <w:tcPr>
                        <w:tcW w:w="1541" w:type="dxa"/>
                        <w:vMerge/>
                        <w:tcBorders>
                          <w:left w:val="nil" w:sz="6" w:space="0" w:color="auto"/>
                          <w:bottom w:val="nil" w:sz="6" w:space="0" w:color="auto"/>
                          <w:right w:val="nil" w:sz="6" w:space="0" w:color="auto"/>
                        </w:tcBorders>
                      </w:tcPr>
                      <w:p>
                        <w:pPr/>
                      </w:p>
                    </w:tc>
                  </w:tr>
                  <w:tr>
                    <w:trPr>
                      <w:trHeight w:val="313" w:hRule="exact"/>
                    </w:trPr>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输电关键技</w:t>
                        </w:r>
                      </w:p>
                    </w:tc>
                    <w:tc>
                      <w:tcPr>
                        <w:tcW w:w="1541" w:type="dxa"/>
                        <w:tcBorders>
                          <w:top w:val="nil" w:sz="6" w:space="0" w:color="auto"/>
                          <w:left w:val="nil" w:sz="6" w:space="0" w:color="auto"/>
                          <w:bottom w:val="nil" w:sz="6" w:space="0" w:color="auto"/>
                          <w:right w:val="nil" w:sz="6" w:space="0" w:color="auto"/>
                        </w:tcBorders>
                      </w:tcPr>
                      <w:p>
                        <w:pPr>
                          <w:pStyle w:val="TableParagraph"/>
                          <w:tabs>
                            <w:tab w:pos="1145" w:val="left" w:leader="none"/>
                          </w:tabs>
                          <w:spacing w:line="240" w:lineRule="auto" w:before="11"/>
                          <w:ind w:left="82" w:right="0"/>
                          <w:jc w:val="left"/>
                          <w:rPr>
                            <w:rFonts w:ascii="宋体" w:hAnsi="宋体" w:cs="宋体" w:eastAsia="宋体" w:hint="default"/>
                            <w:sz w:val="18"/>
                            <w:szCs w:val="18"/>
                          </w:rPr>
                        </w:pPr>
                        <w:r>
                          <w:rPr>
                            <w:rFonts w:ascii="宋体" w:hAnsi="宋体" w:cs="宋体" w:eastAsia="宋体" w:hint="default"/>
                            <w:sz w:val="18"/>
                            <w:szCs w:val="18"/>
                          </w:rPr>
                          <w:t>财政</w:t>
                          <w:tab/>
                          <w:t>补助</w:t>
                        </w:r>
                      </w:p>
                    </w:tc>
                  </w:tr>
                  <w:tr>
                    <w:trPr>
                      <w:trHeight w:val="312" w:hRule="exact"/>
                    </w:trPr>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18"/>
                            <w:szCs w:val="18"/>
                          </w:rPr>
                        </w:pPr>
                        <w:r>
                          <w:rPr>
                            <w:rFonts w:ascii="宋体" w:hAnsi="宋体" w:cs="宋体" w:eastAsia="宋体" w:hint="default"/>
                            <w:sz w:val="18"/>
                            <w:szCs w:val="18"/>
                          </w:rPr>
                          <w:t>术联合研发</w:t>
                        </w:r>
                      </w:p>
                    </w:tc>
                    <w:tc>
                      <w:tcPr>
                        <w:tcW w:w="1541" w:type="dxa"/>
                        <w:tcBorders>
                          <w:top w:val="nil" w:sz="6" w:space="0" w:color="auto"/>
                          <w:left w:val="nil" w:sz="6" w:space="0" w:color="auto"/>
                          <w:bottom w:val="nil" w:sz="6" w:space="0" w:color="auto"/>
                          <w:right w:val="nil" w:sz="6" w:space="0" w:color="auto"/>
                        </w:tcBorders>
                      </w:tcPr>
                      <w:p>
                        <w:pPr/>
                      </w:p>
                    </w:tc>
                  </w:tr>
                  <w:tr>
                    <w:trPr>
                      <w:trHeight w:val="347" w:hRule="exact"/>
                    </w:trPr>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18"/>
                            <w:szCs w:val="18"/>
                          </w:rPr>
                        </w:pPr>
                        <w:r>
                          <w:rPr>
                            <w:rFonts w:ascii="宋体" w:hAnsi="宋体" w:cs="宋体" w:eastAsia="宋体" w:hint="default"/>
                            <w:sz w:val="18"/>
                            <w:szCs w:val="18"/>
                          </w:rPr>
                          <w:t>经费</w:t>
                        </w:r>
                      </w:p>
                    </w:tc>
                    <w:tc>
                      <w:tcPr>
                        <w:tcW w:w="1541"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z w:val="18"/>
          <w:szCs w:val="18"/>
        </w:rPr>
        <w:t>因研究开发、 技术更新及</w:t>
      </w:r>
    </w:p>
    <w:p>
      <w:pPr>
        <w:spacing w:after="0" w:line="310" w:lineRule="exact"/>
        <w:jc w:val="left"/>
        <w:rPr>
          <w:rFonts w:ascii="宋体" w:hAnsi="宋体" w:cs="宋体" w:eastAsia="宋体" w:hint="default"/>
          <w:sz w:val="18"/>
          <w:szCs w:val="18"/>
        </w:rPr>
        <w:sectPr>
          <w:type w:val="continuous"/>
          <w:pgSz w:w="11910" w:h="16840"/>
          <w:pgMar w:top="1060" w:bottom="1180" w:left="980" w:right="980"/>
        </w:sectPr>
      </w:pPr>
    </w:p>
    <w:p>
      <w:pPr>
        <w:spacing w:line="319" w:lineRule="auto" w:before="39"/>
        <w:ind w:left="3372" w:right="-20" w:firstLine="0"/>
        <w:jc w:val="left"/>
        <w:rPr>
          <w:rFonts w:ascii="宋体" w:hAnsi="宋体" w:cs="宋体" w:eastAsia="宋体" w:hint="default"/>
          <w:sz w:val="18"/>
          <w:szCs w:val="18"/>
        </w:rPr>
      </w:pPr>
      <w:r>
        <w:rPr>
          <w:rFonts w:ascii="宋体" w:hAnsi="宋体" w:cs="宋体" w:eastAsia="宋体" w:hint="default"/>
          <w:sz w:val="18"/>
          <w:szCs w:val="18"/>
        </w:rPr>
        <w:t>改造等获得 的补助</w:t>
      </w:r>
    </w:p>
    <w:p>
      <w:pPr>
        <w:tabs>
          <w:tab w:pos="1186" w:val="left" w:leader="none"/>
          <w:tab w:pos="3509" w:val="left" w:leader="none"/>
        </w:tabs>
        <w:spacing w:line="134" w:lineRule="exact" w:before="0"/>
        <w:ind w:left="123"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否</w:t>
        <w:tab/>
        <w:t>否</w:t>
        <w:tab/>
      </w:r>
      <w:r>
        <w:rPr>
          <w:rFonts w:ascii="Times New Roman" w:hAnsi="Times New Roman" w:cs="Times New Roman" w:eastAsia="Times New Roman" w:hint="default"/>
          <w:sz w:val="18"/>
          <w:szCs w:val="18"/>
        </w:rPr>
        <w:t>600,000.00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与收益相关</w:t>
      </w:r>
    </w:p>
    <w:p>
      <w:pPr>
        <w:spacing w:after="0" w:line="134" w:lineRule="exact"/>
        <w:jc w:val="left"/>
        <w:rPr>
          <w:rFonts w:ascii="宋体" w:hAnsi="宋体" w:cs="宋体" w:eastAsia="宋体" w:hint="default"/>
          <w:sz w:val="18"/>
          <w:szCs w:val="18"/>
        </w:rPr>
        <w:sectPr>
          <w:type w:val="continuous"/>
          <w:pgSz w:w="11910" w:h="16840"/>
          <w:pgMar w:top="1060" w:bottom="1180" w:left="980" w:right="980"/>
          <w:cols w:num="2" w:equalWidth="0">
            <w:col w:w="4273" w:space="40"/>
            <w:col w:w="5637"/>
          </w:cols>
        </w:sectPr>
      </w:pPr>
    </w:p>
    <w:p>
      <w:pPr>
        <w:spacing w:line="240" w:lineRule="auto" w:before="9"/>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10" w:h="16840"/>
          <w:pgMar w:top="1060" w:bottom="1180" w:left="980" w:right="980"/>
        </w:sectPr>
      </w:pPr>
    </w:p>
    <w:p>
      <w:pPr>
        <w:spacing w:line="316" w:lineRule="auto" w:before="44"/>
        <w:ind w:left="181" w:right="0" w:firstLine="0"/>
        <w:jc w:val="both"/>
        <w:rPr>
          <w:rFonts w:ascii="宋体" w:hAnsi="宋体" w:cs="宋体" w:eastAsia="宋体" w:hint="default"/>
          <w:sz w:val="18"/>
          <w:szCs w:val="18"/>
        </w:rPr>
      </w:pPr>
      <w:r>
        <w:rPr>
          <w:rFonts w:ascii="宋体" w:hAnsi="宋体" w:cs="宋体" w:eastAsia="宋体" w:hint="default"/>
          <w:sz w:val="18"/>
          <w:szCs w:val="18"/>
        </w:rPr>
        <w:t>百兆伏安级 链式静止无 功补偿器经 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tabs>
          <w:tab w:pos="1188" w:val="left" w:leader="none"/>
        </w:tabs>
        <w:spacing w:before="0"/>
        <w:ind w:left="125" w:right="-20" w:firstLine="0"/>
        <w:jc w:val="left"/>
        <w:rPr>
          <w:rFonts w:ascii="宋体" w:hAnsi="宋体" w:cs="宋体" w:eastAsia="宋体" w:hint="default"/>
          <w:sz w:val="18"/>
          <w:szCs w:val="18"/>
        </w:rPr>
      </w:pPr>
      <w:r>
        <w:rPr>
          <w:rFonts w:ascii="宋体" w:hAnsi="宋体" w:cs="宋体" w:eastAsia="宋体" w:hint="default"/>
          <w:sz w:val="18"/>
          <w:szCs w:val="18"/>
        </w:rPr>
        <w:t>财政</w:t>
        <w:tab/>
        <w:t>补助</w:t>
      </w:r>
    </w:p>
    <w:p>
      <w:pPr>
        <w:spacing w:line="310" w:lineRule="exact" w:before="6"/>
        <w:ind w:left="181" w:right="5472"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因研究开发、 技术更新及</w:t>
      </w:r>
    </w:p>
    <w:p>
      <w:pPr>
        <w:tabs>
          <w:tab w:pos="2307" w:val="left" w:leader="none"/>
          <w:tab w:pos="4631" w:val="left" w:leader="none"/>
        </w:tabs>
        <w:spacing w:line="87" w:lineRule="exact" w:before="0"/>
        <w:ind w:left="1244" w:right="0" w:firstLine="0"/>
        <w:jc w:val="left"/>
        <w:rPr>
          <w:rFonts w:ascii="宋体" w:hAnsi="宋体" w:cs="宋体" w:eastAsia="宋体" w:hint="default"/>
          <w:sz w:val="18"/>
          <w:szCs w:val="18"/>
        </w:rPr>
      </w:pPr>
      <w:r>
        <w:rPr>
          <w:rFonts w:ascii="宋体" w:hAnsi="宋体" w:cs="宋体" w:eastAsia="宋体" w:hint="default"/>
          <w:sz w:val="18"/>
          <w:szCs w:val="18"/>
        </w:rPr>
        <w:t>否</w:t>
        <w:tab/>
        <w:t>否</w:t>
        <w:tab/>
      </w:r>
      <w:r>
        <w:rPr>
          <w:rFonts w:ascii="Times New Roman" w:hAnsi="Times New Roman" w:cs="Times New Roman" w:eastAsia="Times New Roman" w:hint="default"/>
          <w:sz w:val="18"/>
          <w:szCs w:val="18"/>
        </w:rPr>
        <w:t>500,000.00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与收益相关</w:t>
      </w:r>
    </w:p>
    <w:p>
      <w:pPr>
        <w:spacing w:line="188" w:lineRule="exact" w:before="0"/>
        <w:ind w:left="181" w:right="5472"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7"/>
        <w:ind w:left="181" w:right="5472"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80" w:left="980" w:right="980"/>
          <w:cols w:num="3" w:equalWidth="0">
            <w:col w:w="1082" w:space="40"/>
            <w:col w:w="1549" w:space="520"/>
            <w:col w:w="6759"/>
          </w:cols>
        </w:sect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4"/>
          <w:szCs w:val="14"/>
        </w:rPr>
      </w:pPr>
    </w:p>
    <w:p>
      <w:pPr>
        <w:spacing w:line="316" w:lineRule="auto"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轻型直流输 电专项资金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26"/>
          <w:szCs w:val="26"/>
        </w:rPr>
      </w:pPr>
    </w:p>
    <w:p>
      <w:pPr>
        <w:tabs>
          <w:tab w:pos="1188" w:val="left" w:leader="none"/>
        </w:tabs>
        <w:spacing w:before="0"/>
        <w:ind w:left="125" w:right="-20" w:firstLine="0"/>
        <w:jc w:val="left"/>
        <w:rPr>
          <w:rFonts w:ascii="宋体" w:hAnsi="宋体" w:cs="宋体" w:eastAsia="宋体" w:hint="default"/>
          <w:sz w:val="18"/>
          <w:szCs w:val="18"/>
        </w:rPr>
      </w:pPr>
      <w:r>
        <w:rPr>
          <w:rFonts w:ascii="宋体" w:hAnsi="宋体" w:cs="宋体" w:eastAsia="宋体" w:hint="default"/>
          <w:sz w:val="18"/>
          <w:szCs w:val="18"/>
        </w:rPr>
        <w:t>财政</w:t>
        <w:tab/>
        <w:t>补助</w:t>
      </w:r>
    </w:p>
    <w:p>
      <w:pPr>
        <w:spacing w:line="310" w:lineRule="atLeast" w:before="34"/>
        <w:ind w:left="181" w:right="5472"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因研究开发、 技术更新及</w:t>
      </w:r>
    </w:p>
    <w:p>
      <w:pPr>
        <w:tabs>
          <w:tab w:pos="2307" w:val="left" w:leader="none"/>
          <w:tab w:pos="4631" w:val="left" w:leader="none"/>
        </w:tabs>
        <w:spacing w:line="124" w:lineRule="exact" w:before="0"/>
        <w:ind w:left="1244" w:right="0" w:firstLine="0"/>
        <w:jc w:val="left"/>
        <w:rPr>
          <w:rFonts w:ascii="宋体" w:hAnsi="宋体" w:cs="宋体" w:eastAsia="宋体" w:hint="default"/>
          <w:sz w:val="18"/>
          <w:szCs w:val="18"/>
        </w:rPr>
      </w:pPr>
      <w:r>
        <w:rPr>
          <w:rFonts w:ascii="宋体" w:hAnsi="宋体" w:cs="宋体" w:eastAsia="宋体" w:hint="default"/>
          <w:sz w:val="18"/>
          <w:szCs w:val="18"/>
        </w:rPr>
        <w:t>否</w:t>
        <w:tab/>
        <w:t>否</w:t>
        <w:tab/>
      </w:r>
      <w:r>
        <w:rPr>
          <w:rFonts w:ascii="Times New Roman" w:hAnsi="Times New Roman" w:cs="Times New Roman" w:eastAsia="Times New Roman" w:hint="default"/>
          <w:sz w:val="18"/>
          <w:szCs w:val="18"/>
        </w:rPr>
        <w:t>500,000.00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与收益相关</w:t>
      </w:r>
    </w:p>
    <w:p>
      <w:pPr>
        <w:spacing w:line="188" w:lineRule="exact" w:before="0"/>
        <w:ind w:left="181" w:right="5472"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7"/>
        <w:ind w:left="181" w:right="5472"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80" w:left="980" w:right="980"/>
          <w:cols w:num="3" w:equalWidth="0">
            <w:col w:w="1082" w:space="40"/>
            <w:col w:w="1549" w:space="520"/>
            <w:col w:w="6759"/>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spacing w:line="240" w:lineRule="auto" w:before="4"/>
        <w:rPr>
          <w:rFonts w:ascii="宋体" w:hAnsi="宋体" w:cs="宋体" w:eastAsia="宋体" w:hint="default"/>
          <w:sz w:val="15"/>
          <w:szCs w:val="15"/>
        </w:rPr>
      </w:pPr>
    </w:p>
    <w:p>
      <w:pPr>
        <w:spacing w:line="316" w:lineRule="auto" w:before="0"/>
        <w:ind w:left="181" w:right="0" w:firstLine="0"/>
        <w:jc w:val="both"/>
        <w:rPr>
          <w:rFonts w:ascii="宋体" w:hAnsi="宋体" w:cs="宋体" w:eastAsia="宋体" w:hint="default"/>
          <w:sz w:val="18"/>
          <w:szCs w:val="18"/>
        </w:rPr>
      </w:pPr>
      <w:r>
        <w:rPr>
          <w:rFonts w:ascii="宋体" w:hAnsi="宋体" w:cs="宋体" w:eastAsia="宋体" w:hint="default"/>
          <w:sz w:val="18"/>
          <w:szCs w:val="18"/>
        </w:rPr>
        <w:t>多端柔性直 流输电海外 研发团队</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tabs>
          <w:tab w:pos="1188" w:val="left" w:leader="none"/>
        </w:tabs>
        <w:spacing w:before="0"/>
        <w:ind w:left="125" w:right="-20" w:firstLine="0"/>
        <w:jc w:val="left"/>
        <w:rPr>
          <w:rFonts w:ascii="宋体" w:hAnsi="宋体" w:cs="宋体" w:eastAsia="宋体" w:hint="default"/>
          <w:sz w:val="18"/>
          <w:szCs w:val="18"/>
        </w:rPr>
      </w:pPr>
      <w:r>
        <w:rPr>
          <w:rFonts w:ascii="宋体" w:hAnsi="宋体" w:cs="宋体" w:eastAsia="宋体" w:hint="default"/>
          <w:sz w:val="18"/>
          <w:szCs w:val="18"/>
        </w:rPr>
        <w:t>财政</w:t>
        <w:tab/>
        <w:t>补助</w:t>
      </w:r>
    </w:p>
    <w:p>
      <w:pPr>
        <w:spacing w:line="310" w:lineRule="exact" w:before="6"/>
        <w:ind w:left="181" w:right="5472"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因研究开发、 技术更新及</w:t>
      </w:r>
    </w:p>
    <w:p>
      <w:pPr>
        <w:tabs>
          <w:tab w:pos="2307" w:val="left" w:leader="none"/>
          <w:tab w:pos="4631" w:val="left" w:leader="none"/>
        </w:tabs>
        <w:spacing w:line="87" w:lineRule="exact" w:before="0"/>
        <w:ind w:left="1244" w:right="0" w:firstLine="0"/>
        <w:jc w:val="left"/>
        <w:rPr>
          <w:rFonts w:ascii="宋体" w:hAnsi="宋体" w:cs="宋体" w:eastAsia="宋体" w:hint="default"/>
          <w:sz w:val="18"/>
          <w:szCs w:val="18"/>
        </w:rPr>
      </w:pPr>
      <w:r>
        <w:rPr>
          <w:rFonts w:ascii="宋体" w:hAnsi="宋体" w:cs="宋体" w:eastAsia="宋体" w:hint="default"/>
          <w:sz w:val="18"/>
          <w:szCs w:val="18"/>
        </w:rPr>
        <w:t>否</w:t>
        <w:tab/>
        <w:t>否</w:t>
        <w:tab/>
      </w:r>
      <w:r>
        <w:rPr>
          <w:rFonts w:ascii="Times New Roman" w:hAnsi="Times New Roman" w:cs="Times New Roman" w:eastAsia="Times New Roman" w:hint="default"/>
          <w:sz w:val="18"/>
          <w:szCs w:val="18"/>
        </w:rPr>
        <w:t>500,000.00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与收益相关</w:t>
      </w:r>
    </w:p>
    <w:p>
      <w:pPr>
        <w:spacing w:line="188" w:lineRule="exact" w:before="0"/>
        <w:ind w:left="181" w:right="5472"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7"/>
        <w:ind w:left="181" w:right="5472"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80" w:left="980" w:right="980"/>
          <w:cols w:num="3" w:equalWidth="0">
            <w:col w:w="1082" w:space="40"/>
            <w:col w:w="1549" w:space="520"/>
            <w:col w:w="6759"/>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line="316" w:lineRule="auto" w:before="0"/>
        <w:ind w:left="181" w:right="-20" w:firstLine="0"/>
        <w:jc w:val="left"/>
        <w:rPr>
          <w:rFonts w:ascii="宋体" w:hAnsi="宋体" w:cs="宋体" w:eastAsia="宋体" w:hint="default"/>
          <w:sz w:val="18"/>
          <w:szCs w:val="18"/>
        </w:rPr>
      </w:pPr>
      <w:r>
        <w:rPr>
          <w:rFonts w:ascii="宋体" w:hAnsi="宋体" w:cs="宋体" w:eastAsia="宋体" w:hint="default"/>
          <w:sz w:val="18"/>
          <w:szCs w:val="18"/>
        </w:rPr>
        <w:t>鞍山市长质 量奖</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tabs>
          <w:tab w:pos="1188" w:val="left" w:leader="none"/>
        </w:tabs>
        <w:spacing w:before="0"/>
        <w:ind w:left="125" w:right="-20" w:firstLine="0"/>
        <w:jc w:val="left"/>
        <w:rPr>
          <w:rFonts w:ascii="宋体" w:hAnsi="宋体" w:cs="宋体" w:eastAsia="宋体" w:hint="default"/>
          <w:sz w:val="18"/>
          <w:szCs w:val="18"/>
        </w:rPr>
      </w:pPr>
      <w:r>
        <w:rPr>
          <w:rFonts w:ascii="宋体" w:hAnsi="宋体" w:cs="宋体" w:eastAsia="宋体" w:hint="default"/>
          <w:sz w:val="18"/>
          <w:szCs w:val="18"/>
        </w:rPr>
        <w:t>财政</w:t>
        <w:tab/>
        <w:t>奖励</w:t>
      </w:r>
    </w:p>
    <w:p>
      <w:pPr>
        <w:spacing w:line="316" w:lineRule="auto" w:before="44"/>
        <w:ind w:left="181" w:right="0" w:firstLine="0"/>
        <w:jc w:val="both"/>
        <w:rPr>
          <w:rFonts w:ascii="宋体" w:hAnsi="宋体" w:cs="宋体" w:eastAsia="宋体" w:hint="default"/>
          <w:sz w:val="18"/>
          <w:szCs w:val="18"/>
        </w:rPr>
      </w:pPr>
      <w:r>
        <w:rPr/>
        <w:br w:type="column"/>
      </w:r>
      <w:r>
        <w:rPr>
          <w:rFonts w:ascii="宋体" w:hAnsi="宋体" w:cs="宋体" w:eastAsia="宋体" w:hint="default"/>
          <w:sz w:val="18"/>
          <w:szCs w:val="18"/>
        </w:rPr>
        <w:t>因符合地方 政府招商引 资等地方性 扶持政策而 获得的补助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5"/>
          <w:szCs w:val="15"/>
        </w:rPr>
      </w:pPr>
    </w:p>
    <w:p>
      <w:pPr>
        <w:tabs>
          <w:tab w:pos="1186" w:val="left" w:leader="none"/>
          <w:tab w:pos="3509" w:val="left" w:leader="none"/>
        </w:tabs>
        <w:spacing w:before="0"/>
        <w:ind w:left="123" w:right="0" w:firstLine="0"/>
        <w:jc w:val="left"/>
        <w:rPr>
          <w:rFonts w:ascii="宋体" w:hAnsi="宋体" w:cs="宋体" w:eastAsia="宋体" w:hint="default"/>
          <w:sz w:val="18"/>
          <w:szCs w:val="18"/>
        </w:rPr>
      </w:pPr>
      <w:r>
        <w:rPr>
          <w:rFonts w:ascii="宋体" w:hAnsi="宋体" w:cs="宋体" w:eastAsia="宋体" w:hint="default"/>
          <w:sz w:val="18"/>
          <w:szCs w:val="18"/>
        </w:rPr>
        <w:t>否</w:t>
        <w:tab/>
        <w:t>否</w:t>
        <w:tab/>
      </w:r>
      <w:r>
        <w:rPr>
          <w:rFonts w:ascii="Times New Roman" w:hAnsi="Times New Roman" w:cs="Times New Roman" w:eastAsia="Times New Roman" w:hint="default"/>
          <w:sz w:val="18"/>
          <w:szCs w:val="18"/>
        </w:rPr>
        <w:t>350,000.00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与收益相关</w:t>
      </w:r>
    </w:p>
    <w:p>
      <w:pPr>
        <w:spacing w:after="0"/>
        <w:jc w:val="left"/>
        <w:rPr>
          <w:rFonts w:ascii="宋体" w:hAnsi="宋体" w:cs="宋体" w:eastAsia="宋体" w:hint="default"/>
          <w:sz w:val="18"/>
          <w:szCs w:val="18"/>
        </w:rPr>
        <w:sectPr>
          <w:type w:val="continuous"/>
          <w:pgSz w:w="11910" w:h="16840"/>
          <w:pgMar w:top="1060" w:bottom="1180" w:left="980" w:right="980"/>
          <w:cols w:num="4" w:equalWidth="0">
            <w:col w:w="1082" w:space="40"/>
            <w:col w:w="1549" w:space="520"/>
            <w:col w:w="1082" w:space="40"/>
            <w:col w:w="5637"/>
          </w:cols>
        </w:sectPr>
      </w:pPr>
    </w:p>
    <w:p>
      <w:pPr>
        <w:spacing w:line="240" w:lineRule="auto" w:before="3"/>
        <w:rPr>
          <w:rFonts w:ascii="宋体" w:hAnsi="宋体" w:cs="宋体" w:eastAsia="宋体" w:hint="default"/>
          <w:sz w:val="20"/>
          <w:szCs w:val="20"/>
        </w:rPr>
      </w:pPr>
    </w:p>
    <w:p>
      <w:pPr>
        <w:spacing w:line="309" w:lineRule="auto" w:before="0"/>
        <w:ind w:left="181"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年工业 企业结构调 整专项资金</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1"/>
        <w:rPr>
          <w:rFonts w:ascii="宋体" w:hAnsi="宋体" w:cs="宋体" w:eastAsia="宋体" w:hint="default"/>
          <w:sz w:val="26"/>
          <w:szCs w:val="26"/>
        </w:rPr>
      </w:pPr>
    </w:p>
    <w:p>
      <w:pPr>
        <w:tabs>
          <w:tab w:pos="1144" w:val="left" w:leader="none"/>
        </w:tabs>
        <w:spacing w:before="0"/>
        <w:ind w:left="81" w:right="-20" w:firstLine="0"/>
        <w:jc w:val="left"/>
        <w:rPr>
          <w:rFonts w:ascii="宋体" w:hAnsi="宋体" w:cs="宋体" w:eastAsia="宋体" w:hint="default"/>
          <w:sz w:val="18"/>
          <w:szCs w:val="18"/>
        </w:rPr>
      </w:pPr>
      <w:r>
        <w:rPr>
          <w:rFonts w:ascii="宋体" w:hAnsi="宋体" w:cs="宋体" w:eastAsia="宋体" w:hint="default"/>
          <w:sz w:val="18"/>
          <w:szCs w:val="18"/>
        </w:rPr>
        <w:t>财政</w:t>
        <w:tab/>
        <w:t>补助</w:t>
      </w:r>
    </w:p>
    <w:p>
      <w:pPr>
        <w:spacing w:line="310" w:lineRule="atLeast" w:before="34"/>
        <w:ind w:left="181" w:right="5472"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因研究开发、 技术更新及</w:t>
      </w:r>
    </w:p>
    <w:p>
      <w:pPr>
        <w:tabs>
          <w:tab w:pos="2307" w:val="left" w:leader="none"/>
          <w:tab w:pos="4631" w:val="left" w:leader="none"/>
        </w:tabs>
        <w:spacing w:line="124" w:lineRule="exact" w:before="0"/>
        <w:ind w:left="1244" w:right="0" w:firstLine="0"/>
        <w:jc w:val="left"/>
        <w:rPr>
          <w:rFonts w:ascii="宋体" w:hAnsi="宋体" w:cs="宋体" w:eastAsia="宋体" w:hint="default"/>
          <w:sz w:val="18"/>
          <w:szCs w:val="18"/>
        </w:rPr>
      </w:pPr>
      <w:r>
        <w:rPr>
          <w:rFonts w:ascii="宋体" w:hAnsi="宋体" w:cs="宋体" w:eastAsia="宋体" w:hint="default"/>
          <w:sz w:val="18"/>
          <w:szCs w:val="18"/>
        </w:rPr>
        <w:t>否</w:t>
        <w:tab/>
        <w:t>否</w:t>
        <w:tab/>
      </w:r>
      <w:r>
        <w:rPr>
          <w:rFonts w:ascii="Times New Roman" w:hAnsi="Times New Roman" w:cs="Times New Roman" w:eastAsia="Times New Roman" w:hint="default"/>
          <w:sz w:val="18"/>
          <w:szCs w:val="18"/>
        </w:rPr>
        <w:t>300,000.00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与收益相关</w:t>
      </w:r>
    </w:p>
    <w:p>
      <w:pPr>
        <w:spacing w:line="188" w:lineRule="exact" w:before="0"/>
        <w:ind w:left="181" w:right="5472"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7"/>
        <w:ind w:left="181" w:right="5472"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80" w:left="980" w:right="980"/>
          <w:cols w:num="3" w:equalWidth="0">
            <w:col w:w="1127" w:space="40"/>
            <w:col w:w="1505" w:space="520"/>
            <w:col w:w="6758"/>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spacing w:line="240" w:lineRule="auto" w:before="0"/>
        <w:rPr>
          <w:rFonts w:ascii="宋体" w:hAnsi="宋体" w:cs="宋体" w:eastAsia="宋体" w:hint="default"/>
          <w:sz w:val="18"/>
          <w:szCs w:val="18"/>
        </w:rPr>
      </w:pPr>
    </w:p>
    <w:p>
      <w:pPr>
        <w:spacing w:line="316" w:lineRule="auto" w:before="121"/>
        <w:ind w:left="181" w:right="-20" w:firstLine="0"/>
        <w:jc w:val="left"/>
        <w:rPr>
          <w:rFonts w:ascii="宋体" w:hAnsi="宋体" w:cs="宋体" w:eastAsia="宋体" w:hint="default"/>
          <w:sz w:val="18"/>
          <w:szCs w:val="18"/>
        </w:rPr>
      </w:pPr>
      <w:r>
        <w:rPr>
          <w:rFonts w:ascii="宋体" w:hAnsi="宋体" w:cs="宋体" w:eastAsia="宋体" w:hint="default"/>
          <w:sz w:val="18"/>
          <w:szCs w:val="18"/>
        </w:rPr>
        <w:t>储能逆变器 开发经费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2"/>
        <w:rPr>
          <w:rFonts w:ascii="宋体" w:hAnsi="宋体" w:cs="宋体" w:eastAsia="宋体" w:hint="default"/>
          <w:sz w:val="21"/>
          <w:szCs w:val="21"/>
        </w:rPr>
      </w:pPr>
    </w:p>
    <w:p>
      <w:pPr>
        <w:tabs>
          <w:tab w:pos="1188" w:val="left" w:leader="none"/>
        </w:tabs>
        <w:spacing w:before="0"/>
        <w:ind w:left="125" w:right="-20" w:firstLine="0"/>
        <w:jc w:val="left"/>
        <w:rPr>
          <w:rFonts w:ascii="宋体" w:hAnsi="宋体" w:cs="宋体" w:eastAsia="宋体" w:hint="default"/>
          <w:sz w:val="18"/>
          <w:szCs w:val="18"/>
        </w:rPr>
      </w:pPr>
      <w:r>
        <w:rPr>
          <w:rFonts w:ascii="宋体" w:hAnsi="宋体" w:cs="宋体" w:eastAsia="宋体" w:hint="default"/>
          <w:sz w:val="18"/>
          <w:szCs w:val="18"/>
        </w:rPr>
        <w:t>财政</w:t>
        <w:tab/>
        <w:t>补助</w:t>
      </w:r>
    </w:p>
    <w:p>
      <w:pPr>
        <w:spacing w:line="310" w:lineRule="exact" w:before="6"/>
        <w:ind w:left="181" w:right="5472"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因研究开发、 技术更新及</w:t>
      </w:r>
    </w:p>
    <w:p>
      <w:pPr>
        <w:tabs>
          <w:tab w:pos="2307" w:val="left" w:leader="none"/>
          <w:tab w:pos="4631" w:val="left" w:leader="none"/>
        </w:tabs>
        <w:spacing w:line="87" w:lineRule="exact" w:before="0"/>
        <w:ind w:left="1244" w:right="0" w:firstLine="0"/>
        <w:jc w:val="left"/>
        <w:rPr>
          <w:rFonts w:ascii="宋体" w:hAnsi="宋体" w:cs="宋体" w:eastAsia="宋体" w:hint="default"/>
          <w:sz w:val="18"/>
          <w:szCs w:val="18"/>
        </w:rPr>
      </w:pPr>
      <w:r>
        <w:rPr>
          <w:rFonts w:ascii="宋体" w:hAnsi="宋体" w:cs="宋体" w:eastAsia="宋体" w:hint="default"/>
          <w:sz w:val="18"/>
          <w:szCs w:val="18"/>
        </w:rPr>
        <w:t>否</w:t>
        <w:tab/>
        <w:t>否</w:t>
        <w:tab/>
      </w:r>
      <w:r>
        <w:rPr>
          <w:rFonts w:ascii="Times New Roman" w:hAnsi="Times New Roman" w:cs="Times New Roman" w:eastAsia="Times New Roman" w:hint="default"/>
          <w:sz w:val="18"/>
          <w:szCs w:val="18"/>
        </w:rPr>
        <w:t>250,000.00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与收益相关</w:t>
      </w:r>
    </w:p>
    <w:p>
      <w:pPr>
        <w:spacing w:line="188" w:lineRule="exact" w:before="0"/>
        <w:ind w:left="181" w:right="5472"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7"/>
        <w:ind w:left="181" w:right="5472"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80" w:left="980" w:right="980"/>
          <w:cols w:num="3" w:equalWidth="0">
            <w:col w:w="1082" w:space="40"/>
            <w:col w:w="1549" w:space="520"/>
            <w:col w:w="6759"/>
          </w:cols>
        </w:sectPr>
      </w:pPr>
    </w:p>
    <w:p>
      <w:pPr>
        <w:spacing w:line="240" w:lineRule="auto" w:before="4"/>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060" w:bottom="1180" w:left="980" w:right="980"/>
        </w:sectPr>
      </w:pPr>
    </w:p>
    <w:p>
      <w:pPr>
        <w:spacing w:line="316" w:lineRule="auto" w:before="44"/>
        <w:ind w:left="181" w:right="0" w:firstLine="0"/>
        <w:jc w:val="both"/>
        <w:rPr>
          <w:rFonts w:ascii="宋体" w:hAnsi="宋体" w:cs="宋体" w:eastAsia="宋体" w:hint="default"/>
          <w:sz w:val="18"/>
          <w:szCs w:val="18"/>
        </w:rPr>
      </w:pPr>
      <w:r>
        <w:rPr>
          <w:rFonts w:ascii="宋体" w:hAnsi="宋体" w:cs="宋体" w:eastAsia="宋体" w:hint="default"/>
          <w:sz w:val="18"/>
          <w:szCs w:val="18"/>
        </w:rPr>
        <w:t>大电流整流 器设备的熔 断器状态监 测技术的研 发及产业化 项目科技经 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tabs>
          <w:tab w:pos="1188" w:val="left" w:leader="none"/>
        </w:tabs>
        <w:spacing w:before="0"/>
        <w:ind w:left="125" w:right="-20" w:firstLine="0"/>
        <w:jc w:val="left"/>
        <w:rPr>
          <w:rFonts w:ascii="宋体" w:hAnsi="宋体" w:cs="宋体" w:eastAsia="宋体" w:hint="default"/>
          <w:sz w:val="18"/>
          <w:szCs w:val="18"/>
        </w:rPr>
      </w:pPr>
      <w:r>
        <w:rPr>
          <w:rFonts w:ascii="宋体" w:hAnsi="宋体" w:cs="宋体" w:eastAsia="宋体" w:hint="default"/>
          <w:sz w:val="18"/>
          <w:szCs w:val="18"/>
        </w:rPr>
        <w:t>财政</w:t>
        <w:tab/>
        <w:t>补助</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6"/>
        <w:rPr>
          <w:rFonts w:ascii="宋体" w:hAnsi="宋体" w:cs="宋体" w:eastAsia="宋体" w:hint="default"/>
          <w:sz w:val="15"/>
          <w:szCs w:val="15"/>
        </w:rPr>
      </w:pPr>
    </w:p>
    <w:p>
      <w:pPr>
        <w:spacing w:line="310" w:lineRule="atLeast" w:before="0"/>
        <w:ind w:left="181" w:right="5472" w:firstLine="0"/>
        <w:jc w:val="left"/>
        <w:rPr>
          <w:rFonts w:ascii="宋体" w:hAnsi="宋体" w:cs="宋体" w:eastAsia="宋体" w:hint="default"/>
          <w:sz w:val="18"/>
          <w:szCs w:val="18"/>
        </w:rPr>
      </w:pPr>
      <w:r>
        <w:rPr>
          <w:rFonts w:ascii="宋体" w:hAnsi="宋体" w:cs="宋体" w:eastAsia="宋体" w:hint="default"/>
          <w:sz w:val="18"/>
          <w:szCs w:val="18"/>
        </w:rPr>
        <w:t>因研究开发、 技术更新及</w:t>
      </w:r>
    </w:p>
    <w:p>
      <w:pPr>
        <w:tabs>
          <w:tab w:pos="2307" w:val="left" w:leader="none"/>
          <w:tab w:pos="4631" w:val="left" w:leader="none"/>
        </w:tabs>
        <w:spacing w:line="124" w:lineRule="exact" w:before="0"/>
        <w:ind w:left="1244" w:right="0" w:firstLine="0"/>
        <w:jc w:val="left"/>
        <w:rPr>
          <w:rFonts w:ascii="宋体" w:hAnsi="宋体" w:cs="宋体" w:eastAsia="宋体" w:hint="default"/>
          <w:sz w:val="18"/>
          <w:szCs w:val="18"/>
        </w:rPr>
      </w:pPr>
      <w:r>
        <w:rPr>
          <w:rFonts w:ascii="宋体" w:hAnsi="宋体" w:cs="宋体" w:eastAsia="宋体" w:hint="default"/>
          <w:sz w:val="18"/>
          <w:szCs w:val="18"/>
        </w:rPr>
        <w:t>否</w:t>
        <w:tab/>
        <w:t>否</w:t>
        <w:tab/>
      </w:r>
      <w:r>
        <w:rPr>
          <w:rFonts w:ascii="Times New Roman" w:hAnsi="Times New Roman" w:cs="Times New Roman" w:eastAsia="Times New Roman" w:hint="default"/>
          <w:sz w:val="18"/>
          <w:szCs w:val="18"/>
        </w:rPr>
        <w:t>210,000.00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与收益相关</w:t>
      </w:r>
    </w:p>
    <w:p>
      <w:pPr>
        <w:spacing w:line="188" w:lineRule="exact" w:before="0"/>
        <w:ind w:left="181" w:right="5472"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7"/>
        <w:ind w:left="181" w:right="5472" w:firstLine="0"/>
        <w:jc w:val="left"/>
        <w:rPr>
          <w:rFonts w:ascii="宋体" w:hAnsi="宋体" w:cs="宋体" w:eastAsia="宋体" w:hint="default"/>
          <w:sz w:val="18"/>
          <w:szCs w:val="18"/>
        </w:rPr>
      </w:pPr>
      <w:r>
        <w:rPr>
          <w:rFonts w:ascii="宋体" w:hAnsi="宋体" w:cs="宋体" w:eastAsia="宋体" w:hint="default"/>
          <w:sz w:val="18"/>
          <w:szCs w:val="18"/>
        </w:rPr>
        <w:t>的补助</w:t>
      </w:r>
    </w:p>
    <w:p>
      <w:pPr>
        <w:spacing w:after="0"/>
        <w:jc w:val="left"/>
        <w:rPr>
          <w:rFonts w:ascii="宋体" w:hAnsi="宋体" w:cs="宋体" w:eastAsia="宋体" w:hint="default"/>
          <w:sz w:val="18"/>
          <w:szCs w:val="18"/>
        </w:rPr>
        <w:sectPr>
          <w:type w:val="continuous"/>
          <w:pgSz w:w="11910" w:h="16840"/>
          <w:pgMar w:top="1060" w:bottom="1180" w:left="980" w:right="980"/>
          <w:cols w:num="3" w:equalWidth="0">
            <w:col w:w="1082" w:space="40"/>
            <w:col w:w="1549" w:space="520"/>
            <w:col w:w="6759"/>
          </w:cols>
        </w:sectPr>
      </w:pPr>
    </w:p>
    <w:p>
      <w:pPr>
        <w:spacing w:line="316" w:lineRule="auto" w:before="109"/>
        <w:ind w:left="181" w:right="-20" w:firstLine="0"/>
        <w:jc w:val="left"/>
        <w:rPr>
          <w:rFonts w:ascii="宋体" w:hAnsi="宋体" w:cs="宋体" w:eastAsia="宋体" w:hint="default"/>
          <w:sz w:val="18"/>
          <w:szCs w:val="18"/>
        </w:rPr>
      </w:pPr>
      <w:r>
        <w:rPr/>
        <w:pict>
          <v:group style="position:absolute;margin-left:56.219978pt;margin-top:71.759956pt;width:479.4pt;height:697.2pt;mso-position-horizontal-relative:page;mso-position-vertical-relative:page;z-index:-1027192" coordorigin="1124,1435" coordsize="9588,13944">
            <v:group style="position:absolute;left:1129;top:1445;width:9579;height:2" coordorigin="1129,1445" coordsize="9579,2">
              <v:shape style="position:absolute;left:1129;top:1445;width:9579;height:2" coordorigin="1129,1445" coordsize="9579,0" path="m1129,1445l10708,1445e" filled="false" stroked="true" strokeweight=".48004pt" strokecolor="#000000">
                <v:path arrowok="t"/>
              </v:shape>
            </v:group>
            <v:group style="position:absolute;left:2200;top:1450;width:2;height:977" coordorigin="2200,1450" coordsize="2,977">
              <v:shape style="position:absolute;left:2200;top:1450;width:2;height:977" coordorigin="2200,1450" coordsize="0,977" path="m2200,1450l2200,2426e" filled="false" stroked="true" strokeweight=".48pt" strokecolor="#000000">
                <v:path arrowok="t"/>
              </v:shape>
            </v:group>
            <v:group style="position:absolute;left:3262;top:1450;width:2;height:977" coordorigin="3262,1450" coordsize="2,977">
              <v:shape style="position:absolute;left:3262;top:1450;width:2;height:977" coordorigin="3262,1450" coordsize="0,977" path="m3262,1450l3262,2426e" filled="false" stroked="true" strokeweight=".48001pt" strokecolor="#000000">
                <v:path arrowok="t"/>
              </v:shape>
            </v:group>
            <v:group style="position:absolute;left:4325;top:1450;width:2;height:977" coordorigin="4325,1450" coordsize="2,977">
              <v:shape style="position:absolute;left:4325;top:1450;width:2;height:977" coordorigin="4325,1450" coordsize="0,977" path="m4325,1450l4325,2426e" filled="false" stroked="true" strokeweight=".48pt" strokecolor="#000000">
                <v:path arrowok="t"/>
              </v:shape>
            </v:group>
            <v:group style="position:absolute;left:5388;top:1450;width:2;height:977" coordorigin="5388,1450" coordsize="2,977">
              <v:shape style="position:absolute;left:5388;top:1450;width:2;height:977" coordorigin="5388,1450" coordsize="0,977" path="m5388,1450l5388,2426e" filled="false" stroked="true" strokeweight=".48001pt" strokecolor="#000000">
                <v:path arrowok="t"/>
              </v:shape>
            </v:group>
            <v:group style="position:absolute;left:6451;top:1450;width:2;height:977" coordorigin="6451,1450" coordsize="2,977">
              <v:shape style="position:absolute;left:6451;top:1450;width:2;height:977" coordorigin="6451,1450" coordsize="0,977" path="m6451,1450l6451,2426e" filled="false" stroked="true" strokeweight=".48001pt" strokecolor="#000000">
                <v:path arrowok="t"/>
              </v:shape>
            </v:group>
            <v:group style="position:absolute;left:7514;top:1450;width:2;height:977" coordorigin="7514,1450" coordsize="2,977">
              <v:shape style="position:absolute;left:7514;top:1450;width:2;height:977" coordorigin="7514,1450" coordsize="0,977" path="m7514,1450l7514,2426e" filled="false" stroked="true" strokeweight=".47998pt" strokecolor="#000000">
                <v:path arrowok="t"/>
              </v:shape>
            </v:group>
            <v:group style="position:absolute;left:8578;top:1450;width:2;height:977" coordorigin="8578,1450" coordsize="2,977">
              <v:shape style="position:absolute;left:8578;top:1450;width:2;height:977" coordorigin="8578,1450" coordsize="0,977" path="m8578,1450l8578,2426e" filled="false" stroked="true" strokeweight=".48001pt" strokecolor="#000000">
                <v:path arrowok="t"/>
              </v:shape>
            </v:group>
            <v:group style="position:absolute;left:9640;top:1450;width:2;height:977" coordorigin="9640,1450" coordsize="2,977">
              <v:shape style="position:absolute;left:9640;top:1450;width:2;height:977" coordorigin="9640,1450" coordsize="0,977" path="m9640,1450l9640,2426e" filled="false" stroked="true" strokeweight=".47998pt" strokecolor="#000000">
                <v:path arrowok="t"/>
              </v:shape>
            </v:group>
            <v:group style="position:absolute;left:5393;top:2436;width:1054;height:1641" coordorigin="5393,2436" coordsize="1054,1641">
              <v:shape style="position:absolute;left:5393;top:2436;width:1054;height:1641" coordorigin="5393,2436" coordsize="1054,1641" path="m5393,4076l6446,4076,6446,2436,5393,2436,5393,4076xe" filled="true" fillcolor="#ffffff" stroked="false">
                <v:path arrowok="t"/>
                <v:fill type="solid"/>
              </v:shape>
            </v:group>
            <v:group style="position:absolute;left:5416;top:3060;width:1007;height:393" coordorigin="5416,3060" coordsize="1007,393">
              <v:shape style="position:absolute;left:5416;top:3060;width:1007;height:393" coordorigin="5416,3060" coordsize="1007,393" path="m5416,3452l6422,3452,6422,3060,5416,3060,5416,3452xe" filled="true" fillcolor="#ffffff" stroked="false">
                <v:path arrowok="t"/>
                <v:fill type="solid"/>
              </v:shape>
            </v:group>
            <v:group style="position:absolute;left:1129;top:2431;width:9579;height:2" coordorigin="1129,2431" coordsize="9579,2">
              <v:shape style="position:absolute;left:1129;top:2431;width:9579;height:2" coordorigin="1129,2431" coordsize="9579,0" path="m1129,2431l10708,2431e" filled="false" stroked="true" strokeweight=".47998pt" strokecolor="#000000">
                <v:path arrowok="t"/>
              </v:shape>
            </v:group>
            <v:group style="position:absolute;left:2200;top:2436;width:2;height:1641" coordorigin="2200,2436" coordsize="2,1641">
              <v:shape style="position:absolute;left:2200;top:2436;width:2;height:1641" coordorigin="2200,2436" coordsize="0,1641" path="m2200,2436l2200,4076e" filled="false" stroked="true" strokeweight=".48pt" strokecolor="#000000">
                <v:path arrowok="t"/>
              </v:shape>
            </v:group>
            <v:group style="position:absolute;left:3262;top:2436;width:2;height:1641" coordorigin="3262,2436" coordsize="2,1641">
              <v:shape style="position:absolute;left:3262;top:2436;width:2;height:1641" coordorigin="3262,2436" coordsize="0,1641" path="m3262,2436l3262,4076e" filled="false" stroked="true" strokeweight=".48001pt" strokecolor="#000000">
                <v:path arrowok="t"/>
              </v:shape>
            </v:group>
            <v:group style="position:absolute;left:4325;top:2436;width:2;height:1641" coordorigin="4325,2436" coordsize="2,1641">
              <v:shape style="position:absolute;left:4325;top:2436;width:2;height:1641" coordorigin="4325,2436" coordsize="0,1641" path="m4325,2436l4325,4076e" filled="false" stroked="true" strokeweight=".48pt" strokecolor="#000000">
                <v:path arrowok="t"/>
              </v:shape>
            </v:group>
            <v:group style="position:absolute;left:5388;top:2436;width:2;height:1641" coordorigin="5388,2436" coordsize="2,1641">
              <v:shape style="position:absolute;left:5388;top:2436;width:2;height:1641" coordorigin="5388,2436" coordsize="0,1641" path="m5388,2436l5388,4076e" filled="false" stroked="true" strokeweight=".48001pt" strokecolor="#000000">
                <v:path arrowok="t"/>
              </v:shape>
            </v:group>
            <v:group style="position:absolute;left:6451;top:2436;width:2;height:1641" coordorigin="6451,2436" coordsize="2,1641">
              <v:shape style="position:absolute;left:6451;top:2436;width:2;height:1641" coordorigin="6451,2436" coordsize="0,1641" path="m6451,2436l6451,4076e" filled="false" stroked="true" strokeweight=".48001pt" strokecolor="#000000">
                <v:path arrowok="t"/>
              </v:shape>
            </v:group>
            <v:group style="position:absolute;left:7514;top:2436;width:2;height:1641" coordorigin="7514,2436" coordsize="2,1641">
              <v:shape style="position:absolute;left:7514;top:2436;width:2;height:1641" coordorigin="7514,2436" coordsize="0,1641" path="m7514,2436l7514,4076e" filled="false" stroked="true" strokeweight=".47998pt" strokecolor="#000000">
                <v:path arrowok="t"/>
              </v:shape>
            </v:group>
            <v:group style="position:absolute;left:8578;top:2436;width:2;height:1641" coordorigin="8578,2436" coordsize="2,1641">
              <v:shape style="position:absolute;left:8578;top:2436;width:2;height:1641" coordorigin="8578,2436" coordsize="0,1641" path="m8578,2436l8578,4076e" filled="false" stroked="true" strokeweight=".48001pt" strokecolor="#000000">
                <v:path arrowok="t"/>
              </v:shape>
            </v:group>
            <v:group style="position:absolute;left:9640;top:2436;width:2;height:1641" coordorigin="9640,2436" coordsize="2,1641">
              <v:shape style="position:absolute;left:9640;top:2436;width:2;height:1641" coordorigin="9640,2436" coordsize="0,1641" path="m9640,2436l9640,4076e" filled="false" stroked="true" strokeweight=".47998pt" strokecolor="#000000">
                <v:path arrowok="t"/>
              </v:shape>
            </v:group>
            <v:group style="position:absolute;left:5393;top:4086;width:1054;height:1329" coordorigin="5393,4086" coordsize="1054,1329">
              <v:shape style="position:absolute;left:5393;top:4086;width:1054;height:1329" coordorigin="5393,4086" coordsize="1054,1329" path="m5393,5414l6446,5414,6446,4086,5393,4086,5393,5414xe" filled="true" fillcolor="#ffffff" stroked="false">
                <v:path arrowok="t"/>
                <v:fill type="solid"/>
              </v:shape>
            </v:group>
            <v:group style="position:absolute;left:5416;top:4554;width:1007;height:393" coordorigin="5416,4554" coordsize="1007,393">
              <v:shape style="position:absolute;left:5416;top:4554;width:1007;height:393" coordorigin="5416,4554" coordsize="1007,393" path="m5416,4946l6422,4946,6422,4554,5416,4554,5416,4946xe" filled="true" fillcolor="#ffffff" stroked="false">
                <v:path arrowok="t"/>
                <v:fill type="solid"/>
              </v:shape>
            </v:group>
            <v:group style="position:absolute;left:1129;top:4081;width:9579;height:2" coordorigin="1129,4081" coordsize="9579,2">
              <v:shape style="position:absolute;left:1129;top:4081;width:9579;height:2" coordorigin="1129,4081" coordsize="9579,0" path="m1129,4081l10708,4081e" filled="false" stroked="true" strokeweight=".47998pt" strokecolor="#000000">
                <v:path arrowok="t"/>
              </v:shape>
            </v:group>
            <v:group style="position:absolute;left:2200;top:4086;width:2;height:1329" coordorigin="2200,4086" coordsize="2,1329">
              <v:shape style="position:absolute;left:2200;top:4086;width:2;height:1329" coordorigin="2200,4086" coordsize="0,1329" path="m2200,4086l2200,5414e" filled="false" stroked="true" strokeweight=".48pt" strokecolor="#000000">
                <v:path arrowok="t"/>
              </v:shape>
            </v:group>
            <v:group style="position:absolute;left:3262;top:4086;width:2;height:1329" coordorigin="3262,4086" coordsize="2,1329">
              <v:shape style="position:absolute;left:3262;top:4086;width:2;height:1329" coordorigin="3262,4086" coordsize="0,1329" path="m3262,4086l3262,5414e" filled="false" stroked="true" strokeweight=".48001pt" strokecolor="#000000">
                <v:path arrowok="t"/>
              </v:shape>
            </v:group>
            <v:group style="position:absolute;left:4325;top:4086;width:2;height:1329" coordorigin="4325,4086" coordsize="2,1329">
              <v:shape style="position:absolute;left:4325;top:4086;width:2;height:1329" coordorigin="4325,4086" coordsize="0,1329" path="m4325,4086l4325,5414e" filled="false" stroked="true" strokeweight=".48pt" strokecolor="#000000">
                <v:path arrowok="t"/>
              </v:shape>
            </v:group>
            <v:group style="position:absolute;left:5388;top:4086;width:2;height:1329" coordorigin="5388,4086" coordsize="2,1329">
              <v:shape style="position:absolute;left:5388;top:4086;width:2;height:1329" coordorigin="5388,4086" coordsize="0,1329" path="m5388,4086l5388,5414e" filled="false" stroked="true" strokeweight=".48001pt" strokecolor="#000000">
                <v:path arrowok="t"/>
              </v:shape>
            </v:group>
            <v:group style="position:absolute;left:6451;top:4086;width:2;height:1329" coordorigin="6451,4086" coordsize="2,1329">
              <v:shape style="position:absolute;left:6451;top:4086;width:2;height:1329" coordorigin="6451,4086" coordsize="0,1329" path="m6451,4086l6451,5414e" filled="false" stroked="true" strokeweight=".48001pt" strokecolor="#000000">
                <v:path arrowok="t"/>
              </v:shape>
            </v:group>
            <v:group style="position:absolute;left:7514;top:4086;width:2;height:1329" coordorigin="7514,4086" coordsize="2,1329">
              <v:shape style="position:absolute;left:7514;top:4086;width:2;height:1329" coordorigin="7514,4086" coordsize="0,1329" path="m7514,4086l7514,5414e" filled="false" stroked="true" strokeweight=".47998pt" strokecolor="#000000">
                <v:path arrowok="t"/>
              </v:shape>
            </v:group>
            <v:group style="position:absolute;left:8578;top:4086;width:2;height:1329" coordorigin="8578,4086" coordsize="2,1329">
              <v:shape style="position:absolute;left:8578;top:4086;width:2;height:1329" coordorigin="8578,4086" coordsize="0,1329" path="m8578,4086l8578,5414e" filled="false" stroked="true" strokeweight=".48001pt" strokecolor="#000000">
                <v:path arrowok="t"/>
              </v:shape>
            </v:group>
            <v:group style="position:absolute;left:9640;top:4086;width:2;height:1329" coordorigin="9640,4086" coordsize="2,1329">
              <v:shape style="position:absolute;left:9640;top:4086;width:2;height:1329" coordorigin="9640,4086" coordsize="0,1329" path="m9640,4086l9640,5414e" filled="false" stroked="true" strokeweight=".47998pt" strokecolor="#000000">
                <v:path arrowok="t"/>
              </v:shape>
            </v:group>
            <v:group style="position:absolute;left:5393;top:5424;width:1054;height:1329" coordorigin="5393,5424" coordsize="1054,1329">
              <v:shape style="position:absolute;left:5393;top:5424;width:1054;height:1329" coordorigin="5393,5424" coordsize="1054,1329" path="m5393,6752l6446,6752,6446,5424,5393,5424,5393,6752xe" filled="true" fillcolor="#ffffff" stroked="false">
                <v:path arrowok="t"/>
                <v:fill type="solid"/>
              </v:shape>
            </v:group>
            <v:group style="position:absolute;left:5416;top:5892;width:1007;height:393" coordorigin="5416,5892" coordsize="1007,393">
              <v:shape style="position:absolute;left:5416;top:5892;width:1007;height:393" coordorigin="5416,5892" coordsize="1007,393" path="m5416,6284l6422,6284,6422,5892,5416,5892,5416,6284xe" filled="true" fillcolor="#ffffff" stroked="false">
                <v:path arrowok="t"/>
                <v:fill type="solid"/>
              </v:shape>
            </v:group>
            <v:group style="position:absolute;left:1129;top:5419;width:9579;height:2" coordorigin="1129,5419" coordsize="9579,2">
              <v:shape style="position:absolute;left:1129;top:5419;width:9579;height:2" coordorigin="1129,5419" coordsize="9579,0" path="m1129,5419l10708,5419e" filled="false" stroked="true" strokeweight=".48004pt" strokecolor="#000000">
                <v:path arrowok="t"/>
              </v:shape>
            </v:group>
            <v:group style="position:absolute;left:2200;top:5424;width:2;height:1329" coordorigin="2200,5424" coordsize="2,1329">
              <v:shape style="position:absolute;left:2200;top:5424;width:2;height:1329" coordorigin="2200,5424" coordsize="0,1329" path="m2200,5424l2200,6752e" filled="false" stroked="true" strokeweight=".48pt" strokecolor="#000000">
                <v:path arrowok="t"/>
              </v:shape>
            </v:group>
            <v:group style="position:absolute;left:3262;top:5424;width:2;height:1329" coordorigin="3262,5424" coordsize="2,1329">
              <v:shape style="position:absolute;left:3262;top:5424;width:2;height:1329" coordorigin="3262,5424" coordsize="0,1329" path="m3262,5424l3262,6752e" filled="false" stroked="true" strokeweight=".48001pt" strokecolor="#000000">
                <v:path arrowok="t"/>
              </v:shape>
            </v:group>
            <v:group style="position:absolute;left:4325;top:5424;width:2;height:1329" coordorigin="4325,5424" coordsize="2,1329">
              <v:shape style="position:absolute;left:4325;top:5424;width:2;height:1329" coordorigin="4325,5424" coordsize="0,1329" path="m4325,5424l4325,6752e" filled="false" stroked="true" strokeweight=".48pt" strokecolor="#000000">
                <v:path arrowok="t"/>
              </v:shape>
            </v:group>
            <v:group style="position:absolute;left:5388;top:5424;width:2;height:1329" coordorigin="5388,5424" coordsize="2,1329">
              <v:shape style="position:absolute;left:5388;top:5424;width:2;height:1329" coordorigin="5388,5424" coordsize="0,1329" path="m5388,5424l5388,6752e" filled="false" stroked="true" strokeweight=".48001pt" strokecolor="#000000">
                <v:path arrowok="t"/>
              </v:shape>
            </v:group>
            <v:group style="position:absolute;left:6451;top:5424;width:2;height:1329" coordorigin="6451,5424" coordsize="2,1329">
              <v:shape style="position:absolute;left:6451;top:5424;width:2;height:1329" coordorigin="6451,5424" coordsize="0,1329" path="m6451,5424l6451,6752e" filled="false" stroked="true" strokeweight=".48001pt" strokecolor="#000000">
                <v:path arrowok="t"/>
              </v:shape>
            </v:group>
            <v:group style="position:absolute;left:7514;top:5424;width:2;height:1329" coordorigin="7514,5424" coordsize="2,1329">
              <v:shape style="position:absolute;left:7514;top:5424;width:2;height:1329" coordorigin="7514,5424" coordsize="0,1329" path="m7514,5424l7514,6752e" filled="false" stroked="true" strokeweight=".47998pt" strokecolor="#000000">
                <v:path arrowok="t"/>
              </v:shape>
            </v:group>
            <v:group style="position:absolute;left:8578;top:5424;width:2;height:1329" coordorigin="8578,5424" coordsize="2,1329">
              <v:shape style="position:absolute;left:8578;top:5424;width:2;height:1329" coordorigin="8578,5424" coordsize="0,1329" path="m8578,5424l8578,6752e" filled="false" stroked="true" strokeweight=".48001pt" strokecolor="#000000">
                <v:path arrowok="t"/>
              </v:shape>
            </v:group>
            <v:group style="position:absolute;left:9640;top:5424;width:2;height:1329" coordorigin="9640,5424" coordsize="2,1329">
              <v:shape style="position:absolute;left:9640;top:5424;width:2;height:1329" coordorigin="9640,5424" coordsize="0,1329" path="m9640,5424l9640,6752e" filled="false" stroked="true" strokeweight=".47998pt" strokecolor="#000000">
                <v:path arrowok="t"/>
              </v:shape>
            </v:group>
            <v:group style="position:absolute;left:5393;top:6762;width:1054;height:1329" coordorigin="5393,6762" coordsize="1054,1329">
              <v:shape style="position:absolute;left:5393;top:6762;width:1054;height:1329" coordorigin="5393,6762" coordsize="1054,1329" path="m5393,8090l6446,8090,6446,6762,5393,6762,5393,8090xe" filled="true" fillcolor="#ffffff" stroked="false">
                <v:path arrowok="t"/>
                <v:fill type="solid"/>
              </v:shape>
            </v:group>
            <v:group style="position:absolute;left:5416;top:7230;width:1007;height:393" coordorigin="5416,7230" coordsize="1007,393">
              <v:shape style="position:absolute;left:5416;top:7230;width:1007;height:393" coordorigin="5416,7230" coordsize="1007,393" path="m5416,7622l6422,7622,6422,7230,5416,7230,5416,7622xe" filled="true" fillcolor="#ffffff" stroked="false">
                <v:path arrowok="t"/>
                <v:fill type="solid"/>
              </v:shape>
            </v:group>
            <v:group style="position:absolute;left:1129;top:6757;width:9579;height:2" coordorigin="1129,6757" coordsize="9579,2">
              <v:shape style="position:absolute;left:1129;top:6757;width:9579;height:2" coordorigin="1129,6757" coordsize="9579,0" path="m1129,6757l10708,6757e" filled="false" stroked="true" strokeweight=".47998pt" strokecolor="#000000">
                <v:path arrowok="t"/>
              </v:shape>
            </v:group>
            <v:group style="position:absolute;left:2200;top:6762;width:2;height:1329" coordorigin="2200,6762" coordsize="2,1329">
              <v:shape style="position:absolute;left:2200;top:6762;width:2;height:1329" coordorigin="2200,6762" coordsize="0,1329" path="m2200,6762l2200,8090e" filled="false" stroked="true" strokeweight=".48pt" strokecolor="#000000">
                <v:path arrowok="t"/>
              </v:shape>
            </v:group>
            <v:group style="position:absolute;left:3262;top:6762;width:2;height:1329" coordorigin="3262,6762" coordsize="2,1329">
              <v:shape style="position:absolute;left:3262;top:6762;width:2;height:1329" coordorigin="3262,6762" coordsize="0,1329" path="m3262,6762l3262,8090e" filled="false" stroked="true" strokeweight=".48001pt" strokecolor="#000000">
                <v:path arrowok="t"/>
              </v:shape>
            </v:group>
            <v:group style="position:absolute;left:4325;top:6762;width:2;height:1329" coordorigin="4325,6762" coordsize="2,1329">
              <v:shape style="position:absolute;left:4325;top:6762;width:2;height:1329" coordorigin="4325,6762" coordsize="0,1329" path="m4325,6762l4325,8090e" filled="false" stroked="true" strokeweight=".48pt" strokecolor="#000000">
                <v:path arrowok="t"/>
              </v:shape>
            </v:group>
            <v:group style="position:absolute;left:5388;top:6762;width:2;height:1329" coordorigin="5388,6762" coordsize="2,1329">
              <v:shape style="position:absolute;left:5388;top:6762;width:2;height:1329" coordorigin="5388,6762" coordsize="0,1329" path="m5388,6762l5388,8090e" filled="false" stroked="true" strokeweight=".48001pt" strokecolor="#000000">
                <v:path arrowok="t"/>
              </v:shape>
            </v:group>
            <v:group style="position:absolute;left:6451;top:6762;width:2;height:1329" coordorigin="6451,6762" coordsize="2,1329">
              <v:shape style="position:absolute;left:6451;top:6762;width:2;height:1329" coordorigin="6451,6762" coordsize="0,1329" path="m6451,6762l6451,8090e" filled="false" stroked="true" strokeweight=".48001pt" strokecolor="#000000">
                <v:path arrowok="t"/>
              </v:shape>
            </v:group>
            <v:group style="position:absolute;left:7514;top:6762;width:2;height:1329" coordorigin="7514,6762" coordsize="2,1329">
              <v:shape style="position:absolute;left:7514;top:6762;width:2;height:1329" coordorigin="7514,6762" coordsize="0,1329" path="m7514,6762l7514,8090e" filled="false" stroked="true" strokeweight=".47998pt" strokecolor="#000000">
                <v:path arrowok="t"/>
              </v:shape>
            </v:group>
            <v:group style="position:absolute;left:8578;top:6762;width:2;height:1329" coordorigin="8578,6762" coordsize="2,1329">
              <v:shape style="position:absolute;left:8578;top:6762;width:2;height:1329" coordorigin="8578,6762" coordsize="0,1329" path="m8578,6762l8578,8090e" filled="false" stroked="true" strokeweight=".48001pt" strokecolor="#000000">
                <v:path arrowok="t"/>
              </v:shape>
            </v:group>
            <v:group style="position:absolute;left:9640;top:6762;width:2;height:1329" coordorigin="9640,6762" coordsize="2,1329">
              <v:shape style="position:absolute;left:9640;top:6762;width:2;height:1329" coordorigin="9640,6762" coordsize="0,1329" path="m9640,6762l9640,8090e" filled="false" stroked="true" strokeweight=".47998pt" strokecolor="#000000">
                <v:path arrowok="t"/>
              </v:shape>
            </v:group>
            <v:group style="position:absolute;left:1129;top:8095;width:9579;height:2" coordorigin="1129,8095" coordsize="9579,2">
              <v:shape style="position:absolute;left:1129;top:8095;width:9579;height:2" coordorigin="1129,8095" coordsize="9579,0" path="m1129,8095l10708,8095e" filled="false" stroked="true" strokeweight=".47998pt" strokecolor="#000000">
                <v:path arrowok="t"/>
              </v:shape>
            </v:group>
            <v:group style="position:absolute;left:2200;top:8100;width:2;height:1641" coordorigin="2200,8100" coordsize="2,1641">
              <v:shape style="position:absolute;left:2200;top:8100;width:2;height:1641" coordorigin="2200,8100" coordsize="0,1641" path="m2200,8100l2200,9740e" filled="false" stroked="true" strokeweight=".48pt" strokecolor="#000000">
                <v:path arrowok="t"/>
              </v:shape>
            </v:group>
            <v:group style="position:absolute;left:3262;top:8100;width:2;height:1641" coordorigin="3262,8100" coordsize="2,1641">
              <v:shape style="position:absolute;left:3262;top:8100;width:2;height:1641" coordorigin="3262,8100" coordsize="0,1641" path="m3262,8100l3262,9740e" filled="false" stroked="true" strokeweight=".48001pt" strokecolor="#000000">
                <v:path arrowok="t"/>
              </v:shape>
            </v:group>
            <v:group style="position:absolute;left:4325;top:8100;width:2;height:1641" coordorigin="4325,8100" coordsize="2,1641">
              <v:shape style="position:absolute;left:4325;top:8100;width:2;height:1641" coordorigin="4325,8100" coordsize="0,1641" path="m4325,8100l4325,9740e" filled="false" stroked="true" strokeweight=".48pt" strokecolor="#000000">
                <v:path arrowok="t"/>
              </v:shape>
            </v:group>
            <v:group style="position:absolute;left:5388;top:8100;width:2;height:1641" coordorigin="5388,8100" coordsize="2,1641">
              <v:shape style="position:absolute;left:5388;top:8100;width:2;height:1641" coordorigin="5388,8100" coordsize="0,1641" path="m5388,8100l5388,9740e" filled="false" stroked="true" strokeweight=".48001pt" strokecolor="#000000">
                <v:path arrowok="t"/>
              </v:shape>
            </v:group>
            <v:group style="position:absolute;left:6451;top:8100;width:2;height:1641" coordorigin="6451,8100" coordsize="2,1641">
              <v:shape style="position:absolute;left:6451;top:8100;width:2;height:1641" coordorigin="6451,8100" coordsize="0,1641" path="m6451,8100l6451,9740e" filled="false" stroked="true" strokeweight=".48001pt" strokecolor="#000000">
                <v:path arrowok="t"/>
              </v:shape>
            </v:group>
            <v:group style="position:absolute;left:7514;top:8100;width:2;height:1641" coordorigin="7514,8100" coordsize="2,1641">
              <v:shape style="position:absolute;left:7514;top:8100;width:2;height:1641" coordorigin="7514,8100" coordsize="0,1641" path="m7514,8100l7514,9740e" filled="false" stroked="true" strokeweight=".47998pt" strokecolor="#000000">
                <v:path arrowok="t"/>
              </v:shape>
            </v:group>
            <v:group style="position:absolute;left:8578;top:8100;width:2;height:1641" coordorigin="8578,8100" coordsize="2,1641">
              <v:shape style="position:absolute;left:8578;top:8100;width:2;height:1641" coordorigin="8578,8100" coordsize="0,1641" path="m8578,8100l8578,9740e" filled="false" stroked="true" strokeweight=".48001pt" strokecolor="#000000">
                <v:path arrowok="t"/>
              </v:shape>
            </v:group>
            <v:group style="position:absolute;left:9640;top:8100;width:2;height:1641" coordorigin="9640,8100" coordsize="2,1641">
              <v:shape style="position:absolute;left:9640;top:8100;width:2;height:1641" coordorigin="9640,8100" coordsize="0,1641" path="m9640,8100l9640,9740e" filled="false" stroked="true" strokeweight=".47998pt" strokecolor="#000000">
                <v:path arrowok="t"/>
              </v:shape>
            </v:group>
            <v:group style="position:absolute;left:5393;top:9750;width:1054;height:1329" coordorigin="5393,9750" coordsize="1054,1329">
              <v:shape style="position:absolute;left:5393;top:9750;width:1054;height:1329" coordorigin="5393,9750" coordsize="1054,1329" path="m5393,11078l6446,11078,6446,9750,5393,9750,5393,11078xe" filled="true" fillcolor="#ffffff" stroked="false">
                <v:path arrowok="t"/>
                <v:fill type="solid"/>
              </v:shape>
            </v:group>
            <v:group style="position:absolute;left:5416;top:10218;width:1007;height:393" coordorigin="5416,10218" coordsize="1007,393">
              <v:shape style="position:absolute;left:5416;top:10218;width:1007;height:393" coordorigin="5416,10218" coordsize="1007,393" path="m5416,10610l6422,10610,6422,10218,5416,10218,5416,10610xe" filled="true" fillcolor="#ffffff" stroked="false">
                <v:path arrowok="t"/>
                <v:fill type="solid"/>
              </v:shape>
            </v:group>
            <v:group style="position:absolute;left:1129;top:9745;width:9579;height:2" coordorigin="1129,9745" coordsize="9579,2">
              <v:shape style="position:absolute;left:1129;top:9745;width:9579;height:2" coordorigin="1129,9745" coordsize="9579,0" path="m1129,9745l10708,9745e" filled="false" stroked="true" strokeweight=".48001pt" strokecolor="#000000">
                <v:path arrowok="t"/>
              </v:shape>
            </v:group>
            <v:group style="position:absolute;left:2200;top:9750;width:2;height:1329" coordorigin="2200,9750" coordsize="2,1329">
              <v:shape style="position:absolute;left:2200;top:9750;width:2;height:1329" coordorigin="2200,9750" coordsize="0,1329" path="m2200,9750l2200,11078e" filled="false" stroked="true" strokeweight=".48pt" strokecolor="#000000">
                <v:path arrowok="t"/>
              </v:shape>
            </v:group>
            <v:group style="position:absolute;left:3262;top:9750;width:2;height:1329" coordorigin="3262,9750" coordsize="2,1329">
              <v:shape style="position:absolute;left:3262;top:9750;width:2;height:1329" coordorigin="3262,9750" coordsize="0,1329" path="m3262,9750l3262,11078e" filled="false" stroked="true" strokeweight=".48001pt" strokecolor="#000000">
                <v:path arrowok="t"/>
              </v:shape>
            </v:group>
            <v:group style="position:absolute;left:4325;top:9750;width:2;height:1329" coordorigin="4325,9750" coordsize="2,1329">
              <v:shape style="position:absolute;left:4325;top:9750;width:2;height:1329" coordorigin="4325,9750" coordsize="0,1329" path="m4325,9750l4325,11078e" filled="false" stroked="true" strokeweight=".48pt" strokecolor="#000000">
                <v:path arrowok="t"/>
              </v:shape>
            </v:group>
            <v:group style="position:absolute;left:5388;top:9750;width:2;height:1329" coordorigin="5388,9750" coordsize="2,1329">
              <v:shape style="position:absolute;left:5388;top:9750;width:2;height:1329" coordorigin="5388,9750" coordsize="0,1329" path="m5388,9750l5388,11078e" filled="false" stroked="true" strokeweight=".48001pt" strokecolor="#000000">
                <v:path arrowok="t"/>
              </v:shape>
            </v:group>
            <v:group style="position:absolute;left:6451;top:9750;width:2;height:1329" coordorigin="6451,9750" coordsize="2,1329">
              <v:shape style="position:absolute;left:6451;top:9750;width:2;height:1329" coordorigin="6451,9750" coordsize="0,1329" path="m6451,9750l6451,11078e" filled="false" stroked="true" strokeweight=".48001pt" strokecolor="#000000">
                <v:path arrowok="t"/>
              </v:shape>
            </v:group>
            <v:group style="position:absolute;left:7514;top:9750;width:2;height:1329" coordorigin="7514,9750" coordsize="2,1329">
              <v:shape style="position:absolute;left:7514;top:9750;width:2;height:1329" coordorigin="7514,9750" coordsize="0,1329" path="m7514,9750l7514,11078e" filled="false" stroked="true" strokeweight=".47998pt" strokecolor="#000000">
                <v:path arrowok="t"/>
              </v:shape>
            </v:group>
            <v:group style="position:absolute;left:8578;top:9750;width:2;height:1329" coordorigin="8578,9750" coordsize="2,1329">
              <v:shape style="position:absolute;left:8578;top:9750;width:2;height:1329" coordorigin="8578,9750" coordsize="0,1329" path="m8578,9750l8578,11078e" filled="false" stroked="true" strokeweight=".48001pt" strokecolor="#000000">
                <v:path arrowok="t"/>
              </v:shape>
            </v:group>
            <v:group style="position:absolute;left:9640;top:9750;width:2;height:1329" coordorigin="9640,9750" coordsize="2,1329">
              <v:shape style="position:absolute;left:9640;top:9750;width:2;height:1329" coordorigin="9640,9750" coordsize="0,1329" path="m9640,9750l9640,11078e" filled="false" stroked="true" strokeweight=".47998pt" strokecolor="#000000">
                <v:path arrowok="t"/>
              </v:shape>
            </v:group>
            <v:group style="position:absolute;left:5393;top:11088;width:1054;height:1329" coordorigin="5393,11088" coordsize="1054,1329">
              <v:shape style="position:absolute;left:5393;top:11088;width:1054;height:1329" coordorigin="5393,11088" coordsize="1054,1329" path="m5393,12416l6446,12416,6446,11088,5393,11088,5393,12416xe" filled="true" fillcolor="#ffffff" stroked="false">
                <v:path arrowok="t"/>
                <v:fill type="solid"/>
              </v:shape>
            </v:group>
            <v:group style="position:absolute;left:5416;top:11556;width:1007;height:393" coordorigin="5416,11556" coordsize="1007,393">
              <v:shape style="position:absolute;left:5416;top:11556;width:1007;height:393" coordorigin="5416,11556" coordsize="1007,393" path="m5416,11948l6422,11948,6422,11556,5416,11556,5416,11948xe" filled="true" fillcolor="#ffffff" stroked="false">
                <v:path arrowok="t"/>
                <v:fill type="solid"/>
              </v:shape>
            </v:group>
            <v:group style="position:absolute;left:1129;top:11083;width:9579;height:2" coordorigin="1129,11083" coordsize="9579,2">
              <v:shape style="position:absolute;left:1129;top:11083;width:9579;height:2" coordorigin="1129,11083" coordsize="9579,0" path="m1129,11083l10708,11083e" filled="false" stroked="true" strokeweight=".48001pt" strokecolor="#000000">
                <v:path arrowok="t"/>
              </v:shape>
            </v:group>
            <v:group style="position:absolute;left:2200;top:11088;width:2;height:1329" coordorigin="2200,11088" coordsize="2,1329">
              <v:shape style="position:absolute;left:2200;top:11088;width:2;height:1329" coordorigin="2200,11088" coordsize="0,1329" path="m2200,11088l2200,12416e" filled="false" stroked="true" strokeweight=".48pt" strokecolor="#000000">
                <v:path arrowok="t"/>
              </v:shape>
            </v:group>
            <v:group style="position:absolute;left:3262;top:11088;width:2;height:1329" coordorigin="3262,11088" coordsize="2,1329">
              <v:shape style="position:absolute;left:3262;top:11088;width:2;height:1329" coordorigin="3262,11088" coordsize="0,1329" path="m3262,11088l3262,12416e" filled="false" stroked="true" strokeweight=".48001pt" strokecolor="#000000">
                <v:path arrowok="t"/>
              </v:shape>
            </v:group>
            <v:group style="position:absolute;left:4325;top:11088;width:2;height:1329" coordorigin="4325,11088" coordsize="2,1329">
              <v:shape style="position:absolute;left:4325;top:11088;width:2;height:1329" coordorigin="4325,11088" coordsize="0,1329" path="m4325,11088l4325,12416e" filled="false" stroked="true" strokeweight=".48pt" strokecolor="#000000">
                <v:path arrowok="t"/>
              </v:shape>
            </v:group>
            <v:group style="position:absolute;left:5388;top:11088;width:2;height:1329" coordorigin="5388,11088" coordsize="2,1329">
              <v:shape style="position:absolute;left:5388;top:11088;width:2;height:1329" coordorigin="5388,11088" coordsize="0,1329" path="m5388,11088l5388,12416e" filled="false" stroked="true" strokeweight=".48001pt" strokecolor="#000000">
                <v:path arrowok="t"/>
              </v:shape>
            </v:group>
            <v:group style="position:absolute;left:6451;top:11088;width:2;height:1329" coordorigin="6451,11088" coordsize="2,1329">
              <v:shape style="position:absolute;left:6451;top:11088;width:2;height:1329" coordorigin="6451,11088" coordsize="0,1329" path="m6451,11088l6451,12416e" filled="false" stroked="true" strokeweight=".48001pt" strokecolor="#000000">
                <v:path arrowok="t"/>
              </v:shape>
            </v:group>
            <v:group style="position:absolute;left:7514;top:11088;width:2;height:1329" coordorigin="7514,11088" coordsize="2,1329">
              <v:shape style="position:absolute;left:7514;top:11088;width:2;height:1329" coordorigin="7514,11088" coordsize="0,1329" path="m7514,11088l7514,12416e" filled="false" stroked="true" strokeweight=".47998pt" strokecolor="#000000">
                <v:path arrowok="t"/>
              </v:shape>
            </v:group>
            <v:group style="position:absolute;left:8578;top:11088;width:2;height:1329" coordorigin="8578,11088" coordsize="2,1329">
              <v:shape style="position:absolute;left:8578;top:11088;width:2;height:1329" coordorigin="8578,11088" coordsize="0,1329" path="m8578,11088l8578,12416e" filled="false" stroked="true" strokeweight=".48001pt" strokecolor="#000000">
                <v:path arrowok="t"/>
              </v:shape>
            </v:group>
            <v:group style="position:absolute;left:9640;top:11088;width:2;height:1329" coordorigin="9640,11088" coordsize="2,1329">
              <v:shape style="position:absolute;left:9640;top:11088;width:2;height:1329" coordorigin="9640,11088" coordsize="0,1329" path="m9640,11088l9640,12416e" filled="false" stroked="true" strokeweight=".47998pt" strokecolor="#000000">
                <v:path arrowok="t"/>
              </v:shape>
            </v:group>
            <v:group style="position:absolute;left:5393;top:12426;width:1054;height:2265" coordorigin="5393,12426" coordsize="1054,2265">
              <v:shape style="position:absolute;left:5393;top:12426;width:1054;height:2265" coordorigin="5393,12426" coordsize="1054,2265" path="m5393,14690l6446,14690,6446,12426,5393,12426,5393,14690xe" filled="true" fillcolor="#ffffff" stroked="false">
                <v:path arrowok="t"/>
                <v:fill type="solid"/>
              </v:shape>
            </v:group>
            <v:group style="position:absolute;left:5416;top:13362;width:1007;height:393" coordorigin="5416,13362" coordsize="1007,393">
              <v:shape style="position:absolute;left:5416;top:13362;width:1007;height:393" coordorigin="5416,13362" coordsize="1007,393" path="m5416,13754l6422,13754,6422,13362,5416,13362,5416,13754xe" filled="true" fillcolor="#ffffff" stroked="false">
                <v:path arrowok="t"/>
                <v:fill type="solid"/>
              </v:shape>
            </v:group>
            <v:group style="position:absolute;left:1129;top:12421;width:9579;height:2" coordorigin="1129,12421" coordsize="9579,2">
              <v:shape style="position:absolute;left:1129;top:12421;width:9579;height:2" coordorigin="1129,12421" coordsize="9579,0" path="m1129,12421l10708,12421e" filled="false" stroked="true" strokeweight=".48pt" strokecolor="#000000">
                <v:path arrowok="t"/>
              </v:shape>
            </v:group>
            <v:group style="position:absolute;left:2200;top:12426;width:2;height:2265" coordorigin="2200,12426" coordsize="2,2265">
              <v:shape style="position:absolute;left:2200;top:12426;width:2;height:2265" coordorigin="2200,12426" coordsize="0,2265" path="m2200,12426l2200,14690e" filled="false" stroked="true" strokeweight=".48pt" strokecolor="#000000">
                <v:path arrowok="t"/>
              </v:shape>
            </v:group>
            <v:group style="position:absolute;left:3262;top:12426;width:2;height:2265" coordorigin="3262,12426" coordsize="2,2265">
              <v:shape style="position:absolute;left:3262;top:12426;width:2;height:2265" coordorigin="3262,12426" coordsize="0,2265" path="m3262,12426l3262,14690e" filled="false" stroked="true" strokeweight=".48001pt" strokecolor="#000000">
                <v:path arrowok="t"/>
              </v:shape>
            </v:group>
            <v:group style="position:absolute;left:4325;top:12426;width:2;height:2265" coordorigin="4325,12426" coordsize="2,2265">
              <v:shape style="position:absolute;left:4325;top:12426;width:2;height:2265" coordorigin="4325,12426" coordsize="0,2265" path="m4325,12426l4325,14690e" filled="false" stroked="true" strokeweight=".48pt" strokecolor="#000000">
                <v:path arrowok="t"/>
              </v:shape>
            </v:group>
            <v:group style="position:absolute;left:5388;top:12426;width:2;height:2265" coordorigin="5388,12426" coordsize="2,2265">
              <v:shape style="position:absolute;left:5388;top:12426;width:2;height:2265" coordorigin="5388,12426" coordsize="0,2265" path="m5388,12426l5388,14690e" filled="false" stroked="true" strokeweight=".48001pt" strokecolor="#000000">
                <v:path arrowok="t"/>
              </v:shape>
            </v:group>
            <v:group style="position:absolute;left:6451;top:12426;width:2;height:2265" coordorigin="6451,12426" coordsize="2,2265">
              <v:shape style="position:absolute;left:6451;top:12426;width:2;height:2265" coordorigin="6451,12426" coordsize="0,2265" path="m6451,12426l6451,14690e" filled="false" stroked="true" strokeweight=".48001pt" strokecolor="#000000">
                <v:path arrowok="t"/>
              </v:shape>
            </v:group>
            <v:group style="position:absolute;left:7514;top:12426;width:2;height:2265" coordorigin="7514,12426" coordsize="2,2265">
              <v:shape style="position:absolute;left:7514;top:12426;width:2;height:2265" coordorigin="7514,12426" coordsize="0,2265" path="m7514,12426l7514,14690e" filled="false" stroked="true" strokeweight=".47998pt" strokecolor="#000000">
                <v:path arrowok="t"/>
              </v:shape>
            </v:group>
            <v:group style="position:absolute;left:8578;top:12426;width:2;height:2265" coordorigin="8578,12426" coordsize="2,2265">
              <v:shape style="position:absolute;left:8578;top:12426;width:2;height:2265" coordorigin="8578,12426" coordsize="0,2265" path="m8578,12426l8578,14690e" filled="false" stroked="true" strokeweight=".48001pt" strokecolor="#000000">
                <v:path arrowok="t"/>
              </v:shape>
            </v:group>
            <v:group style="position:absolute;left:9640;top:12426;width:2;height:2265" coordorigin="9640,12426" coordsize="2,2265">
              <v:shape style="position:absolute;left:9640;top:12426;width:2;height:2265" coordorigin="9640,12426" coordsize="0,2265" path="m9640,12426l9640,14690e" filled="false" stroked="true" strokeweight=".47998pt" strokecolor="#000000">
                <v:path arrowok="t"/>
              </v:shape>
            </v:group>
            <v:group style="position:absolute;left:1129;top:14695;width:9579;height:2" coordorigin="1129,14695" coordsize="9579,2">
              <v:shape style="position:absolute;left:1129;top:14695;width:9579;height:2" coordorigin="1129,14695" coordsize="9579,0" path="m1129,14695l10708,14695e" filled="false" stroked="true" strokeweight=".48001pt" strokecolor="#000000">
                <v:path arrowok="t"/>
              </v:shape>
            </v:group>
            <v:group style="position:absolute;left:1134;top:1440;width:2;height:13935" coordorigin="1134,1440" coordsize="2,13935">
              <v:shape style="position:absolute;left:1134;top:1440;width:2;height:13935" coordorigin="1134,1440" coordsize="0,13935" path="m1134,1440l1134,15374e" filled="false" stroked="true" strokeweight=".48001pt" strokecolor="#000000">
                <v:path arrowok="t"/>
              </v:shape>
            </v:group>
            <v:group style="position:absolute;left:1129;top:15370;width:1066;height:2" coordorigin="1129,15370" coordsize="1066,2">
              <v:shape style="position:absolute;left:1129;top:15370;width:1066;height:2" coordorigin="1129,15370" coordsize="1066,0" path="m1129,15370l2195,15370e" filled="false" stroked="true" strokeweight=".48001pt" strokecolor="#000000">
                <v:path arrowok="t"/>
              </v:shape>
            </v:group>
            <v:group style="position:absolute;left:2200;top:14700;width:2;height:675" coordorigin="2200,14700" coordsize="2,675">
              <v:shape style="position:absolute;left:2200;top:14700;width:2;height:675" coordorigin="2200,14700" coordsize="0,675" path="m2200,14700l2200,15374e" filled="false" stroked="true" strokeweight=".48pt" strokecolor="#000000">
                <v:path arrowok="t"/>
              </v:shape>
            </v:group>
            <v:group style="position:absolute;left:2204;top:15370;width:1053;height:2" coordorigin="2204,15370" coordsize="1053,2">
              <v:shape style="position:absolute;left:2204;top:15370;width:1053;height:2" coordorigin="2204,15370" coordsize="1053,0" path="m2204,15370l3257,15370e" filled="false" stroked="true" strokeweight=".48001pt" strokecolor="#000000">
                <v:path arrowok="t"/>
              </v:shape>
            </v:group>
            <v:group style="position:absolute;left:3262;top:14700;width:2;height:675" coordorigin="3262,14700" coordsize="2,675">
              <v:shape style="position:absolute;left:3262;top:14700;width:2;height:675" coordorigin="3262,14700" coordsize="0,675" path="m3262,14700l3262,15374e" filled="false" stroked="true" strokeweight=".48001pt" strokecolor="#000000">
                <v:path arrowok="t"/>
              </v:shape>
            </v:group>
            <v:group style="position:absolute;left:3266;top:15370;width:1054;height:2" coordorigin="3266,15370" coordsize="1054,2">
              <v:shape style="position:absolute;left:3266;top:15370;width:1054;height:2" coordorigin="3266,15370" coordsize="1054,0" path="m3266,15370l4320,15370e" filled="false" stroked="true" strokeweight=".48001pt" strokecolor="#000000">
                <v:path arrowok="t"/>
              </v:shape>
            </v:group>
            <v:group style="position:absolute;left:4325;top:14700;width:2;height:675" coordorigin="4325,14700" coordsize="2,675">
              <v:shape style="position:absolute;left:4325;top:14700;width:2;height:675" coordorigin="4325,14700" coordsize="0,675" path="m4325,14700l4325,15374e" filled="false" stroked="true" strokeweight=".48pt" strokecolor="#000000">
                <v:path arrowok="t"/>
              </v:shape>
            </v:group>
            <v:group style="position:absolute;left:4330;top:15370;width:1054;height:2" coordorigin="4330,15370" coordsize="1054,2">
              <v:shape style="position:absolute;left:4330;top:15370;width:1054;height:2" coordorigin="4330,15370" coordsize="1054,0" path="m4330,15370l5383,15370e" filled="false" stroked="true" strokeweight=".48001pt" strokecolor="#000000">
                <v:path arrowok="t"/>
              </v:shape>
            </v:group>
            <v:group style="position:absolute;left:5388;top:14700;width:2;height:675" coordorigin="5388,14700" coordsize="2,675">
              <v:shape style="position:absolute;left:5388;top:14700;width:2;height:675" coordorigin="5388,14700" coordsize="0,675" path="m5388,14700l5388,15374e" filled="false" stroked="true" strokeweight=".48001pt" strokecolor="#000000">
                <v:path arrowok="t"/>
              </v:shape>
            </v:group>
            <v:group style="position:absolute;left:5393;top:15370;width:1054;height:2" coordorigin="5393,15370" coordsize="1054,2">
              <v:shape style="position:absolute;left:5393;top:15370;width:1054;height:2" coordorigin="5393,15370" coordsize="1054,0" path="m5393,15370l6446,15370e" filled="false" stroked="true" strokeweight=".48001pt" strokecolor="#000000">
                <v:path arrowok="t"/>
              </v:shape>
            </v:group>
            <v:group style="position:absolute;left:6451;top:14700;width:2;height:675" coordorigin="6451,14700" coordsize="2,675">
              <v:shape style="position:absolute;left:6451;top:14700;width:2;height:675" coordorigin="6451,14700" coordsize="0,675" path="m6451,14700l6451,15374e" filled="false" stroked="true" strokeweight=".48001pt" strokecolor="#000000">
                <v:path arrowok="t"/>
              </v:shape>
            </v:group>
            <v:group style="position:absolute;left:6456;top:15370;width:1054;height:2" coordorigin="6456,15370" coordsize="1054,2">
              <v:shape style="position:absolute;left:6456;top:15370;width:1054;height:2" coordorigin="6456,15370" coordsize="1054,0" path="m6456,15370l7510,15370e" filled="false" stroked="true" strokeweight=".48001pt" strokecolor="#000000">
                <v:path arrowok="t"/>
              </v:shape>
            </v:group>
            <v:group style="position:absolute;left:7514;top:14700;width:2;height:675" coordorigin="7514,14700" coordsize="2,675">
              <v:shape style="position:absolute;left:7514;top:14700;width:2;height:675" coordorigin="7514,14700" coordsize="0,675" path="m7514,14700l7514,15374e" filled="false" stroked="true" strokeweight=".47998pt" strokecolor="#000000">
                <v:path arrowok="t"/>
              </v:shape>
            </v:group>
            <v:group style="position:absolute;left:7519;top:15370;width:1054;height:2" coordorigin="7519,15370" coordsize="1054,2">
              <v:shape style="position:absolute;left:7519;top:15370;width:1054;height:2" coordorigin="7519,15370" coordsize="1054,0" path="m7519,15370l8573,15370e" filled="false" stroked="true" strokeweight=".48001pt" strokecolor="#000000">
                <v:path arrowok="t"/>
              </v:shape>
            </v:group>
            <v:group style="position:absolute;left:8578;top:14700;width:2;height:675" coordorigin="8578,14700" coordsize="2,675">
              <v:shape style="position:absolute;left:8578;top:14700;width:2;height:675" coordorigin="8578,14700" coordsize="0,675" path="m8578,14700l8578,15374e" filled="false" stroked="true" strokeweight=".48001pt" strokecolor="#000000">
                <v:path arrowok="t"/>
              </v:shape>
            </v:group>
            <v:group style="position:absolute;left:8582;top:15370;width:1053;height:2" coordorigin="8582,15370" coordsize="1053,2">
              <v:shape style="position:absolute;left:8582;top:15370;width:1053;height:2" coordorigin="8582,15370" coordsize="1053,0" path="m8582,15370l9635,15370e" filled="false" stroked="true" strokeweight=".48001pt" strokecolor="#000000">
                <v:path arrowok="t"/>
              </v:shape>
            </v:group>
            <v:group style="position:absolute;left:9640;top:14700;width:2;height:675" coordorigin="9640,14700" coordsize="2,675">
              <v:shape style="position:absolute;left:9640;top:14700;width:2;height:675" coordorigin="9640,14700" coordsize="0,675" path="m9640,14700l9640,15374e" filled="false" stroked="true" strokeweight=".47998pt" strokecolor="#000000">
                <v:path arrowok="t"/>
              </v:shape>
            </v:group>
            <v:group style="position:absolute;left:9644;top:15370;width:1054;height:2" coordorigin="9644,15370" coordsize="1054,2">
              <v:shape style="position:absolute;left:9644;top:15370;width:1054;height:2" coordorigin="9644,15370" coordsize="1054,0" path="m9644,15370l10698,15370e" filled="false" stroked="true" strokeweight=".48001pt" strokecolor="#000000">
                <v:path arrowok="t"/>
              </v:shape>
            </v:group>
            <v:group style="position:absolute;left:10703;top:1440;width:2;height:13935" coordorigin="10703,1440" coordsize="2,13935">
              <v:shape style="position:absolute;left:10703;top:1440;width:2;height:13935" coordorigin="10703,1440" coordsize="0,13935" path="m10703,1440l10703,15374e" filled="false" stroked="true" strokeweight=".47998pt" strokecolor="#000000">
                <v:path arrowok="t"/>
              </v:shape>
            </v:group>
            <w10:wrap type="none"/>
          </v:group>
        </w:pict>
      </w:r>
      <w:r>
        <w:rPr>
          <w:rFonts w:ascii="宋体" w:hAnsi="宋体" w:cs="宋体" w:eastAsia="宋体" w:hint="default"/>
          <w:sz w:val="18"/>
          <w:szCs w:val="18"/>
        </w:rPr>
        <w:t>软件产品即 征即退增值</w:t>
      </w:r>
    </w:p>
    <w:p>
      <w:pPr>
        <w:spacing w:line="240" w:lineRule="auto" w:before="9"/>
        <w:rPr>
          <w:rFonts w:ascii="宋体" w:hAnsi="宋体" w:cs="宋体" w:eastAsia="宋体" w:hint="default"/>
          <w:sz w:val="18"/>
          <w:szCs w:val="18"/>
        </w:rPr>
      </w:pPr>
      <w:r>
        <w:rPr/>
        <w:br w:type="column"/>
      </w:r>
      <w:r>
        <w:rPr>
          <w:rFonts w:ascii="宋体"/>
          <w:sz w:val="18"/>
        </w:rPr>
      </w:r>
    </w:p>
    <w:p>
      <w:pPr>
        <w:tabs>
          <w:tab w:pos="1188" w:val="left" w:leader="none"/>
        </w:tabs>
        <w:spacing w:before="0"/>
        <w:ind w:left="125" w:right="-20" w:firstLine="0"/>
        <w:jc w:val="left"/>
        <w:rPr>
          <w:rFonts w:ascii="宋体" w:hAnsi="宋体" w:cs="宋体" w:eastAsia="宋体" w:hint="default"/>
          <w:sz w:val="18"/>
          <w:szCs w:val="18"/>
        </w:rPr>
      </w:pPr>
      <w:r>
        <w:rPr>
          <w:rFonts w:ascii="宋体" w:hAnsi="宋体" w:cs="宋体" w:eastAsia="宋体" w:hint="default"/>
          <w:sz w:val="18"/>
          <w:szCs w:val="18"/>
        </w:rPr>
        <w:t>财政</w:t>
        <w:tab/>
        <w:t>补助</w:t>
      </w:r>
    </w:p>
    <w:p>
      <w:pPr>
        <w:spacing w:line="316" w:lineRule="auto" w:before="109"/>
        <w:ind w:left="18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因从事国家 鼓励和扶持</w:t>
      </w:r>
    </w:p>
    <w:p>
      <w:pPr>
        <w:spacing w:line="240" w:lineRule="auto" w:before="7"/>
        <w:rPr>
          <w:rFonts w:ascii="宋体" w:hAnsi="宋体" w:cs="宋体" w:eastAsia="宋体" w:hint="default"/>
          <w:sz w:val="18"/>
          <w:szCs w:val="18"/>
        </w:rPr>
      </w:pPr>
      <w:r>
        <w:rPr/>
        <w:br w:type="column"/>
      </w:r>
      <w:r>
        <w:rPr>
          <w:rFonts w:ascii="宋体"/>
          <w:sz w:val="18"/>
        </w:rPr>
      </w:r>
    </w:p>
    <w:p>
      <w:pPr>
        <w:tabs>
          <w:tab w:pos="1186" w:val="left" w:leader="none"/>
          <w:tab w:pos="2311" w:val="left" w:leader="none"/>
        </w:tabs>
        <w:spacing w:before="0"/>
        <w:ind w:left="123" w:right="0" w:firstLine="0"/>
        <w:jc w:val="left"/>
        <w:rPr>
          <w:rFonts w:ascii="宋体" w:hAnsi="宋体" w:cs="宋体" w:eastAsia="宋体" w:hint="default"/>
          <w:sz w:val="18"/>
          <w:szCs w:val="18"/>
        </w:rPr>
      </w:pPr>
      <w:r>
        <w:rPr>
          <w:rFonts w:ascii="宋体" w:hAnsi="宋体" w:cs="宋体" w:eastAsia="宋体" w:hint="default"/>
          <w:position w:val="2"/>
          <w:sz w:val="18"/>
          <w:szCs w:val="18"/>
        </w:rPr>
        <w:t>否</w:t>
        <w:tab/>
        <w:t>否</w:t>
        <w:tab/>
      </w:r>
      <w:r>
        <w:rPr>
          <w:rFonts w:ascii="Times New Roman" w:hAnsi="Times New Roman" w:cs="Times New Roman" w:eastAsia="Times New Roman" w:hint="default"/>
          <w:sz w:val="18"/>
          <w:szCs w:val="18"/>
        </w:rPr>
        <w:t>46,754,041.8   36,931,936.3</w:t>
      </w:r>
      <w:r>
        <w:rPr>
          <w:rFonts w:ascii="Times New Roman" w:hAnsi="Times New Roman" w:cs="Times New Roman" w:eastAsia="Times New Roman" w:hint="default"/>
          <w:spacing w:val="-12"/>
          <w:sz w:val="18"/>
          <w:szCs w:val="18"/>
        </w:rPr>
        <w:t> </w:t>
      </w:r>
      <w:r>
        <w:rPr>
          <w:rFonts w:ascii="宋体" w:hAnsi="宋体" w:cs="宋体" w:eastAsia="宋体" w:hint="default"/>
          <w:position w:val="2"/>
          <w:sz w:val="18"/>
          <w:szCs w:val="18"/>
        </w:rPr>
        <w:t>与收益相关</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10" w:h="16840"/>
          <w:pgMar w:top="1060" w:bottom="1180" w:left="980" w:right="980"/>
          <w:cols w:num="4" w:equalWidth="0">
            <w:col w:w="1082" w:space="40"/>
            <w:col w:w="1549" w:space="520"/>
            <w:col w:w="1082" w:space="40"/>
            <w:col w:w="5637"/>
          </w:cols>
        </w:sectPr>
      </w:pPr>
    </w:p>
    <w:p>
      <w:pPr>
        <w:spacing w:line="240" w:lineRule="auto" w:before="2"/>
        <w:rPr>
          <w:rFonts w:ascii="宋体" w:hAnsi="宋体" w:cs="宋体" w:eastAsia="宋体" w:hint="default"/>
          <w:sz w:val="28"/>
          <w:szCs w:val="28"/>
        </w:rPr>
      </w:pPr>
    </w:p>
    <w:p>
      <w:pPr>
        <w:spacing w:line="7695" w:lineRule="exact"/>
        <w:ind w:left="144" w:right="0" w:firstLine="0"/>
        <w:rPr>
          <w:rFonts w:ascii="宋体" w:hAnsi="宋体" w:cs="宋体" w:eastAsia="宋体" w:hint="default"/>
          <w:sz w:val="20"/>
          <w:szCs w:val="20"/>
        </w:rPr>
      </w:pPr>
      <w:r>
        <w:rPr>
          <w:rFonts w:ascii="宋体" w:hAnsi="宋体" w:cs="宋体" w:eastAsia="宋体" w:hint="default"/>
          <w:position w:val="-153"/>
          <w:sz w:val="20"/>
          <w:szCs w:val="20"/>
        </w:rPr>
        <w:pict>
          <v:group style="width:479.4pt;height:384.8pt;mso-position-horizontal-relative:char;mso-position-vertical-relative:line" coordorigin="0,0" coordsize="9588,7696">
            <v:group style="position:absolute;left:5;top:10;width:9579;height:2" coordorigin="5,10" coordsize="9579,2">
              <v:shape style="position:absolute;left:5;top:10;width:9579;height:2" coordorigin="5,10" coordsize="9579,0" path="m5,10l9583,10e" filled="false" stroked="true" strokeweight=".48004pt" strokecolor="#000000">
                <v:path arrowok="t"/>
              </v:shape>
            </v:group>
            <v:group style="position:absolute;left:1075;top:14;width:2;height:1601" coordorigin="1075,14" coordsize="2,1601">
              <v:shape style="position:absolute;left:1075;top:14;width:2;height:1601" coordorigin="1075,14" coordsize="0,1601" path="m1075,14l1075,1615e" filled="false" stroked="true" strokeweight=".48pt" strokecolor="#000000">
                <v:path arrowok="t"/>
              </v:shape>
            </v:group>
            <v:group style="position:absolute;left:2137;top:14;width:2;height:1601" coordorigin="2137,14" coordsize="2,1601">
              <v:shape style="position:absolute;left:2137;top:14;width:2;height:1601" coordorigin="2137,14" coordsize="0,1601" path="m2137,14l2137,1615e" filled="false" stroked="true" strokeweight=".48001pt" strokecolor="#000000">
                <v:path arrowok="t"/>
              </v:shape>
            </v:group>
            <v:group style="position:absolute;left:3200;top:14;width:2;height:1601" coordorigin="3200,14" coordsize="2,1601">
              <v:shape style="position:absolute;left:3200;top:14;width:2;height:1601" coordorigin="3200,14" coordsize="0,1601" path="m3200,14l3200,1615e" filled="false" stroked="true" strokeweight=".48pt" strokecolor="#000000">
                <v:path arrowok="t"/>
              </v:shape>
            </v:group>
            <v:group style="position:absolute;left:4264;top:14;width:2;height:1601" coordorigin="4264,14" coordsize="2,1601">
              <v:shape style="position:absolute;left:4264;top:14;width:2;height:1601" coordorigin="4264,14" coordsize="0,1601" path="m4264,14l4264,1615e" filled="false" stroked="true" strokeweight=".48001pt" strokecolor="#000000">
                <v:path arrowok="t"/>
              </v:shape>
            </v:group>
            <v:group style="position:absolute;left:5327;top:14;width:2;height:1601" coordorigin="5327,14" coordsize="2,1601">
              <v:shape style="position:absolute;left:5327;top:14;width:2;height:1601" coordorigin="5327,14" coordsize="0,1601" path="m5327,14l5327,1615e" filled="false" stroked="true" strokeweight=".48001pt" strokecolor="#000000">
                <v:path arrowok="t"/>
              </v:shape>
            </v:group>
            <v:group style="position:absolute;left:6390;top:14;width:2;height:1601" coordorigin="6390,14" coordsize="2,1601">
              <v:shape style="position:absolute;left:6390;top:14;width:2;height:1601" coordorigin="6390,14" coordsize="0,1601" path="m6390,14l6390,1615e" filled="false" stroked="true" strokeweight=".47998pt" strokecolor="#000000">
                <v:path arrowok="t"/>
              </v:shape>
            </v:group>
            <v:group style="position:absolute;left:7453;top:14;width:2;height:1601" coordorigin="7453,14" coordsize="2,1601">
              <v:shape style="position:absolute;left:7453;top:14;width:2;height:1601" coordorigin="7453,14" coordsize="0,1601" path="m7453,14l7453,1615e" filled="false" stroked="true" strokeweight=".48001pt" strokecolor="#000000">
                <v:path arrowok="t"/>
              </v:shape>
            </v:group>
            <v:group style="position:absolute;left:8515;top:14;width:2;height:1601" coordorigin="8515,14" coordsize="2,1601">
              <v:shape style="position:absolute;left:8515;top:14;width:2;height:1601" coordorigin="8515,14" coordsize="0,1601" path="m8515,14l8515,1615e" filled="false" stroked="true" strokeweight=".47998pt" strokecolor="#000000">
                <v:path arrowok="t"/>
              </v:shape>
            </v:group>
            <v:group style="position:absolute;left:4268;top:1625;width:1054;height:1329" coordorigin="4268,1625" coordsize="1054,1329">
              <v:shape style="position:absolute;left:4268;top:1625;width:1054;height:1329" coordorigin="4268,1625" coordsize="1054,1329" path="m4268,2953l5322,2953,5322,1625,4268,1625,4268,2953xe" filled="true" fillcolor="#ffffff" stroked="false">
                <v:path arrowok="t"/>
                <v:fill type="solid"/>
              </v:shape>
            </v:group>
            <v:group style="position:absolute;left:4291;top:2093;width:1007;height:393" coordorigin="4291,2093" coordsize="1007,393">
              <v:shape style="position:absolute;left:4291;top:2093;width:1007;height:393" coordorigin="4291,2093" coordsize="1007,393" path="m4291,2485l5298,2485,5298,2093,4291,2093,4291,2485xe" filled="true" fillcolor="#ffffff" stroked="false">
                <v:path arrowok="t"/>
                <v:fill type="solid"/>
              </v:shape>
            </v:group>
            <v:group style="position:absolute;left:5;top:1620;width:9579;height:2" coordorigin="5,1620" coordsize="9579,2">
              <v:shape style="position:absolute;left:5;top:1620;width:9579;height:2" coordorigin="5,1620" coordsize="9579,0" path="m5,1620l9583,1620e" filled="false" stroked="true" strokeweight=".48004pt" strokecolor="#000000">
                <v:path arrowok="t"/>
              </v:shape>
            </v:group>
            <v:group style="position:absolute;left:1075;top:1625;width:2;height:1329" coordorigin="1075,1625" coordsize="2,1329">
              <v:shape style="position:absolute;left:1075;top:1625;width:2;height:1329" coordorigin="1075,1625" coordsize="0,1329" path="m1075,1625l1075,2953e" filled="false" stroked="true" strokeweight=".48pt" strokecolor="#000000">
                <v:path arrowok="t"/>
              </v:shape>
            </v:group>
            <v:group style="position:absolute;left:2137;top:1625;width:2;height:1329" coordorigin="2137,1625" coordsize="2,1329">
              <v:shape style="position:absolute;left:2137;top:1625;width:2;height:1329" coordorigin="2137,1625" coordsize="0,1329" path="m2137,1625l2137,2953e" filled="false" stroked="true" strokeweight=".48001pt" strokecolor="#000000">
                <v:path arrowok="t"/>
              </v:shape>
            </v:group>
            <v:group style="position:absolute;left:3200;top:1625;width:2;height:1329" coordorigin="3200,1625" coordsize="2,1329">
              <v:shape style="position:absolute;left:3200;top:1625;width:2;height:1329" coordorigin="3200,1625" coordsize="0,1329" path="m3200,1625l3200,2953e" filled="false" stroked="true" strokeweight=".48pt" strokecolor="#000000">
                <v:path arrowok="t"/>
              </v:shape>
            </v:group>
            <v:group style="position:absolute;left:4264;top:1625;width:2;height:1329" coordorigin="4264,1625" coordsize="2,1329">
              <v:shape style="position:absolute;left:4264;top:1625;width:2;height:1329" coordorigin="4264,1625" coordsize="0,1329" path="m4264,1625l4264,2953e" filled="false" stroked="true" strokeweight=".48001pt" strokecolor="#000000">
                <v:path arrowok="t"/>
              </v:shape>
            </v:group>
            <v:group style="position:absolute;left:5327;top:1625;width:2;height:1329" coordorigin="5327,1625" coordsize="2,1329">
              <v:shape style="position:absolute;left:5327;top:1625;width:2;height:1329" coordorigin="5327,1625" coordsize="0,1329" path="m5327,1625l5327,2953e" filled="false" stroked="true" strokeweight=".48001pt" strokecolor="#000000">
                <v:path arrowok="t"/>
              </v:shape>
            </v:group>
            <v:group style="position:absolute;left:6390;top:1625;width:2;height:1329" coordorigin="6390,1625" coordsize="2,1329">
              <v:shape style="position:absolute;left:6390;top:1625;width:2;height:1329" coordorigin="6390,1625" coordsize="0,1329" path="m6390,1625l6390,2953e" filled="false" stroked="true" strokeweight=".47998pt" strokecolor="#000000">
                <v:path arrowok="t"/>
              </v:shape>
            </v:group>
            <v:group style="position:absolute;left:7453;top:1625;width:2;height:1329" coordorigin="7453,1625" coordsize="2,1329">
              <v:shape style="position:absolute;left:7453;top:1625;width:2;height:1329" coordorigin="7453,1625" coordsize="0,1329" path="m7453,1625l7453,2953e" filled="false" stroked="true" strokeweight=".48001pt" strokecolor="#000000">
                <v:path arrowok="t"/>
              </v:shape>
            </v:group>
            <v:group style="position:absolute;left:8515;top:1625;width:2;height:1329" coordorigin="8515,1625" coordsize="2,1329">
              <v:shape style="position:absolute;left:8515;top:1625;width:2;height:1329" coordorigin="8515,1625" coordsize="0,1329" path="m8515,1625l8515,2953e" filled="false" stroked="true" strokeweight=".47998pt" strokecolor="#000000">
                <v:path arrowok="t"/>
              </v:shape>
            </v:group>
            <v:group style="position:absolute;left:4268;top:2963;width:1054;height:1329" coordorigin="4268,2963" coordsize="1054,1329">
              <v:shape style="position:absolute;left:4268;top:2963;width:1054;height:1329" coordorigin="4268,2963" coordsize="1054,1329" path="m4268,4291l5322,4291,5322,2963,4268,2963,4268,4291xe" filled="true" fillcolor="#ffffff" stroked="false">
                <v:path arrowok="t"/>
                <v:fill type="solid"/>
              </v:shape>
            </v:group>
            <v:group style="position:absolute;left:4291;top:3431;width:1007;height:393" coordorigin="4291,3431" coordsize="1007,393">
              <v:shape style="position:absolute;left:4291;top:3431;width:1007;height:393" coordorigin="4291,3431" coordsize="1007,393" path="m4291,3823l5298,3823,5298,3431,4291,3431,4291,3823xe" filled="true" fillcolor="#ffffff" stroked="false">
                <v:path arrowok="t"/>
                <v:fill type="solid"/>
              </v:shape>
            </v:group>
            <v:group style="position:absolute;left:5;top:2958;width:9579;height:2" coordorigin="5,2958" coordsize="9579,2">
              <v:shape style="position:absolute;left:5;top:2958;width:9579;height:2" coordorigin="5,2958" coordsize="9579,0" path="m5,2958l9583,2958e" filled="false" stroked="true" strokeweight=".47998pt" strokecolor="#000000">
                <v:path arrowok="t"/>
              </v:shape>
            </v:group>
            <v:group style="position:absolute;left:1075;top:2963;width:2;height:1329" coordorigin="1075,2963" coordsize="2,1329">
              <v:shape style="position:absolute;left:1075;top:2963;width:2;height:1329" coordorigin="1075,2963" coordsize="0,1329" path="m1075,2963l1075,4291e" filled="false" stroked="true" strokeweight=".48pt" strokecolor="#000000">
                <v:path arrowok="t"/>
              </v:shape>
            </v:group>
            <v:group style="position:absolute;left:2137;top:2963;width:2;height:1329" coordorigin="2137,2963" coordsize="2,1329">
              <v:shape style="position:absolute;left:2137;top:2963;width:2;height:1329" coordorigin="2137,2963" coordsize="0,1329" path="m2137,2963l2137,4291e" filled="false" stroked="true" strokeweight=".48001pt" strokecolor="#000000">
                <v:path arrowok="t"/>
              </v:shape>
            </v:group>
            <v:group style="position:absolute;left:3200;top:2963;width:2;height:1329" coordorigin="3200,2963" coordsize="2,1329">
              <v:shape style="position:absolute;left:3200;top:2963;width:2;height:1329" coordorigin="3200,2963" coordsize="0,1329" path="m3200,2963l3200,4291e" filled="false" stroked="true" strokeweight=".48pt" strokecolor="#000000">
                <v:path arrowok="t"/>
              </v:shape>
            </v:group>
            <v:group style="position:absolute;left:4264;top:2963;width:2;height:1329" coordorigin="4264,2963" coordsize="2,1329">
              <v:shape style="position:absolute;left:4264;top:2963;width:2;height:1329" coordorigin="4264,2963" coordsize="0,1329" path="m4264,2963l4264,4291e" filled="false" stroked="true" strokeweight=".48001pt" strokecolor="#000000">
                <v:path arrowok="t"/>
              </v:shape>
            </v:group>
            <v:group style="position:absolute;left:5327;top:2963;width:2;height:1329" coordorigin="5327,2963" coordsize="2,1329">
              <v:shape style="position:absolute;left:5327;top:2963;width:2;height:1329" coordorigin="5327,2963" coordsize="0,1329" path="m5327,2963l5327,4291e" filled="false" stroked="true" strokeweight=".48001pt" strokecolor="#000000">
                <v:path arrowok="t"/>
              </v:shape>
            </v:group>
            <v:group style="position:absolute;left:6390;top:2963;width:2;height:1329" coordorigin="6390,2963" coordsize="2,1329">
              <v:shape style="position:absolute;left:6390;top:2963;width:2;height:1329" coordorigin="6390,2963" coordsize="0,1329" path="m6390,2963l6390,4291e" filled="false" stroked="true" strokeweight=".47998pt" strokecolor="#000000">
                <v:path arrowok="t"/>
              </v:shape>
            </v:group>
            <v:group style="position:absolute;left:7453;top:2963;width:2;height:1329" coordorigin="7453,2963" coordsize="2,1329">
              <v:shape style="position:absolute;left:7453;top:2963;width:2;height:1329" coordorigin="7453,2963" coordsize="0,1329" path="m7453,2963l7453,4291e" filled="false" stroked="true" strokeweight=".48001pt" strokecolor="#000000">
                <v:path arrowok="t"/>
              </v:shape>
            </v:group>
            <v:group style="position:absolute;left:8515;top:2963;width:2;height:1329" coordorigin="8515,2963" coordsize="2,1329">
              <v:shape style="position:absolute;left:8515;top:2963;width:2;height:1329" coordorigin="8515,2963" coordsize="0,1329" path="m8515,2963l8515,4291e" filled="false" stroked="true" strokeweight=".47998pt" strokecolor="#000000">
                <v:path arrowok="t"/>
              </v:shape>
            </v:group>
            <v:group style="position:absolute;left:4268;top:4301;width:1054;height:1329" coordorigin="4268,4301" coordsize="1054,1329">
              <v:shape style="position:absolute;left:4268;top:4301;width:1054;height:1329" coordorigin="4268,4301" coordsize="1054,1329" path="m4268,5629l5322,5629,5322,4301,4268,4301,4268,5629xe" filled="true" fillcolor="#ffffff" stroked="false">
                <v:path arrowok="t"/>
                <v:fill type="solid"/>
              </v:shape>
            </v:group>
            <v:group style="position:absolute;left:4291;top:4769;width:1007;height:393" coordorigin="4291,4769" coordsize="1007,393">
              <v:shape style="position:absolute;left:4291;top:4769;width:1007;height:393" coordorigin="4291,4769" coordsize="1007,393" path="m4291,5161l5298,5161,5298,4769,4291,4769,4291,5161xe" filled="true" fillcolor="#ffffff" stroked="false">
                <v:path arrowok="t"/>
                <v:fill type="solid"/>
              </v:shape>
            </v:group>
            <v:group style="position:absolute;left:5;top:4296;width:9579;height:2" coordorigin="5,4296" coordsize="9579,2">
              <v:shape style="position:absolute;left:5;top:4296;width:9579;height:2" coordorigin="5,4296" coordsize="9579,0" path="m5,4296l9583,4296e" filled="false" stroked="true" strokeweight=".47998pt" strokecolor="#000000">
                <v:path arrowok="t"/>
              </v:shape>
            </v:group>
            <v:group style="position:absolute;left:1075;top:4301;width:2;height:1329" coordorigin="1075,4301" coordsize="2,1329">
              <v:shape style="position:absolute;left:1075;top:4301;width:2;height:1329" coordorigin="1075,4301" coordsize="0,1329" path="m1075,4301l1075,5629e" filled="false" stroked="true" strokeweight=".48pt" strokecolor="#000000">
                <v:path arrowok="t"/>
              </v:shape>
            </v:group>
            <v:group style="position:absolute;left:2137;top:4301;width:2;height:1329" coordorigin="2137,4301" coordsize="2,1329">
              <v:shape style="position:absolute;left:2137;top:4301;width:2;height:1329" coordorigin="2137,4301" coordsize="0,1329" path="m2137,4301l2137,5629e" filled="false" stroked="true" strokeweight=".48001pt" strokecolor="#000000">
                <v:path arrowok="t"/>
              </v:shape>
            </v:group>
            <v:group style="position:absolute;left:3200;top:4301;width:2;height:1329" coordorigin="3200,4301" coordsize="2,1329">
              <v:shape style="position:absolute;left:3200;top:4301;width:2;height:1329" coordorigin="3200,4301" coordsize="0,1329" path="m3200,4301l3200,5629e" filled="false" stroked="true" strokeweight=".48pt" strokecolor="#000000">
                <v:path arrowok="t"/>
              </v:shape>
            </v:group>
            <v:group style="position:absolute;left:4264;top:4301;width:2;height:1329" coordorigin="4264,4301" coordsize="2,1329">
              <v:shape style="position:absolute;left:4264;top:4301;width:2;height:1329" coordorigin="4264,4301" coordsize="0,1329" path="m4264,4301l4264,5629e" filled="false" stroked="true" strokeweight=".48001pt" strokecolor="#000000">
                <v:path arrowok="t"/>
              </v:shape>
            </v:group>
            <v:group style="position:absolute;left:5327;top:4301;width:2;height:1329" coordorigin="5327,4301" coordsize="2,1329">
              <v:shape style="position:absolute;left:5327;top:4301;width:2;height:1329" coordorigin="5327,4301" coordsize="0,1329" path="m5327,4301l5327,5629e" filled="false" stroked="true" strokeweight=".48001pt" strokecolor="#000000">
                <v:path arrowok="t"/>
              </v:shape>
            </v:group>
            <v:group style="position:absolute;left:6390;top:4301;width:2;height:1329" coordorigin="6390,4301" coordsize="2,1329">
              <v:shape style="position:absolute;left:6390;top:4301;width:2;height:1329" coordorigin="6390,4301" coordsize="0,1329" path="m6390,4301l6390,5629e" filled="false" stroked="true" strokeweight=".47998pt" strokecolor="#000000">
                <v:path arrowok="t"/>
              </v:shape>
            </v:group>
            <v:group style="position:absolute;left:7453;top:4301;width:2;height:1329" coordorigin="7453,4301" coordsize="2,1329">
              <v:shape style="position:absolute;left:7453;top:4301;width:2;height:1329" coordorigin="7453,4301" coordsize="0,1329" path="m7453,4301l7453,5629e" filled="false" stroked="true" strokeweight=".48001pt" strokecolor="#000000">
                <v:path arrowok="t"/>
              </v:shape>
            </v:group>
            <v:group style="position:absolute;left:8515;top:4301;width:2;height:1329" coordorigin="8515,4301" coordsize="2,1329">
              <v:shape style="position:absolute;left:8515;top:4301;width:2;height:1329" coordorigin="8515,4301" coordsize="0,1329" path="m8515,4301l8515,5629e" filled="false" stroked="true" strokeweight=".47998pt" strokecolor="#000000">
                <v:path arrowok="t"/>
              </v:shape>
            </v:group>
            <v:group style="position:absolute;left:4268;top:5639;width:1054;height:1329" coordorigin="4268,5639" coordsize="1054,1329">
              <v:shape style="position:absolute;left:4268;top:5639;width:1054;height:1329" coordorigin="4268,5639" coordsize="1054,1329" path="m4268,6967l5322,6967,5322,5639,4268,5639,4268,6967xe" filled="true" fillcolor="#ffffff" stroked="false">
                <v:path arrowok="t"/>
                <v:fill type="solid"/>
              </v:shape>
            </v:group>
            <v:group style="position:absolute;left:4291;top:6107;width:1007;height:393" coordorigin="4291,6107" coordsize="1007,393">
              <v:shape style="position:absolute;left:4291;top:6107;width:1007;height:393" coordorigin="4291,6107" coordsize="1007,393" path="m4291,6499l5298,6499,5298,6107,4291,6107,4291,6499xe" filled="true" fillcolor="#ffffff" stroked="false">
                <v:path arrowok="t"/>
                <v:fill type="solid"/>
              </v:shape>
            </v:group>
            <v:group style="position:absolute;left:5;top:5634;width:9579;height:2" coordorigin="5,5634" coordsize="9579,2">
              <v:shape style="position:absolute;left:5;top:5634;width:9579;height:2" coordorigin="5,5634" coordsize="9579,0" path="m5,5634l9583,5634e" filled="false" stroked="true" strokeweight=".48001pt" strokecolor="#000000">
                <v:path arrowok="t"/>
              </v:shape>
            </v:group>
            <v:group style="position:absolute;left:1075;top:5639;width:2;height:1329" coordorigin="1075,5639" coordsize="2,1329">
              <v:shape style="position:absolute;left:1075;top:5639;width:2;height:1329" coordorigin="1075,5639" coordsize="0,1329" path="m1075,5639l1075,6967e" filled="false" stroked="true" strokeweight=".48pt" strokecolor="#000000">
                <v:path arrowok="t"/>
              </v:shape>
            </v:group>
            <v:group style="position:absolute;left:2137;top:5639;width:2;height:1329" coordorigin="2137,5639" coordsize="2,1329">
              <v:shape style="position:absolute;left:2137;top:5639;width:2;height:1329" coordorigin="2137,5639" coordsize="0,1329" path="m2137,5639l2137,6967e" filled="false" stroked="true" strokeweight=".48001pt" strokecolor="#000000">
                <v:path arrowok="t"/>
              </v:shape>
            </v:group>
            <v:group style="position:absolute;left:3200;top:5639;width:2;height:1329" coordorigin="3200,5639" coordsize="2,1329">
              <v:shape style="position:absolute;left:3200;top:5639;width:2;height:1329" coordorigin="3200,5639" coordsize="0,1329" path="m3200,5639l3200,6967e" filled="false" stroked="true" strokeweight=".48pt" strokecolor="#000000">
                <v:path arrowok="t"/>
              </v:shape>
            </v:group>
            <v:group style="position:absolute;left:4264;top:5639;width:2;height:1329" coordorigin="4264,5639" coordsize="2,1329">
              <v:shape style="position:absolute;left:4264;top:5639;width:2;height:1329" coordorigin="4264,5639" coordsize="0,1329" path="m4264,5639l4264,6967e" filled="false" stroked="true" strokeweight=".48001pt" strokecolor="#000000">
                <v:path arrowok="t"/>
              </v:shape>
            </v:group>
            <v:group style="position:absolute;left:5327;top:5639;width:2;height:1329" coordorigin="5327,5639" coordsize="2,1329">
              <v:shape style="position:absolute;left:5327;top:5639;width:2;height:1329" coordorigin="5327,5639" coordsize="0,1329" path="m5327,5639l5327,6967e" filled="false" stroked="true" strokeweight=".48001pt" strokecolor="#000000">
                <v:path arrowok="t"/>
              </v:shape>
            </v:group>
            <v:group style="position:absolute;left:6390;top:5639;width:2;height:1329" coordorigin="6390,5639" coordsize="2,1329">
              <v:shape style="position:absolute;left:6390;top:5639;width:2;height:1329" coordorigin="6390,5639" coordsize="0,1329" path="m6390,5639l6390,6967e" filled="false" stroked="true" strokeweight=".47998pt" strokecolor="#000000">
                <v:path arrowok="t"/>
              </v:shape>
            </v:group>
            <v:group style="position:absolute;left:7453;top:5639;width:2;height:1329" coordorigin="7453,5639" coordsize="2,1329">
              <v:shape style="position:absolute;left:7453;top:5639;width:2;height:1329" coordorigin="7453,5639" coordsize="0,1329" path="m7453,5639l7453,6967e" filled="false" stroked="true" strokeweight=".48001pt" strokecolor="#000000">
                <v:path arrowok="t"/>
              </v:shape>
            </v:group>
            <v:group style="position:absolute;left:8515;top:5639;width:2;height:1329" coordorigin="8515,5639" coordsize="2,1329">
              <v:shape style="position:absolute;left:8515;top:5639;width:2;height:1329" coordorigin="8515,5639" coordsize="0,1329" path="m8515,5639l8515,6967e" filled="false" stroked="true" strokeweight=".47998pt" strokecolor="#000000">
                <v:path arrowok="t"/>
              </v:shape>
            </v:group>
            <v:group style="position:absolute;left:14;top:6977;width:1055;height:705" coordorigin="14,6977" coordsize="1055,705">
              <v:shape style="position:absolute;left:14;top:6977;width:1055;height:705" coordorigin="14,6977" coordsize="1055,705" path="m14,7681l1069,7681,1069,6977,14,6977,14,7681xe" filled="true" fillcolor="#d3d3d3" stroked="false">
                <v:path arrowok="t"/>
                <v:fill type="solid"/>
              </v:shape>
            </v:group>
            <v:group style="position:absolute;left:37;top:7133;width:1010;height:393" coordorigin="37,7133" coordsize="1010,393">
              <v:shape style="position:absolute;left:37;top:7133;width:1010;height:393" coordorigin="37,7133" coordsize="1010,393" path="m37,7525l1046,7525,1046,7133,37,7133,37,7525xe" filled="true" fillcolor="#d3d3d3" stroked="false">
                <v:path arrowok="t"/>
                <v:fill type="solid"/>
              </v:shape>
            </v:group>
            <v:group style="position:absolute;left:1080;top:6977;width:1053;height:705" coordorigin="1080,6977" coordsize="1053,705">
              <v:shape style="position:absolute;left:1080;top:6977;width:1053;height:705" coordorigin="1080,6977" coordsize="1053,705" path="m1080,7681l2132,7681,2132,6977,1080,6977,1080,7681xe" filled="true" fillcolor="#d3d3d3" stroked="false">
                <v:path arrowok="t"/>
                <v:fill type="solid"/>
              </v:shape>
            </v:group>
            <v:group style="position:absolute;left:1103;top:7133;width:1007;height:393" coordorigin="1103,7133" coordsize="1007,393">
              <v:shape style="position:absolute;left:1103;top:7133;width:1007;height:393" coordorigin="1103,7133" coordsize="1007,393" path="m1103,7525l2110,7525,2110,7133,1103,7133,1103,7525xe" filled="true" fillcolor="#d3d3d3" stroked="false">
                <v:path arrowok="t"/>
                <v:fill type="solid"/>
              </v:shape>
            </v:group>
            <v:group style="position:absolute;left:2142;top:6977;width:1054;height:705" coordorigin="2142,6977" coordsize="1054,705">
              <v:shape style="position:absolute;left:2142;top:6977;width:1054;height:705" coordorigin="2142,6977" coordsize="1054,705" path="m2142,7681l3196,7681,3196,6977,2142,6977,2142,7681xe" filled="true" fillcolor="#d3d3d3" stroked="false">
                <v:path arrowok="t"/>
                <v:fill type="solid"/>
              </v:shape>
            </v:group>
            <v:group style="position:absolute;left:2166;top:7133;width:1007;height:393" coordorigin="2166,7133" coordsize="1007,393">
              <v:shape style="position:absolute;left:2166;top:7133;width:1007;height:393" coordorigin="2166,7133" coordsize="1007,393" path="m2166,7525l3173,7525,3173,7133,2166,7133,2166,7525xe" filled="true" fillcolor="#d3d3d3" stroked="false">
                <v:path arrowok="t"/>
                <v:fill type="solid"/>
              </v:shape>
            </v:group>
            <v:group style="position:absolute;left:3205;top:6977;width:1054;height:705" coordorigin="3205,6977" coordsize="1054,705">
              <v:shape style="position:absolute;left:3205;top:6977;width:1054;height:705" coordorigin="3205,6977" coordsize="1054,705" path="m3205,7681l4259,7681,4259,6977,3205,6977,3205,7681xe" filled="true" fillcolor="#d3d3d3" stroked="false">
                <v:path arrowok="t"/>
                <v:fill type="solid"/>
              </v:shape>
            </v:group>
            <v:group style="position:absolute;left:3228;top:7133;width:1008;height:393" coordorigin="3228,7133" coordsize="1008,393">
              <v:shape style="position:absolute;left:3228;top:7133;width:1008;height:393" coordorigin="3228,7133" coordsize="1008,393" path="m3228,7525l4236,7525,4236,7133,3228,7133,3228,7525xe" filled="true" fillcolor="#d3d3d3" stroked="false">
                <v:path arrowok="t"/>
                <v:fill type="solid"/>
              </v:shape>
            </v:group>
            <v:group style="position:absolute;left:4268;top:6977;width:1054;height:705" coordorigin="4268,6977" coordsize="1054,705">
              <v:shape style="position:absolute;left:4268;top:6977;width:1054;height:705" coordorigin="4268,6977" coordsize="1054,705" path="m4268,7681l5322,7681,5322,6977,4268,6977,4268,7681xe" filled="true" fillcolor="#d3d3d3" stroked="false">
                <v:path arrowok="t"/>
                <v:fill type="solid"/>
              </v:shape>
            </v:group>
            <v:group style="position:absolute;left:4291;top:7133;width:1007;height:393" coordorigin="4291,7133" coordsize="1007,393">
              <v:shape style="position:absolute;left:4291;top:7133;width:1007;height:393" coordorigin="4291,7133" coordsize="1007,393" path="m4291,7525l5298,7525,5298,7133,4291,7133,4291,7525xe" filled="true" fillcolor="#d3d3d3" stroked="false">
                <v:path arrowok="t"/>
                <v:fill type="solid"/>
              </v:shape>
            </v:group>
            <v:group style="position:absolute;left:5332;top:6977;width:1053;height:705" coordorigin="5332,6977" coordsize="1053,705">
              <v:shape style="position:absolute;left:5332;top:6977;width:1053;height:705" coordorigin="5332,6977" coordsize="1053,705" path="m5332,7681l6384,7681,6384,6977,5332,6977,5332,7681xe" filled="true" fillcolor="#d3d3d3" stroked="false">
                <v:path arrowok="t"/>
                <v:fill type="solid"/>
              </v:shape>
            </v:group>
            <v:group style="position:absolute;left:5354;top:7133;width:1007;height:393" coordorigin="5354,7133" coordsize="1007,393">
              <v:shape style="position:absolute;left:5354;top:7133;width:1007;height:393" coordorigin="5354,7133" coordsize="1007,393" path="m5354,7525l6361,7525,6361,7133,5354,7133,5354,7525xe" filled="true" fillcolor="#d3d3d3" stroked="false">
                <v:path arrowok="t"/>
                <v:fill type="solid"/>
              </v:shape>
            </v:group>
            <v:group style="position:absolute;left:8521;top:6977;width:1053;height:705" coordorigin="8521,6977" coordsize="1053,705">
              <v:shape style="position:absolute;left:8521;top:6977;width:1053;height:705" coordorigin="8521,6977" coordsize="1053,705" path="m8521,7681l9574,7681,9574,6977,8521,6977,8521,7681xe" filled="true" fillcolor="#d3d3d3" stroked="false">
                <v:path arrowok="t"/>
                <v:fill type="solid"/>
              </v:shape>
            </v:group>
            <v:group style="position:absolute;left:8544;top:7133;width:1007;height:393" coordorigin="8544,7133" coordsize="1007,393">
              <v:shape style="position:absolute;left:8544;top:7133;width:1007;height:393" coordorigin="8544,7133" coordsize="1007,393" path="m8544,7525l9551,7525,9551,7133,8544,7133,8544,7525xe" filled="true" fillcolor="#d3d3d3" stroked="false">
                <v:path arrowok="t"/>
                <v:fill type="solid"/>
              </v:shape>
            </v:group>
            <v:group style="position:absolute;left:5;top:6972;width:9579;height:2" coordorigin="5,6972" coordsize="9579,2">
              <v:shape style="position:absolute;left:5;top:6972;width:9579;height:2" coordorigin="5,6972" coordsize="9579,0" path="m5,6972l9583,6972e" filled="false" stroked="true" strokeweight=".47998pt" strokecolor="#000000">
                <v:path arrowok="t"/>
              </v:shape>
            </v:group>
            <v:group style="position:absolute;left:10;top:5;width:2;height:7686" coordorigin="10,5" coordsize="2,7686">
              <v:shape style="position:absolute;left:10;top:5;width:2;height:7686" coordorigin="10,5" coordsize="0,7686" path="m10,5l10,7691e" filled="false" stroked="true" strokeweight=".48001pt" strokecolor="#000000">
                <v:path arrowok="t"/>
              </v:shape>
            </v:group>
            <v:group style="position:absolute;left:5;top:7686;width:1066;height:2" coordorigin="5,7686" coordsize="1066,2">
              <v:shape style="position:absolute;left:5;top:7686;width:1066;height:2" coordorigin="5,7686" coordsize="1066,0" path="m5,7686l1070,7686e" filled="false" stroked="true" strokeweight=".48001pt" strokecolor="#000000">
                <v:path arrowok="t"/>
              </v:shape>
            </v:group>
            <v:group style="position:absolute;left:1075;top:6977;width:2;height:714" coordorigin="1075,6977" coordsize="2,714">
              <v:shape style="position:absolute;left:1075;top:6977;width:2;height:714" coordorigin="1075,6977" coordsize="0,714" path="m1075,6977l1075,7691e" filled="false" stroked="true" strokeweight=".48pt" strokecolor="#000000">
                <v:path arrowok="t"/>
              </v:shape>
            </v:group>
            <v:group style="position:absolute;left:1080;top:7686;width:1053;height:2" coordorigin="1080,7686" coordsize="1053,2">
              <v:shape style="position:absolute;left:1080;top:7686;width:1053;height:2" coordorigin="1080,7686" coordsize="1053,0" path="m1080,7686l2132,7686e" filled="false" stroked="true" strokeweight=".48001pt" strokecolor="#000000">
                <v:path arrowok="t"/>
              </v:shape>
            </v:group>
            <v:group style="position:absolute;left:2137;top:6977;width:2;height:714" coordorigin="2137,6977" coordsize="2,714">
              <v:shape style="position:absolute;left:2137;top:6977;width:2;height:714" coordorigin="2137,6977" coordsize="0,714" path="m2137,6977l2137,7691e" filled="false" stroked="true" strokeweight=".48001pt" strokecolor="#000000">
                <v:path arrowok="t"/>
              </v:shape>
            </v:group>
            <v:group style="position:absolute;left:2142;top:7686;width:1054;height:2" coordorigin="2142,7686" coordsize="1054,2">
              <v:shape style="position:absolute;left:2142;top:7686;width:1054;height:2" coordorigin="2142,7686" coordsize="1054,0" path="m2142,7686l3196,7686e" filled="false" stroked="true" strokeweight=".48001pt" strokecolor="#000000">
                <v:path arrowok="t"/>
              </v:shape>
            </v:group>
            <v:group style="position:absolute;left:3200;top:6977;width:2;height:714" coordorigin="3200,6977" coordsize="2,714">
              <v:shape style="position:absolute;left:3200;top:6977;width:2;height:714" coordorigin="3200,6977" coordsize="0,714" path="m3200,6977l3200,7691e" filled="false" stroked="true" strokeweight=".48pt" strokecolor="#000000">
                <v:path arrowok="t"/>
              </v:shape>
            </v:group>
            <v:group style="position:absolute;left:3205;top:7686;width:1054;height:2" coordorigin="3205,7686" coordsize="1054,2">
              <v:shape style="position:absolute;left:3205;top:7686;width:1054;height:2" coordorigin="3205,7686" coordsize="1054,0" path="m3205,7686l4259,7686e" filled="false" stroked="true" strokeweight=".48001pt" strokecolor="#000000">
                <v:path arrowok="t"/>
              </v:shape>
            </v:group>
            <v:group style="position:absolute;left:4264;top:6977;width:2;height:714" coordorigin="4264,6977" coordsize="2,714">
              <v:shape style="position:absolute;left:4264;top:6977;width:2;height:714" coordorigin="4264,6977" coordsize="0,714" path="m4264,6977l4264,7691e" filled="false" stroked="true" strokeweight=".48001pt" strokecolor="#000000">
                <v:path arrowok="t"/>
              </v:shape>
            </v:group>
            <v:group style="position:absolute;left:4268;top:7686;width:1054;height:2" coordorigin="4268,7686" coordsize="1054,2">
              <v:shape style="position:absolute;left:4268;top:7686;width:1054;height:2" coordorigin="4268,7686" coordsize="1054,0" path="m4268,7686l5322,7686e" filled="false" stroked="true" strokeweight=".48001pt" strokecolor="#000000">
                <v:path arrowok="t"/>
              </v:shape>
            </v:group>
            <v:group style="position:absolute;left:5327;top:6977;width:2;height:714" coordorigin="5327,6977" coordsize="2,714">
              <v:shape style="position:absolute;left:5327;top:6977;width:2;height:714" coordorigin="5327,6977" coordsize="0,714" path="m5327,6977l5327,7691e" filled="false" stroked="true" strokeweight=".48001pt" strokecolor="#000000">
                <v:path arrowok="t"/>
              </v:shape>
            </v:group>
            <v:group style="position:absolute;left:5332;top:7686;width:1054;height:2" coordorigin="5332,7686" coordsize="1054,2">
              <v:shape style="position:absolute;left:5332;top:7686;width:1054;height:2" coordorigin="5332,7686" coordsize="1054,0" path="m5332,7686l6385,7686e" filled="false" stroked="true" strokeweight=".48001pt" strokecolor="#000000">
                <v:path arrowok="t"/>
              </v:shape>
            </v:group>
            <v:group style="position:absolute;left:6390;top:6977;width:2;height:714" coordorigin="6390,6977" coordsize="2,714">
              <v:shape style="position:absolute;left:6390;top:6977;width:2;height:714" coordorigin="6390,6977" coordsize="0,714" path="m6390,6977l6390,7691e" filled="false" stroked="true" strokeweight=".47998pt" strokecolor="#000000">
                <v:path arrowok="t"/>
              </v:shape>
            </v:group>
            <v:group style="position:absolute;left:6395;top:7686;width:1054;height:2" coordorigin="6395,7686" coordsize="1054,2">
              <v:shape style="position:absolute;left:6395;top:7686;width:1054;height:2" coordorigin="6395,7686" coordsize="1054,0" path="m6395,7686l7448,7686e" filled="false" stroked="true" strokeweight=".48001pt" strokecolor="#000000">
                <v:path arrowok="t"/>
              </v:shape>
            </v:group>
            <v:group style="position:absolute;left:7453;top:6977;width:2;height:714" coordorigin="7453,6977" coordsize="2,714">
              <v:shape style="position:absolute;left:7453;top:6977;width:2;height:714" coordorigin="7453,6977" coordsize="0,714" path="m7453,6977l7453,7691e" filled="false" stroked="true" strokeweight=".48001pt" strokecolor="#000000">
                <v:path arrowok="t"/>
              </v:shape>
            </v:group>
            <v:group style="position:absolute;left:7458;top:7686;width:1053;height:2" coordorigin="7458,7686" coordsize="1053,2">
              <v:shape style="position:absolute;left:7458;top:7686;width:1053;height:2" coordorigin="7458,7686" coordsize="1053,0" path="m7458,7686l8510,7686e" filled="false" stroked="true" strokeweight=".48001pt" strokecolor="#000000">
                <v:path arrowok="t"/>
              </v:shape>
            </v:group>
            <v:group style="position:absolute;left:8515;top:6977;width:2;height:714" coordorigin="8515,6977" coordsize="2,714">
              <v:shape style="position:absolute;left:8515;top:6977;width:2;height:714" coordorigin="8515,6977" coordsize="0,714" path="m8515,6977l8515,7691e" filled="false" stroked="true" strokeweight=".47998pt" strokecolor="#000000">
                <v:path arrowok="t"/>
              </v:shape>
            </v:group>
            <v:group style="position:absolute;left:8520;top:7686;width:1054;height:2" coordorigin="8520,7686" coordsize="1054,2">
              <v:shape style="position:absolute;left:8520;top:7686;width:1054;height:2" coordorigin="8520,7686" coordsize="1054,0" path="m8520,7686l9574,7686e" filled="false" stroked="true" strokeweight=".48001pt" strokecolor="#000000">
                <v:path arrowok="t"/>
              </v:shape>
            </v:group>
            <v:group style="position:absolute;left:9578;top:5;width:2;height:7686" coordorigin="9578,5" coordsize="2,7686">
              <v:shape style="position:absolute;left:9578;top:5;width:2;height:7686" coordorigin="9578,5" coordsize="0,7686" path="m9578,5l9578,7691e" filled="false" stroked="true" strokeweight=".47998pt" strokecolor="#000000">
                <v:path arrowok="t"/>
              </v:shape>
              <v:shape style="position:absolute;left:37;top:82;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税返还</w:t>
                      </w:r>
                    </w:p>
                  </w:txbxContent>
                </v:textbox>
                <w10:wrap type="none"/>
              </v:shape>
              <v:shape style="position:absolute;left:3228;top:81;width:1007;height:143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特定行业</w:t>
                      </w:r>
                      <w:r>
                        <w:rPr>
                          <w:rFonts w:ascii="宋体" w:hAnsi="宋体" w:cs="宋体" w:eastAsia="宋体" w:hint="default"/>
                          <w:spacing w:val="-74"/>
                          <w:sz w:val="18"/>
                          <w:szCs w:val="18"/>
                        </w:rPr>
                        <w:t>、</w:t>
                      </w:r>
                      <w:r>
                        <w:rPr>
                          <w:rFonts w:ascii="宋体" w:hAnsi="宋体" w:cs="宋体" w:eastAsia="宋体" w:hint="default"/>
                          <w:sz w:val="18"/>
                          <w:szCs w:val="18"/>
                        </w:rPr>
                        <w:t>产</w:t>
                      </w:r>
                    </w:p>
                    <w:p>
                      <w:pPr>
                        <w:spacing w:line="316" w:lineRule="auto"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业而获得的 </w:t>
                      </w:r>
                      <w:r>
                        <w:rPr>
                          <w:rFonts w:ascii="宋体" w:hAnsi="宋体" w:cs="宋体" w:eastAsia="宋体" w:hint="default"/>
                          <w:spacing w:val="-13"/>
                          <w:sz w:val="18"/>
                          <w:szCs w:val="18"/>
                        </w:rPr>
                        <w:t>补助（按国家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级政策规定</w:t>
                      </w:r>
                    </w:p>
                    <w:p>
                      <w:pPr>
                        <w:spacing w:before="20"/>
                        <w:ind w:left="0" w:right="0" w:firstLine="0"/>
                        <w:jc w:val="left"/>
                        <w:rPr>
                          <w:rFonts w:ascii="宋体" w:hAnsi="宋体" w:cs="宋体" w:eastAsia="宋体" w:hint="default"/>
                          <w:sz w:val="18"/>
                          <w:szCs w:val="18"/>
                        </w:rPr>
                      </w:pPr>
                      <w:r>
                        <w:rPr>
                          <w:rFonts w:ascii="宋体" w:hAnsi="宋体" w:cs="宋体" w:eastAsia="宋体" w:hint="default"/>
                          <w:sz w:val="18"/>
                          <w:szCs w:val="18"/>
                        </w:rPr>
                        <w:t>依法取得）</w:t>
                      </w:r>
                    </w:p>
                  </w:txbxContent>
                </v:textbox>
                <w10:wrap type="none"/>
              </v:shape>
              <v:shape style="position:absolute;left:7334;top:89;width:9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w:t>
                      </w:r>
                    </w:p>
                  </w:txbxContent>
                </v:textbox>
                <w10:wrap type="none"/>
              </v:shape>
              <v:shape style="position:absolute;left:8398;top:89;width:9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6</w:t>
                      </w:r>
                    </w:p>
                  </w:txbxContent>
                </v:textbox>
                <w10:wrap type="none"/>
              </v:shape>
              <v:shape style="position:absolute;left:37;top:1888;width:900;height:80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国际热核聚</w:t>
                      </w:r>
                    </w:p>
                    <w:p>
                      <w:pPr>
                        <w:spacing w:line="314" w:lineRule="exact" w:before="34"/>
                        <w:ind w:left="0" w:right="0" w:firstLine="0"/>
                        <w:jc w:val="left"/>
                        <w:rPr>
                          <w:rFonts w:ascii="宋体" w:hAnsi="宋体" w:cs="宋体" w:eastAsia="宋体" w:hint="default"/>
                          <w:sz w:val="18"/>
                          <w:szCs w:val="18"/>
                        </w:rPr>
                      </w:pPr>
                      <w:r>
                        <w:rPr>
                          <w:rFonts w:ascii="宋体" w:hAnsi="宋体" w:cs="宋体" w:eastAsia="宋体" w:hint="default"/>
                          <w:sz w:val="18"/>
                          <w:szCs w:val="18"/>
                        </w:rPr>
                        <w:t>变实验堆增 值税优惠</w:t>
                      </w:r>
                    </w:p>
                  </w:txbxContent>
                </v:textbox>
                <w10:wrap type="none"/>
              </v:shape>
              <v:shape style="position:absolute;left:3228;top:1732;width:1080;height:49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因研究开发、</w:t>
                      </w:r>
                    </w:p>
                    <w:p>
                      <w:pPr>
                        <w:spacing w:before="75"/>
                        <w:ind w:left="0" w:right="0" w:firstLine="0"/>
                        <w:jc w:val="left"/>
                        <w:rPr>
                          <w:rFonts w:ascii="宋体" w:hAnsi="宋体" w:cs="宋体" w:eastAsia="宋体" w:hint="default"/>
                          <w:sz w:val="18"/>
                          <w:szCs w:val="18"/>
                        </w:rPr>
                      </w:pPr>
                      <w:r>
                        <w:rPr>
                          <w:rFonts w:ascii="宋体" w:hAnsi="宋体" w:cs="宋体" w:eastAsia="宋体" w:hint="default"/>
                          <w:sz w:val="18"/>
                          <w:szCs w:val="18"/>
                        </w:rPr>
                        <w:t>技术更新及</w:t>
                      </w:r>
                    </w:p>
                  </w:txbxContent>
                </v:textbox>
                <w10:wrap type="none"/>
              </v:shape>
              <v:shape style="position:absolute;left:1103;top:220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财政</w:t>
                      </w:r>
                    </w:p>
                  </w:txbxContent>
                </v:textbox>
                <w10:wrap type="none"/>
              </v:shape>
              <v:shape style="position:absolute;left:2166;top:220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4291;top:2200;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5354;top:2200;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6480;top:2051;width:946;height:492" type="#_x0000_t202" filled="false" stroked="false">
                <v:textbox inset="0,0,0,0">
                  <w:txbxContent>
                    <w:p>
                      <w:pPr>
                        <w:spacing w:line="184" w:lineRule="exact" w:before="0"/>
                        <w:ind w:left="0" w:right="0" w:firstLine="0"/>
                        <w:jc w:val="right"/>
                        <w:rPr>
                          <w:rFonts w:ascii="Times New Roman" w:hAnsi="Times New Roman" w:cs="Times New Roman" w:eastAsia="Times New Roman" w:hint="default"/>
                          <w:sz w:val="18"/>
                          <w:szCs w:val="18"/>
                        </w:rPr>
                      </w:pPr>
                      <w:r>
                        <w:rPr>
                          <w:rFonts w:ascii="Times New Roman"/>
                          <w:spacing w:val="-1"/>
                          <w:sz w:val="18"/>
                        </w:rPr>
                        <w:t>10,906,543.6</w:t>
                      </w:r>
                    </w:p>
                    <w:p>
                      <w:pPr>
                        <w:spacing w:line="203" w:lineRule="exact" w:before="105"/>
                        <w:ind w:left="0" w:right="1" w:firstLine="0"/>
                        <w:jc w:val="right"/>
                        <w:rPr>
                          <w:rFonts w:ascii="Times New Roman" w:hAnsi="Times New Roman" w:cs="Times New Roman" w:eastAsia="Times New Roman" w:hint="default"/>
                          <w:sz w:val="18"/>
                          <w:szCs w:val="18"/>
                        </w:rPr>
                      </w:pPr>
                      <w:r>
                        <w:rPr>
                          <w:rFonts w:ascii="Times New Roman"/>
                          <w:sz w:val="18"/>
                        </w:rPr>
                        <w:t>3</w:t>
                      </w:r>
                    </w:p>
                  </w:txbxContent>
                </v:textbox>
                <w10:wrap type="none"/>
              </v:shape>
              <v:shape style="position:absolute;left:8544;top:2200;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与收益相关</w:t>
                      </w:r>
                    </w:p>
                  </w:txbxContent>
                </v:textbox>
                <w10:wrap type="none"/>
              </v:shape>
              <v:shape style="position:absolute;left:3228;top:2355;width:900;height:49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7"/>
                        <w:ind w:left="0" w:right="0" w:firstLine="0"/>
                        <w:jc w:val="left"/>
                        <w:rPr>
                          <w:rFonts w:ascii="宋体" w:hAnsi="宋体" w:cs="宋体" w:eastAsia="宋体" w:hint="default"/>
                          <w:sz w:val="18"/>
                          <w:szCs w:val="18"/>
                        </w:rPr>
                      </w:pPr>
                      <w:r>
                        <w:rPr>
                          <w:rFonts w:ascii="宋体" w:hAnsi="宋体" w:cs="宋体" w:eastAsia="宋体" w:hint="default"/>
                          <w:sz w:val="18"/>
                          <w:szCs w:val="18"/>
                        </w:rPr>
                        <w:t>的补助</w:t>
                      </w:r>
                    </w:p>
                  </w:txbxContent>
                </v:textbox>
                <w10:wrap type="none"/>
              </v:shape>
              <v:shape style="position:absolute;left:37;top:3382;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递延收益结</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转</w:t>
                      </w:r>
                    </w:p>
                  </w:txbxContent>
                </v:textbox>
                <w10:wrap type="none"/>
              </v:shape>
              <v:shape style="position:absolute;left:3228;top:3070;width:1080;height:49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因研究开发、</w:t>
                      </w:r>
                    </w:p>
                    <w:p>
                      <w:pPr>
                        <w:spacing w:before="75"/>
                        <w:ind w:left="0" w:right="0" w:firstLine="0"/>
                        <w:jc w:val="left"/>
                        <w:rPr>
                          <w:rFonts w:ascii="宋体" w:hAnsi="宋体" w:cs="宋体" w:eastAsia="宋体" w:hint="default"/>
                          <w:sz w:val="18"/>
                          <w:szCs w:val="18"/>
                        </w:rPr>
                      </w:pPr>
                      <w:r>
                        <w:rPr>
                          <w:rFonts w:ascii="宋体" w:hAnsi="宋体" w:cs="宋体" w:eastAsia="宋体" w:hint="default"/>
                          <w:sz w:val="18"/>
                          <w:szCs w:val="18"/>
                        </w:rPr>
                        <w:t>技术更新及</w:t>
                      </w:r>
                    </w:p>
                  </w:txbxContent>
                </v:textbox>
                <w10:wrap type="none"/>
              </v:shape>
              <v:shape style="position:absolute;left:1103;top:3538;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财政</w:t>
                      </w:r>
                    </w:p>
                  </w:txbxContent>
                </v:textbox>
                <w10:wrap type="none"/>
              </v:shape>
              <v:shape style="position:absolute;left:2166;top:3538;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4291;top:3538;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5354;top:3538;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6480;top:3538;width:2964;height:188" type="#_x0000_t202" filled="false" stroked="false">
                <v:textbox inset="0,0,0,0">
                  <w:txbxContent>
                    <w:p>
                      <w:pPr>
                        <w:spacing w:line="187"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2,876,251.34   2,705,439.64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与资产相关</w:t>
                      </w:r>
                    </w:p>
                  </w:txbxContent>
                </v:textbox>
                <w10:wrap type="none"/>
              </v:shape>
              <v:shape style="position:absolute;left:3228;top:3693;width:900;height:49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7"/>
                        <w:ind w:left="0" w:right="0" w:firstLine="0"/>
                        <w:jc w:val="left"/>
                        <w:rPr>
                          <w:rFonts w:ascii="宋体" w:hAnsi="宋体" w:cs="宋体" w:eastAsia="宋体" w:hint="default"/>
                          <w:sz w:val="18"/>
                          <w:szCs w:val="18"/>
                        </w:rPr>
                      </w:pPr>
                      <w:r>
                        <w:rPr>
                          <w:rFonts w:ascii="宋体" w:hAnsi="宋体" w:cs="宋体" w:eastAsia="宋体" w:hint="default"/>
                          <w:sz w:val="18"/>
                          <w:szCs w:val="18"/>
                        </w:rPr>
                        <w:t>的补助</w:t>
                      </w:r>
                    </w:p>
                  </w:txbxContent>
                </v:textbox>
                <w10:wrap type="none"/>
              </v:shape>
              <v:shape style="position:absolute;left:37;top:4720;width:900;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递延收益结</w:t>
                      </w:r>
                    </w:p>
                    <w:p>
                      <w:pPr>
                        <w:spacing w:before="76"/>
                        <w:ind w:left="0" w:right="0" w:firstLine="0"/>
                        <w:jc w:val="left"/>
                        <w:rPr>
                          <w:rFonts w:ascii="宋体" w:hAnsi="宋体" w:cs="宋体" w:eastAsia="宋体" w:hint="default"/>
                          <w:sz w:val="18"/>
                          <w:szCs w:val="18"/>
                        </w:rPr>
                      </w:pPr>
                      <w:r>
                        <w:rPr>
                          <w:rFonts w:ascii="宋体" w:hAnsi="宋体" w:cs="宋体" w:eastAsia="宋体" w:hint="default"/>
                          <w:sz w:val="18"/>
                          <w:szCs w:val="18"/>
                        </w:rPr>
                        <w:t>转</w:t>
                      </w:r>
                    </w:p>
                  </w:txbxContent>
                </v:textbox>
                <w10:wrap type="none"/>
              </v:shape>
              <v:shape style="position:absolute;left:3228;top:4408;width:1080;height:49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因研究开发、</w:t>
                      </w:r>
                    </w:p>
                    <w:p>
                      <w:pPr>
                        <w:spacing w:before="75"/>
                        <w:ind w:left="0" w:right="0" w:firstLine="0"/>
                        <w:jc w:val="left"/>
                        <w:rPr>
                          <w:rFonts w:ascii="宋体" w:hAnsi="宋体" w:cs="宋体" w:eastAsia="宋体" w:hint="default"/>
                          <w:sz w:val="18"/>
                          <w:szCs w:val="18"/>
                        </w:rPr>
                      </w:pPr>
                      <w:r>
                        <w:rPr>
                          <w:rFonts w:ascii="宋体" w:hAnsi="宋体" w:cs="宋体" w:eastAsia="宋体" w:hint="default"/>
                          <w:sz w:val="18"/>
                          <w:szCs w:val="18"/>
                        </w:rPr>
                        <w:t>技术更新及</w:t>
                      </w:r>
                    </w:p>
                  </w:txbxContent>
                </v:textbox>
                <w10:wrap type="none"/>
              </v:shape>
              <v:shape style="position:absolute;left:1103;top:4876;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财政</w:t>
                      </w:r>
                    </w:p>
                  </w:txbxContent>
                </v:textbox>
                <w10:wrap type="none"/>
              </v:shape>
              <v:shape style="position:absolute;left:2166;top:4876;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4291;top:4876;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5354;top:4876;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6480;top:4727;width:946;height:492" type="#_x0000_t202" filled="false" stroked="false">
                <v:textbox inset="0,0,0,0">
                  <w:txbxContent>
                    <w:p>
                      <w:pPr>
                        <w:spacing w:line="184" w:lineRule="exact" w:before="0"/>
                        <w:ind w:left="0" w:right="0" w:firstLine="0"/>
                        <w:jc w:val="right"/>
                        <w:rPr>
                          <w:rFonts w:ascii="Times New Roman" w:hAnsi="Times New Roman" w:cs="Times New Roman" w:eastAsia="Times New Roman" w:hint="default"/>
                          <w:sz w:val="18"/>
                          <w:szCs w:val="18"/>
                        </w:rPr>
                      </w:pPr>
                      <w:r>
                        <w:rPr>
                          <w:rFonts w:ascii="Times New Roman"/>
                          <w:spacing w:val="-1"/>
                          <w:sz w:val="18"/>
                        </w:rPr>
                        <w:t>22,844,800.0</w:t>
                      </w:r>
                    </w:p>
                    <w:p>
                      <w:pPr>
                        <w:spacing w:line="203" w:lineRule="exact" w:before="105"/>
                        <w:ind w:left="0" w:right="1" w:firstLine="0"/>
                        <w:jc w:val="right"/>
                        <w:rPr>
                          <w:rFonts w:ascii="Times New Roman" w:hAnsi="Times New Roman" w:cs="Times New Roman" w:eastAsia="Times New Roman" w:hint="default"/>
                          <w:sz w:val="18"/>
                          <w:szCs w:val="18"/>
                        </w:rPr>
                      </w:pPr>
                      <w:r>
                        <w:rPr>
                          <w:rFonts w:ascii="Times New Roman"/>
                          <w:sz w:val="18"/>
                        </w:rPr>
                        <w:t>0</w:t>
                      </w:r>
                    </w:p>
                  </w:txbxContent>
                </v:textbox>
                <w10:wrap type="none"/>
              </v:shape>
              <v:shape style="position:absolute;left:8544;top:4876;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与收益相关</w:t>
                      </w:r>
                    </w:p>
                  </w:txbxContent>
                </v:textbox>
                <w10:wrap type="none"/>
              </v:shape>
              <v:shape style="position:absolute;left:3228;top:5031;width:900;height:49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7"/>
                        <w:ind w:left="0" w:right="0" w:firstLine="0"/>
                        <w:jc w:val="left"/>
                        <w:rPr>
                          <w:rFonts w:ascii="宋体" w:hAnsi="宋体" w:cs="宋体" w:eastAsia="宋体" w:hint="default"/>
                          <w:sz w:val="18"/>
                          <w:szCs w:val="18"/>
                        </w:rPr>
                      </w:pPr>
                      <w:r>
                        <w:rPr>
                          <w:rFonts w:ascii="宋体" w:hAnsi="宋体" w:cs="宋体" w:eastAsia="宋体" w:hint="default"/>
                          <w:sz w:val="18"/>
                          <w:szCs w:val="18"/>
                        </w:rPr>
                        <w:t>的补助</w:t>
                      </w:r>
                    </w:p>
                  </w:txbxContent>
                </v:textbox>
                <w10:wrap type="none"/>
              </v:shape>
              <v:shape style="position:absolute;left:3228;top:5746;width:1080;height:49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因研究开发、</w:t>
                      </w:r>
                    </w:p>
                    <w:p>
                      <w:pPr>
                        <w:spacing w:before="75"/>
                        <w:ind w:left="0" w:right="0" w:firstLine="0"/>
                        <w:jc w:val="left"/>
                        <w:rPr>
                          <w:rFonts w:ascii="宋体" w:hAnsi="宋体" w:cs="宋体" w:eastAsia="宋体" w:hint="default"/>
                          <w:sz w:val="18"/>
                          <w:szCs w:val="18"/>
                        </w:rPr>
                      </w:pPr>
                      <w:r>
                        <w:rPr>
                          <w:rFonts w:ascii="宋体" w:hAnsi="宋体" w:cs="宋体" w:eastAsia="宋体" w:hint="default"/>
                          <w:sz w:val="18"/>
                          <w:szCs w:val="18"/>
                        </w:rPr>
                        <w:t>技术更新及</w:t>
                      </w:r>
                    </w:p>
                  </w:txbxContent>
                </v:textbox>
                <w10:wrap type="none"/>
              </v:shape>
              <v:shape style="position:absolute;left:37;top:6214;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其他</w:t>
                      </w:r>
                    </w:p>
                  </w:txbxContent>
                </v:textbox>
                <w10:wrap type="none"/>
              </v:shape>
              <v:shape style="position:absolute;left:1103;top:6214;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财政</w:t>
                      </w:r>
                    </w:p>
                  </w:txbxContent>
                </v:textbox>
                <w10:wrap type="none"/>
              </v:shape>
              <v:shape style="position:absolute;left:2166;top:6214;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补助</w:t>
                      </w:r>
                    </w:p>
                  </w:txbxContent>
                </v:textbox>
                <w10:wrap type="none"/>
              </v:shape>
              <v:shape style="position:absolute;left:4291;top:6214;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5354;top:6214;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否</w:t>
                      </w:r>
                    </w:p>
                  </w:txbxContent>
                </v:textbox>
                <w10:wrap type="none"/>
              </v:shape>
              <v:shape style="position:absolute;left:6480;top:6214;width:2964;height:188" type="#_x0000_t202" filled="false" stroked="false">
                <v:textbox inset="0,0,0,0">
                  <w:txbxContent>
                    <w:p>
                      <w:pPr>
                        <w:tabs>
                          <w:tab w:pos="1197" w:val="left" w:leader="none"/>
                        </w:tabs>
                        <w:spacing w:line="187" w:lineRule="exact" w:before="0"/>
                        <w:ind w:left="0" w:right="0" w:firstLine="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1,620,346.53</w:t>
                        <w:tab/>
                      </w:r>
                      <w:r>
                        <w:rPr>
                          <w:rFonts w:ascii="Times New Roman" w:hAnsi="Times New Roman" w:cs="Times New Roman" w:eastAsia="Times New Roman" w:hint="default"/>
                          <w:sz w:val="18"/>
                          <w:szCs w:val="18"/>
                        </w:rPr>
                        <w:t>620,465.00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与收益相关</w:t>
                      </w:r>
                    </w:p>
                  </w:txbxContent>
                </v:textbox>
                <w10:wrap type="none"/>
              </v:shape>
              <v:shape style="position:absolute;left:3228;top:6369;width:900;height:49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改造等获得</w:t>
                      </w:r>
                    </w:p>
                    <w:p>
                      <w:pPr>
                        <w:spacing w:before="77"/>
                        <w:ind w:left="0" w:right="0" w:firstLine="0"/>
                        <w:jc w:val="left"/>
                        <w:rPr>
                          <w:rFonts w:ascii="宋体" w:hAnsi="宋体" w:cs="宋体" w:eastAsia="宋体" w:hint="default"/>
                          <w:sz w:val="18"/>
                          <w:szCs w:val="18"/>
                        </w:rPr>
                      </w:pPr>
                      <w:r>
                        <w:rPr>
                          <w:rFonts w:ascii="宋体" w:hAnsi="宋体" w:cs="宋体" w:eastAsia="宋体" w:hint="default"/>
                          <w:sz w:val="18"/>
                          <w:szCs w:val="18"/>
                        </w:rPr>
                        <w:t>的补助</w:t>
                      </w:r>
                    </w:p>
                  </w:txbxContent>
                </v:textbox>
                <w10:wrap type="none"/>
              </v:shape>
              <v:shape style="position:absolute;left:37;top:724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1546;top:7247;width:12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r>
                    </w:p>
                  </w:txbxContent>
                </v:textbox>
                <w10:wrap type="none"/>
              </v:shape>
              <v:shape style="position:absolute;left:2609;top:7247;width:12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r>
                    </w:p>
                  </w:txbxContent>
                </v:textbox>
                <w10:wrap type="none"/>
              </v:shape>
              <v:shape style="position:absolute;left:3671;top:7247;width:12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r>
                    </w:p>
                  </w:txbxContent>
                </v:textbox>
                <w10:wrap type="none"/>
              </v:shape>
              <v:shape style="position:absolute;left:4734;top:7247;width:12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r>
                    </w:p>
                  </w:txbxContent>
                </v:textbox>
                <w10:wrap type="none"/>
              </v:shape>
              <v:shape style="position:absolute;left:5797;top:7247;width:12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r>
                    </w:p>
                  </w:txbxContent>
                </v:textbox>
                <w10:wrap type="none"/>
              </v:shape>
              <v:shape style="position:absolute;left:6480;top:7091;width:946;height:492" type="#_x0000_t202" filled="false" stroked="false">
                <v:textbox inset="0,0,0,0">
                  <w:txbxContent>
                    <w:p>
                      <w:pPr>
                        <w:spacing w:line="184" w:lineRule="exact" w:before="0"/>
                        <w:ind w:left="0" w:right="0" w:firstLine="0"/>
                        <w:jc w:val="right"/>
                        <w:rPr>
                          <w:rFonts w:ascii="Times New Roman" w:hAnsi="Times New Roman" w:cs="Times New Roman" w:eastAsia="Times New Roman" w:hint="default"/>
                          <w:sz w:val="18"/>
                          <w:szCs w:val="18"/>
                        </w:rPr>
                      </w:pPr>
                      <w:r>
                        <w:rPr>
                          <w:rFonts w:ascii="Times New Roman"/>
                          <w:spacing w:val="-1"/>
                          <w:sz w:val="18"/>
                        </w:rPr>
                        <w:t>86,335,689.4</w:t>
                      </w:r>
                    </w:p>
                    <w:p>
                      <w:pPr>
                        <w:spacing w:line="203" w:lineRule="exact" w:before="105"/>
                        <w:ind w:left="0" w:right="1" w:firstLine="0"/>
                        <w:jc w:val="right"/>
                        <w:rPr>
                          <w:rFonts w:ascii="Times New Roman" w:hAnsi="Times New Roman" w:cs="Times New Roman" w:eastAsia="Times New Roman" w:hint="default"/>
                          <w:sz w:val="18"/>
                          <w:szCs w:val="18"/>
                        </w:rPr>
                      </w:pPr>
                      <w:r>
                        <w:rPr>
                          <w:rFonts w:ascii="Times New Roman"/>
                          <w:sz w:val="18"/>
                        </w:rPr>
                        <w:t>7</w:t>
                      </w:r>
                    </w:p>
                  </w:txbxContent>
                </v:textbox>
                <w10:wrap type="none"/>
              </v:shape>
              <v:shape style="position:absolute;left:7543;top:7091;width:946;height:492" type="#_x0000_t202" filled="false" stroked="false">
                <v:textbox inset="0,0,0,0">
                  <w:txbxContent>
                    <w:p>
                      <w:pPr>
                        <w:spacing w:line="184" w:lineRule="exact" w:before="0"/>
                        <w:ind w:left="0" w:right="0" w:firstLine="0"/>
                        <w:jc w:val="right"/>
                        <w:rPr>
                          <w:rFonts w:ascii="Times New Roman" w:hAnsi="Times New Roman" w:cs="Times New Roman" w:eastAsia="Times New Roman" w:hint="default"/>
                          <w:sz w:val="18"/>
                          <w:szCs w:val="18"/>
                        </w:rPr>
                      </w:pPr>
                      <w:r>
                        <w:rPr>
                          <w:rFonts w:ascii="Times New Roman"/>
                          <w:spacing w:val="-1"/>
                          <w:sz w:val="18"/>
                        </w:rPr>
                        <w:t>53,017,841.0</w:t>
                      </w:r>
                    </w:p>
                    <w:p>
                      <w:pPr>
                        <w:spacing w:line="203" w:lineRule="exact" w:before="105"/>
                        <w:ind w:left="0" w:right="1" w:firstLine="0"/>
                        <w:jc w:val="right"/>
                        <w:rPr>
                          <w:rFonts w:ascii="Times New Roman" w:hAnsi="Times New Roman" w:cs="Times New Roman" w:eastAsia="Times New Roman" w:hint="default"/>
                          <w:sz w:val="18"/>
                          <w:szCs w:val="18"/>
                        </w:rPr>
                      </w:pPr>
                      <w:r>
                        <w:rPr>
                          <w:rFonts w:ascii="Times New Roman"/>
                          <w:sz w:val="18"/>
                        </w:rPr>
                        <w:t>0</w:t>
                      </w:r>
                    </w:p>
                  </w:txbxContent>
                </v:textbox>
                <w10:wrap type="none"/>
              </v:shape>
              <v:shape style="position:absolute;left:8987;top:7247;width:120;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w:t>
                      </w:r>
                    </w:p>
                  </w:txbxContent>
                </v:textbox>
                <w10:wrap type="none"/>
              </v:shape>
            </v:group>
          </v:group>
        </w:pict>
      </w:r>
      <w:r>
        <w:rPr>
          <w:rFonts w:ascii="宋体" w:hAnsi="宋体" w:cs="宋体" w:eastAsia="宋体" w:hint="default"/>
          <w:position w:val="-153"/>
          <w:sz w:val="20"/>
          <w:szCs w:val="20"/>
        </w:rPr>
      </w:r>
    </w:p>
    <w:p>
      <w:pPr>
        <w:spacing w:line="240" w:lineRule="auto" w:before="11"/>
        <w:rPr>
          <w:rFonts w:ascii="宋体" w:hAnsi="宋体" w:cs="宋体" w:eastAsia="宋体" w:hint="default"/>
          <w:sz w:val="18"/>
          <w:szCs w:val="18"/>
        </w:rPr>
      </w:pPr>
    </w:p>
    <w:p>
      <w:pPr>
        <w:pStyle w:val="Heading3"/>
        <w:spacing w:line="240" w:lineRule="auto"/>
        <w:ind w:right="0"/>
        <w:jc w:val="left"/>
        <w:rPr>
          <w:b w:val="0"/>
          <w:bCs w:val="0"/>
        </w:rPr>
      </w:pPr>
      <w:r>
        <w:rPr>
          <w:rFonts w:ascii="Times New Roman" w:hAnsi="Times New Roman" w:cs="Times New Roman" w:eastAsia="Times New Roman" w:hint="default"/>
        </w:rPr>
        <w:t>44</w:t>
      </w:r>
      <w:r>
        <w:rPr/>
        <w:t>、营业外支出</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162" w:hRule="exact"/>
        </w:trPr>
        <w:tc>
          <w:tcPr>
            <w:tcW w:w="23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9" w:type="dxa"/>
            <w:vMerge/>
            <w:tcBorders>
              <w:left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89" w:type="dxa"/>
            <w:vMerge/>
            <w:tcBorders>
              <w:left w:val="single" w:sz="4" w:space="0" w:color="000000"/>
              <w:bottom w:val="single" w:sz="4" w:space="0" w:color="000000"/>
              <w:right w:val="single" w:sz="4" w:space="0" w:color="000000"/>
            </w:tcBorders>
            <w:shd w:val="clear" w:color="auto" w:fill="D3D3D3"/>
          </w:tcPr>
          <w:p>
            <w:pPr/>
          </w:p>
        </w:tc>
        <w:tc>
          <w:tcPr>
            <w:tcW w:w="2395"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14,384,941.79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7,492,255.87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14,384,941.79</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13,908,735.35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1,901,785.09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13,908,735.35</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2" w:right="0"/>
              <w:jc w:val="left"/>
              <w:rPr>
                <w:rFonts w:ascii="宋体" w:hAnsi="宋体" w:cs="宋体" w:eastAsia="宋体" w:hint="default"/>
                <w:sz w:val="18"/>
                <w:szCs w:val="18"/>
              </w:rPr>
            </w:pPr>
            <w:r>
              <w:rPr>
                <w:rFonts w:ascii="宋体" w:hAnsi="宋体" w:cs="宋体" w:eastAsia="宋体" w:hint="default"/>
                <w:sz w:val="18"/>
                <w:szCs w:val="18"/>
              </w:rPr>
              <w:t>无形资产处置损失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476,206.44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5,590,470.78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476,206.44</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超额盈利奖励</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7,644,347.57</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7,644,347.57</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8,137,556.67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3,573,049.25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8,137,556.67</w:t>
            </w:r>
          </w:p>
        </w:tc>
      </w:tr>
      <w:tr>
        <w:trPr>
          <w:trHeight w:val="403"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30,166,846.03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11,065,305.12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30,166,846.03</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45</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left="153" w:right="0"/>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12,179,453.77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9,687,852.12</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1,313,124.03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-3,299,564.97</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13,492,577.80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6,388,287.15</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119,895,110.61</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17,984,266.59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-3,101,568.33</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-3,764,054.69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424,603.77</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2,074,919.09</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-19,571,078.73</w:t>
            </w:r>
          </w:p>
        </w:tc>
      </w:tr>
      <w:tr>
        <w:trPr>
          <w:trHeight w:val="714"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19,445,490.10</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13,492,577.80</w:t>
            </w:r>
          </w:p>
        </w:tc>
      </w:tr>
    </w:tbl>
    <w:p>
      <w:pPr>
        <w:spacing w:line="240" w:lineRule="auto" w:before="2"/>
        <w:rPr>
          <w:rFonts w:ascii="宋体" w:hAnsi="宋体" w:cs="宋体" w:eastAsia="宋体" w:hint="default"/>
          <w:sz w:val="19"/>
          <w:szCs w:val="19"/>
        </w:rPr>
      </w:pPr>
    </w:p>
    <w:p>
      <w:pPr>
        <w:spacing w:line="544" w:lineRule="auto" w:before="35"/>
        <w:ind w:left="154" w:right="7873"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46</w:t>
      </w:r>
      <w:r>
        <w:rPr>
          <w:rFonts w:ascii="宋体" w:hAnsi="宋体" w:cs="宋体" w:eastAsia="宋体" w:hint="default"/>
          <w:b/>
          <w:bCs/>
          <w:sz w:val="21"/>
          <w:szCs w:val="21"/>
        </w:rPr>
        <w:t>、其他综合收益</w:t>
      </w:r>
      <w:r>
        <w:rPr>
          <w:rFonts w:ascii="宋体" w:hAnsi="宋体" w:cs="宋体" w:eastAsia="宋体" w:hint="default"/>
          <w:b/>
          <w:bCs/>
          <w:spacing w:val="1"/>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w:t>
      </w:r>
      <w:r>
        <w:rPr>
          <w:rFonts w:ascii="宋体" w:hAnsi="宋体" w:cs="宋体" w:eastAsia="宋体" w:hint="default"/>
          <w:sz w:val="18"/>
          <w:szCs w:val="18"/>
        </w:rPr>
        <w:t>。 </w:t>
      </w:r>
      <w:r>
        <w:rPr>
          <w:rFonts w:ascii="Times New Roman" w:hAnsi="Times New Roman" w:cs="Times New Roman" w:eastAsia="Times New Roman" w:hint="default"/>
          <w:b/>
          <w:bCs/>
          <w:sz w:val="21"/>
          <w:szCs w:val="21"/>
        </w:rPr>
        <w:t>47</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8"/>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收到与收益相关的政府补助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24,345,867.67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13,380,465.00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活期存款利息收入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4,532,955.30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7,555,415.43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1,975,334.54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750,734.76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30,854,157.51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21,686,615.19</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支付销售费用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164,144,198.32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234,601,241.36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支付管理费用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160,263,831.33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248,969,005.63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支付票据保证金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36,705,350.12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40,898,474.39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支付履约保函保证金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1,204,435.37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8,615,026.86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37,845,941.19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7,228,873.11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400,163,756.33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540,312,621.35</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初存目的为投资的定期存款及利息收入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86,624,975.35</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收回理财产品及利息收入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49,516,702.28</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136,141,667.63</w:t>
            </w:r>
          </w:p>
        </w:tc>
        <w:tc>
          <w:tcPr>
            <w:tcW w:w="318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初存目的为投资的定期存款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8,577,904.12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96,285,756.00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购买理财产品</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2"/>
              <w:jc w:val="left"/>
              <w:rPr>
                <w:rFonts w:ascii="宋体" w:hAnsi="宋体" w:cs="宋体" w:eastAsia="宋体" w:hint="default"/>
                <w:sz w:val="18"/>
                <w:szCs w:val="18"/>
              </w:rPr>
            </w:pPr>
            <w:r>
              <w:rPr>
                <w:rFonts w:ascii="宋体" w:hAnsi="宋体" w:cs="宋体" w:eastAsia="宋体" w:hint="default"/>
                <w:sz w:val="18"/>
                <w:szCs w:val="18"/>
              </w:rPr>
              <w:t>丧失控制权日子公司持有的现金及现金 等价物</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2,808,733.39</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11,577,904.12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99,094,489.39</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收购少数股东股权款</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2,956,250.00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黄金租赁融资</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30,040,540.20</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32,996,790.20</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r>
        <w:rPr/>
        <w:pict>
          <v:shape style="position:absolute;margin-left:190.140594pt;margin-top:439.320007pt;width:185.55pt;height:19.650pt;mso-position-horizontal-relative:page;mso-position-vertical-relative:page;z-index:-1025992"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r>
        <w:rPr/>
        <w:pict>
          <v:shape style="position:absolute;margin-left:190.140594pt;margin-top:459.420013pt;width:185.55pt;height:19.650pt;mso-position-horizontal-relative:page;mso-position-vertical-relative:page;z-index:-1025968"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号填列）</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黄金租赁融资</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31,282,750.70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31,282,750.70</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48</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106,402,532.81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-272,861,604.02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60,683,122.61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24,252,810.56</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42,085,070.70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42,003,453.97</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12,597,347.98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3,444,141.35</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518,948.10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291,814.28</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-40,495,603.33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6,703,813.22</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50,156,195.22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58,661,764.99</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35,519,578.50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6,280,854.53</w:t>
            </w:r>
          </w:p>
        </w:tc>
      </w:tr>
      <w:tr>
        <w:trPr>
          <w:trHeight w:val="402" w:hRule="exact"/>
        </w:trPr>
        <w:tc>
          <w:tcPr>
            <w:tcW w:w="3328"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3056"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2,424,874.56</w:t>
            </w:r>
          </w:p>
        </w:tc>
        <w:tc>
          <w:tcPr>
            <w:tcW w:w="318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-3,299,564.97</w:t>
            </w:r>
          </w:p>
        </w:tc>
      </w:tr>
      <w:tr>
        <w:trPr>
          <w:trHeight w:val="402" w:hRule="exact"/>
        </w:trPr>
        <w:tc>
          <w:tcPr>
            <w:tcW w:w="3328" w:type="dxa"/>
            <w:tcBorders>
              <w:top w:val="single" w:sz="4" w:space="0" w:color="000000"/>
              <w:left w:val="single" w:sz="4" w:space="0" w:color="000000"/>
              <w:bottom w:val="single" w:sz="4" w:space="0" w:color="000000"/>
              <w:right w:val="single" w:sz="13" w:space="0" w:color="FFFFFF"/>
            </w:tcBorders>
            <w:shd w:val="clear" w:color="auto" w:fill="D3D3D3"/>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p>
        </w:tc>
        <w:tc>
          <w:tcPr>
            <w:tcW w:w="3056"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2"/>
                <w:sz w:val="18"/>
              </w:rPr>
              <w:t>-1,111,750.53</w:t>
            </w:r>
          </w:p>
        </w:tc>
        <w:tc>
          <w:tcPr>
            <w:tcW w:w="3184" w:type="dxa"/>
            <w:tcBorders>
              <w:top w:val="single" w:sz="4" w:space="0" w:color="000000"/>
              <w:left w:val="single" w:sz="13" w:space="0" w:color="FFFFFF"/>
              <w:bottom w:val="single" w:sz="4" w:space="0" w:color="000000"/>
              <w:right w:val="single" w:sz="4" w:space="0" w:color="000000"/>
            </w:tcBorders>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-131,176,037.90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90,614,655.94</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-426,789,986.38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27,954,534.80</w:t>
            </w:r>
          </w:p>
        </w:tc>
      </w:tr>
      <w:tr>
        <w:trPr>
          <w:trHeight w:val="714"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5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338,171,866.47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-96,529,181.95</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48,986,158.81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-112,482,507.30</w:t>
            </w:r>
          </w:p>
        </w:tc>
      </w:tr>
      <w:tr>
        <w:trPr>
          <w:trHeight w:val="161" w:hRule="exact"/>
        </w:trPr>
        <w:tc>
          <w:tcPr>
            <w:tcW w:w="3328" w:type="dxa"/>
            <w:vMerge w:val="restart"/>
            <w:tcBorders>
              <w:top w:val="single" w:sz="4" w:space="0" w:color="000000"/>
              <w:left w:val="single" w:sz="4" w:space="0" w:color="000000"/>
              <w:right w:val="single" w:sz="4" w:space="0" w:color="000000"/>
            </w:tcBorders>
            <w:shd w:val="clear" w:color="auto" w:fill="D3D3D3"/>
          </w:tcPr>
          <w:p>
            <w:pPr>
              <w:pStyle w:val="TableParagraph"/>
              <w:spacing w:line="300" w:lineRule="auto" w:before="51"/>
              <w:ind w:left="22" w:right="14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6" w:type="dxa"/>
            <w:tcBorders>
              <w:top w:val="single" w:sz="4" w:space="0" w:color="000000"/>
              <w:left w:val="single" w:sz="4" w:space="0" w:color="000000"/>
              <w:bottom w:val="nil" w:sz="6" w:space="0" w:color="auto"/>
              <w:right w:val="single" w:sz="4" w:space="0" w:color="000000"/>
            </w:tcBorders>
            <w:shd w:val="clear" w:color="auto" w:fill="D3D3D3"/>
          </w:tcPr>
          <w:p>
            <w:pPr/>
          </w:p>
        </w:tc>
        <w:tc>
          <w:tcPr>
            <w:tcW w:w="318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3328" w:type="dxa"/>
            <w:vMerge/>
            <w:tcBorders>
              <w:left w:val="single" w:sz="4" w:space="0" w:color="000000"/>
              <w:right w:val="single" w:sz="4" w:space="0" w:color="000000"/>
            </w:tcBorders>
            <w:shd w:val="clear" w:color="auto" w:fill="D3D3D3"/>
          </w:tcPr>
          <w:p>
            <w:pPr/>
          </w:p>
        </w:tc>
        <w:tc>
          <w:tcPr>
            <w:tcW w:w="305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8" w:type="dxa"/>
            <w:vMerge/>
            <w:tcBorders>
              <w:left w:val="single" w:sz="4" w:space="0" w:color="000000"/>
              <w:bottom w:val="single" w:sz="4" w:space="0" w:color="000000"/>
              <w:right w:val="single" w:sz="4" w:space="0" w:color="000000"/>
            </w:tcBorders>
            <w:shd w:val="clear" w:color="auto" w:fill="D3D3D3"/>
          </w:tcPr>
          <w:p>
            <w:pPr/>
          </w:p>
        </w:tc>
        <w:tc>
          <w:tcPr>
            <w:tcW w:w="3056" w:type="dxa"/>
            <w:tcBorders>
              <w:top w:val="nil" w:sz="6" w:space="0" w:color="auto"/>
              <w:left w:val="single" w:sz="4" w:space="0" w:color="000000"/>
              <w:bottom w:val="single" w:sz="4" w:space="0" w:color="000000"/>
              <w:right w:val="single" w:sz="4" w:space="0" w:color="000000"/>
            </w:tcBorders>
            <w:shd w:val="clear" w:color="auto" w:fill="D3D3D3"/>
          </w:tcPr>
          <w:p>
            <w:pPr/>
          </w:p>
        </w:tc>
        <w:tc>
          <w:tcPr>
            <w:tcW w:w="318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1,015,653,145.02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389,805,146.41</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389,805,146.41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640,039,906.01</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625,847,998.61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-250,234,759.60</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8"/>
        <w:gridCol w:w="4579"/>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688,500,000.00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梦网科技</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688,500,000.00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减：购买日子公司持有的现金及现金等价物</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146,692,996.36</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梦网科技</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146,692,996.36</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541,807,003.64</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8"/>
        <w:gridCol w:w="4579"/>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7,225,324.65</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诚和伟业</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21,260.39</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荣华恒信</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荣信光伏</w:t>
            </w:r>
          </w:p>
        </w:tc>
        <w:tc>
          <w:tcPr>
            <w:tcW w:w="45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广州邦建</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119,172.66</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西安荣信</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84,891.60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3,084,761.48</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诚和伟业</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21,260.39</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北京荣华恒信开关技术有限公司</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1,720,405.08</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荣信光伏</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1,366.49</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广州邦建</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1,185,089.42</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西安荣信</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156,640.10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4,140,563.17</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1"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763" w:right="0"/>
              <w:jc w:val="left"/>
              <w:rPr>
                <w:rFonts w:ascii="Times New Roman" w:hAnsi="Times New Roman" w:cs="Times New Roman" w:eastAsia="Times New Roman" w:hint="default"/>
                <w:sz w:val="18"/>
                <w:szCs w:val="18"/>
              </w:rPr>
            </w:pPr>
            <w:r>
              <w:rPr>
                <w:rFonts w:ascii="Times New Roman"/>
                <w:sz w:val="18"/>
              </w:rPr>
              <w:t>1,015,653,145.02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26" w:right="0"/>
              <w:jc w:val="left"/>
              <w:rPr>
                <w:rFonts w:ascii="Times New Roman" w:hAnsi="Times New Roman" w:cs="Times New Roman" w:eastAsia="Times New Roman" w:hint="default"/>
                <w:sz w:val="18"/>
                <w:szCs w:val="18"/>
              </w:rPr>
            </w:pPr>
            <w:r>
              <w:rPr>
                <w:rFonts w:ascii="Times New Roman"/>
                <w:sz w:val="18"/>
              </w:rPr>
              <w:t>389,805,146.41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7"/>
        <w:gridCol w:w="3057"/>
        <w:gridCol w:w="3184"/>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221,394.01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507,987.33</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1,013,231,751.01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339,783,657.83</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49,513,501.25</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1,015,653,145.02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389,805,146.41</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49</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8"/>
        <w:gridCol w:w="3056"/>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111,376,480.47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保证金存款、履约保证金等</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36,371,394.92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抵押、质押借款</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26,952,479.74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抵押借款</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174,700,355.13</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50</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5"/>
        <w:gridCol w:w="2293"/>
        <w:gridCol w:w="2390"/>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1,304,987.50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8,474,066.83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929.35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6,593.92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印度卢比</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42,179,480.95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0.0977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4,120,935.29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莫桑比克提拉姆</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10,784,232.86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0.1399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1,508,714.18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阿联酋迪拉姆</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496.60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1.7681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878.04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38,189.35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9.6159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367,224.97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 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915,054.84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5,942,000.11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3,965,804.68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28,138,177.37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挪威克朗</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22,218,927.10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0.7386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16,410,899.56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其中：英镑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418,425.00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9.6159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4,023,532.96</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5,917,897.28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38,428,457.78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19,489.30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6.4936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126,555.72</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266,940.75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7.0952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1,893,998.01</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5"/>
        <w:gridCol w:w="2293"/>
        <w:gridCol w:w="2390"/>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其中：英镑</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98,632.51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9.6159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46" w:right="0"/>
              <w:jc w:val="left"/>
              <w:rPr>
                <w:rFonts w:ascii="Times New Roman" w:hAnsi="Times New Roman" w:cs="Times New Roman" w:eastAsia="Times New Roman" w:hint="default"/>
                <w:sz w:val="18"/>
                <w:szCs w:val="18"/>
              </w:rPr>
            </w:pPr>
            <w:r>
              <w:rPr>
                <w:rFonts w:ascii="Times New Roman"/>
                <w:sz w:val="18"/>
              </w:rPr>
              <w:t>948,440.35</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left="153" w:right="0"/>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3"/>
        <w:gridCol w:w="1064"/>
        <w:gridCol w:w="1063"/>
        <w:gridCol w:w="1064"/>
        <w:gridCol w:w="1064"/>
        <w:gridCol w:w="1063"/>
        <w:gridCol w:w="1062"/>
        <w:gridCol w:w="1062"/>
        <w:gridCol w:w="1062"/>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55" w:right="74"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r>
        <w:trPr>
          <w:trHeight w:val="714" w:hRule="exact"/>
        </w:trPr>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梦网科技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2,905,000,00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6" w:right="0"/>
              <w:jc w:val="left"/>
              <w:rPr>
                <w:rFonts w:ascii="Times New Roman" w:hAnsi="Times New Roman" w:cs="Times New Roman" w:eastAsia="Times New Roman" w:hint="default"/>
                <w:sz w:val="18"/>
                <w:szCs w:val="18"/>
              </w:rPr>
            </w:pPr>
            <w:r>
              <w:rPr>
                <w:rFonts w:ascii="Times New Roman"/>
                <w:sz w:val="18"/>
              </w:rPr>
              <w:t>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现金及股份</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见说明</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400,565,613.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15</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86,426,469.5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0"/>
        <w:ind w:right="148" w:firstLine="419"/>
        <w:jc w:val="both"/>
      </w:pPr>
      <w:r>
        <w:rPr>
          <w:spacing w:val="-1"/>
        </w:rPr>
        <w:t>本公司与梦网科技的重大资产重组于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3</w:t>
      </w:r>
      <w:r>
        <w:rPr>
          <w:spacing w:val="-1"/>
        </w:rPr>
        <w:t>月已经获得双方全体股东同意。于</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22</w:t>
      </w:r>
      <w:r>
        <w:rPr>
          <w:spacing w:val="-1"/>
        </w:rPr>
        <w:t>日通过中</w:t>
      </w:r>
      <w:r>
        <w:rPr/>
        <w:t> </w:t>
      </w:r>
      <w:r>
        <w:rPr>
          <w:spacing w:val="-3"/>
        </w:rPr>
        <w:t>国证监会审核批准，于</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8</w:t>
      </w:r>
      <w:r>
        <w:rPr>
          <w:spacing w:val="-3"/>
        </w:rPr>
        <w:t>月</w:t>
      </w:r>
      <w:r>
        <w:rPr>
          <w:rFonts w:ascii="Times New Roman" w:hAnsi="Times New Roman" w:cs="Times New Roman" w:eastAsia="Times New Roman" w:hint="default"/>
          <w:spacing w:val="-3"/>
        </w:rPr>
        <w:t>28</w:t>
      </w:r>
      <w:r>
        <w:rPr>
          <w:spacing w:val="-3"/>
        </w:rPr>
        <w:t>日梦网科技资产过户完毕且完成了工商变更登记。因此，本公司以</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日作为购买日。</w:t>
      </w:r>
    </w:p>
    <w:p>
      <w:pPr>
        <w:spacing w:line="240" w:lineRule="auto" w:before="5"/>
        <w:rPr>
          <w:rFonts w:ascii="宋体" w:hAnsi="宋体" w:cs="宋体" w:eastAsia="宋体" w:hint="default"/>
          <w:sz w:val="23"/>
          <w:szCs w:val="23"/>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478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梦网科技</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688,500,000.00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2,216,500,000.00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2,905,000,000.00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434,958,948.05</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20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 额</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2,470,041,051.95</w:t>
            </w:r>
          </w:p>
        </w:tc>
      </w:tr>
    </w:tbl>
    <w:p>
      <w:pPr>
        <w:spacing w:line="357" w:lineRule="auto" w:before="51"/>
        <w:ind w:left="153" w:right="5091"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pStyle w:val="BodyText"/>
        <w:spacing w:line="256" w:lineRule="auto" w:before="2"/>
        <w:ind w:left="153" w:right="139" w:firstLine="420"/>
        <w:jc w:val="left"/>
      </w:pPr>
      <w:r>
        <w:rPr/>
        <w:t>根据《资产评估报告》（中联评报字〔</w:t>
      </w:r>
      <w:r>
        <w:rPr>
          <w:rFonts w:ascii="Times New Roman" w:hAnsi="Times New Roman" w:cs="Times New Roman" w:eastAsia="Times New Roman" w:hint="default"/>
        </w:rPr>
        <w:t>2015</w:t>
      </w:r>
      <w:r>
        <w:rPr/>
        <w:t>〕第 </w:t>
      </w:r>
      <w:r>
        <w:rPr>
          <w:rFonts w:ascii="Times New Roman" w:hAnsi="Times New Roman" w:cs="Times New Roman" w:eastAsia="Times New Roman" w:hint="default"/>
        </w:rPr>
        <w:t>138 </w:t>
      </w:r>
      <w:r>
        <w:rPr/>
        <w:t>号）收益法评估结果，梦网科技</w:t>
      </w:r>
      <w:r>
        <w:rPr>
          <w:spacing w:val="-46"/>
        </w:rPr>
        <w:t> </w:t>
      </w:r>
      <w:r>
        <w:rPr>
          <w:rFonts w:ascii="Times New Roman" w:hAnsi="Times New Roman" w:cs="Times New Roman" w:eastAsia="Times New Roman" w:hint="default"/>
        </w:rPr>
        <w:t>100%</w:t>
      </w:r>
      <w:r>
        <w:rPr/>
        <w:t>股权的评</w:t>
      </w:r>
      <w:r>
        <w:rPr>
          <w:spacing w:val="1"/>
        </w:rPr>
        <w:t> </w:t>
      </w:r>
      <w:r>
        <w:rPr/>
        <w:t>估价值为 </w:t>
      </w:r>
      <w:r>
        <w:rPr>
          <w:rFonts w:ascii="Times New Roman" w:hAnsi="Times New Roman" w:cs="Times New Roman" w:eastAsia="Times New Roman" w:hint="default"/>
        </w:rPr>
        <w:t>290,500.00</w:t>
      </w:r>
      <w:r>
        <w:rPr>
          <w:rFonts w:ascii="Times New Roman" w:hAnsi="Times New Roman" w:cs="Times New Roman" w:eastAsia="Times New Roman" w:hint="default"/>
          <w:spacing w:val="-5"/>
        </w:rPr>
        <w:t> </w:t>
      </w:r>
      <w:r>
        <w:rPr/>
        <w:t>万元。该金额与取得的可辨认净资产公允价值份额</w:t>
      </w:r>
      <w:r>
        <w:rPr>
          <w:rFonts w:ascii="Times New Roman" w:hAnsi="Times New Roman" w:cs="Times New Roman" w:eastAsia="Times New Roman" w:hint="default"/>
        </w:rPr>
        <w:t>434,958,948.05</w:t>
      </w:r>
      <w:r>
        <w:rPr/>
        <w:t>元差额确认商誉。</w:t>
      </w:r>
    </w:p>
    <w:p>
      <w:pPr>
        <w:spacing w:line="240" w:lineRule="auto" w:before="5"/>
        <w:rPr>
          <w:rFonts w:ascii="宋体" w:hAnsi="宋体" w:cs="宋体" w:eastAsia="宋体" w:hint="default"/>
          <w:sz w:val="23"/>
          <w:szCs w:val="23"/>
        </w:rPr>
      </w:pPr>
    </w:p>
    <w:p>
      <w:pPr>
        <w:pStyle w:val="Heading3"/>
        <w:spacing w:line="240" w:lineRule="auto" w:before="0"/>
        <w:ind w:left="153" w:right="0"/>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380" w:type="dxa"/>
            <w:gridSpan w:val="2"/>
            <w:tcBorders>
              <w:top w:val="single" w:sz="4" w:space="0" w:color="000000"/>
              <w:left w:val="single" w:sz="4" w:space="0" w:color="000000"/>
              <w:bottom w:val="single" w:sz="4" w:space="0" w:color="000000"/>
              <w:right w:val="single" w:sz="4" w:space="0" w:color="000000"/>
            </w:tcBorders>
            <w:shd w:val="clear" w:color="auto" w:fill="E1FFFF"/>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3" w:right="0"/>
              <w:jc w:val="left"/>
              <w:rPr>
                <w:rFonts w:ascii="Times New Roman" w:hAnsi="Times New Roman" w:cs="Times New Roman" w:eastAsia="Times New Roman" w:hint="default"/>
                <w:sz w:val="18"/>
                <w:szCs w:val="18"/>
              </w:rPr>
            </w:pPr>
            <w:r>
              <w:rPr>
                <w:rFonts w:ascii="Times New Roman"/>
                <w:sz w:val="18"/>
              </w:rPr>
              <w:t>176,692,996.36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32" w:right="0"/>
              <w:jc w:val="left"/>
              <w:rPr>
                <w:rFonts w:ascii="Times New Roman" w:hAnsi="Times New Roman" w:cs="Times New Roman" w:eastAsia="Times New Roman" w:hint="default"/>
                <w:sz w:val="18"/>
                <w:szCs w:val="18"/>
              </w:rPr>
            </w:pPr>
            <w:r>
              <w:rPr>
                <w:rFonts w:ascii="Times New Roman"/>
                <w:sz w:val="18"/>
              </w:rPr>
              <w:t>176,692,996.36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265,510,559.54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265,510,559.54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264,094.95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264,094.95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11,959,168.45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11,959,168.45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154,309,079.56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611,953.30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91,016,616.42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91,016,616.42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23,054,568.94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434,958,948.05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316,336,794.04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434,958,948.05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316,336,794.04</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w:t>
      </w:r>
      <w:r>
        <w:rPr/>
        <w:t>、处置子公司</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before="117"/>
        <w:ind w:left="15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295" w:space="453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58" w:hRule="exact"/>
        </w:trPr>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处置价</w:t>
            </w: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737" w:type="dxa"/>
            <w:tcBorders>
              <w:top w:val="single" w:sz="4" w:space="0" w:color="000000"/>
              <w:left w:val="single" w:sz="4" w:space="0" w:color="000000"/>
              <w:bottom w:val="nil" w:sz="6" w:space="0" w:color="auto"/>
              <w:right w:val="single" w:sz="4" w:space="0" w:color="000000"/>
            </w:tcBorders>
            <w:shd w:val="clear" w:color="auto" w:fill="D3D3D3"/>
          </w:tcPr>
          <w:p>
            <w:pPr/>
          </w:p>
        </w:tc>
        <w:tc>
          <w:tcPr>
            <w:tcW w:w="736"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120" w:hRule="exact"/>
        </w:trPr>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182" w:right="91"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61"/>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92" w:right="90"/>
              <w:jc w:val="both"/>
              <w:rPr>
                <w:rFonts w:ascii="宋体" w:hAnsi="宋体" w:cs="宋体" w:eastAsia="宋体" w:hint="default"/>
                <w:sz w:val="18"/>
                <w:szCs w:val="18"/>
              </w:rPr>
            </w:pPr>
            <w:r>
              <w:rPr>
                <w:rFonts w:ascii="宋体" w:hAnsi="宋体" w:cs="宋体" w:eastAsia="宋体" w:hint="default"/>
                <w:sz w:val="18"/>
                <w:szCs w:val="18"/>
              </w:rPr>
              <w:t>款与处 置投资 对应的 合并财 务报表 层面享 有该子 公司净 资产份 额的差</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316" w:lineRule="auto"/>
              <w:ind w:left="92"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356" w:hRule="exact"/>
        </w:trPr>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737" w:type="dxa"/>
            <w:tcBorders>
              <w:top w:val="nil" w:sz="6" w:space="0" w:color="auto"/>
              <w:left w:val="single" w:sz="4" w:space="0" w:color="000000"/>
              <w:bottom w:val="single" w:sz="4" w:space="0" w:color="000000"/>
              <w:right w:val="single" w:sz="4" w:space="0" w:color="000000"/>
            </w:tcBorders>
            <w:shd w:val="clear" w:color="auto" w:fill="D3D3D3"/>
          </w:tcPr>
          <w:p>
            <w:pPr/>
          </w:p>
        </w:tc>
        <w:tc>
          <w:tcPr>
            <w:tcW w:w="736"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诚和伟 业</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92.38%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工商注 销完毕</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-19,640.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荣华恒 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14,000,0</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股权转 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资产过 户完毕</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8,386,18</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2.55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荣信光 伏</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4,115,00</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股权转 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资产过 户完毕</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-443,636</w:t>
            </w:r>
          </w:p>
          <w:p>
            <w:pPr>
              <w:pStyle w:val="TableParagraph"/>
              <w:spacing w:line="240" w:lineRule="auto" w:before="105"/>
              <w:ind w:left="477" w:right="0"/>
              <w:jc w:val="left"/>
              <w:rPr>
                <w:rFonts w:ascii="Times New Roman" w:hAnsi="Times New Roman" w:cs="Times New Roman" w:eastAsia="Times New Roman" w:hint="default"/>
                <w:sz w:val="18"/>
                <w:szCs w:val="18"/>
              </w:rPr>
            </w:pPr>
            <w:r>
              <w:rPr>
                <w:rFonts w:ascii="Times New Roman"/>
                <w:sz w:val="18"/>
              </w:rPr>
              <w:t>.91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广州邦 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119,172.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股权转 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61"/>
              <w:jc w:val="left"/>
              <w:rPr>
                <w:rFonts w:ascii="宋体" w:hAnsi="宋体" w:cs="宋体" w:eastAsia="宋体" w:hint="default"/>
                <w:sz w:val="18"/>
                <w:szCs w:val="18"/>
              </w:rPr>
            </w:pPr>
            <w:r>
              <w:rPr>
                <w:rFonts w:ascii="宋体" w:hAnsi="宋体" w:cs="宋体" w:eastAsia="宋体" w:hint="default"/>
                <w:sz w:val="18"/>
                <w:szCs w:val="18"/>
              </w:rPr>
              <w:t>资产过 户完毕</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108,231.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04</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西安荣 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84,891.6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股权转 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4"/>
                <w:sz w:val="18"/>
                <w:szCs w:val="18"/>
              </w:rPr>
              <w:t>11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61"/>
              <w:jc w:val="left"/>
              <w:rPr>
                <w:rFonts w:ascii="宋体" w:hAnsi="宋体" w:cs="宋体" w:eastAsia="宋体" w:hint="default"/>
                <w:sz w:val="18"/>
                <w:szCs w:val="18"/>
              </w:rPr>
            </w:pPr>
            <w:r>
              <w:rPr>
                <w:rFonts w:ascii="宋体" w:hAnsi="宋体" w:cs="宋体" w:eastAsia="宋体" w:hint="default"/>
                <w:sz w:val="18"/>
                <w:szCs w:val="18"/>
              </w:rPr>
              <w:t>资产过 户完毕</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395.01</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62" w:hRule="exact"/>
        </w:trPr>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56" w:lineRule="auto" w:before="90"/>
        <w:ind w:right="148" w:firstLine="420"/>
        <w:jc w:val="both"/>
      </w:pPr>
      <w:r>
        <w:rPr>
          <w:rFonts w:ascii="Times New Roman" w:hAnsi="Times New Roman" w:cs="Times New Roman" w:eastAsia="Times New Roman" w:hint="default"/>
        </w:rPr>
        <w:t>1)</w:t>
      </w:r>
      <w:r>
        <w:rPr/>
        <w:t>本公司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月与北京博电签订股权转让协议，本公司将北京荣华恒信开关技术有限公司</w:t>
      </w:r>
      <w:r>
        <w:rPr>
          <w:rFonts w:ascii="Times New Roman" w:hAnsi="Times New Roman" w:cs="Times New Roman" w:eastAsia="Times New Roman" w:hint="default"/>
        </w:rPr>
        <w:t>(</w:t>
      </w:r>
      <w:r>
        <w:rPr/>
        <w:t>简称荣 </w:t>
      </w:r>
      <w:r>
        <w:rPr>
          <w:spacing w:val="-1"/>
        </w:rPr>
        <w:t>华恒信</w:t>
      </w:r>
      <w:r>
        <w:rPr>
          <w:rFonts w:ascii="Times New Roman" w:hAnsi="Times New Roman" w:cs="Times New Roman" w:eastAsia="Times New Roman" w:hint="default"/>
          <w:spacing w:val="-1"/>
        </w:rPr>
        <w:t>)70%</w:t>
      </w:r>
      <w:r>
        <w:rPr>
          <w:spacing w:val="-1"/>
        </w:rPr>
        <w:t>的股权以</w:t>
      </w:r>
      <w:r>
        <w:rPr>
          <w:rFonts w:ascii="Times New Roman" w:hAnsi="Times New Roman" w:cs="Times New Roman" w:eastAsia="Times New Roman" w:hint="default"/>
          <w:spacing w:val="-1"/>
        </w:rPr>
        <w:t>1400</w:t>
      </w:r>
      <w:r>
        <w:rPr>
          <w:spacing w:val="-1"/>
        </w:rPr>
        <w:t>万元转让给北京博电，北京博电支付</w:t>
      </w:r>
      <w:r>
        <w:rPr>
          <w:rFonts w:ascii="Times New Roman" w:hAnsi="Times New Roman" w:cs="Times New Roman" w:eastAsia="Times New Roman" w:hint="default"/>
          <w:spacing w:val="-1"/>
        </w:rPr>
        <w:t>700</w:t>
      </w:r>
      <w:r>
        <w:rPr>
          <w:spacing w:val="-1"/>
        </w:rPr>
        <w:t>万现金及</w:t>
      </w:r>
      <w:r>
        <w:rPr>
          <w:rFonts w:ascii="Times New Roman" w:hAnsi="Times New Roman" w:cs="Times New Roman" w:eastAsia="Times New Roman" w:hint="default"/>
          <w:spacing w:val="-1"/>
        </w:rPr>
        <w:t>10</w:t>
      </w:r>
      <w:r>
        <w:rPr>
          <w:spacing w:val="-1"/>
        </w:rPr>
        <w:t>元</w:t>
      </w:r>
      <w:r>
        <w:rPr>
          <w:rFonts w:ascii="Times New Roman" w:hAnsi="Times New Roman" w:cs="Times New Roman" w:eastAsia="Times New Roman" w:hint="default"/>
          <w:spacing w:val="-1"/>
        </w:rPr>
        <w:t>/</w:t>
      </w:r>
      <w:r>
        <w:rPr>
          <w:spacing w:val="-1"/>
        </w:rPr>
        <w:t>股定向本公司增发</w:t>
      </w:r>
      <w:r>
        <w:rPr>
          <w:rFonts w:ascii="Times New Roman" w:hAnsi="Times New Roman" w:cs="Times New Roman" w:eastAsia="Times New Roman" w:hint="default"/>
          <w:spacing w:val="-1"/>
        </w:rPr>
        <w:t>70</w:t>
      </w:r>
      <w:r>
        <w:rPr>
          <w:spacing w:val="-1"/>
        </w:rPr>
        <w:t>万股</w:t>
      </w:r>
      <w:r>
        <w:rPr>
          <w:spacing w:val="-71"/>
        </w:rPr>
        <w:t> </w:t>
      </w:r>
      <w:r>
        <w:rPr/>
        <w:t>作为对价。本次转让后，本公司不再持有荣华恒信股权。</w:t>
      </w:r>
    </w:p>
    <w:p>
      <w:pPr>
        <w:pStyle w:val="BodyText"/>
        <w:spacing w:line="256" w:lineRule="auto" w:before="22"/>
        <w:ind w:right="139" w:firstLine="420"/>
        <w:jc w:val="both"/>
      </w:pPr>
      <w:r>
        <w:rPr>
          <w:rFonts w:ascii="Times New Roman" w:hAnsi="Times New Roman" w:cs="Times New Roman" w:eastAsia="Times New Roman" w:hint="default"/>
          <w:spacing w:val="7"/>
        </w:rPr>
        <w:t>2)</w:t>
      </w:r>
      <w:r>
        <w:rPr>
          <w:spacing w:val="7"/>
        </w:rPr>
        <w:t>本公司</w:t>
      </w:r>
      <w:r>
        <w:rPr>
          <w:rFonts w:ascii="Times New Roman" w:hAnsi="Times New Roman" w:cs="Times New Roman" w:eastAsia="Times New Roman" w:hint="default"/>
          <w:spacing w:val="7"/>
        </w:rPr>
        <w:t>2015</w:t>
      </w:r>
      <w:r>
        <w:rPr>
          <w:spacing w:val="7"/>
        </w:rPr>
        <w:t>年</w:t>
      </w:r>
      <w:r>
        <w:rPr>
          <w:rFonts w:ascii="Times New Roman" w:hAnsi="Times New Roman" w:cs="Times New Roman" w:eastAsia="Times New Roman" w:hint="default"/>
          <w:spacing w:val="7"/>
        </w:rPr>
        <w:t>12</w:t>
      </w:r>
      <w:r>
        <w:rPr>
          <w:spacing w:val="7"/>
        </w:rPr>
        <w:t>月与孙鑫签订股权转让协议，本公司将辽宁荣信光伏技术有限公司</w:t>
      </w:r>
      <w:r>
        <w:rPr>
          <w:rFonts w:ascii="Times New Roman" w:hAnsi="Times New Roman" w:cs="Times New Roman" w:eastAsia="Times New Roman" w:hint="default"/>
          <w:spacing w:val="7"/>
        </w:rPr>
        <w:t>(</w:t>
      </w:r>
      <w:r>
        <w:rPr>
          <w:spacing w:val="7"/>
        </w:rPr>
        <w:t>简称荣信光</w:t>
      </w:r>
      <w:r>
        <w:rPr>
          <w:spacing w:val="9"/>
        </w:rPr>
        <w:t> </w:t>
      </w:r>
      <w:r>
        <w:rPr/>
        <w:t>伏</w:t>
      </w:r>
      <w:r>
        <w:rPr>
          <w:rFonts w:ascii="Times New Roman" w:hAnsi="Times New Roman" w:cs="Times New Roman" w:eastAsia="Times New Roman" w:hint="default"/>
        </w:rPr>
        <w:t>)90%</w:t>
      </w:r>
      <w:r>
        <w:rPr/>
        <w:t>的股权以现金对价</w:t>
      </w:r>
      <w:r>
        <w:rPr>
          <w:rFonts w:ascii="Times New Roman" w:hAnsi="Times New Roman" w:cs="Times New Roman" w:eastAsia="Times New Roman" w:hint="default"/>
        </w:rPr>
        <w:t>411.50</w:t>
      </w:r>
      <w:r>
        <w:rPr/>
        <w:t>万元转让给孙鑫。本次转让后，本公司不再持有荣信光伏股权。</w:t>
      </w:r>
    </w:p>
    <w:p>
      <w:pPr>
        <w:pStyle w:val="BodyText"/>
        <w:spacing w:line="256" w:lineRule="auto" w:before="5"/>
        <w:ind w:right="139" w:firstLine="420"/>
        <w:jc w:val="both"/>
      </w:pPr>
      <w:r>
        <w:rPr>
          <w:rFonts w:ascii="Times New Roman" w:hAnsi="Times New Roman" w:cs="Times New Roman" w:eastAsia="Times New Roman" w:hint="default"/>
          <w:spacing w:val="7"/>
        </w:rPr>
        <w:t>3)</w:t>
      </w:r>
      <w:r>
        <w:rPr>
          <w:spacing w:val="7"/>
        </w:rPr>
        <w:t>本公司</w:t>
      </w:r>
      <w:r>
        <w:rPr>
          <w:rFonts w:ascii="Times New Roman" w:hAnsi="Times New Roman" w:cs="Times New Roman" w:eastAsia="Times New Roman" w:hint="default"/>
          <w:spacing w:val="7"/>
        </w:rPr>
        <w:t>2015</w:t>
      </w:r>
      <w:r>
        <w:rPr>
          <w:spacing w:val="7"/>
        </w:rPr>
        <w:t>年</w:t>
      </w:r>
      <w:r>
        <w:rPr>
          <w:rFonts w:ascii="Times New Roman" w:hAnsi="Times New Roman" w:cs="Times New Roman" w:eastAsia="Times New Roman" w:hint="default"/>
          <w:spacing w:val="7"/>
        </w:rPr>
        <w:t>12</w:t>
      </w:r>
      <w:r>
        <w:rPr>
          <w:spacing w:val="7"/>
        </w:rPr>
        <w:t>月与常凯签订股权转让协议，本公司将广州邦建电力技术有限公司</w:t>
      </w:r>
      <w:r>
        <w:rPr>
          <w:rFonts w:ascii="Times New Roman" w:hAnsi="Times New Roman" w:cs="Times New Roman" w:eastAsia="Times New Roman" w:hint="default"/>
          <w:spacing w:val="7"/>
        </w:rPr>
        <w:t>(</w:t>
      </w:r>
      <w:r>
        <w:rPr>
          <w:spacing w:val="7"/>
        </w:rPr>
        <w:t>简称广州邦</w:t>
      </w:r>
      <w:r>
        <w:rPr>
          <w:spacing w:val="9"/>
        </w:rPr>
        <w:t> </w:t>
      </w:r>
      <w:r>
        <w:rPr/>
        <w:t>建</w:t>
      </w:r>
      <w:r>
        <w:rPr>
          <w:rFonts w:ascii="Times New Roman" w:hAnsi="Times New Roman" w:cs="Times New Roman" w:eastAsia="Times New Roman" w:hint="default"/>
        </w:rPr>
        <w:t>)85%</w:t>
      </w:r>
      <w:r>
        <w:rPr/>
        <w:t>的股权以现金对价款</w:t>
      </w:r>
      <w:r>
        <w:rPr>
          <w:rFonts w:ascii="Times New Roman" w:hAnsi="Times New Roman" w:cs="Times New Roman" w:eastAsia="Times New Roman" w:hint="default"/>
        </w:rPr>
        <w:t>11.917266</w:t>
      </w:r>
      <w:r>
        <w:rPr/>
        <w:t>万元转让给常凯。本次转让后，本公司不再持有广州邦建股权。</w:t>
      </w:r>
    </w:p>
    <w:p>
      <w:pPr>
        <w:pStyle w:val="BodyText"/>
        <w:spacing w:line="240" w:lineRule="auto" w:before="5"/>
        <w:ind w:left="574" w:right="0"/>
        <w:jc w:val="left"/>
        <w:rPr>
          <w:rFonts w:ascii="Times New Roman" w:hAnsi="Times New Roman" w:cs="Times New Roman" w:eastAsia="Times New Roman" w:hint="default"/>
        </w:rPr>
      </w:pPr>
      <w:r>
        <w:rPr>
          <w:rFonts w:ascii="Times New Roman" w:hAnsi="Times New Roman" w:cs="Times New Roman" w:eastAsia="Times New Roman" w:hint="default"/>
        </w:rPr>
        <w:t>4)</w:t>
      </w:r>
      <w:r>
        <w:rPr/>
        <w:t>本公司</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月与李岗签订股权转让协议，本公司将西安荣信电气有限公司</w:t>
      </w:r>
      <w:r>
        <w:rPr>
          <w:rFonts w:ascii="Times New Roman" w:hAnsi="Times New Roman" w:cs="Times New Roman" w:eastAsia="Times New Roman" w:hint="default"/>
        </w:rPr>
        <w:t>(</w:t>
      </w:r>
      <w:r>
        <w:rPr/>
        <w:t>简称西安荣信</w:t>
      </w:r>
      <w:r>
        <w:rPr>
          <w:rFonts w:ascii="Times New Roman" w:hAnsi="Times New Roman" w:cs="Times New Roman" w:eastAsia="Times New Roman" w:hint="default"/>
        </w:rPr>
        <w:t>)90%</w:t>
      </w:r>
    </w:p>
    <w:p>
      <w:pPr>
        <w:pStyle w:val="BodyText"/>
        <w:spacing w:line="240" w:lineRule="auto" w:before="21"/>
        <w:ind w:right="0"/>
        <w:jc w:val="left"/>
      </w:pPr>
      <w:r>
        <w:rPr/>
        <w:t>的股权以现金对价款</w:t>
      </w:r>
      <w:r>
        <w:rPr>
          <w:rFonts w:ascii="Times New Roman" w:hAnsi="Times New Roman" w:cs="Times New Roman" w:eastAsia="Times New Roman" w:hint="default"/>
        </w:rPr>
        <w:t>84,891.60</w:t>
      </w:r>
      <w:r>
        <w:rPr/>
        <w:t>元转让给李岗。本次转让后，本公司不再持有西安荣信股权。</w:t>
      </w:r>
    </w:p>
    <w:p>
      <w:pPr>
        <w:spacing w:line="240" w:lineRule="auto" w:before="7"/>
        <w:rPr>
          <w:rFonts w:ascii="宋体" w:hAnsi="宋体" w:cs="宋体" w:eastAsia="宋体" w:hint="default"/>
          <w:sz w:val="30"/>
          <w:szCs w:val="30"/>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是否存在通过多次交易分步处置对子公司投资且在本期丧失控制权的情形</w:t>
      </w:r>
    </w:p>
    <w:p>
      <w:pPr>
        <w:spacing w:before="116"/>
        <w:ind w:left="15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梦网科技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信息服务业务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荣信嘉时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2"/>
              <w:jc w:val="left"/>
              <w:rPr>
                <w:rFonts w:ascii="宋体" w:hAnsi="宋体" w:cs="宋体" w:eastAsia="宋体" w:hint="default"/>
                <w:sz w:val="18"/>
                <w:szCs w:val="18"/>
              </w:rPr>
            </w:pPr>
            <w:r>
              <w:rPr>
                <w:rFonts w:ascii="宋体" w:hAnsi="宋体" w:cs="宋体" w:eastAsia="宋体" w:hint="default"/>
                <w:sz w:val="18"/>
                <w:szCs w:val="18"/>
              </w:rPr>
              <w:t>电气设备的设 计、销售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95.56%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荣信电气</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2"/>
              <w:jc w:val="left"/>
              <w:rPr>
                <w:rFonts w:ascii="宋体" w:hAnsi="宋体" w:cs="宋体" w:eastAsia="宋体" w:hint="default"/>
                <w:sz w:val="18"/>
                <w:szCs w:val="18"/>
              </w:rPr>
            </w:pPr>
            <w:r>
              <w:rPr>
                <w:rFonts w:ascii="宋体" w:hAnsi="宋体" w:cs="宋体" w:eastAsia="宋体" w:hint="default"/>
                <w:sz w:val="18"/>
                <w:szCs w:val="18"/>
              </w:rPr>
              <w:t>电气设备的设 计、销售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荣科恒阳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整流设备、变流 设备等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荣信防爆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井下防爆电气设 备的研发生产与 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荣信电机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2"/>
              <w:jc w:val="left"/>
              <w:rPr>
                <w:rFonts w:ascii="宋体" w:hAnsi="宋体" w:cs="宋体" w:eastAsia="宋体" w:hint="default"/>
                <w:sz w:val="18"/>
                <w:szCs w:val="18"/>
              </w:rPr>
            </w:pPr>
            <w:r>
              <w:rPr>
                <w:rFonts w:ascii="宋体" w:hAnsi="宋体" w:cs="宋体" w:eastAsia="宋体" w:hint="default"/>
                <w:sz w:val="18"/>
                <w:szCs w:val="18"/>
              </w:rPr>
              <w:t>电气设备的设 计、销售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3"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荣信众腾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2"/>
              <w:jc w:val="left"/>
              <w:rPr>
                <w:rFonts w:ascii="宋体" w:hAnsi="宋体" w:cs="宋体" w:eastAsia="宋体" w:hint="default"/>
                <w:sz w:val="18"/>
                <w:szCs w:val="18"/>
              </w:rPr>
            </w:pPr>
            <w:r>
              <w:rPr>
                <w:rFonts w:ascii="宋体" w:hAnsi="宋体" w:cs="宋体" w:eastAsia="宋体" w:hint="default"/>
                <w:sz w:val="18"/>
                <w:szCs w:val="18"/>
              </w:rPr>
              <w:t>电气设备的设 计、销售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荣信电气</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电气设备的设计 与销售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80.36%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南京荣信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52"/>
              <w:jc w:val="left"/>
              <w:rPr>
                <w:rFonts w:ascii="宋体" w:hAnsi="宋体" w:cs="宋体" w:eastAsia="宋体" w:hint="default"/>
                <w:sz w:val="18"/>
                <w:szCs w:val="18"/>
              </w:rPr>
            </w:pPr>
            <w:r>
              <w:rPr>
                <w:rFonts w:ascii="宋体" w:hAnsi="宋体" w:cs="宋体" w:eastAsia="宋体" w:hint="default"/>
                <w:sz w:val="18"/>
                <w:szCs w:val="18"/>
              </w:rPr>
              <w:t>电气设备的设 计、销售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荣信慧科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软件、设备的设 计与销售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荣科博信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52"/>
              <w:jc w:val="left"/>
              <w:rPr>
                <w:rFonts w:ascii="宋体" w:hAnsi="宋体" w:cs="宋体" w:eastAsia="宋体" w:hint="default"/>
                <w:sz w:val="18"/>
                <w:szCs w:val="18"/>
              </w:rPr>
            </w:pPr>
            <w:r>
              <w:rPr>
                <w:rFonts w:ascii="宋体" w:hAnsi="宋体" w:cs="宋体" w:eastAsia="宋体" w:hint="default"/>
                <w:sz w:val="18"/>
                <w:szCs w:val="18"/>
              </w:rPr>
              <w:t>电气设备的设 计、销售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荣信瑞科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软件、设备的设 计与销售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荣西电力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鞍山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电气设备的设计 与销售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新疆荣信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电气设备的设计 与销售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DMCC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迪拜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迪拜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荣信中科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电气设备的设计 与销售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上海地澳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井下防爆变频设 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荣信香港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荣信英国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英国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电子设备贸易</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line="240" w:lineRule="auto" w:before="2"/>
        <w:rPr>
          <w:rFonts w:ascii="宋体" w:hAnsi="宋体" w:cs="宋体" w:eastAsia="宋体" w:hint="default"/>
          <w:b/>
          <w:bCs/>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763" w:hRule="exact"/>
        </w:trPr>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6"/>
              <w:ind w:left="591" w:right="49"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荣信电气</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1,156,192.67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19,121,696.30</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上海地澳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-2,635,449.29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7,039,793.47</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荣科恒阳</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8,375,028.26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12,339,186.74</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荣信电机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355,449.73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70" w:right="0"/>
              <w:jc w:val="left"/>
              <w:rPr>
                <w:rFonts w:ascii="Times New Roman" w:hAnsi="Times New Roman" w:cs="Times New Roman" w:eastAsia="Times New Roman" w:hint="default"/>
                <w:sz w:val="18"/>
                <w:szCs w:val="18"/>
              </w:rPr>
            </w:pPr>
            <w:r>
              <w:rPr>
                <w:rFonts w:ascii="Times New Roman"/>
                <w:sz w:val="18"/>
              </w:rPr>
              <w:t>160,000.00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1,705,000.11</w:t>
            </w: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荣信慧科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-463,362.51</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504,756.73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荣科博信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1,117,646.37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4,713.73</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4"/>
        <w:gridCol w:w="736"/>
        <w:gridCol w:w="734"/>
        <w:gridCol w:w="736"/>
        <w:gridCol w:w="734"/>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1"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3D3D3"/>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spacing w:after="0" w:line="319"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4"/>
        <w:gridCol w:w="736"/>
        <w:gridCol w:w="734"/>
        <w:gridCol w:w="736"/>
        <w:gridCol w:w="734"/>
        <w:gridCol w:w="737"/>
        <w:gridCol w:w="737"/>
        <w:gridCol w:w="736"/>
      </w:tblGrid>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荣信电 气</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210,126,</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945.99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37,834,9</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34.67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247,961,</w:t>
            </w:r>
          </w:p>
          <w:p>
            <w:pPr>
              <w:pStyle w:val="TableParagraph"/>
              <w:spacing w:line="240" w:lineRule="auto" w:before="106"/>
              <w:ind w:left="187" w:right="0"/>
              <w:jc w:val="center"/>
              <w:rPr>
                <w:rFonts w:ascii="Times New Roman" w:hAnsi="Times New Roman" w:cs="Times New Roman" w:eastAsia="Times New Roman" w:hint="default"/>
                <w:sz w:val="18"/>
                <w:szCs w:val="18"/>
              </w:rPr>
            </w:pPr>
            <w:r>
              <w:rPr>
                <w:rFonts w:ascii="Times New Roman"/>
                <w:sz w:val="18"/>
              </w:rPr>
              <w:t>880.66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150,600,</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901.54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center"/>
              <w:rPr>
                <w:rFonts w:ascii="Times New Roman" w:hAnsi="Times New Roman" w:cs="Times New Roman" w:eastAsia="Times New Roman" w:hint="default"/>
                <w:sz w:val="18"/>
                <w:szCs w:val="18"/>
              </w:rPr>
            </w:pPr>
            <w:r>
              <w:rPr>
                <w:rFonts w:ascii="Times New Roman"/>
                <w:sz w:val="18"/>
              </w:rPr>
              <w:t>150,600,</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901.54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207,789,</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105.40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12,414,3</w:t>
            </w:r>
          </w:p>
          <w:p>
            <w:pPr>
              <w:pStyle w:val="TableParagraph"/>
              <w:spacing w:line="240" w:lineRule="auto" w:before="106"/>
              <w:ind w:left="303" w:right="0"/>
              <w:jc w:val="left"/>
              <w:rPr>
                <w:rFonts w:ascii="Times New Roman" w:hAnsi="Times New Roman" w:cs="Times New Roman" w:eastAsia="Times New Roman" w:hint="default"/>
                <w:sz w:val="18"/>
                <w:szCs w:val="18"/>
              </w:rPr>
            </w:pPr>
            <w:r>
              <w:rPr>
                <w:rFonts w:ascii="Times New Roman"/>
                <w:sz w:val="18"/>
              </w:rPr>
              <w:t>11.13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220,203,</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416.53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128,729,</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365.47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128,729,</w:t>
            </w:r>
          </w:p>
          <w:p>
            <w:pPr>
              <w:pStyle w:val="TableParagraph"/>
              <w:spacing w:line="240" w:lineRule="auto" w:before="106"/>
              <w:ind w:left="187" w:right="0"/>
              <w:jc w:val="center"/>
              <w:rPr>
                <w:rFonts w:ascii="Times New Roman" w:hAnsi="Times New Roman" w:cs="Times New Roman" w:eastAsia="Times New Roman" w:hint="default"/>
                <w:sz w:val="18"/>
                <w:szCs w:val="18"/>
              </w:rPr>
            </w:pPr>
            <w:r>
              <w:rPr>
                <w:rFonts w:ascii="Times New Roman"/>
                <w:sz w:val="18"/>
              </w:rPr>
              <w:t>365.47</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上海地 澳</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32,436,2</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21.69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2,655,09</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4.60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35,091,3</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16.29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18,992,6</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43.83</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18,992,6</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43.83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40,274,2</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28.33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3,266,15</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8.38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43,540,3</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86.71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21,585,1</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60.28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21,585,1</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60.28</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荣科恒 阳</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left"/>
              <w:rPr>
                <w:rFonts w:ascii="Times New Roman" w:hAnsi="Times New Roman" w:cs="Times New Roman" w:eastAsia="Times New Roman" w:hint="default"/>
                <w:sz w:val="18"/>
                <w:szCs w:val="18"/>
              </w:rPr>
            </w:pPr>
            <w:r>
              <w:rPr>
                <w:rFonts w:ascii="Times New Roman"/>
                <w:sz w:val="18"/>
              </w:rPr>
              <w:t>46,301,1</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12.03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12,368,0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49.57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58,669,1</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61.60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33,487,1</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47.85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33,487,1</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47.85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11,266,5</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72.08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11,210,9</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48.02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22,477,5</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20.10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14,387,4</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00.75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14,387,4</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00.75</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荣信电 机</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25,712,4</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68.79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589,020.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26,301,4</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89.41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9,251,48</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8.32</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2" w:right="0"/>
              <w:jc w:val="left"/>
              <w:rPr>
                <w:rFonts w:ascii="Times New Roman" w:hAnsi="Times New Roman" w:cs="Times New Roman" w:eastAsia="Times New Roman" w:hint="default"/>
                <w:sz w:val="18"/>
                <w:szCs w:val="18"/>
              </w:rPr>
            </w:pPr>
            <w:r>
              <w:rPr>
                <w:rFonts w:ascii="Times New Roman"/>
                <w:sz w:val="18"/>
              </w:rPr>
              <w:t>9,251,48</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8.32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26,061,3</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48.72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575,271.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26,636,6</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19.81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left"/>
              <w:rPr>
                <w:rFonts w:ascii="Times New Roman" w:hAnsi="Times New Roman" w:cs="Times New Roman" w:eastAsia="Times New Roman" w:hint="default"/>
                <w:sz w:val="18"/>
                <w:szCs w:val="18"/>
              </w:rPr>
            </w:pPr>
            <w:r>
              <w:rPr>
                <w:rFonts w:ascii="Times New Roman"/>
                <w:sz w:val="18"/>
              </w:rPr>
              <w:t>11,541,1</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15.99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11,541,1</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15.99</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荣信慧 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2,734,28</w:t>
            </w:r>
          </w:p>
          <w:p>
            <w:pPr>
              <w:pStyle w:val="TableParagraph"/>
              <w:spacing w:line="240" w:lineRule="auto" w:before="106"/>
              <w:ind w:left="390" w:right="0"/>
              <w:jc w:val="left"/>
              <w:rPr>
                <w:rFonts w:ascii="Times New Roman" w:hAnsi="Times New Roman" w:cs="Times New Roman" w:eastAsia="Times New Roman" w:hint="default"/>
                <w:sz w:val="18"/>
                <w:szCs w:val="18"/>
              </w:rPr>
            </w:pPr>
            <w:r>
              <w:rPr>
                <w:rFonts w:ascii="Times New Roman"/>
                <w:sz w:val="18"/>
              </w:rPr>
              <w:t>5.21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1,351,05</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3.38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4,085,33</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8.59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720,293.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720,293.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6,494,54</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4.68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477,994.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6,972,53</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9.59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518,411.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w w:val="95"/>
                <w:sz w:val="18"/>
              </w:rPr>
              <w:t>518,411.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37</w:t>
            </w:r>
          </w:p>
        </w:tc>
      </w:tr>
      <w:tr>
        <w:trPr>
          <w:trHeight w:val="714"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荣科博 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31,424.8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31,424.8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2,369,78</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2.45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40,508.5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2,410,29</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1.00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9,829,84</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1.96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9,829,84</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1.96</w:t>
            </w:r>
          </w:p>
        </w:tc>
      </w:tr>
    </w:tbl>
    <w:p>
      <w:pPr>
        <w:spacing w:before="51"/>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3D3D3"/>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7"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荣信电气</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206,460,747.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5,886,928.06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5,886,928.06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-9,499,586.25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181,923,413.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4,239,950.67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4,239,950.67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181,923,413.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94</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上海地澳</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3,869,548.19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-5,856,553.97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-5,856,553.97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2,520,678.42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15,668,575.0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-3,919,442.83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-3,919,442.83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15,668,575.0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荣科恒阳</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66,905,982.9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17,091,894.4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17,091,894.4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21,263,763.8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1,266,235.03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-6,872,746.88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-6,872,746.88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1,266,235.03</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荣信电机</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46,037,170.0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3,554,497.27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3,554,497.27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4,715,235.73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51,483,830.5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3,614,021.16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3,614,021.16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51,483,830.5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荣信慧科</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32,371,291.5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-3,089,083.37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-3,089,083.37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318,794.32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27,785,997.4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4,162,063.71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4,162,063.71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27,785,997.4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荣科博信</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10,120,754.6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7,450,975.81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7,450,975.81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-1,374,553.02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51,139,252.1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6,755,074.32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6,755,074.32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51,139,252.1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left="153" w:right="0"/>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065"/>
        <w:gridCol w:w="2090"/>
        <w:gridCol w:w="2076"/>
        <w:gridCol w:w="2081"/>
      </w:tblGrid>
      <w:tr>
        <w:trPr>
          <w:trHeight w:val="348" w:hRule="exact"/>
        </w:trPr>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22"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209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826" w:right="0"/>
              <w:jc w:val="left"/>
              <w:rPr>
                <w:rFonts w:ascii="宋体" w:hAnsi="宋体" w:cs="宋体" w:eastAsia="宋体" w:hint="default"/>
                <w:sz w:val="21"/>
                <w:szCs w:val="21"/>
              </w:rPr>
            </w:pPr>
            <w:r>
              <w:rPr>
                <w:rFonts w:ascii="宋体" w:hAnsi="宋体" w:cs="宋体" w:eastAsia="宋体" w:hint="default"/>
                <w:sz w:val="21"/>
                <w:szCs w:val="21"/>
              </w:rPr>
              <w:t>变动时间</w:t>
            </w: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3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变动前持股比例</w:t>
            </w:r>
            <w:r>
              <w:rPr>
                <w:rFonts w:ascii="Times New Roman" w:hAnsi="Times New Roman" w:cs="Times New Roman" w:eastAsia="Times New Roman" w:hint="default"/>
                <w:sz w:val="21"/>
                <w:szCs w:val="21"/>
              </w:rPr>
              <w:t>(%)</w:t>
            </w:r>
          </w:p>
        </w:tc>
        <w:tc>
          <w:tcPr>
            <w:tcW w:w="2081" w:type="dxa"/>
            <w:tcBorders>
              <w:top w:val="single" w:sz="6" w:space="0" w:color="000000"/>
              <w:left w:val="single" w:sz="6" w:space="0" w:color="000000"/>
              <w:bottom w:val="single" w:sz="6" w:space="0" w:color="000000"/>
              <w:right w:val="nil" w:sz="6" w:space="0" w:color="auto"/>
            </w:tcBorders>
          </w:tcPr>
          <w:p>
            <w:pPr>
              <w:pStyle w:val="TableParagraph"/>
              <w:spacing w:line="287" w:lineRule="exact"/>
              <w:ind w:left="14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变动后持股比例</w:t>
            </w:r>
            <w:r>
              <w:rPr>
                <w:rFonts w:ascii="Times New Roman" w:hAnsi="Times New Roman" w:cs="Times New Roman" w:eastAsia="Times New Roman" w:hint="default"/>
                <w:sz w:val="21"/>
                <w:szCs w:val="21"/>
              </w:rPr>
              <w:t>(%)</w:t>
            </w:r>
          </w:p>
        </w:tc>
      </w:tr>
      <w:tr>
        <w:trPr>
          <w:trHeight w:val="347" w:hRule="exact"/>
        </w:trPr>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荣信嘉时</w:t>
            </w:r>
          </w:p>
        </w:tc>
        <w:tc>
          <w:tcPr>
            <w:tcW w:w="2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left"/>
              <w:rPr>
                <w:rFonts w:ascii="Times New Roman" w:hAnsi="Times New Roman" w:cs="Times New Roman" w:eastAsia="Times New Roman" w:hint="default"/>
                <w:sz w:val="21"/>
                <w:szCs w:val="21"/>
              </w:rPr>
            </w:pPr>
            <w:r>
              <w:rPr>
                <w:rFonts w:ascii="Times New Roman"/>
                <w:sz w:val="21"/>
              </w:rPr>
              <w:t>2015.3.9</w:t>
            </w: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85.00</w:t>
            </w:r>
          </w:p>
        </w:tc>
        <w:tc>
          <w:tcPr>
            <w:tcW w:w="20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6"/>
              <w:jc w:val="right"/>
              <w:rPr>
                <w:rFonts w:ascii="Times New Roman" w:hAnsi="Times New Roman" w:cs="Times New Roman" w:eastAsia="Times New Roman" w:hint="default"/>
                <w:sz w:val="21"/>
                <w:szCs w:val="21"/>
              </w:rPr>
            </w:pPr>
            <w:r>
              <w:rPr>
                <w:rFonts w:ascii="Times New Roman"/>
                <w:spacing w:val="-1"/>
                <w:sz w:val="21"/>
              </w:rPr>
              <w:t>95.60</w:t>
            </w:r>
          </w:p>
        </w:tc>
      </w:tr>
      <w:tr>
        <w:trPr>
          <w:trHeight w:val="347" w:hRule="exact"/>
        </w:trPr>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荣西电力</w:t>
            </w:r>
          </w:p>
        </w:tc>
        <w:tc>
          <w:tcPr>
            <w:tcW w:w="20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 w:right="0"/>
              <w:jc w:val="left"/>
              <w:rPr>
                <w:rFonts w:ascii="Times New Roman" w:hAnsi="Times New Roman" w:cs="Times New Roman" w:eastAsia="Times New Roman" w:hint="default"/>
                <w:sz w:val="21"/>
                <w:szCs w:val="21"/>
              </w:rPr>
            </w:pPr>
            <w:r>
              <w:rPr>
                <w:rFonts w:ascii="Times New Roman"/>
                <w:sz w:val="21"/>
              </w:rPr>
              <w:t>2015.1.21</w:t>
            </w:r>
          </w:p>
        </w:tc>
        <w:tc>
          <w:tcPr>
            <w:tcW w:w="20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50.00</w:t>
            </w:r>
          </w:p>
        </w:tc>
        <w:tc>
          <w:tcPr>
            <w:tcW w:w="2081"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6"/>
              <w:jc w:val="right"/>
              <w:rPr>
                <w:rFonts w:ascii="Times New Roman" w:hAnsi="Times New Roman" w:cs="Times New Roman" w:eastAsia="Times New Roman" w:hint="default"/>
                <w:sz w:val="21"/>
                <w:szCs w:val="21"/>
              </w:rPr>
            </w:pPr>
            <w:r>
              <w:rPr>
                <w:rFonts w:ascii="Times New Roman"/>
                <w:spacing w:val="-1"/>
                <w:sz w:val="21"/>
              </w:rPr>
              <w:t>100.00</w:t>
            </w:r>
          </w:p>
        </w:tc>
      </w:tr>
    </w:tbl>
    <w:p>
      <w:pPr>
        <w:spacing w:after="0" w:line="240" w:lineRule="auto"/>
        <w:jc w:val="right"/>
        <w:rPr>
          <w:rFonts w:ascii="Times New Roman" w:hAnsi="Times New Roman" w:cs="Times New Roman" w:eastAsia="Times New Roman" w:hint="default"/>
          <w:sz w:val="21"/>
          <w:szCs w:val="21"/>
        </w:rPr>
        <w:sectPr>
          <w:pgSz w:w="11910" w:h="16840"/>
          <w:pgMar w:header="747" w:footer="982" w:top="1060" w:bottom="1180" w:left="980" w:right="980"/>
        </w:sectPr>
      </w:pP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荣信嘉时</w:t>
            </w:r>
          </w:p>
        </w:tc>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荣西电力</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13,204,158.12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13,204,158.12</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2"/>
              <w:ind w:left="22" w:right="44"/>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 司净资产份额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21,740,951.72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13,698,057.68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-2,740,951.72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-493,899.56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-2,740,951.72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-493,899.56</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49"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信力筑正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余热发电</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37.60%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10"/>
        <w:rPr>
          <w:rFonts w:ascii="宋体" w:hAnsi="宋体" w:cs="宋体" w:eastAsia="宋体" w:hint="default"/>
          <w:sz w:val="25"/>
          <w:szCs w:val="25"/>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信力筑正</w:t>
            </w:r>
          </w:p>
        </w:tc>
        <w:tc>
          <w:tcPr>
            <w:tcW w:w="319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信力筑正</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300,114,949.58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382,224,222.10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71,644,486.05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95,077,346.02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371,759,435.63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477,301,568.12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173,674,362.55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184,450,455.67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2,578,200.00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12,632,664.00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176,252,562.55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197,083,119.67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1,431,786.89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1,441,354.77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194,075,086.19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278,777,093.68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72,972,232.41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104,820,187.22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商誉</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2,321,898.16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2,321,898.16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75,294,130.57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107,142,085.39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66,329,702.14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59,687,460.55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-84,702,007.49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-15,419,452.18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-84,702,007.49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-15,419,452.18</w:t>
            </w:r>
          </w:p>
        </w:tc>
      </w:tr>
    </w:tbl>
    <w:p>
      <w:pPr>
        <w:spacing w:line="240" w:lineRule="auto" w:before="2"/>
        <w:rPr>
          <w:rFonts w:ascii="宋体" w:hAnsi="宋体" w:cs="宋体" w:eastAsia="宋体" w:hint="default"/>
          <w:sz w:val="19"/>
          <w:szCs w:val="19"/>
        </w:rPr>
      </w:pPr>
    </w:p>
    <w:p>
      <w:pPr>
        <w:pStyle w:val="Heading3"/>
        <w:spacing w:line="240" w:lineRule="auto"/>
        <w:ind w:right="102"/>
        <w:jc w:val="left"/>
        <w:rPr>
          <w:b w:val="0"/>
          <w:bCs w:val="0"/>
        </w:rPr>
      </w:pPr>
      <w:r>
        <w:rPr/>
        <w:t>（</w:t>
      </w:r>
      <w:r>
        <w:rPr>
          <w:rFonts w:ascii="Times New Roman" w:hAnsi="Times New Roman" w:cs="Times New Roman" w:eastAsia="Times New Roman" w:hint="default"/>
        </w:rPr>
        <w:t>3</w:t>
      </w:r>
      <w:r>
        <w:rPr/>
        <w:t>）不重要的合营企业和联营企业的汇总财务信息</w:t>
      </w:r>
      <w:r>
        <w:rPr>
          <w:b w:val="0"/>
          <w:bCs w:val="0"/>
        </w:rPr>
      </w:r>
    </w:p>
    <w:p>
      <w:pPr>
        <w:spacing w:line="240" w:lineRule="auto" w:before="3"/>
        <w:rPr>
          <w:rFonts w:ascii="宋体" w:hAnsi="宋体" w:cs="宋体" w:eastAsia="宋体" w:hint="default"/>
          <w:b/>
          <w:bCs/>
          <w:sz w:val="23"/>
          <w:szCs w:val="23"/>
        </w:rPr>
      </w:pPr>
    </w:p>
    <w:p>
      <w:pPr>
        <w:spacing w:before="44"/>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19,159,633.99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36,606,147.82</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-6,787,957.24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-1,911,155.62</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-6,787,957.24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-1,911,155.62</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35,093,103.79</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18,530,153.44</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-862,149.65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2,814,849.41</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-862,149.65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2,814,849.41</w:t>
            </w:r>
          </w:p>
        </w:tc>
      </w:tr>
    </w:tbl>
    <w:p>
      <w:pPr>
        <w:spacing w:line="240" w:lineRule="auto" w:before="2"/>
        <w:rPr>
          <w:rFonts w:ascii="宋体" w:hAnsi="宋体" w:cs="宋体" w:eastAsia="宋体" w:hint="default"/>
          <w:sz w:val="18"/>
          <w:szCs w:val="18"/>
        </w:rPr>
      </w:pPr>
    </w:p>
    <w:p>
      <w:pPr>
        <w:pStyle w:val="Heading2"/>
        <w:spacing w:line="240" w:lineRule="auto" w:before="26"/>
        <w:ind w:right="102"/>
        <w:jc w:val="left"/>
        <w:rPr>
          <w:b w:val="0"/>
          <w:bCs w:val="0"/>
        </w:rPr>
      </w:pPr>
      <w:r>
        <w:rPr/>
        <w:t>十、与金融工具相关的风险</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211" w:firstLine="420"/>
        <w:jc w:val="both"/>
      </w:pPr>
      <w:r>
        <w:rPr>
          <w:spacing w:val="-1"/>
        </w:rPr>
        <w:t>本公司从事风险管理的目标是在风险和收益之间取得平衡，将风险对本公司经营业绩的负面影响降至</w:t>
      </w:r>
      <w:r>
        <w:rPr/>
        <w:t> </w:t>
      </w:r>
      <w:r>
        <w:rPr>
          <w:spacing w:val="-1"/>
        </w:rPr>
        <w:t>最低水平，使股东和其他权益投资者的利益最大化。基于该风险管理目标，本公司风险管理的基本策略是</w:t>
      </w:r>
      <w:r>
        <w:rPr>
          <w:spacing w:val="-83"/>
        </w:rPr>
        <w:t> </w:t>
      </w:r>
      <w:r>
        <w:rPr>
          <w:spacing w:val="-83"/>
        </w:rPr>
      </w:r>
      <w:r>
        <w:rPr>
          <w:spacing w:val="-1"/>
        </w:rPr>
        <w:t>确认和分析本公司面临的各种风险，建立适当的风险承受底线和进行风险管理，并及时可靠地对各种风险</w:t>
      </w:r>
      <w:r>
        <w:rPr>
          <w:spacing w:val="-81"/>
        </w:rPr>
        <w:t> </w:t>
      </w:r>
      <w:r>
        <w:rPr>
          <w:spacing w:val="-81"/>
        </w:rPr>
      </w:r>
      <w:r>
        <w:rPr/>
        <w:t>进行监督，将风险控制在限定的范围内。</w:t>
      </w:r>
    </w:p>
    <w:p>
      <w:pPr>
        <w:pStyle w:val="BodyText"/>
        <w:spacing w:line="273" w:lineRule="auto" w:before="7"/>
        <w:ind w:left="153" w:right="210" w:firstLine="420"/>
        <w:jc w:val="both"/>
      </w:pPr>
      <w:r>
        <w:rPr>
          <w:spacing w:val="-1"/>
        </w:rPr>
        <w:t>本公司在日常活动中面临各种与金融工具相关的风险，主要包括信用风险、流动风险及市场风险。管</w:t>
      </w:r>
      <w:r>
        <w:rPr/>
        <w:t> 理层已审议并批准管理这些风险的政策，概括如下。</w:t>
      </w:r>
    </w:p>
    <w:p>
      <w:pPr>
        <w:pStyle w:val="BodyText"/>
        <w:spacing w:line="256" w:lineRule="auto" w:before="7"/>
        <w:ind w:left="573" w:right="1851"/>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信用风险 信用风险，是指金融工具的一方不能履行义务，造成另一方发生财务损失的风险。</w:t>
      </w:r>
    </w:p>
    <w:p>
      <w:pPr>
        <w:pStyle w:val="BodyText"/>
        <w:spacing w:line="240" w:lineRule="auto" w:before="22"/>
        <w:ind w:left="573" w:right="0"/>
        <w:jc w:val="left"/>
      </w:pPr>
      <w:r>
        <w:rPr>
          <w:spacing w:val="-3"/>
        </w:rPr>
        <w:t>本公司的信用风险主要来自银行存款和应收款项。为控制上述相关风险，本公司分别采取了以下措施。</w:t>
      </w:r>
    </w:p>
    <w:p>
      <w:pPr>
        <w:pStyle w:val="BodyText"/>
        <w:spacing w:line="264" w:lineRule="auto" w:before="37"/>
        <w:ind w:left="573" w:right="269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银行存款 本公司将银行存款存放于信用评级较高的金融机构，故其信用风险较低。 </w:t>
      </w: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应收款项</w:t>
      </w:r>
    </w:p>
    <w:p>
      <w:pPr>
        <w:pStyle w:val="BodyText"/>
        <w:spacing w:line="256" w:lineRule="auto"/>
        <w:ind w:left="153" w:right="211" w:firstLine="420"/>
        <w:jc w:val="both"/>
      </w:pPr>
      <w:r>
        <w:rPr>
          <w:spacing w:val="-2"/>
        </w:rPr>
        <w:t>本公司定期</w:t>
      </w:r>
      <w:r>
        <w:rPr>
          <w:rFonts w:ascii="Times New Roman" w:hAnsi="Times New Roman" w:cs="Times New Roman" w:eastAsia="Times New Roman" w:hint="default"/>
          <w:spacing w:val="-2"/>
        </w:rPr>
        <w:t>/</w:t>
      </w:r>
      <w:r>
        <w:rPr>
          <w:spacing w:val="-2"/>
        </w:rPr>
        <w:t>持续对采用信用方式交易的客户进行信用评估。根据信用评估结果，本公司选择与经认可</w:t>
      </w:r>
      <w:r>
        <w:rPr/>
        <w:t> 的且信用良好的客户进行交易，并对其应收款项余额进行监控，以确保本公司不会面临重大坏账风险。</w:t>
      </w:r>
    </w:p>
    <w:p>
      <w:pPr>
        <w:pStyle w:val="BodyText"/>
        <w:spacing w:line="256" w:lineRule="auto" w:before="22"/>
        <w:ind w:left="153" w:right="211" w:firstLine="420"/>
        <w:jc w:val="both"/>
      </w:pPr>
      <w:r>
        <w:rPr>
          <w:spacing w:val="-1"/>
        </w:rPr>
        <w:t>由于本公司的应收账款风险点分布于多个合作方和多个客户，截至</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日，本公司应收账款</w:t>
      </w:r>
      <w:r>
        <w:rPr/>
        <w:t> 的</w:t>
      </w:r>
      <w:r>
        <w:rPr>
          <w:rFonts w:ascii="Times New Roman" w:hAnsi="Times New Roman" w:cs="Times New Roman" w:eastAsia="Times New Roman" w:hint="default"/>
        </w:rPr>
        <w:t>20.48</w:t>
      </w:r>
      <w:r>
        <w:rPr>
          <w:rFonts w:ascii="Times New Roman" w:hAnsi="Times New Roman" w:cs="Times New Roman" w:eastAsia="Times New Roman" w:hint="default"/>
          <w:spacing w:val="-11"/>
        </w:rPr>
        <w:t> </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11.03%)</w:t>
      </w:r>
      <w:r>
        <w:rPr/>
        <w:t>源于余额前五名客户，本公司不存在重大的信用集中风险。</w:t>
      </w:r>
    </w:p>
    <w:p>
      <w:pPr>
        <w:pStyle w:val="BodyText"/>
        <w:spacing w:line="240" w:lineRule="auto" w:before="5"/>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本公司的应收款项中未逾期且未减值的金额，以及虽已逾期但未减值的金额和逾期账龄分析如下：</w:t>
      </w:r>
    </w:p>
    <w:p>
      <w:pPr>
        <w:spacing w:line="240" w:lineRule="auto" w:before="3"/>
        <w:rPr>
          <w:rFonts w:ascii="宋体" w:hAnsi="宋体" w:cs="宋体" w:eastAsia="宋体" w:hint="default"/>
          <w:sz w:val="2"/>
          <w:szCs w:val="2"/>
        </w:rPr>
      </w:pPr>
    </w:p>
    <w:p>
      <w:pPr>
        <w:spacing w:line="376" w:lineRule="exact"/>
        <w:ind w:left="13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16.7pt;height:18.850pt;mso-position-horizontal-relative:char;mso-position-vertical-relative:line" coordorigin="0,0" coordsize="8334,377">
            <v:group style="position:absolute;left:7;top:14;width:1368;height:2" coordorigin="7,14" coordsize="1368,2">
              <v:shape style="position:absolute;left:7;top:14;width:1368;height:2" coordorigin="7,14" coordsize="1368,0" path="m7,14l1375,14e" filled="false" stroked="true" strokeweight=".72pt" strokecolor="#000000">
                <v:path arrowok="t"/>
              </v:shape>
            </v:group>
            <v:group style="position:absolute;left:1390;top:14;width:6938;height:2" coordorigin="1390,14" coordsize="6938,2">
              <v:shape style="position:absolute;left:1390;top:14;width:6938;height:2" coordorigin="1390,14" coordsize="6938,0" path="m1390,14l8327,14e" filled="false" stroked="true" strokeweight=".72pt" strokecolor="#000000">
                <v:path arrowok="t"/>
              </v:shape>
            </v:group>
            <v:group style="position:absolute;left:14;top:7;width:2;height:363" coordorigin="14,7" coordsize="2,363">
              <v:shape style="position:absolute;left:14;top:7;width:2;height:363" coordorigin="14,7" coordsize="0,363" path="m14,7l14,370e" filled="false" stroked="true" strokeweight=".72pt" strokecolor="#000000">
                <v:path arrowok="t"/>
              </v:shape>
            </v:group>
            <v:group style="position:absolute;left:7;top:362;width:1368;height:2" coordorigin="7,362" coordsize="1368,2">
              <v:shape style="position:absolute;left:7;top:362;width:1368;height:2" coordorigin="7,362" coordsize="1368,0" path="m7,362l1375,362e" filled="false" stroked="true" strokeweight=".72pt" strokecolor="#000000">
                <v:path arrowok="t"/>
              </v:shape>
            </v:group>
            <v:group style="position:absolute;left:1382;top:7;width:2;height:363" coordorigin="1382,7" coordsize="2,363">
              <v:shape style="position:absolute;left:1382;top:7;width:2;height:363" coordorigin="1382,7" coordsize="0,363" path="m1382,7l1382,370e" filled="false" stroked="true" strokeweight=".72pt" strokecolor="#000000">
                <v:path arrowok="t"/>
              </v:shape>
            </v:group>
            <v:group style="position:absolute;left:1390;top:362;width:6938;height:2" coordorigin="1390,362" coordsize="6938,2">
              <v:shape style="position:absolute;left:1390;top:362;width:6938;height:2" coordorigin="1390,362" coordsize="6938,0" path="m1390,362l8327,362e" filled="false" stroked="true" strokeweight=".72pt" strokecolor="#000000">
                <v:path arrowok="t"/>
              </v:shape>
              <v:shape style="position:absolute;left:14;top:14;width:1368;height:348" type="#_x0000_t202" filled="false" stroked="false">
                <v:textbox inset="0,0,0,0">
                  <w:txbxContent>
                    <w:p>
                      <w:pPr>
                        <w:spacing w:before="3"/>
                        <w:ind w:left="388" w:right="0" w:firstLine="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xbxContent>
                </v:textbox>
                <w10:wrap type="none"/>
              </v:shape>
              <v:shape style="position:absolute;left:4538;top:82;width:63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期末数</w:t>
                      </w:r>
                    </w:p>
                  </w:txbxContent>
                </v:textbox>
                <w10:wrap type="none"/>
              </v:shape>
            </v:group>
          </v:group>
        </w:pict>
      </w:r>
      <w:r>
        <w:rPr>
          <w:rFonts w:ascii="宋体" w:hAnsi="宋体" w:cs="宋体" w:eastAsia="宋体" w:hint="default"/>
          <w:position w:val="-7"/>
          <w:sz w:val="20"/>
          <w:szCs w:val="20"/>
        </w:rPr>
      </w:r>
    </w:p>
    <w:p>
      <w:pPr>
        <w:spacing w:after="0" w:line="376" w:lineRule="exact"/>
        <w:rPr>
          <w:rFonts w:ascii="宋体" w:hAnsi="宋体" w:cs="宋体" w:eastAsia="宋体" w:hint="default"/>
          <w:sz w:val="20"/>
          <w:szCs w:val="20"/>
        </w:rPr>
        <w:sectPr>
          <w:pgSz w:w="11910" w:h="16840"/>
          <w:pgMar w:header="747" w:footer="982" w:top="1060" w:bottom="1180" w:left="980" w:right="92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368"/>
        <w:gridCol w:w="1606"/>
        <w:gridCol w:w="1366"/>
        <w:gridCol w:w="1225"/>
        <w:gridCol w:w="1273"/>
        <w:gridCol w:w="1475"/>
      </w:tblGrid>
      <w:tr>
        <w:trPr>
          <w:trHeight w:val="347" w:hRule="exact"/>
        </w:trPr>
        <w:tc>
          <w:tcPr>
            <w:tcW w:w="1368" w:type="dxa"/>
            <w:vMerge w:val="restart"/>
            <w:tcBorders>
              <w:top w:val="single" w:sz="6" w:space="0" w:color="000000"/>
              <w:left w:val="single" w:sz="6" w:space="0" w:color="000000"/>
              <w:right w:val="single" w:sz="6" w:space="0" w:color="000000"/>
            </w:tcBorders>
          </w:tcPr>
          <w:p>
            <w:pPr/>
          </w:p>
        </w:tc>
        <w:tc>
          <w:tcPr>
            <w:tcW w:w="1606" w:type="dxa"/>
            <w:vMerge w:val="restart"/>
            <w:tcBorders>
              <w:top w:val="single" w:sz="6" w:space="0" w:color="000000"/>
              <w:left w:val="single" w:sz="6" w:space="0" w:color="000000"/>
              <w:right w:val="single" w:sz="6" w:space="0" w:color="000000"/>
            </w:tcBorders>
          </w:tcPr>
          <w:p>
            <w:pPr>
              <w:pStyle w:val="TableParagraph"/>
              <w:spacing w:line="271" w:lineRule="exact"/>
              <w:ind w:left="165"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3864" w:type="dxa"/>
            <w:gridSpan w:val="3"/>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已逾期未减值</w:t>
            </w:r>
          </w:p>
        </w:tc>
        <w:tc>
          <w:tcPr>
            <w:tcW w:w="1475" w:type="dxa"/>
            <w:vMerge w:val="restart"/>
            <w:tcBorders>
              <w:top w:val="single" w:sz="6" w:space="0" w:color="000000"/>
              <w:left w:val="single" w:sz="6" w:space="0" w:color="000000"/>
              <w:right w:val="nil" w:sz="6" w:space="0" w:color="auto"/>
            </w:tcBorders>
          </w:tcPr>
          <w:p>
            <w:pPr>
              <w:pStyle w:val="TableParagraph"/>
              <w:spacing w:line="271" w:lineRule="exact"/>
              <w:ind w:left="477"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1"/>
                <w:sz w:val="21"/>
                <w:szCs w:val="21"/>
              </w:rPr>
              <w:t> </w:t>
            </w:r>
            <w:r>
              <w:rPr>
                <w:rFonts w:ascii="宋体" w:hAnsi="宋体" w:cs="宋体" w:eastAsia="宋体" w:hint="default"/>
                <w:sz w:val="21"/>
                <w:szCs w:val="21"/>
              </w:rPr>
              <w:t>计</w:t>
            </w:r>
          </w:p>
        </w:tc>
      </w:tr>
      <w:tr>
        <w:trPr>
          <w:trHeight w:val="347" w:hRule="exact"/>
        </w:trPr>
        <w:tc>
          <w:tcPr>
            <w:tcW w:w="1368" w:type="dxa"/>
            <w:vMerge/>
            <w:tcBorders>
              <w:left w:val="single" w:sz="6" w:space="0" w:color="000000"/>
              <w:bottom w:val="single" w:sz="6" w:space="0" w:color="000000"/>
              <w:right w:val="single" w:sz="6" w:space="0" w:color="000000"/>
            </w:tcBorders>
          </w:tcPr>
          <w:p>
            <w:pPr/>
          </w:p>
        </w:tc>
        <w:tc>
          <w:tcPr>
            <w:tcW w:w="1606" w:type="dxa"/>
            <w:vMerge/>
            <w:tcBorders>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3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225"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36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年以上</w:t>
            </w:r>
          </w:p>
        </w:tc>
        <w:tc>
          <w:tcPr>
            <w:tcW w:w="1475" w:type="dxa"/>
            <w:vMerge/>
            <w:tcBorders>
              <w:left w:val="single" w:sz="6" w:space="0" w:color="000000"/>
              <w:bottom w:val="single" w:sz="6" w:space="0" w:color="000000"/>
              <w:right w:val="nil" w:sz="6" w:space="0" w:color="auto"/>
            </w:tcBorders>
          </w:tcPr>
          <w:p>
            <w:pPr/>
          </w:p>
        </w:tc>
      </w:tr>
      <w:tr>
        <w:trPr>
          <w:trHeight w:val="348" w:hRule="exact"/>
        </w:trPr>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151,296,587.35</w:t>
            </w:r>
            <w:r>
              <w:rPr>
                <w:rFonts w:ascii="Times New Roman"/>
                <w:sz w:val="21"/>
              </w:rPr>
            </w:r>
          </w:p>
        </w:tc>
        <w:tc>
          <w:tcPr>
            <w:tcW w:w="1366" w:type="dxa"/>
            <w:tcBorders>
              <w:top w:val="single" w:sz="6" w:space="0" w:color="000000"/>
              <w:left w:val="single" w:sz="6" w:space="0" w:color="000000"/>
              <w:bottom w:val="single" w:sz="6" w:space="0" w:color="000000"/>
              <w:right w:val="single" w:sz="6" w:space="0" w:color="000000"/>
            </w:tcBorders>
          </w:tcPr>
          <w:p>
            <w:pPr/>
          </w:p>
        </w:tc>
        <w:tc>
          <w:tcPr>
            <w:tcW w:w="1225"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pacing w:val="-1"/>
                <w:sz w:val="21"/>
              </w:rPr>
              <w:t>151,296,587.35</w:t>
            </w:r>
            <w:r>
              <w:rPr>
                <w:rFonts w:ascii="Times New Roman"/>
                <w:sz w:val="21"/>
              </w:rPr>
            </w:r>
          </w:p>
        </w:tc>
      </w:tr>
      <w:tr>
        <w:trPr>
          <w:trHeight w:val="347" w:hRule="exact"/>
        </w:trPr>
        <w:tc>
          <w:tcPr>
            <w:tcW w:w="136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381"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6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151,296,587.35</w:t>
            </w:r>
            <w:r>
              <w:rPr>
                <w:rFonts w:ascii="Times New Roman"/>
                <w:sz w:val="21"/>
              </w:rPr>
            </w:r>
          </w:p>
        </w:tc>
        <w:tc>
          <w:tcPr>
            <w:tcW w:w="1366" w:type="dxa"/>
            <w:tcBorders>
              <w:top w:val="single" w:sz="6" w:space="0" w:color="000000"/>
              <w:left w:val="single" w:sz="6" w:space="0" w:color="000000"/>
              <w:bottom w:val="single" w:sz="6" w:space="0" w:color="000000"/>
              <w:right w:val="single" w:sz="6" w:space="0" w:color="000000"/>
            </w:tcBorders>
          </w:tcPr>
          <w:p>
            <w:pPr/>
          </w:p>
        </w:tc>
        <w:tc>
          <w:tcPr>
            <w:tcW w:w="1225"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8"/>
              <w:jc w:val="right"/>
              <w:rPr>
                <w:rFonts w:ascii="Times New Roman" w:hAnsi="Times New Roman" w:cs="Times New Roman" w:eastAsia="Times New Roman" w:hint="default"/>
                <w:sz w:val="21"/>
                <w:szCs w:val="21"/>
              </w:rPr>
            </w:pPr>
            <w:r>
              <w:rPr>
                <w:rFonts w:ascii="Times New Roman"/>
                <w:spacing w:val="-1"/>
                <w:sz w:val="21"/>
              </w:rPr>
              <w:t>151,296,587.35</w:t>
            </w:r>
            <w:r>
              <w:rPr>
                <w:rFonts w:ascii="Times New Roman"/>
                <w:sz w:val="21"/>
              </w:rPr>
            </w:r>
          </w:p>
        </w:tc>
      </w:tr>
    </w:tbl>
    <w:p>
      <w:pPr>
        <w:pStyle w:val="BodyText"/>
        <w:spacing w:line="276" w:lineRule="exact"/>
        <w:ind w:left="574"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2"/>
        <w:rPr>
          <w:rFonts w:ascii="Times New Roman" w:hAnsi="Times New Roman" w:cs="Times New Roman" w:eastAsia="Times New Roman"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372"/>
        <w:gridCol w:w="1603"/>
        <w:gridCol w:w="1363"/>
        <w:gridCol w:w="1229"/>
        <w:gridCol w:w="1271"/>
        <w:gridCol w:w="1475"/>
      </w:tblGrid>
      <w:tr>
        <w:trPr>
          <w:trHeight w:val="347" w:hRule="exact"/>
        </w:trPr>
        <w:tc>
          <w:tcPr>
            <w:tcW w:w="1372" w:type="dxa"/>
            <w:vMerge w:val="restart"/>
            <w:tcBorders>
              <w:top w:val="single" w:sz="6" w:space="0" w:color="000000"/>
              <w:left w:val="single" w:sz="6" w:space="0" w:color="000000"/>
              <w:right w:val="single" w:sz="6" w:space="0" w:color="000000"/>
            </w:tcBorders>
          </w:tcPr>
          <w:p>
            <w:pPr>
              <w:pStyle w:val="TableParagraph"/>
              <w:spacing w:line="271" w:lineRule="exact"/>
              <w:ind w:left="383"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6941" w:type="dxa"/>
            <w:gridSpan w:val="5"/>
            <w:tcBorders>
              <w:top w:val="single" w:sz="6" w:space="0" w:color="000000"/>
              <w:left w:val="single" w:sz="6" w:space="0" w:color="000000"/>
              <w:bottom w:val="single" w:sz="6" w:space="0" w:color="000000"/>
              <w:right w:val="nil" w:sz="6" w:space="0" w:color="auto"/>
            </w:tcBorders>
          </w:tcPr>
          <w:p>
            <w:pPr>
              <w:pStyle w:val="TableParagraph"/>
              <w:spacing w:line="271" w:lineRule="exact"/>
              <w:ind w:left="-1" w:right="4"/>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8" w:hRule="exact"/>
        </w:trPr>
        <w:tc>
          <w:tcPr>
            <w:tcW w:w="1372" w:type="dxa"/>
            <w:vMerge/>
            <w:tcBorders>
              <w:left w:val="single" w:sz="6" w:space="0" w:color="000000"/>
              <w:right w:val="single" w:sz="6" w:space="0" w:color="000000"/>
            </w:tcBorders>
          </w:tcPr>
          <w:p>
            <w:pPr/>
          </w:p>
        </w:tc>
        <w:tc>
          <w:tcPr>
            <w:tcW w:w="1603" w:type="dxa"/>
            <w:vMerge w:val="restart"/>
            <w:tcBorders>
              <w:top w:val="single" w:sz="6" w:space="0" w:color="000000"/>
              <w:left w:val="single" w:sz="6" w:space="0" w:color="000000"/>
              <w:right w:val="single" w:sz="6" w:space="0" w:color="000000"/>
            </w:tcBorders>
          </w:tcPr>
          <w:p>
            <w:pPr>
              <w:pStyle w:val="TableParagraph"/>
              <w:spacing w:line="271" w:lineRule="exact"/>
              <w:ind w:left="164"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3863" w:type="dxa"/>
            <w:gridSpan w:val="3"/>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已逾期未减值</w:t>
            </w:r>
          </w:p>
        </w:tc>
        <w:tc>
          <w:tcPr>
            <w:tcW w:w="1475" w:type="dxa"/>
            <w:vMerge w:val="restart"/>
            <w:tcBorders>
              <w:top w:val="single" w:sz="6" w:space="0" w:color="000000"/>
              <w:left w:val="single" w:sz="6" w:space="0" w:color="000000"/>
              <w:right w:val="nil" w:sz="6" w:space="0" w:color="auto"/>
            </w:tcBorders>
          </w:tcPr>
          <w:p>
            <w:pPr>
              <w:pStyle w:val="TableParagraph"/>
              <w:spacing w:line="271" w:lineRule="exact"/>
              <w:ind w:left="477"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21"/>
                <w:sz w:val="21"/>
                <w:szCs w:val="21"/>
              </w:rPr>
              <w:t> </w:t>
            </w:r>
            <w:r>
              <w:rPr>
                <w:rFonts w:ascii="宋体" w:hAnsi="宋体" w:cs="宋体" w:eastAsia="宋体" w:hint="default"/>
                <w:sz w:val="21"/>
                <w:szCs w:val="21"/>
              </w:rPr>
              <w:t>计</w:t>
            </w:r>
          </w:p>
        </w:tc>
      </w:tr>
      <w:tr>
        <w:trPr>
          <w:trHeight w:val="347" w:hRule="exact"/>
        </w:trPr>
        <w:tc>
          <w:tcPr>
            <w:tcW w:w="1372" w:type="dxa"/>
            <w:vMerge/>
            <w:tcBorders>
              <w:left w:val="single" w:sz="6" w:space="0" w:color="000000"/>
              <w:bottom w:val="single" w:sz="6" w:space="0" w:color="000000"/>
              <w:right w:val="single" w:sz="6" w:space="0" w:color="000000"/>
            </w:tcBorders>
          </w:tcPr>
          <w:p>
            <w:pPr/>
          </w:p>
        </w:tc>
        <w:tc>
          <w:tcPr>
            <w:tcW w:w="1603" w:type="dxa"/>
            <w:vMerge/>
            <w:tcBorders>
              <w:left w:val="single" w:sz="6" w:space="0" w:color="000000"/>
              <w:bottom w:val="single" w:sz="6" w:space="0" w:color="000000"/>
              <w:right w:val="single" w:sz="6" w:space="0" w:color="000000"/>
            </w:tcBorders>
          </w:tcPr>
          <w:p>
            <w:pPr/>
          </w:p>
        </w:tc>
        <w:tc>
          <w:tcPr>
            <w:tcW w:w="1363"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30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3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1271"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26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年以上</w:t>
            </w:r>
          </w:p>
        </w:tc>
        <w:tc>
          <w:tcPr>
            <w:tcW w:w="1475" w:type="dxa"/>
            <w:vMerge/>
            <w:tcBorders>
              <w:left w:val="single" w:sz="6" w:space="0" w:color="000000"/>
              <w:bottom w:val="single" w:sz="6" w:space="0" w:color="000000"/>
              <w:right w:val="nil" w:sz="6" w:space="0" w:color="auto"/>
            </w:tcBorders>
          </w:tcPr>
          <w:p>
            <w:pPr/>
          </w:p>
        </w:tc>
      </w:tr>
      <w:tr>
        <w:trPr>
          <w:trHeight w:val="347"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172,035,954.12</w:t>
            </w:r>
            <w:r>
              <w:rPr>
                <w:rFonts w:ascii="Times New Roman"/>
                <w:sz w:val="21"/>
              </w:rPr>
            </w:r>
          </w:p>
        </w:tc>
        <w:tc>
          <w:tcPr>
            <w:tcW w:w="1363"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71"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pacing w:val="-1"/>
                <w:sz w:val="21"/>
              </w:rPr>
              <w:t>172,035,954.12</w:t>
            </w:r>
            <w:r>
              <w:rPr>
                <w:rFonts w:ascii="Times New Roman"/>
                <w:sz w:val="21"/>
              </w:rPr>
            </w:r>
          </w:p>
        </w:tc>
      </w:tr>
      <w:tr>
        <w:trPr>
          <w:trHeight w:val="34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84"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172,035,954.12</w:t>
            </w:r>
            <w:r>
              <w:rPr>
                <w:rFonts w:ascii="Times New Roman"/>
                <w:sz w:val="21"/>
              </w:rPr>
            </w:r>
          </w:p>
        </w:tc>
        <w:tc>
          <w:tcPr>
            <w:tcW w:w="1363" w:type="dxa"/>
            <w:tcBorders>
              <w:top w:val="single" w:sz="6" w:space="0" w:color="000000"/>
              <w:left w:val="single" w:sz="6" w:space="0" w:color="000000"/>
              <w:bottom w:val="single" w:sz="6" w:space="0" w:color="000000"/>
              <w:right w:val="single" w:sz="6" w:space="0" w:color="000000"/>
            </w:tcBorders>
          </w:tcPr>
          <w:p>
            <w:pPr/>
          </w:p>
        </w:tc>
        <w:tc>
          <w:tcPr>
            <w:tcW w:w="1229" w:type="dxa"/>
            <w:tcBorders>
              <w:top w:val="single" w:sz="6" w:space="0" w:color="000000"/>
              <w:left w:val="single" w:sz="6" w:space="0" w:color="000000"/>
              <w:bottom w:val="single" w:sz="6" w:space="0" w:color="000000"/>
              <w:right w:val="single" w:sz="6" w:space="0" w:color="000000"/>
            </w:tcBorders>
          </w:tcPr>
          <w:p>
            <w:pPr/>
          </w:p>
        </w:tc>
        <w:tc>
          <w:tcPr>
            <w:tcW w:w="1271" w:type="dxa"/>
            <w:tcBorders>
              <w:top w:val="single" w:sz="6" w:space="0" w:color="000000"/>
              <w:left w:val="single" w:sz="6" w:space="0" w:color="000000"/>
              <w:bottom w:val="single" w:sz="6" w:space="0" w:color="000000"/>
              <w:right w:val="single" w:sz="6" w:space="0" w:color="000000"/>
            </w:tcBorders>
          </w:tcPr>
          <w:p>
            <w:pPr/>
          </w:p>
        </w:tc>
        <w:tc>
          <w:tcPr>
            <w:tcW w:w="1475"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8"/>
              <w:jc w:val="right"/>
              <w:rPr>
                <w:rFonts w:ascii="Times New Roman" w:hAnsi="Times New Roman" w:cs="Times New Roman" w:eastAsia="Times New Roman" w:hint="default"/>
                <w:sz w:val="21"/>
                <w:szCs w:val="21"/>
              </w:rPr>
            </w:pPr>
            <w:r>
              <w:rPr>
                <w:rFonts w:ascii="Times New Roman"/>
                <w:spacing w:val="-1"/>
                <w:sz w:val="21"/>
              </w:rPr>
              <w:t>172,035,954.12</w:t>
            </w:r>
            <w:r>
              <w:rPr>
                <w:rFonts w:ascii="Times New Roman"/>
                <w:sz w:val="21"/>
              </w:rPr>
            </w:r>
          </w:p>
        </w:tc>
      </w:tr>
    </w:tbl>
    <w:p>
      <w:pPr>
        <w:pStyle w:val="BodyText"/>
        <w:spacing w:line="276" w:lineRule="exact"/>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单项计提减值的应收款项情况见本财务报表附注合并财务报表项目注释之应收款项说明。</w:t>
      </w:r>
    </w:p>
    <w:p>
      <w:pPr>
        <w:pStyle w:val="BodyText"/>
        <w:spacing w:line="273" w:lineRule="auto" w:before="21"/>
        <w:ind w:left="574" w:right="110"/>
        <w:jc w:val="left"/>
      </w:pPr>
      <w:r>
        <w:rPr/>
        <w:t>(二)</w:t>
      </w:r>
      <w:r>
        <w:rPr>
          <w:spacing w:val="-1"/>
        </w:rPr>
        <w:t> </w:t>
      </w:r>
      <w:r>
        <w:rPr/>
        <w:t>流动风险</w:t>
      </w:r>
      <w:r>
        <w:rPr/>
        <w:t> 流动风险，是指本公司在履行以交付现金或其他金融资产的方式结算的义务时发生资金短缺的风险。</w:t>
      </w:r>
    </w:p>
    <w:p>
      <w:pPr>
        <w:pStyle w:val="BodyText"/>
        <w:spacing w:line="273" w:lineRule="auto" w:before="7"/>
        <w:ind w:right="0"/>
        <w:jc w:val="left"/>
      </w:pPr>
      <w:r>
        <w:rPr>
          <w:spacing w:val="-1"/>
        </w:rPr>
        <w:t>流动风险可能源于无法尽快以公允价值售出金融资产；或者源于对方无法偿还其合同债务；或者源于提前</w:t>
      </w:r>
      <w:r>
        <w:rPr>
          <w:spacing w:val="-81"/>
        </w:rPr>
        <w:t> </w:t>
      </w:r>
      <w:r>
        <w:rPr>
          <w:spacing w:val="-81"/>
        </w:rPr>
      </w:r>
      <w:r>
        <w:rPr/>
        <w:t>到期的债务；或者源于无法产生预期的现金流量。</w:t>
      </w:r>
    </w:p>
    <w:p>
      <w:pPr>
        <w:pStyle w:val="BodyText"/>
        <w:spacing w:line="271" w:lineRule="auto" w:before="7"/>
        <w:ind w:right="150" w:firstLine="420"/>
        <w:jc w:val="both"/>
      </w:pPr>
      <w:r>
        <w:rPr>
          <w:spacing w:val="-1"/>
        </w:rPr>
        <w:t>为控制该项风险，本公司综合运用票据结算、银行借款等多种融资手段，并采取长、短期融资方式适</w:t>
      </w:r>
      <w:r>
        <w:rPr/>
        <w:t> </w:t>
      </w:r>
      <w:r>
        <w:rPr>
          <w:spacing w:val="-1"/>
        </w:rPr>
        <w:t>当结合，优化融资结构的方法，保持融资持续性与灵活性之间的平衡。本公司已从多家商业银行取得银行</w:t>
      </w:r>
      <w:r>
        <w:rPr>
          <w:spacing w:val="-83"/>
        </w:rPr>
        <w:t> </w:t>
      </w:r>
      <w:r>
        <w:rPr>
          <w:spacing w:val="-83"/>
        </w:rPr>
      </w:r>
      <w:r>
        <w:rPr/>
        <w:t>授信额度以满足营运资金需求和资本开支。</w:t>
      </w:r>
    </w:p>
    <w:p>
      <w:pPr>
        <w:pStyle w:val="BodyText"/>
        <w:spacing w:line="240" w:lineRule="auto" w:before="10"/>
        <w:ind w:left="574" w:right="0"/>
        <w:jc w:val="left"/>
      </w:pPr>
      <w:r>
        <w:rPr/>
        <w:t>金融负债按剩余到期日分类</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1261"/>
        <w:gridCol w:w="1690"/>
        <w:gridCol w:w="1691"/>
        <w:gridCol w:w="1692"/>
        <w:gridCol w:w="1480"/>
        <w:gridCol w:w="499"/>
      </w:tblGrid>
      <w:tr>
        <w:trPr>
          <w:trHeight w:val="348" w:hRule="exact"/>
        </w:trPr>
        <w:tc>
          <w:tcPr>
            <w:tcW w:w="1261" w:type="dxa"/>
            <w:vMerge w:val="restart"/>
            <w:tcBorders>
              <w:top w:val="single" w:sz="6" w:space="0" w:color="000000"/>
              <w:left w:val="single" w:sz="6" w:space="0" w:color="000000"/>
              <w:right w:val="single" w:sz="6" w:space="0" w:color="000000"/>
            </w:tcBorders>
          </w:tcPr>
          <w:p>
            <w:pPr>
              <w:pStyle w:val="TableParagraph"/>
              <w:spacing w:line="271" w:lineRule="exact"/>
              <w:ind w:left="328"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7051" w:type="dxa"/>
            <w:gridSpan w:val="5"/>
            <w:tcBorders>
              <w:top w:val="single" w:sz="6" w:space="0" w:color="000000"/>
              <w:left w:val="single" w:sz="6" w:space="0" w:color="000000"/>
              <w:bottom w:val="single" w:sz="6" w:space="0" w:color="000000"/>
              <w:right w:val="nil" w:sz="6" w:space="0" w:color="auto"/>
            </w:tcBorders>
          </w:tcPr>
          <w:p>
            <w:pPr>
              <w:pStyle w:val="TableParagraph"/>
              <w:spacing w:line="271" w:lineRule="exact"/>
              <w:ind w:right="6"/>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659" w:hRule="exact"/>
        </w:trPr>
        <w:tc>
          <w:tcPr>
            <w:tcW w:w="1261" w:type="dxa"/>
            <w:vMerge/>
            <w:tcBorders>
              <w:left w:val="single" w:sz="6" w:space="0" w:color="000000"/>
              <w:bottom w:val="single" w:sz="6" w:space="0" w:color="000000"/>
              <w:right w:val="single" w:sz="6" w:space="0" w:color="000000"/>
            </w:tcBorders>
          </w:tcPr>
          <w:p>
            <w:pP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1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104" w:right="0"/>
              <w:jc w:val="left"/>
              <w:rPr>
                <w:rFonts w:ascii="宋体" w:hAnsi="宋体" w:cs="宋体" w:eastAsia="宋体" w:hint="default"/>
                <w:sz w:val="21"/>
                <w:szCs w:val="21"/>
              </w:rPr>
            </w:pPr>
            <w:r>
              <w:rPr>
                <w:rFonts w:ascii="宋体" w:hAnsi="宋体" w:cs="宋体" w:eastAsia="宋体" w:hint="default"/>
                <w:sz w:val="21"/>
                <w:szCs w:val="21"/>
              </w:rPr>
              <w:t>未折现合同金额</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7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85" w:lineRule="exact"/>
              <w:ind w:left="4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1-3</w:t>
            </w:r>
            <w:r>
              <w:rPr>
                <w:rFonts w:ascii="宋体" w:hAnsi="宋体" w:cs="宋体" w:eastAsia="宋体" w:hint="default"/>
                <w:sz w:val="21"/>
                <w:szCs w:val="21"/>
              </w:rPr>
              <w:t>年</w:t>
            </w:r>
          </w:p>
        </w:tc>
        <w:tc>
          <w:tcPr>
            <w:tcW w:w="499" w:type="dxa"/>
            <w:tcBorders>
              <w:top w:val="single" w:sz="6" w:space="0" w:color="000000"/>
              <w:left w:val="single" w:sz="6" w:space="0" w:color="000000"/>
              <w:bottom w:val="single" w:sz="6" w:space="0" w:color="000000"/>
              <w:right w:val="nil" w:sz="6" w:space="0" w:color="auto"/>
            </w:tcBorders>
          </w:tcPr>
          <w:p>
            <w:pPr>
              <w:pStyle w:val="TableParagraph"/>
              <w:spacing w:line="256" w:lineRule="auto"/>
              <w:ind w:left="31" w:right="38" w:firstLine="52"/>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年 以上</w:t>
            </w:r>
          </w:p>
        </w:tc>
      </w:tr>
      <w:tr>
        <w:trPr>
          <w:trHeight w:val="347" w:hRule="exact"/>
        </w:trPr>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银行借款</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577,300,000.00</w:t>
            </w:r>
            <w:r>
              <w:rPr>
                <w:rFonts w:ascii="Times New Roman"/>
                <w:sz w:val="21"/>
              </w:rPr>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597,537,425.68</w:t>
            </w:r>
            <w:r>
              <w:rPr>
                <w:rFonts w:ascii="Times New Roman"/>
                <w:sz w:val="21"/>
              </w:rPr>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597,537,425.68</w:t>
            </w:r>
            <w:r>
              <w:rPr>
                <w:rFonts w:ascii="Times New Roman"/>
                <w:sz w:val="21"/>
              </w:rPr>
            </w:r>
          </w:p>
        </w:tc>
        <w:tc>
          <w:tcPr>
            <w:tcW w:w="1480"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252,732,902.23</w:t>
            </w:r>
            <w:r>
              <w:rPr>
                <w:rFonts w:ascii="Times New Roman"/>
                <w:sz w:val="21"/>
              </w:rPr>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252,732,902.23</w:t>
            </w:r>
            <w:r>
              <w:rPr>
                <w:rFonts w:ascii="Times New Roman"/>
                <w:sz w:val="21"/>
              </w:rPr>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252,732,902.23</w:t>
            </w:r>
            <w:r>
              <w:rPr>
                <w:rFonts w:ascii="Times New Roman"/>
                <w:sz w:val="21"/>
              </w:rPr>
            </w:r>
          </w:p>
        </w:tc>
        <w:tc>
          <w:tcPr>
            <w:tcW w:w="1480"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600,000,000.00</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670,800,000.00</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35,400,000.00</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635,400,000.00</w:t>
            </w:r>
          </w:p>
        </w:tc>
        <w:tc>
          <w:tcPr>
            <w:tcW w:w="499"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614,795,803.51</w:t>
            </w:r>
            <w:r>
              <w:rPr>
                <w:rFonts w:ascii="Times New Roman"/>
                <w:sz w:val="21"/>
              </w:rPr>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614,795,803.51</w:t>
            </w:r>
            <w:r>
              <w:rPr>
                <w:rFonts w:ascii="Times New Roman"/>
                <w:sz w:val="21"/>
              </w:rPr>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614,795,803.51</w:t>
            </w:r>
            <w:r>
              <w:rPr>
                <w:rFonts w:ascii="Times New Roman"/>
                <w:sz w:val="21"/>
              </w:rPr>
            </w:r>
          </w:p>
        </w:tc>
        <w:tc>
          <w:tcPr>
            <w:tcW w:w="1480"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34,501,118.75</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34,501,118.75</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34,501,118.75</w:t>
            </w:r>
          </w:p>
        </w:tc>
        <w:tc>
          <w:tcPr>
            <w:tcW w:w="1480"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37,424,167.19</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37,424,167.19</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37,424,167.19</w:t>
            </w:r>
          </w:p>
        </w:tc>
        <w:tc>
          <w:tcPr>
            <w:tcW w:w="1480" w:type="dxa"/>
            <w:tcBorders>
              <w:top w:val="single" w:sz="6" w:space="0" w:color="000000"/>
              <w:left w:val="single" w:sz="6" w:space="0" w:color="000000"/>
              <w:bottom w:val="single" w:sz="6" w:space="0" w:color="000000"/>
              <w:right w:val="single" w:sz="6" w:space="0" w:color="000000"/>
            </w:tcBorders>
          </w:tcPr>
          <w:p>
            <w:pPr/>
          </w:p>
        </w:tc>
        <w:tc>
          <w:tcPr>
            <w:tcW w:w="499"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28"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6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2,116,753,911.68</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2,207,791,417.36</w:t>
            </w:r>
          </w:p>
        </w:tc>
        <w:tc>
          <w:tcPr>
            <w:tcW w:w="1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1,572,391,417.36</w:t>
            </w:r>
          </w:p>
        </w:tc>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635,400,000.00</w:t>
            </w:r>
          </w:p>
        </w:tc>
        <w:tc>
          <w:tcPr>
            <w:tcW w:w="499" w:type="dxa"/>
            <w:tcBorders>
              <w:top w:val="single" w:sz="6" w:space="0" w:color="000000"/>
              <w:left w:val="single" w:sz="6" w:space="0" w:color="000000"/>
              <w:bottom w:val="single" w:sz="6" w:space="0" w:color="000000"/>
              <w:right w:val="nil" w:sz="6" w:space="0" w:color="auto"/>
            </w:tcBorders>
          </w:tcPr>
          <w:p>
            <w:pPr/>
          </w:p>
        </w:tc>
      </w:tr>
    </w:tbl>
    <w:p>
      <w:pPr>
        <w:pStyle w:val="BodyText"/>
        <w:spacing w:line="276" w:lineRule="exact"/>
        <w:ind w:left="574"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2"/>
        <w:rPr>
          <w:rFonts w:ascii="Times New Roman" w:hAnsi="Times New Roman" w:cs="Times New Roman" w:eastAsia="Times New Roman"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995"/>
        <w:gridCol w:w="1559"/>
        <w:gridCol w:w="1560"/>
        <w:gridCol w:w="1513"/>
        <w:gridCol w:w="1324"/>
        <w:gridCol w:w="1362"/>
      </w:tblGrid>
      <w:tr>
        <w:trPr>
          <w:trHeight w:val="348" w:hRule="exact"/>
        </w:trPr>
        <w:tc>
          <w:tcPr>
            <w:tcW w:w="995" w:type="dxa"/>
            <w:vMerge w:val="restart"/>
            <w:tcBorders>
              <w:top w:val="single" w:sz="6" w:space="0" w:color="000000"/>
              <w:left w:val="single" w:sz="6" w:space="0" w:color="000000"/>
              <w:right w:val="single" w:sz="6" w:space="0" w:color="000000"/>
            </w:tcBorders>
          </w:tcPr>
          <w:p>
            <w:pPr>
              <w:pStyle w:val="TableParagraph"/>
              <w:spacing w:line="240" w:lineRule="auto" w:before="21"/>
              <w:ind w:left="237"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5"/>
                <w:sz w:val="18"/>
                <w:szCs w:val="18"/>
              </w:rPr>
              <w:t> </w:t>
            </w:r>
            <w:r>
              <w:rPr>
                <w:rFonts w:ascii="宋体" w:hAnsi="宋体" w:cs="宋体" w:eastAsia="宋体" w:hint="default"/>
                <w:sz w:val="18"/>
                <w:szCs w:val="18"/>
              </w:rPr>
              <w:t>目</w:t>
            </w:r>
          </w:p>
        </w:tc>
        <w:tc>
          <w:tcPr>
            <w:tcW w:w="7318" w:type="dxa"/>
            <w:gridSpan w:val="5"/>
            <w:tcBorders>
              <w:top w:val="single" w:sz="6" w:space="0" w:color="000000"/>
              <w:left w:val="single" w:sz="6" w:space="0" w:color="000000"/>
              <w:bottom w:val="single" w:sz="6" w:space="0" w:color="000000"/>
              <w:right w:val="nil" w:sz="6" w:space="0" w:color="auto"/>
            </w:tcBorders>
          </w:tcPr>
          <w:p>
            <w:pPr>
              <w:pStyle w:val="TableParagraph"/>
              <w:spacing w:line="240" w:lineRule="auto" w:before="21"/>
              <w:ind w:right="7"/>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47" w:hRule="exact"/>
        </w:trPr>
        <w:tc>
          <w:tcPr>
            <w:tcW w:w="995" w:type="dxa"/>
            <w:vMerge/>
            <w:tcBorders>
              <w:left w:val="single" w:sz="6" w:space="0" w:color="000000"/>
              <w:bottom w:val="single" w:sz="6" w:space="0" w:color="000000"/>
              <w:right w:val="single" w:sz="6" w:space="0" w:color="000000"/>
            </w:tcBorders>
          </w:tcPr>
          <w:p>
            <w:pP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1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42"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3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宋体" w:hAnsi="宋体" w:cs="宋体" w:eastAsia="宋体" w:hint="default"/>
                <w:sz w:val="18"/>
                <w:szCs w:val="18"/>
              </w:rPr>
              <w:t>年</w:t>
            </w:r>
          </w:p>
        </w:tc>
        <w:tc>
          <w:tcPr>
            <w:tcW w:w="13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20"/>
              <w:ind w:left="3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r>
      <w:tr>
        <w:trPr>
          <w:trHeight w:val="347" w:hRule="exact"/>
        </w:trPr>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59"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13" w:type="dxa"/>
            <w:tcBorders>
              <w:top w:val="single" w:sz="6" w:space="0" w:color="000000"/>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银行借款</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314,565,098.50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330,207,715.91</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225,704,382.58</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104,503,333.33</w:t>
            </w:r>
          </w:p>
        </w:tc>
        <w:tc>
          <w:tcPr>
            <w:tcW w:w="1362"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163,817,791.24</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163,817,791.24</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163,817,791.24</w:t>
            </w:r>
          </w:p>
        </w:tc>
        <w:tc>
          <w:tcPr>
            <w:tcW w:w="1324"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600,000,000.00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708,560,000.00</w:t>
            </w:r>
          </w:p>
        </w:tc>
        <w:tc>
          <w:tcPr>
            <w:tcW w:w="1513" w:type="dxa"/>
            <w:tcBorders>
              <w:top w:val="single" w:sz="6" w:space="0" w:color="000000"/>
              <w:left w:val="single" w:sz="6" w:space="0" w:color="000000"/>
              <w:bottom w:val="single" w:sz="6" w:space="0" w:color="000000"/>
              <w:right w:val="single" w:sz="6" w:space="0" w:color="000000"/>
            </w:tcBorders>
          </w:tcPr>
          <w:p>
            <w:pPr/>
          </w:p>
        </w:tc>
        <w:tc>
          <w:tcPr>
            <w:tcW w:w="1324"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7"/>
              <w:jc w:val="right"/>
              <w:rPr>
                <w:rFonts w:ascii="Times New Roman" w:hAnsi="Times New Roman" w:cs="Times New Roman" w:eastAsia="Times New Roman" w:hint="default"/>
                <w:sz w:val="18"/>
                <w:szCs w:val="18"/>
              </w:rPr>
            </w:pPr>
            <w:r>
              <w:rPr>
                <w:rFonts w:ascii="Times New Roman"/>
                <w:spacing w:val="-1"/>
                <w:sz w:val="18"/>
              </w:rPr>
              <w:t>708,560,000.00</w:t>
            </w:r>
          </w:p>
        </w:tc>
      </w:tr>
      <w:tr>
        <w:trPr>
          <w:trHeight w:val="347" w:hRule="exact"/>
        </w:trPr>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341,295,971.13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341,295,971.13</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341,295,971.13</w:t>
            </w:r>
          </w:p>
        </w:tc>
        <w:tc>
          <w:tcPr>
            <w:tcW w:w="1324"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37,476,121.77</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37,476,121.77</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37,476,121.77</w:t>
            </w:r>
          </w:p>
        </w:tc>
        <w:tc>
          <w:tcPr>
            <w:tcW w:w="1324"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15,209,630.46</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pacing w:val="-1"/>
                <w:sz w:val="18"/>
              </w:rPr>
              <w:t>15,209,630.46</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15,209,630.46</w:t>
            </w:r>
          </w:p>
        </w:tc>
        <w:tc>
          <w:tcPr>
            <w:tcW w:w="1324" w:type="dxa"/>
            <w:tcBorders>
              <w:top w:val="single" w:sz="6" w:space="0" w:color="000000"/>
              <w:left w:val="single" w:sz="6" w:space="0" w:color="000000"/>
              <w:bottom w:val="single" w:sz="6" w:space="0" w:color="000000"/>
              <w:right w:val="single" w:sz="6" w:space="0" w:color="000000"/>
            </w:tcBorders>
          </w:tcPr>
          <w:p>
            <w:pPr/>
          </w:p>
        </w:tc>
        <w:tc>
          <w:tcPr>
            <w:tcW w:w="1362"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9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37" w:right="0"/>
              <w:jc w:val="left"/>
              <w:rPr>
                <w:rFonts w:ascii="宋体" w:hAnsi="宋体" w:cs="宋体" w:eastAsia="宋体" w:hint="default"/>
                <w:sz w:val="18"/>
                <w:szCs w:val="18"/>
              </w:rPr>
            </w:pPr>
            <w:r>
              <w:rPr>
                <w:rFonts w:ascii="宋体" w:hAnsi="宋体" w:cs="宋体" w:eastAsia="宋体" w:hint="default"/>
                <w:sz w:val="18"/>
                <w:szCs w:val="18"/>
              </w:rPr>
              <w:t>小</w:t>
            </w:r>
            <w:r>
              <w:rPr>
                <w:rFonts w:ascii="宋体" w:hAnsi="宋体" w:cs="宋体" w:eastAsia="宋体" w:hint="default"/>
                <w:spacing w:val="55"/>
                <w:sz w:val="18"/>
                <w:szCs w:val="18"/>
              </w:rPr>
              <w:t> </w:t>
            </w:r>
            <w:r>
              <w:rPr>
                <w:rFonts w:ascii="宋体" w:hAnsi="宋体" w:cs="宋体" w:eastAsia="宋体" w:hint="default"/>
                <w:sz w:val="18"/>
                <w:szCs w:val="18"/>
              </w:rPr>
              <w:t>计</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1,472,364,613.10</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1,596,567,230.51</w:t>
            </w:r>
          </w:p>
        </w:tc>
        <w:tc>
          <w:tcPr>
            <w:tcW w:w="15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783,503,897.18</w:t>
            </w:r>
          </w:p>
        </w:tc>
        <w:tc>
          <w:tcPr>
            <w:tcW w:w="1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104,503,333.33</w:t>
            </w:r>
          </w:p>
        </w:tc>
        <w:tc>
          <w:tcPr>
            <w:tcW w:w="1362"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61"/>
              <w:ind w:right="8"/>
              <w:jc w:val="right"/>
              <w:rPr>
                <w:rFonts w:ascii="Times New Roman" w:hAnsi="Times New Roman" w:cs="Times New Roman" w:eastAsia="Times New Roman" w:hint="default"/>
                <w:sz w:val="18"/>
                <w:szCs w:val="18"/>
              </w:rPr>
            </w:pPr>
            <w:r>
              <w:rPr>
                <w:rFonts w:ascii="Times New Roman"/>
                <w:spacing w:val="-1"/>
                <w:sz w:val="18"/>
              </w:rPr>
              <w:t>708,560,000.00</w:t>
            </w:r>
          </w:p>
        </w:tc>
      </w:tr>
    </w:tbl>
    <w:p>
      <w:pPr>
        <w:pStyle w:val="BodyText"/>
        <w:spacing w:line="276" w:lineRule="exact"/>
        <w:ind w:left="490"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30"/>
        </w:rPr>
        <w:t> </w:t>
      </w:r>
      <w:r>
        <w:rPr/>
        <w:t>市场风险</w:t>
      </w:r>
    </w:p>
    <w:p>
      <w:pPr>
        <w:spacing w:after="0" w:line="276" w:lineRule="exact"/>
        <w:jc w:val="left"/>
        <w:sectPr>
          <w:pgSz w:w="11910" w:h="16840"/>
          <w:pgMar w:header="747" w:footer="982" w:top="1060" w:bottom="1180" w:left="980" w:right="980"/>
        </w:sectPr>
      </w:pPr>
    </w:p>
    <w:p>
      <w:pPr>
        <w:spacing w:line="240" w:lineRule="auto" w:before="9"/>
        <w:rPr>
          <w:rFonts w:ascii="宋体" w:hAnsi="宋体" w:cs="宋体" w:eastAsia="宋体" w:hint="default"/>
          <w:sz w:val="24"/>
          <w:szCs w:val="24"/>
        </w:rPr>
      </w:pPr>
    </w:p>
    <w:p>
      <w:pPr>
        <w:pStyle w:val="BodyText"/>
        <w:spacing w:line="273" w:lineRule="auto" w:before="35"/>
        <w:ind w:right="102" w:firstLine="420"/>
        <w:jc w:val="left"/>
      </w:pPr>
      <w:r>
        <w:rPr>
          <w:spacing w:val="-1"/>
        </w:rPr>
        <w:t>市场风险，是指金融工具的公允价值或未来现金流量因市场价格变动而发生波动的风险。市场风险主</w:t>
      </w:r>
      <w:r>
        <w:rPr/>
        <w:t> 要包括利率风险和外汇风险。</w:t>
      </w:r>
    </w:p>
    <w:p>
      <w:pPr>
        <w:pStyle w:val="BodyText"/>
        <w:spacing w:line="256" w:lineRule="auto" w:before="7"/>
        <w:ind w:left="573" w:right="10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利率风险 </w:t>
      </w:r>
      <w:r>
        <w:rPr>
          <w:spacing w:val="-1"/>
        </w:rPr>
        <w:t>利率风险，是指金融工具的公允价值或未来现金流量因市场利率变动而发生波动的风险。本公司面临</w:t>
      </w:r>
    </w:p>
    <w:p>
      <w:pPr>
        <w:pStyle w:val="BodyText"/>
        <w:spacing w:line="273" w:lineRule="auto" w:before="22"/>
        <w:ind w:left="573" w:right="102" w:hanging="420"/>
        <w:jc w:val="left"/>
      </w:pPr>
      <w:r>
        <w:rPr/>
        <w:t>的市场利率变动的风险主要与本公司以浮动利率计息的借款有关。 </w:t>
      </w:r>
      <w:r>
        <w:rPr>
          <w:spacing w:val="-1"/>
        </w:rPr>
        <w:t>截至2015年12月31日，本公司以浮动利率计息的银行借款人民币577,300,000.00元(2014年12月31日：</w:t>
      </w:r>
    </w:p>
    <w:p>
      <w:pPr>
        <w:pStyle w:val="BodyText"/>
        <w:spacing w:line="273" w:lineRule="auto" w:before="7"/>
        <w:ind w:right="102"/>
        <w:jc w:val="left"/>
      </w:pPr>
      <w:r>
        <w:rPr/>
        <w:t>人民币314,565,098.50元)，在其他变量不变的假设下，假定利率变动50个基准点，不会对本公司的利润</w:t>
      </w:r>
      <w:r>
        <w:rPr>
          <w:spacing w:val="-41"/>
        </w:rPr>
        <w:t> </w:t>
      </w:r>
      <w:r>
        <w:rPr>
          <w:spacing w:val="-41"/>
        </w:rPr>
      </w:r>
      <w:r>
        <w:rPr/>
        <w:t>总额和股东权益产生重大的影响。</w:t>
      </w:r>
    </w:p>
    <w:p>
      <w:pPr>
        <w:pStyle w:val="BodyText"/>
        <w:spacing w:line="240" w:lineRule="auto" w:before="7"/>
        <w:ind w:left="574" w:right="10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外汇风险</w:t>
      </w:r>
    </w:p>
    <w:p>
      <w:pPr>
        <w:spacing w:line="240" w:lineRule="auto" w:before="12"/>
        <w:rPr>
          <w:rFonts w:ascii="宋体" w:hAnsi="宋体" w:cs="宋体" w:eastAsia="宋体" w:hint="default"/>
          <w:sz w:val="22"/>
          <w:szCs w:val="22"/>
        </w:rPr>
      </w:pPr>
    </w:p>
    <w:p>
      <w:pPr>
        <w:pStyle w:val="Heading2"/>
        <w:spacing w:line="240" w:lineRule="auto"/>
        <w:ind w:right="102"/>
        <w:jc w:val="left"/>
        <w:rPr>
          <w:b w:val="0"/>
          <w:bCs w:val="0"/>
        </w:rPr>
      </w:pP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102"/>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4"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23"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4"/>
                <w:sz w:val="18"/>
                <w:szCs w:val="18"/>
              </w:rPr>
              <w:t>（二）可供出售金融资产</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31,040,000.00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31,040,000.00</w:t>
            </w:r>
          </w:p>
        </w:tc>
      </w:tr>
      <w:tr>
        <w:trPr>
          <w:trHeight w:val="403"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31,040,000.00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31,040,000.00</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spacing w:line="506" w:lineRule="auto" w:before="35"/>
        <w:ind w:left="153" w:right="4245"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、持续和非持续第一层次公允价值计量项目市价的确定依据</w:t>
      </w:r>
      <w:r>
        <w:rPr>
          <w:rFonts w:ascii="宋体" w:hAnsi="宋体" w:cs="宋体" w:eastAsia="宋体" w:hint="default"/>
          <w:b/>
          <w:bCs/>
          <w:w w:val="99"/>
          <w:sz w:val="21"/>
          <w:szCs w:val="21"/>
        </w:rPr>
        <w:t> </w:t>
      </w:r>
      <w:r>
        <w:rPr>
          <w:rFonts w:ascii="宋体" w:hAnsi="宋体" w:cs="宋体" w:eastAsia="宋体" w:hint="default"/>
          <w:sz w:val="21"/>
          <w:szCs w:val="21"/>
        </w:rPr>
        <w:t>根据同期上市公司首发上市定价模型确定公允价值。</w:t>
      </w:r>
    </w:p>
    <w:p>
      <w:pPr>
        <w:spacing w:line="240" w:lineRule="auto" w:before="0"/>
        <w:rPr>
          <w:rFonts w:ascii="宋体" w:hAnsi="宋体" w:cs="宋体" w:eastAsia="宋体" w:hint="default"/>
          <w:sz w:val="20"/>
          <w:szCs w:val="20"/>
        </w:rPr>
      </w:pPr>
    </w:p>
    <w:p>
      <w:pPr>
        <w:spacing w:line="506" w:lineRule="auto" w:before="132"/>
        <w:ind w:left="154" w:right="5870" w:firstLine="0"/>
        <w:jc w:val="left"/>
        <w:rPr>
          <w:rFonts w:ascii="宋体" w:hAnsi="宋体" w:cs="宋体" w:eastAsia="宋体" w:hint="default"/>
          <w:sz w:val="18"/>
          <w:szCs w:val="18"/>
        </w:rPr>
      </w:pP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9.1</w:t>
      </w:r>
      <w:r>
        <w:rPr>
          <w:rFonts w:ascii="宋体" w:hAnsi="宋体" w:cs="宋体" w:eastAsia="宋体" w:hint="default"/>
          <w:sz w:val="18"/>
          <w:szCs w:val="18"/>
        </w:rPr>
        <w:t>。</w:t>
      </w:r>
    </w:p>
    <w:p>
      <w:pPr>
        <w:pStyle w:val="Heading3"/>
        <w:spacing w:line="240" w:lineRule="auto" w:before="115"/>
        <w:ind w:right="102"/>
        <w:jc w:val="left"/>
        <w:rPr>
          <w:b w:val="0"/>
          <w:bCs w:val="0"/>
        </w:rPr>
      </w:pPr>
      <w:r>
        <w:rPr>
          <w:rFonts w:ascii="Times New Roman" w:hAnsi="Times New Roman" w:cs="Times New Roman" w:eastAsia="Times New Roman" w:hint="default"/>
        </w:rPr>
        <w:t>2</w:t>
      </w:r>
      <w:r>
        <w:rPr/>
        <w:t>、本企业合营和联营企业情况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3" w:right="1371"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9.3</w:t>
      </w:r>
      <w:r>
        <w:rPr>
          <w:rFonts w:ascii="宋体" w:hAnsi="宋体" w:cs="宋体" w:eastAsia="宋体" w:hint="default"/>
          <w:sz w:val="18"/>
          <w:szCs w:val="18"/>
        </w:rPr>
        <w:t>。 本期与本公司发生关联方交易，或前期与本公司发生关联方交易形成余额的其他合营或联营企业情况如下：</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7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中煤科创节能技术有限公司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920"/>
        </w:sectPr>
      </w:pPr>
    </w:p>
    <w:p>
      <w:pPr>
        <w:spacing w:line="240" w:lineRule="auto" w:before="10"/>
        <w:rPr>
          <w:rFonts w:ascii="宋体" w:hAnsi="宋体" w:cs="宋体" w:eastAsia="宋体" w:hint="default"/>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3</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4"/>
        <w:gridCol w:w="1706"/>
        <w:gridCol w:w="1708"/>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中煤科创节能技术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8"/>
              <w:jc w:val="left"/>
              <w:rPr>
                <w:rFonts w:ascii="宋体" w:hAnsi="宋体" w:cs="宋体" w:eastAsia="宋体" w:hint="default"/>
                <w:sz w:val="18"/>
                <w:szCs w:val="18"/>
              </w:rPr>
            </w:pPr>
            <w:r>
              <w:rPr>
                <w:rFonts w:ascii="宋体" w:hAnsi="宋体" w:cs="宋体" w:eastAsia="宋体" w:hint="default"/>
                <w:sz w:val="18"/>
                <w:szCs w:val="18"/>
              </w:rPr>
              <w:t>电能质量与电力 安全产品</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6" w:right="0"/>
              <w:jc w:val="left"/>
              <w:rPr>
                <w:rFonts w:ascii="Times New Roman" w:hAnsi="Times New Roman" w:cs="Times New Roman" w:eastAsia="Times New Roman" w:hint="default"/>
                <w:sz w:val="18"/>
                <w:szCs w:val="18"/>
              </w:rPr>
            </w:pPr>
            <w:r>
              <w:rPr>
                <w:rFonts w:ascii="Times New Roman"/>
                <w:sz w:val="18"/>
              </w:rPr>
              <w:t>2,378,632.48</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29" w:right="0"/>
              <w:jc w:val="left"/>
              <w:rPr>
                <w:rFonts w:ascii="Times New Roman" w:hAnsi="Times New Roman" w:cs="Times New Roman" w:eastAsia="Times New Roman" w:hint="default"/>
                <w:sz w:val="18"/>
                <w:szCs w:val="18"/>
              </w:rPr>
            </w:pPr>
            <w:r>
              <w:rPr>
                <w:rFonts w:ascii="Times New Roman"/>
                <w:sz w:val="18"/>
              </w:rPr>
              <w:t>1,537,200.00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8"/>
        <w:gridCol w:w="2258"/>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中煤科创节能技术有限公司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电能质量与电力安全产品</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1" w:right="0"/>
              <w:jc w:val="left"/>
              <w:rPr>
                <w:rFonts w:ascii="Times New Roman" w:hAnsi="Times New Roman" w:cs="Times New Roman" w:eastAsia="Times New Roman" w:hint="default"/>
                <w:sz w:val="18"/>
                <w:szCs w:val="18"/>
              </w:rPr>
            </w:pPr>
            <w:r>
              <w:rPr>
                <w:rFonts w:ascii="Times New Roman"/>
                <w:sz w:val="18"/>
              </w:rPr>
              <w:t>6,874,025.64</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5" w:right="0"/>
              <w:jc w:val="left"/>
              <w:rPr>
                <w:rFonts w:ascii="Times New Roman" w:hAnsi="Times New Roman" w:cs="Times New Roman" w:eastAsia="Times New Roman" w:hint="default"/>
                <w:sz w:val="18"/>
                <w:szCs w:val="18"/>
              </w:rPr>
            </w:pPr>
            <w:r>
              <w:rPr>
                <w:rFonts w:ascii="Times New Roman"/>
                <w:sz w:val="18"/>
              </w:rPr>
              <w:t>16,925,513.89</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）关键管理人员报酬</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325.24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179.89</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3D3D3"/>
          </w:tcPr>
          <w:p>
            <w:pPr/>
          </w:p>
        </w:tc>
        <w:tc>
          <w:tcPr>
            <w:tcW w:w="1595" w:type="dxa"/>
            <w:vMerge/>
            <w:tcBorders>
              <w:left w:val="single" w:sz="4" w:space="0" w:color="000000"/>
              <w:bottom w:val="single" w:sz="4" w:space="0" w:color="000000"/>
              <w:right w:val="single" w:sz="4" w:space="0" w:color="000000"/>
            </w:tcBorders>
            <w:shd w:val="clear" w:color="auto" w:fill="D3D3D3"/>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中煤科创节能技术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16,047,980.71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1,019,721.56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20,460,576.57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1,023,028.83</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中煤科创节能技术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158,280.00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47,484.00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158,280.00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31,656.00</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中煤科创节能技术有限公司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49" w:right="0"/>
              <w:jc w:val="left"/>
              <w:rPr>
                <w:rFonts w:ascii="Times New Roman" w:hAnsi="Times New Roman" w:cs="Times New Roman" w:eastAsia="Times New Roman" w:hint="default"/>
                <w:sz w:val="18"/>
                <w:szCs w:val="18"/>
              </w:rPr>
            </w:pPr>
            <w:r>
              <w:rPr>
                <w:rFonts w:ascii="Times New Roman"/>
                <w:sz w:val="18"/>
              </w:rPr>
              <w:t>358,268.39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r>
        <w:rPr/>
        <w:t>十三、承诺及或有事项</w:t>
      </w:r>
      <w:r>
        <w:rPr>
          <w:b w:val="0"/>
          <w:bCs w:val="0"/>
        </w:rPr>
      </w:r>
    </w:p>
    <w:p>
      <w:pPr>
        <w:spacing w:line="240" w:lineRule="auto" w:before="8"/>
        <w:rPr>
          <w:rFonts w:ascii="宋体" w:hAnsi="宋体" w:cs="宋体" w:eastAsia="宋体" w:hint="default"/>
          <w:b/>
          <w:bCs/>
          <w:sz w:val="24"/>
          <w:szCs w:val="24"/>
        </w:rPr>
      </w:pPr>
    </w:p>
    <w:p>
      <w:pPr>
        <w:spacing w:line="520" w:lineRule="auto" w:before="0"/>
        <w:ind w:left="154" w:right="3890" w:hanging="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
          <w:w w:val="99"/>
          <w:sz w:val="21"/>
          <w:szCs w:val="21"/>
        </w:rPr>
        <w:t> </w:t>
      </w:r>
      <w:r>
        <w:rPr>
          <w:rFonts w:ascii="宋体" w:hAnsi="宋体" w:cs="宋体" w:eastAsia="宋体" w:hint="default"/>
          <w:sz w:val="21"/>
          <w:szCs w:val="21"/>
        </w:rPr>
        <w:t>截至资产负债表日，本公司不存在需要披露的承诺及或有事项。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、或有事项</w:t>
      </w:r>
      <w:r>
        <w:rPr>
          <w:rFonts w:ascii="宋体" w:hAnsi="宋体" w:cs="宋体" w:eastAsia="宋体" w:hint="default"/>
          <w:sz w:val="21"/>
          <w:szCs w:val="21"/>
        </w:rPr>
      </w:r>
    </w:p>
    <w:p>
      <w:pPr>
        <w:spacing w:line="506" w:lineRule="auto" w:before="50"/>
        <w:ind w:left="154" w:right="3890"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）资产负债表日存在的重要或有事项</w:t>
      </w:r>
      <w:r>
        <w:rPr>
          <w:rFonts w:ascii="宋体" w:hAnsi="宋体" w:cs="宋体" w:eastAsia="宋体" w:hint="default"/>
          <w:b/>
          <w:bCs/>
          <w:w w:val="99"/>
          <w:sz w:val="21"/>
          <w:szCs w:val="21"/>
        </w:rPr>
        <w:t> </w:t>
      </w:r>
      <w:r>
        <w:rPr>
          <w:rFonts w:ascii="宋体" w:hAnsi="宋体" w:cs="宋体" w:eastAsia="宋体" w:hint="default"/>
          <w:sz w:val="21"/>
          <w:szCs w:val="21"/>
        </w:rPr>
        <w:t>截至资产负债表日，本公司不存在需要披露的承诺及或有事项。</w:t>
      </w:r>
    </w:p>
    <w:p>
      <w:pPr>
        <w:pStyle w:val="Heading3"/>
        <w:spacing w:line="240" w:lineRule="auto" w:before="105"/>
        <w:ind w:right="0"/>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r>
        <w:rPr/>
        <w:t>十四、资产负债表日后事项</w:t>
      </w:r>
      <w:r>
        <w:rPr>
          <w:b w:val="0"/>
          <w:bCs w:val="0"/>
        </w:rPr>
      </w:r>
    </w:p>
    <w:p>
      <w:pPr>
        <w:spacing w:line="240" w:lineRule="auto" w:before="7"/>
        <w:rPr>
          <w:rFonts w:ascii="宋体" w:hAnsi="宋体" w:cs="宋体" w:eastAsia="宋体" w:hint="default"/>
          <w:b/>
          <w:bCs/>
          <w:sz w:val="32"/>
          <w:szCs w:val="32"/>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日，本公司不存在需要披露的资产负债表日后事项。</w:t>
      </w:r>
    </w:p>
    <w:p>
      <w:pPr>
        <w:spacing w:line="240" w:lineRule="auto" w:before="0"/>
        <w:rPr>
          <w:rFonts w:ascii="宋体" w:hAnsi="宋体" w:cs="宋体" w:eastAsia="宋体" w:hint="default"/>
          <w:sz w:val="18"/>
          <w:szCs w:val="18"/>
        </w:rPr>
      </w:pPr>
    </w:p>
    <w:p>
      <w:pPr>
        <w:pStyle w:val="Heading2"/>
        <w:spacing w:line="240" w:lineRule="auto" w:before="157"/>
        <w:ind w:right="0"/>
        <w:jc w:val="left"/>
        <w:rPr>
          <w:b w:val="0"/>
          <w:bCs w:val="0"/>
        </w:rPr>
      </w:pPr>
      <w:r>
        <w:rPr/>
        <w:t>十五、其他重要事项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before="0"/>
        <w:ind w:right="0"/>
        <w:jc w:val="left"/>
        <w:rPr>
          <w:b w:val="0"/>
          <w:bCs w:val="0"/>
        </w:rPr>
      </w:pPr>
      <w:r>
        <w:rPr>
          <w:rFonts w:ascii="Times New Roman" w:hAnsi="Times New Roman" w:cs="Times New Roman" w:eastAsia="Times New Roman" w:hint="default"/>
        </w:rPr>
        <w:t>1</w:t>
      </w:r>
      <w:r>
        <w:rPr/>
        <w:t>、分部信息</w:t>
      </w:r>
      <w:r>
        <w:rPr>
          <w:b w:val="0"/>
          <w:bCs w:val="0"/>
        </w:rPr>
      </w:r>
    </w:p>
    <w:p>
      <w:pPr>
        <w:spacing w:line="590" w:lineRule="atLeast" w:before="23"/>
        <w:ind w:left="573" w:right="0" w:hanging="420"/>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b/>
          <w:bCs/>
          <w:w w:val="99"/>
          <w:sz w:val="21"/>
          <w:szCs w:val="21"/>
        </w:rPr>
        <w:t> </w:t>
      </w:r>
      <w:r>
        <w:rPr>
          <w:rFonts w:ascii="宋体" w:hAnsi="宋体" w:cs="宋体" w:eastAsia="宋体" w:hint="default"/>
          <w:spacing w:val="-1"/>
          <w:sz w:val="21"/>
          <w:szCs w:val="21"/>
        </w:rPr>
        <w:t>公司以内部组织结构、管理要求、内部报告制度等为依据确定经营分部。公司的经营分部是指同时满</w:t>
      </w:r>
    </w:p>
    <w:p>
      <w:pPr>
        <w:pStyle w:val="BodyText"/>
        <w:spacing w:line="240" w:lineRule="auto" w:before="37"/>
        <w:ind w:left="153" w:right="0"/>
        <w:jc w:val="left"/>
      </w:pPr>
      <w:r>
        <w:rPr/>
        <w:t>足下列条件的组成部分：</w:t>
      </w:r>
    </w:p>
    <w:p>
      <w:pPr>
        <w:pStyle w:val="BodyText"/>
        <w:spacing w:line="240" w:lineRule="auto" w:before="37"/>
        <w:ind w:left="57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9"/>
        </w:rPr>
        <w:t> </w:t>
      </w:r>
      <w:r>
        <w:rPr/>
        <w:t>该组成部分能够在日常活动中产生收入、发生费用；</w:t>
      </w:r>
    </w:p>
    <w:p>
      <w:pPr>
        <w:pStyle w:val="BodyText"/>
        <w:spacing w:line="240" w:lineRule="auto" w:before="21"/>
        <w:ind w:left="57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9"/>
        </w:rPr>
        <w:t> </w:t>
      </w:r>
      <w:r>
        <w:rPr/>
        <w:t>管理层能够定期评价该组成部分的经营成果，以决定向其配置资源、评价其业绩；</w:t>
      </w:r>
    </w:p>
    <w:p>
      <w:pPr>
        <w:pStyle w:val="BodyText"/>
        <w:spacing w:line="256" w:lineRule="auto" w:before="21"/>
        <w:ind w:left="57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能够通过分析取得该组成部分的财务状况、经营成果和现金流量等有关会计信息。 </w:t>
      </w:r>
      <w:r>
        <w:rPr>
          <w:spacing w:val="-1"/>
        </w:rPr>
        <w:t>本公司以业务分部为基础确定报告分部，与各分部共同使用的资产、负债按照规模比例在不同的分部</w:t>
      </w:r>
    </w:p>
    <w:p>
      <w:pPr>
        <w:pStyle w:val="BodyText"/>
        <w:spacing w:line="240" w:lineRule="auto" w:before="22"/>
        <w:ind w:right="0"/>
        <w:jc w:val="left"/>
      </w:pPr>
      <w:r>
        <w:rPr/>
        <w:t>之间分配。</w:t>
      </w:r>
    </w:p>
    <w:p>
      <w:pPr>
        <w:spacing w:line="240" w:lineRule="auto" w:before="11"/>
        <w:rPr>
          <w:rFonts w:ascii="宋体" w:hAnsi="宋体" w:cs="宋体" w:eastAsia="宋体" w:hint="default"/>
          <w:sz w:val="25"/>
          <w:szCs w:val="25"/>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spacing w:before="0"/>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19" w:lineRule="auto" w:before="51"/>
              <w:ind w:left="681" w:right="50" w:hanging="630"/>
              <w:jc w:val="left"/>
              <w:rPr>
                <w:rFonts w:ascii="宋体" w:hAnsi="宋体" w:cs="宋体" w:eastAsia="宋体" w:hint="default"/>
                <w:sz w:val="18"/>
                <w:szCs w:val="18"/>
              </w:rPr>
            </w:pPr>
            <w:r>
              <w:rPr>
                <w:rFonts w:ascii="宋体" w:hAnsi="宋体" w:cs="宋体" w:eastAsia="宋体" w:hint="default"/>
                <w:sz w:val="18"/>
                <w:szCs w:val="18"/>
              </w:rPr>
              <w:t>节能大功率电力电子电 子产品</w:t>
            </w:r>
          </w:p>
        </w:tc>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移动信息服务</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1,403,895,984.22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400,565,613.15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1,804,461,597.37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874,887,727.19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258,139,541.63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1,133,027,268.82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4,203,231,774.07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3,136,847,671.58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7,340,079,445.65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负责总额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2,176,732,817.59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270,385,151.37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2,481,081,190.68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10"/>
        <w:rPr>
          <w:rFonts w:ascii="宋体" w:hAnsi="宋体" w:cs="宋体" w:eastAsia="宋体" w:hint="default"/>
          <w:sz w:val="24"/>
          <w:szCs w:val="24"/>
        </w:rPr>
      </w:pPr>
    </w:p>
    <w:p>
      <w:pPr>
        <w:pStyle w:val="Heading3"/>
        <w:spacing w:line="240" w:lineRule="auto"/>
        <w:ind w:right="102"/>
        <w:jc w:val="left"/>
        <w:rPr>
          <w:b w:val="0"/>
          <w:bCs w:val="0"/>
        </w:rPr>
      </w:pPr>
      <w:r>
        <w:rPr>
          <w:rFonts w:ascii="Times New Roman" w:hAnsi="Times New Roman" w:cs="Times New Roman" w:eastAsia="Times New Roman" w:hint="default"/>
        </w:rPr>
        <w:t>2</w:t>
      </w:r>
      <w:r>
        <w:rPr/>
        <w:t>、其他对投资者决策有影响的重要交易和事项</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02" w:firstLine="420"/>
        <w:jc w:val="left"/>
      </w:pPr>
      <w:r>
        <w:rPr>
          <w:rFonts w:ascii="Times New Roman" w:hAnsi="Times New Roman" w:cs="Times New Roman" w:eastAsia="Times New Roman" w:hint="default"/>
        </w:rPr>
        <w:t>1.</w:t>
      </w:r>
      <w:r>
        <w:rPr/>
        <w:t>本公司</w:t>
      </w:r>
      <w:r>
        <w:rPr>
          <w:rFonts w:ascii="Times New Roman" w:hAnsi="Times New Roman" w:cs="Times New Roman" w:eastAsia="Times New Roman" w:hint="default"/>
        </w:rPr>
        <w:t>“13</w:t>
      </w:r>
      <w:r>
        <w:rPr/>
        <w:t>荣信</w:t>
      </w:r>
      <w:r>
        <w:rPr>
          <w:rFonts w:ascii="Times New Roman" w:hAnsi="Times New Roman" w:cs="Times New Roman" w:eastAsia="Times New Roman" w:hint="default"/>
        </w:rPr>
        <w:t>01”</w:t>
      </w:r>
      <w:r>
        <w:rPr/>
        <w:t>债券的期限为</w:t>
      </w:r>
      <w:r>
        <w:rPr>
          <w:rFonts w:ascii="Times New Roman" w:hAnsi="Times New Roman" w:cs="Times New Roman" w:eastAsia="Times New Roman" w:hint="default"/>
        </w:rPr>
        <w:t>5</w:t>
      </w:r>
      <w:r>
        <w:rPr/>
        <w:t>年期，根据第</w:t>
      </w:r>
      <w:r>
        <w:rPr>
          <w:rFonts w:ascii="Times New Roman" w:hAnsi="Times New Roman" w:cs="Times New Roman" w:eastAsia="Times New Roman" w:hint="default"/>
        </w:rPr>
        <w:t>3</w:t>
      </w:r>
      <w:r>
        <w:rPr/>
        <w:t>个计息年度末发行人上调票面利率选择权及投资者 回售选择权条款。在</w:t>
      </w:r>
      <w:r>
        <w:rPr>
          <w:rFonts w:ascii="Times New Roman" w:hAnsi="Times New Roman" w:cs="Times New Roman" w:eastAsia="Times New Roman" w:hint="default"/>
        </w:rPr>
        <w:t>“13</w:t>
      </w:r>
      <w:r>
        <w:rPr/>
        <w:t>荣信</w:t>
      </w:r>
      <w:r>
        <w:rPr>
          <w:rFonts w:ascii="Times New Roman" w:hAnsi="Times New Roman" w:cs="Times New Roman" w:eastAsia="Times New Roman" w:hint="default"/>
        </w:rPr>
        <w:t>01”</w:t>
      </w:r>
      <w:r>
        <w:rPr/>
        <w:t>存续期的第</w:t>
      </w:r>
      <w:r>
        <w:rPr>
          <w:rFonts w:ascii="Times New Roman" w:hAnsi="Times New Roman" w:cs="Times New Roman" w:eastAsia="Times New Roman" w:hint="default"/>
        </w:rPr>
        <w:t>3</w:t>
      </w:r>
      <w:r>
        <w:rPr/>
        <w:t>年末</w:t>
      </w:r>
      <w:r>
        <w:rPr>
          <w:rFonts w:ascii="Times New Roman" w:hAnsi="Times New Roman" w:cs="Times New Roman" w:eastAsia="Times New Roman" w:hint="default"/>
        </w:rPr>
        <w:t>(2015</w:t>
      </w:r>
      <w:r>
        <w:rPr/>
        <w:t>年末</w:t>
      </w:r>
      <w:r>
        <w:rPr>
          <w:rFonts w:ascii="Times New Roman" w:hAnsi="Times New Roman" w:cs="Times New Roman" w:eastAsia="Times New Roman" w:hint="default"/>
        </w:rPr>
        <w:t>)</w:t>
      </w:r>
      <w:r>
        <w:rPr/>
        <w:t>，发行人选择维持票面利率</w:t>
      </w:r>
      <w:r>
        <w:rPr>
          <w:rFonts w:ascii="Times New Roman" w:hAnsi="Times New Roman" w:cs="Times New Roman" w:eastAsia="Times New Roman" w:hint="default"/>
        </w:rPr>
        <w:t>5.90%</w:t>
      </w:r>
      <w:r>
        <w:rPr/>
        <w:t>不变，并在 债券存续期后</w:t>
      </w:r>
      <w:r>
        <w:rPr>
          <w:rFonts w:ascii="Times New Roman" w:hAnsi="Times New Roman" w:cs="Times New Roman" w:eastAsia="Times New Roman" w:hint="default"/>
        </w:rPr>
        <w:t>2</w:t>
      </w:r>
      <w:r>
        <w:rPr/>
        <w:t>年</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18</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17</w:t>
      </w:r>
      <w:r>
        <w:rPr/>
        <w:t>日</w:t>
      </w:r>
      <w:r>
        <w:rPr>
          <w:rFonts w:ascii="Times New Roman" w:hAnsi="Times New Roman" w:cs="Times New Roman" w:eastAsia="Times New Roman" w:hint="default"/>
        </w:rPr>
        <w:t>)</w:t>
      </w:r>
      <w:r>
        <w:rPr/>
        <w:t>维持不变。公司在</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21</w:t>
      </w:r>
      <w:r>
        <w:rPr/>
        <w:t>及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22</w:t>
      </w:r>
      <w:r>
        <w:rPr/>
        <w:t>日进行了债券回售登记，根据中国证券登记结算有限责任公司深圳分公司提供的数据，目前 </w:t>
      </w:r>
      <w:r>
        <w:rPr>
          <w:rFonts w:ascii="Times New Roman" w:hAnsi="Times New Roman" w:cs="Times New Roman" w:eastAsia="Times New Roman" w:hint="default"/>
          <w:spacing w:val="-1"/>
        </w:rPr>
        <w:t>“13</w:t>
      </w:r>
      <w:r>
        <w:rPr>
          <w:spacing w:val="-1"/>
        </w:rPr>
        <w:t>荣信</w:t>
      </w:r>
      <w:r>
        <w:rPr>
          <w:rFonts w:ascii="Times New Roman" w:hAnsi="Times New Roman" w:cs="Times New Roman" w:eastAsia="Times New Roman" w:hint="default"/>
          <w:spacing w:val="-1"/>
        </w:rPr>
        <w:t>01”</w:t>
      </w:r>
      <w:r>
        <w:rPr>
          <w:spacing w:val="-1"/>
        </w:rPr>
        <w:t>的回售数量为</w:t>
      </w:r>
      <w:r>
        <w:rPr>
          <w:rFonts w:ascii="Times New Roman" w:hAnsi="Times New Roman" w:cs="Times New Roman" w:eastAsia="Times New Roman" w:hint="default"/>
          <w:spacing w:val="-1"/>
        </w:rPr>
        <w:t>4,646,056</w:t>
      </w:r>
      <w:r>
        <w:rPr>
          <w:spacing w:val="-1"/>
        </w:rPr>
        <w:t>张，回售金额为</w:t>
      </w:r>
      <w:r>
        <w:rPr>
          <w:rFonts w:ascii="Times New Roman" w:hAnsi="Times New Roman" w:cs="Times New Roman" w:eastAsia="Times New Roman" w:hint="default"/>
          <w:spacing w:val="-1"/>
        </w:rPr>
        <w:t>464,605,600</w:t>
      </w:r>
      <w:r>
        <w:rPr>
          <w:spacing w:val="-1"/>
        </w:rPr>
        <w:t>元</w:t>
      </w:r>
      <w:r>
        <w:rPr>
          <w:rFonts w:ascii="Times New Roman" w:hAnsi="Times New Roman" w:cs="Times New Roman" w:eastAsia="Times New Roman" w:hint="default"/>
          <w:spacing w:val="-1"/>
        </w:rPr>
        <w:t>(</w:t>
      </w:r>
      <w:r>
        <w:rPr>
          <w:spacing w:val="-1"/>
        </w:rPr>
        <w:t>不含利息</w:t>
      </w:r>
      <w:r>
        <w:rPr>
          <w:rFonts w:ascii="Times New Roman" w:hAnsi="Times New Roman" w:cs="Times New Roman" w:eastAsia="Times New Roman" w:hint="default"/>
          <w:spacing w:val="-1"/>
        </w:rPr>
        <w:t>)</w:t>
      </w:r>
      <w:r>
        <w:rPr>
          <w:spacing w:val="-1"/>
        </w:rPr>
        <w:t>，剩余托管数量为</w:t>
      </w:r>
      <w:r>
        <w:rPr>
          <w:rFonts w:ascii="Times New Roman" w:hAnsi="Times New Roman" w:cs="Times New Roman" w:eastAsia="Times New Roman" w:hint="default"/>
          <w:spacing w:val="-1"/>
        </w:rPr>
        <w:t>1,353,944</w:t>
      </w:r>
      <w:r>
        <w:rPr>
          <w:spacing w:val="-1"/>
        </w:rPr>
        <w:t>张。</w:t>
      </w:r>
    </w:p>
    <w:p>
      <w:pPr>
        <w:spacing w:line="240" w:lineRule="auto" w:before="8"/>
        <w:rPr>
          <w:rFonts w:ascii="宋体" w:hAnsi="宋体" w:cs="宋体" w:eastAsia="宋体" w:hint="default"/>
          <w:sz w:val="21"/>
          <w:szCs w:val="21"/>
        </w:rPr>
      </w:pPr>
    </w:p>
    <w:p>
      <w:pPr>
        <w:pStyle w:val="Heading2"/>
        <w:spacing w:line="240" w:lineRule="auto"/>
        <w:ind w:right="102"/>
        <w:jc w:val="left"/>
        <w:rPr>
          <w:b w:val="0"/>
          <w:bCs w:val="0"/>
        </w:rPr>
      </w:pPr>
      <w:r>
        <w:rPr/>
        <w:t>十六、母公司财务报表主要项目注释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102"/>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102"/>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8"/>
        <w:rPr>
          <w:rFonts w:ascii="宋体" w:hAnsi="宋体" w:cs="宋体" w:eastAsia="宋体" w:hint="default"/>
          <w:b/>
          <w:bCs/>
          <w:sz w:val="26"/>
          <w:szCs w:val="26"/>
        </w:rPr>
      </w:pPr>
    </w:p>
    <w:p>
      <w:pPr>
        <w:spacing w:before="0"/>
        <w:ind w:left="0" w:right="21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1,355,49</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9,086.51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155,705,</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471.12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8" w:right="0"/>
              <w:jc w:val="center"/>
              <w:rPr>
                <w:rFonts w:ascii="Times New Roman" w:hAnsi="Times New Roman" w:cs="Times New Roman" w:eastAsia="Times New Roman" w:hint="default"/>
                <w:sz w:val="18"/>
                <w:szCs w:val="18"/>
              </w:rPr>
            </w:pPr>
            <w:r>
              <w:rPr>
                <w:rFonts w:ascii="Times New Roman"/>
                <w:sz w:val="18"/>
              </w:rPr>
              <w:t>11.49%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1,199,793</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,615.39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1,130,3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90,380.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96.93%</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141,504,4</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15.89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12.52%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988,885,96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4.88</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64,943,5</w:t>
            </w:r>
          </w:p>
          <w:p>
            <w:pPr>
              <w:pStyle w:val="TableParagraph"/>
              <w:spacing w:line="240" w:lineRule="auto" w:before="105"/>
              <w:ind w:left="325" w:right="0"/>
              <w:jc w:val="left"/>
              <w:rPr>
                <w:rFonts w:ascii="Times New Roman" w:hAnsi="Times New Roman" w:cs="Times New Roman" w:eastAsia="Times New Roman" w:hint="default"/>
                <w:sz w:val="18"/>
                <w:szCs w:val="18"/>
              </w:rPr>
            </w:pPr>
            <w:r>
              <w:rPr>
                <w:rFonts w:ascii="Times New Roman"/>
                <w:sz w:val="18"/>
              </w:rPr>
              <w:t>26.02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64,943,5</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26.02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35,775,</w:t>
            </w:r>
          </w:p>
          <w:p>
            <w:pPr>
              <w:pStyle w:val="TableParagraph"/>
              <w:spacing w:line="240" w:lineRule="auto" w:before="105"/>
              <w:ind w:left="126" w:right="0"/>
              <w:jc w:val="left"/>
              <w:rPr>
                <w:rFonts w:ascii="Times New Roman" w:hAnsi="Times New Roman" w:cs="Times New Roman" w:eastAsia="Times New Roman" w:hint="default"/>
                <w:sz w:val="18"/>
                <w:szCs w:val="18"/>
              </w:rPr>
            </w:pPr>
            <w:r>
              <w:rPr>
                <w:rFonts w:ascii="Times New Roman"/>
                <w:sz w:val="18"/>
              </w:rPr>
              <w:t>435.55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3.07%</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35,775,43</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5.55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1,420,44</w:t>
            </w:r>
          </w:p>
          <w:p>
            <w:pPr>
              <w:pStyle w:val="TableParagraph"/>
              <w:spacing w:line="240" w:lineRule="auto" w:before="105"/>
              <w:ind w:left="99" w:right="0"/>
              <w:jc w:val="left"/>
              <w:rPr>
                <w:rFonts w:ascii="Times New Roman" w:hAnsi="Times New Roman" w:cs="Times New Roman" w:eastAsia="Times New Roman" w:hint="default"/>
                <w:sz w:val="18"/>
                <w:szCs w:val="18"/>
              </w:rPr>
            </w:pPr>
            <w:r>
              <w:rPr>
                <w:rFonts w:ascii="Times New Roman"/>
                <w:sz w:val="18"/>
              </w:rPr>
              <w:t>2,612.53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220,648,</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997.14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3" w:right="0"/>
              <w:jc w:val="center"/>
              <w:rPr>
                <w:rFonts w:ascii="Times New Roman" w:hAnsi="Times New Roman" w:cs="Times New Roman" w:eastAsia="Times New Roman" w:hint="default"/>
                <w:sz w:val="18"/>
                <w:szCs w:val="18"/>
              </w:rPr>
            </w:pPr>
            <w:r>
              <w:rPr>
                <w:rFonts w:ascii="Times New Roman"/>
                <w:sz w:val="18"/>
              </w:rPr>
              <w:t>15.53%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1,199,793</w:t>
            </w:r>
          </w:p>
          <w:p>
            <w:pPr>
              <w:pStyle w:val="TableParagraph"/>
              <w:spacing w:line="240" w:lineRule="auto" w:before="105"/>
              <w:ind w:left="195" w:right="0"/>
              <w:jc w:val="center"/>
              <w:rPr>
                <w:rFonts w:ascii="Times New Roman" w:hAnsi="Times New Roman" w:cs="Times New Roman" w:eastAsia="Times New Roman" w:hint="default"/>
                <w:sz w:val="18"/>
                <w:szCs w:val="18"/>
              </w:rPr>
            </w:pPr>
            <w:r>
              <w:rPr>
                <w:rFonts w:ascii="Times New Roman"/>
                <w:sz w:val="18"/>
              </w:rPr>
              <w:t>,615.39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1,166,1</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65,816.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177,279,8</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51.44</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15.20%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988,885,96</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4.88</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82" w:top="1060" w:bottom="1180" w:left="980" w:right="92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2"/>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20"/>
          <w:cols w:num="2" w:equalWidth="0">
            <w:col w:w="4295" w:space="4534"/>
            <w:col w:w="118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0"/>
        <w:gridCol w:w="2389"/>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3D3D3"/>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618,000,709.08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30,900,035.45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618,000,709.08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30,900,035.45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262,760,980.48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26,276,098.05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109,058,654.31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21,811,730.86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0"/>
        <w:gridCol w:w="2389"/>
      </w:tblGrid>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255,725,355.87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76,717,606.76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1,245,545,699.74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155,705,471.12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12.50%</w:t>
            </w:r>
          </w:p>
        </w:tc>
      </w:tr>
    </w:tbl>
    <w:p>
      <w:pPr>
        <w:spacing w:line="360" w:lineRule="auto" w:before="51"/>
        <w:ind w:left="153" w:right="5451"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0" w:lineRule="auto" w:before="26"/>
        <w:ind w:left="154" w:right="581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line="240" w:lineRule="auto" w:before="3"/>
        <w:rPr>
          <w:rFonts w:ascii="宋体" w:hAnsi="宋体" w:cs="宋体" w:eastAsia="宋体" w:hint="default"/>
          <w:sz w:val="2"/>
          <w:szCs w:val="2"/>
        </w:rPr>
      </w:pPr>
    </w:p>
    <w:tbl>
      <w:tblPr>
        <w:tblW w:w="0" w:type="auto"/>
        <w:jc w:val="left"/>
        <w:tblInd w:w="146" w:type="dxa"/>
        <w:tblLayout w:type="fixed"/>
        <w:tblCellMar>
          <w:top w:w="0" w:type="dxa"/>
          <w:left w:w="0" w:type="dxa"/>
          <w:bottom w:w="0" w:type="dxa"/>
          <w:right w:w="0" w:type="dxa"/>
        </w:tblCellMar>
        <w:tblLook w:val="01E0"/>
      </w:tblPr>
      <w:tblGrid>
        <w:gridCol w:w="1672"/>
        <w:gridCol w:w="2214"/>
        <w:gridCol w:w="2213"/>
        <w:gridCol w:w="2214"/>
      </w:tblGrid>
      <w:tr>
        <w:trPr>
          <w:trHeight w:val="347" w:hRule="exact"/>
        </w:trPr>
        <w:tc>
          <w:tcPr>
            <w:tcW w:w="1672" w:type="dxa"/>
            <w:vMerge w:val="restart"/>
            <w:tcBorders>
              <w:top w:val="single" w:sz="6" w:space="0" w:color="000000"/>
              <w:left w:val="single" w:sz="6" w:space="0" w:color="000000"/>
              <w:right w:val="single" w:sz="6" w:space="0" w:color="000000"/>
            </w:tcBorders>
          </w:tcPr>
          <w:p>
            <w:pPr>
              <w:pStyle w:val="TableParagraph"/>
              <w:spacing w:line="271" w:lineRule="exact"/>
              <w:ind w:left="407"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6641" w:type="dxa"/>
            <w:gridSpan w:val="3"/>
            <w:tcBorders>
              <w:top w:val="single" w:sz="6" w:space="0" w:color="000000"/>
              <w:left w:val="single" w:sz="6" w:space="0" w:color="000000"/>
              <w:bottom w:val="single" w:sz="6" w:space="0" w:color="000000"/>
              <w:right w:val="nil" w:sz="6" w:space="0" w:color="auto"/>
            </w:tcBorders>
          </w:tcPr>
          <w:p>
            <w:pPr>
              <w:pStyle w:val="TableParagraph"/>
              <w:spacing w:line="271" w:lineRule="exact"/>
              <w:ind w:right="4"/>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47" w:hRule="exact"/>
        </w:trPr>
        <w:tc>
          <w:tcPr>
            <w:tcW w:w="1672" w:type="dxa"/>
            <w:vMerge/>
            <w:tcBorders>
              <w:left w:val="single" w:sz="6" w:space="0" w:color="000000"/>
              <w:bottom w:val="single" w:sz="6" w:space="0" w:color="000000"/>
              <w:right w:val="single" w:sz="6" w:space="0" w:color="000000"/>
            </w:tcBorders>
          </w:tcPr>
          <w:p>
            <w:pPr/>
          </w:p>
        </w:tc>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7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7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4" w:type="dxa"/>
            <w:tcBorders>
              <w:top w:val="single" w:sz="6" w:space="0" w:color="000000"/>
              <w:left w:val="single" w:sz="6" w:space="0" w:color="000000"/>
              <w:bottom w:val="single" w:sz="6" w:space="0" w:color="000000"/>
              <w:right w:val="nil" w:sz="6" w:space="0" w:color="auto"/>
            </w:tcBorders>
          </w:tcPr>
          <w:p>
            <w:pPr>
              <w:pStyle w:val="TableParagraph"/>
              <w:spacing w:line="287" w:lineRule="exact"/>
              <w:ind w:left="5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r>
      <w:tr>
        <w:trPr>
          <w:trHeight w:val="659"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7"/>
              <w:jc w:val="left"/>
              <w:rPr>
                <w:rFonts w:ascii="宋体" w:hAnsi="宋体" w:cs="宋体" w:eastAsia="宋体" w:hint="default"/>
                <w:sz w:val="21"/>
                <w:szCs w:val="21"/>
              </w:rPr>
            </w:pPr>
            <w:r>
              <w:rPr>
                <w:rFonts w:ascii="宋体" w:hAnsi="宋体" w:cs="宋体" w:eastAsia="宋体" w:hint="default"/>
                <w:spacing w:val="24"/>
                <w:sz w:val="21"/>
                <w:szCs w:val="21"/>
              </w:rPr>
              <w:t>合并范围内</w:t>
            </w:r>
            <w:r>
              <w:rPr>
                <w:rFonts w:ascii="宋体" w:hAnsi="宋体" w:cs="宋体" w:eastAsia="宋体" w:hint="default"/>
                <w:spacing w:val="-74"/>
                <w:sz w:val="21"/>
                <w:szCs w:val="21"/>
              </w:rPr>
              <w:t> </w:t>
            </w:r>
            <w:r>
              <w:rPr>
                <w:rFonts w:ascii="宋体" w:hAnsi="宋体" w:cs="宋体" w:eastAsia="宋体" w:hint="default"/>
                <w:spacing w:val="15"/>
                <w:sz w:val="21"/>
                <w:szCs w:val="21"/>
              </w:rPr>
              <w:t>关联</w:t>
            </w:r>
            <w:r>
              <w:rPr>
                <w:rFonts w:ascii="宋体" w:hAnsi="宋体" w:cs="宋体" w:eastAsia="宋体" w:hint="default"/>
                <w:spacing w:val="-75"/>
                <w:sz w:val="21"/>
                <w:szCs w:val="21"/>
              </w:rPr>
              <w:t> </w:t>
            </w:r>
            <w:r>
              <w:rPr>
                <w:rFonts w:ascii="宋体" w:hAnsi="宋体" w:cs="宋体" w:eastAsia="宋体" w:hint="default"/>
                <w:sz w:val="21"/>
                <w:szCs w:val="21"/>
              </w:rPr>
              <w:t>方单位往来</w:t>
            </w:r>
          </w:p>
        </w:tc>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109,953,386.77</w:t>
            </w:r>
          </w:p>
        </w:tc>
        <w:tc>
          <w:tcPr>
            <w:tcW w:w="2213" w:type="dxa"/>
            <w:tcBorders>
              <w:top w:val="single" w:sz="6" w:space="0" w:color="000000"/>
              <w:left w:val="single" w:sz="6" w:space="0" w:color="000000"/>
              <w:bottom w:val="single" w:sz="6" w:space="0" w:color="000000"/>
              <w:right w:val="single" w:sz="6" w:space="0" w:color="000000"/>
            </w:tcBorders>
          </w:tcPr>
          <w:p>
            <w:pPr/>
          </w:p>
        </w:tc>
        <w:tc>
          <w:tcPr>
            <w:tcW w:w="2214"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534"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109,953,386.77</w:t>
            </w:r>
          </w:p>
        </w:tc>
        <w:tc>
          <w:tcPr>
            <w:tcW w:w="2213" w:type="dxa"/>
            <w:tcBorders>
              <w:top w:val="single" w:sz="6" w:space="0" w:color="000000"/>
              <w:left w:val="single" w:sz="6" w:space="0" w:color="000000"/>
              <w:bottom w:val="single" w:sz="6" w:space="0" w:color="000000"/>
              <w:right w:val="single" w:sz="6" w:space="0" w:color="000000"/>
            </w:tcBorders>
          </w:tcPr>
          <w:p>
            <w:pPr/>
          </w:p>
        </w:tc>
        <w:tc>
          <w:tcPr>
            <w:tcW w:w="2214" w:type="dxa"/>
            <w:tcBorders>
              <w:top w:val="single" w:sz="6" w:space="0" w:color="000000"/>
              <w:left w:val="single" w:sz="6" w:space="0" w:color="000000"/>
              <w:bottom w:val="single" w:sz="6" w:space="0" w:color="000000"/>
              <w:right w:val="nil" w:sz="6" w:space="0" w:color="auto"/>
            </w:tcBorders>
          </w:tcPr>
          <w:p>
            <w:pP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980"/>
        </w:sectPr>
      </w:pPr>
    </w:p>
    <w:p>
      <w:pPr>
        <w:spacing w:line="340" w:lineRule="auto" w:before="44"/>
        <w:ind w:left="154" w:right="-14"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47,609,525.23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1,986,379.53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7173" w:space="1655"/>
            <w:col w:w="1122"/>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1"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唐山不锈钢有限责任公司</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1,220,000.00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现金回款</w:t>
            </w:r>
          </w:p>
        </w:tc>
      </w:tr>
      <w:tr>
        <w:trPr>
          <w:trHeight w:val="403"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1,220,000.00</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包头海平面高分子工业有限公司</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2,254,000.00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32"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包头海平面高分子工 业有限公司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销售货款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2,254,000.00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8"/>
              <w:jc w:val="left"/>
              <w:rPr>
                <w:rFonts w:ascii="宋体" w:hAnsi="宋体" w:cs="宋体" w:eastAsia="宋体" w:hint="default"/>
                <w:sz w:val="18"/>
                <w:szCs w:val="18"/>
              </w:rPr>
            </w:pPr>
            <w:r>
              <w:rPr>
                <w:rFonts w:ascii="宋体" w:hAnsi="宋体" w:cs="宋体" w:eastAsia="宋体" w:hint="default"/>
                <w:sz w:val="18"/>
                <w:szCs w:val="18"/>
              </w:rPr>
              <w:t>无法获取可收回的 相关证据</w:t>
            </w: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2,254,000.00</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4111"/>
        <w:gridCol w:w="1559"/>
        <w:gridCol w:w="1272"/>
        <w:gridCol w:w="1370"/>
      </w:tblGrid>
      <w:tr>
        <w:trPr>
          <w:trHeight w:val="329" w:hRule="exact"/>
        </w:trPr>
        <w:tc>
          <w:tcPr>
            <w:tcW w:w="4111" w:type="dxa"/>
            <w:tcBorders>
              <w:top w:val="single" w:sz="6" w:space="0" w:color="000000"/>
              <w:left w:val="single" w:sz="6" w:space="0" w:color="000000"/>
              <w:bottom w:val="nil" w:sz="6" w:space="0" w:color="auto"/>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559" w:type="dxa"/>
            <w:tcBorders>
              <w:top w:val="single" w:sz="6" w:space="0" w:color="000000"/>
              <w:left w:val="single" w:sz="6" w:space="0" w:color="000000"/>
              <w:bottom w:val="nil" w:sz="6" w:space="0" w:color="auto"/>
              <w:right w:val="single" w:sz="6" w:space="0" w:color="000000"/>
            </w:tcBorders>
          </w:tcPr>
          <w:p>
            <w:pPr>
              <w:pStyle w:val="TableParagraph"/>
              <w:spacing w:line="271" w:lineRule="exact"/>
              <w:ind w:left="35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272" w:type="dxa"/>
            <w:tcBorders>
              <w:top w:val="single" w:sz="6" w:space="0" w:color="000000"/>
              <w:left w:val="single" w:sz="6" w:space="0" w:color="000000"/>
              <w:bottom w:val="nil" w:sz="6" w:space="0" w:color="auto"/>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占应收账款</w:t>
            </w:r>
          </w:p>
        </w:tc>
        <w:tc>
          <w:tcPr>
            <w:tcW w:w="1370" w:type="dxa"/>
            <w:tcBorders>
              <w:top w:val="single" w:sz="6" w:space="0" w:color="000000"/>
              <w:left w:val="single" w:sz="6" w:space="0" w:color="000000"/>
              <w:bottom w:val="nil" w:sz="6" w:space="0" w:color="auto"/>
              <w:right w:val="nil" w:sz="6" w:space="0" w:color="auto"/>
            </w:tcBorders>
          </w:tcPr>
          <w:p>
            <w:pPr>
              <w:pStyle w:val="TableParagraph"/>
              <w:spacing w:line="271" w:lineRule="exact"/>
              <w:ind w:left="25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18" w:hRule="exact"/>
        </w:trPr>
        <w:tc>
          <w:tcPr>
            <w:tcW w:w="4111" w:type="dxa"/>
            <w:tcBorders>
              <w:top w:val="nil" w:sz="6" w:space="0" w:color="auto"/>
              <w:left w:val="single" w:sz="6" w:space="0" w:color="000000"/>
              <w:bottom w:val="nil" w:sz="6" w:space="0" w:color="auto"/>
              <w:right w:val="single" w:sz="6" w:space="0" w:color="000000"/>
            </w:tcBorders>
          </w:tcPr>
          <w:p>
            <w:pPr/>
          </w:p>
        </w:tc>
        <w:tc>
          <w:tcPr>
            <w:tcW w:w="1559" w:type="dxa"/>
            <w:tcBorders>
              <w:top w:val="nil" w:sz="6" w:space="0" w:color="auto"/>
              <w:left w:val="single" w:sz="6" w:space="0" w:color="000000"/>
              <w:bottom w:val="nil" w:sz="6" w:space="0" w:color="auto"/>
              <w:right w:val="single" w:sz="6" w:space="0" w:color="000000"/>
            </w:tcBorders>
          </w:tcPr>
          <w:p>
            <w:pPr/>
          </w:p>
        </w:tc>
        <w:tc>
          <w:tcPr>
            <w:tcW w:w="1272"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余额的比例</w:t>
            </w:r>
          </w:p>
        </w:tc>
        <w:tc>
          <w:tcPr>
            <w:tcW w:w="1370" w:type="dxa"/>
            <w:tcBorders>
              <w:top w:val="nil" w:sz="6" w:space="0" w:color="auto"/>
              <w:left w:val="single" w:sz="6" w:space="0" w:color="000000"/>
              <w:bottom w:val="nil" w:sz="6" w:space="0" w:color="auto"/>
              <w:right w:val="nil" w:sz="6" w:space="0" w:color="auto"/>
            </w:tcBorders>
          </w:tcPr>
          <w:p>
            <w:pPr/>
          </w:p>
        </w:tc>
      </w:tr>
      <w:tr>
        <w:trPr>
          <w:trHeight w:val="324" w:hRule="exact"/>
        </w:trPr>
        <w:tc>
          <w:tcPr>
            <w:tcW w:w="4111" w:type="dxa"/>
            <w:tcBorders>
              <w:top w:val="nil" w:sz="6" w:space="0" w:color="auto"/>
              <w:left w:val="single" w:sz="6" w:space="0" w:color="000000"/>
              <w:bottom w:val="single" w:sz="6" w:space="0" w:color="000000"/>
              <w:right w:val="single" w:sz="6" w:space="0" w:color="000000"/>
            </w:tcBorders>
          </w:tcPr>
          <w:p>
            <w:pPr/>
          </w:p>
        </w:tc>
        <w:tc>
          <w:tcPr>
            <w:tcW w:w="1559" w:type="dxa"/>
            <w:tcBorders>
              <w:top w:val="nil" w:sz="6" w:space="0" w:color="auto"/>
              <w:left w:val="single" w:sz="6" w:space="0" w:color="000000"/>
              <w:bottom w:val="single" w:sz="6" w:space="0" w:color="000000"/>
              <w:right w:val="single" w:sz="6" w:space="0" w:color="000000"/>
            </w:tcBorders>
          </w:tcPr>
          <w:p>
            <w:pPr/>
          </w:p>
        </w:tc>
        <w:tc>
          <w:tcPr>
            <w:tcW w:w="1272"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29"/>
              <w:ind w:right="0"/>
              <w:jc w:val="center"/>
              <w:rPr>
                <w:rFonts w:ascii="Times New Roman" w:hAnsi="Times New Roman" w:cs="Times New Roman" w:eastAsia="Times New Roman" w:hint="default"/>
                <w:sz w:val="21"/>
                <w:szCs w:val="21"/>
              </w:rPr>
            </w:pPr>
            <w:r>
              <w:rPr>
                <w:rFonts w:ascii="Times New Roman"/>
                <w:sz w:val="21"/>
              </w:rPr>
              <w:t>(%)</w:t>
            </w:r>
          </w:p>
        </w:tc>
        <w:tc>
          <w:tcPr>
            <w:tcW w:w="1370" w:type="dxa"/>
            <w:tcBorders>
              <w:top w:val="nil" w:sz="6" w:space="0" w:color="auto"/>
              <w:left w:val="single" w:sz="6" w:space="0" w:color="000000"/>
              <w:bottom w:val="single" w:sz="6" w:space="0" w:color="000000"/>
              <w:right w:val="nil" w:sz="6" w:space="0" w:color="auto"/>
            </w:tcBorders>
          </w:tcPr>
          <w:p>
            <w:pPr/>
          </w:p>
        </w:tc>
      </w:tr>
    </w:tbl>
    <w:p>
      <w:pPr>
        <w:spacing w:after="0"/>
        <w:sectPr>
          <w:type w:val="continuous"/>
          <w:pgSz w:w="11910" w:h="16840"/>
          <w:pgMar w:top="1060" w:bottom="1180" w:left="980" w:right="980"/>
        </w:sectPr>
      </w:pPr>
    </w:p>
    <w:p>
      <w:pPr>
        <w:spacing w:line="240" w:lineRule="auto" w:before="6"/>
        <w:rPr>
          <w:rFonts w:ascii="宋体" w:hAnsi="宋体" w:cs="宋体" w:eastAsia="宋体" w:hint="default"/>
          <w:b/>
          <w:bCs/>
          <w:sz w:val="28"/>
          <w:szCs w:val="28"/>
        </w:rPr>
      </w:pPr>
    </w:p>
    <w:tbl>
      <w:tblPr>
        <w:tblW w:w="0" w:type="auto"/>
        <w:jc w:val="left"/>
        <w:tblInd w:w="146" w:type="dxa"/>
        <w:tblLayout w:type="fixed"/>
        <w:tblCellMar>
          <w:top w:w="0" w:type="dxa"/>
          <w:left w:w="0" w:type="dxa"/>
          <w:bottom w:w="0" w:type="dxa"/>
          <w:right w:w="0" w:type="dxa"/>
        </w:tblCellMar>
        <w:tblLook w:val="01E0"/>
      </w:tblPr>
      <w:tblGrid>
        <w:gridCol w:w="4111"/>
        <w:gridCol w:w="1559"/>
        <w:gridCol w:w="1272"/>
        <w:gridCol w:w="1370"/>
      </w:tblGrid>
      <w:tr>
        <w:trPr>
          <w:trHeight w:val="347"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中国南方电网有限责任公司超高压输电公司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212,712,594.60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14.98</w:t>
            </w:r>
          </w:p>
        </w:tc>
        <w:tc>
          <w:tcPr>
            <w:tcW w:w="1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20,131,214.73</w:t>
            </w:r>
          </w:p>
        </w:tc>
      </w:tr>
      <w:tr>
        <w:trPr>
          <w:trHeight w:val="347"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新疆荣信节能电气有限公司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94,071,854.00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6.62</w:t>
            </w:r>
          </w:p>
        </w:tc>
        <w:tc>
          <w:tcPr>
            <w:tcW w:w="1370"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沈阳透平机械股份有限公司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74,672,912.22</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5.26</w:t>
            </w:r>
          </w:p>
        </w:tc>
        <w:tc>
          <w:tcPr>
            <w:tcW w:w="1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8,659,173.65</w:t>
            </w:r>
          </w:p>
        </w:tc>
      </w:tr>
      <w:tr>
        <w:trPr>
          <w:trHeight w:val="348"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 w:right="0"/>
              <w:jc w:val="left"/>
              <w:rPr>
                <w:rFonts w:ascii="宋体" w:hAnsi="宋体" w:cs="宋体" w:eastAsia="宋体" w:hint="default"/>
                <w:sz w:val="21"/>
                <w:szCs w:val="21"/>
              </w:rPr>
            </w:pPr>
            <w:r>
              <w:rPr>
                <w:rFonts w:ascii="宋体" w:hAnsi="宋体" w:cs="宋体" w:eastAsia="宋体" w:hint="default"/>
                <w:sz w:val="21"/>
                <w:szCs w:val="21"/>
              </w:rPr>
              <w:t>大唐</w:t>
            </w:r>
            <w:r>
              <w:rPr>
                <w:rFonts w:ascii="Times New Roman" w:hAnsi="Times New Roman" w:cs="Times New Roman" w:eastAsia="Times New Roman" w:hint="default"/>
                <w:sz w:val="21"/>
                <w:szCs w:val="21"/>
              </w:rPr>
              <w:t>(</w:t>
            </w:r>
            <w:r>
              <w:rPr>
                <w:rFonts w:ascii="宋体" w:hAnsi="宋体" w:cs="宋体" w:eastAsia="宋体" w:hint="default"/>
                <w:sz w:val="21"/>
                <w:szCs w:val="21"/>
              </w:rPr>
              <w:t>通辽</w:t>
            </w:r>
            <w:r>
              <w:rPr>
                <w:rFonts w:ascii="Times New Roman" w:hAnsi="Times New Roman" w:cs="Times New Roman" w:eastAsia="Times New Roman" w:hint="default"/>
                <w:sz w:val="21"/>
                <w:szCs w:val="21"/>
              </w:rPr>
              <w:t>)</w:t>
            </w:r>
            <w:r>
              <w:rPr>
                <w:rFonts w:ascii="宋体" w:hAnsi="宋体" w:cs="宋体" w:eastAsia="宋体" w:hint="default"/>
                <w:sz w:val="21"/>
                <w:szCs w:val="21"/>
              </w:rPr>
              <w:t>霍林河新能源有限公司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2"/>
              <w:jc w:val="right"/>
              <w:rPr>
                <w:rFonts w:ascii="Times New Roman" w:hAnsi="Times New Roman" w:cs="Times New Roman" w:eastAsia="Times New Roman" w:hint="default"/>
                <w:sz w:val="21"/>
                <w:szCs w:val="21"/>
              </w:rPr>
            </w:pPr>
            <w:r>
              <w:rPr>
                <w:rFonts w:ascii="Times New Roman"/>
                <w:spacing w:val="-1"/>
                <w:sz w:val="21"/>
              </w:rPr>
              <w:t>21,340,000.00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1.50</w:t>
            </w:r>
          </w:p>
        </w:tc>
        <w:tc>
          <w:tcPr>
            <w:tcW w:w="1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6,402,000.00</w:t>
            </w:r>
          </w:p>
        </w:tc>
      </w:tr>
      <w:tr>
        <w:trPr>
          <w:trHeight w:val="347"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中国电力投资集团公司</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20,769,445.00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1.46</w:t>
            </w:r>
          </w:p>
        </w:tc>
        <w:tc>
          <w:tcPr>
            <w:tcW w:w="1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4"/>
              <w:ind w:right="7"/>
              <w:jc w:val="right"/>
              <w:rPr>
                <w:rFonts w:ascii="Times New Roman" w:hAnsi="Times New Roman" w:cs="Times New Roman" w:eastAsia="Times New Roman" w:hint="default"/>
                <w:sz w:val="21"/>
                <w:szCs w:val="21"/>
              </w:rPr>
            </w:pPr>
            <w:r>
              <w:rPr>
                <w:rFonts w:ascii="Times New Roman"/>
                <w:spacing w:val="-1"/>
                <w:sz w:val="21"/>
              </w:rPr>
              <w:t>1,038,472.25</w:t>
            </w:r>
          </w:p>
        </w:tc>
      </w:tr>
      <w:tr>
        <w:trPr>
          <w:trHeight w:val="347"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15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423,566,805.82</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29.82</w:t>
            </w:r>
          </w:p>
        </w:tc>
        <w:tc>
          <w:tcPr>
            <w:tcW w:w="1370" w:type="dxa"/>
            <w:tcBorders>
              <w:top w:val="single" w:sz="6" w:space="0" w:color="000000"/>
              <w:left w:val="single" w:sz="6" w:space="0" w:color="000000"/>
              <w:bottom w:val="single" w:sz="6" w:space="0" w:color="000000"/>
              <w:right w:val="nil" w:sz="6" w:space="0" w:color="auto"/>
            </w:tcBorders>
          </w:tcPr>
          <w:p>
            <w:pPr>
              <w:pStyle w:val="TableParagraph"/>
              <w:spacing w:line="240" w:lineRule="auto" w:before="45"/>
              <w:ind w:right="7"/>
              <w:jc w:val="right"/>
              <w:rPr>
                <w:rFonts w:ascii="Times New Roman" w:hAnsi="Times New Roman" w:cs="Times New Roman" w:eastAsia="Times New Roman" w:hint="default"/>
                <w:sz w:val="21"/>
                <w:szCs w:val="21"/>
              </w:rPr>
            </w:pPr>
            <w:r>
              <w:rPr>
                <w:rFonts w:ascii="Times New Roman"/>
                <w:spacing w:val="-1"/>
                <w:sz w:val="21"/>
              </w:rPr>
              <w:t>36,230,860.63</w:t>
            </w:r>
          </w:p>
        </w:tc>
      </w:tr>
    </w:tbl>
    <w:p>
      <w:pPr>
        <w:spacing w:line="240" w:lineRule="auto" w:before="2"/>
        <w:rPr>
          <w:rFonts w:ascii="宋体" w:hAnsi="宋体" w:cs="宋体" w:eastAsia="宋体" w:hint="default"/>
          <w:b/>
          <w:bCs/>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0"/>
        <w:rPr>
          <w:rFonts w:ascii="宋体" w:hAnsi="宋体" w:cs="宋体" w:eastAsia="宋体" w:hint="default"/>
          <w:b/>
          <w:bCs/>
          <w:sz w:val="25"/>
          <w:szCs w:val="25"/>
        </w:rPr>
      </w:pPr>
    </w:p>
    <w:tbl>
      <w:tblPr>
        <w:tblW w:w="0" w:type="auto"/>
        <w:jc w:val="left"/>
        <w:tblInd w:w="146" w:type="dxa"/>
        <w:tblLayout w:type="fixed"/>
        <w:tblCellMar>
          <w:top w:w="0" w:type="dxa"/>
          <w:left w:w="0" w:type="dxa"/>
          <w:bottom w:w="0" w:type="dxa"/>
          <w:right w:w="0" w:type="dxa"/>
        </w:tblCellMar>
        <w:tblLook w:val="01E0"/>
      </w:tblPr>
      <w:tblGrid>
        <w:gridCol w:w="2078"/>
        <w:gridCol w:w="2077"/>
        <w:gridCol w:w="2078"/>
        <w:gridCol w:w="2078"/>
      </w:tblGrid>
      <w:tr>
        <w:trPr>
          <w:trHeight w:val="659" w:hRule="exact"/>
        </w:trPr>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right="737"/>
              <w:jc w:val="righ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3"/>
                <w:sz w:val="21"/>
                <w:szCs w:val="21"/>
              </w:rPr>
              <w:t> </w:t>
            </w:r>
            <w:r>
              <w:rPr>
                <w:rFonts w:ascii="宋体" w:hAnsi="宋体" w:cs="宋体" w:eastAsia="宋体" w:hint="default"/>
                <w:sz w:val="21"/>
                <w:szCs w:val="21"/>
              </w:rPr>
              <w:t>目</w:t>
            </w:r>
          </w:p>
        </w:tc>
        <w:tc>
          <w:tcPr>
            <w:tcW w:w="2077"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400" w:right="0"/>
              <w:jc w:val="left"/>
              <w:rPr>
                <w:rFonts w:ascii="宋体" w:hAnsi="宋体" w:cs="宋体" w:eastAsia="宋体" w:hint="default"/>
                <w:sz w:val="21"/>
                <w:szCs w:val="21"/>
              </w:rPr>
            </w:pPr>
            <w:r>
              <w:rPr>
                <w:rFonts w:ascii="宋体" w:hAnsi="宋体" w:cs="宋体" w:eastAsia="宋体" w:hint="default"/>
                <w:sz w:val="21"/>
                <w:szCs w:val="21"/>
              </w:rPr>
              <w:t>终止确认金额</w:t>
            </w: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611" w:right="84" w:hanging="525"/>
              <w:jc w:val="left"/>
              <w:rPr>
                <w:rFonts w:ascii="宋体" w:hAnsi="宋体" w:cs="宋体" w:eastAsia="宋体" w:hint="default"/>
                <w:sz w:val="21"/>
                <w:szCs w:val="21"/>
              </w:rPr>
            </w:pPr>
            <w:r>
              <w:rPr>
                <w:rFonts w:ascii="宋体" w:hAnsi="宋体" w:cs="宋体" w:eastAsia="宋体" w:hint="default"/>
                <w:sz w:val="21"/>
                <w:szCs w:val="21"/>
              </w:rPr>
              <w:t>与终止确认相关的利 得或损失</w:t>
            </w:r>
          </w:p>
        </w:tc>
        <w:tc>
          <w:tcPr>
            <w:tcW w:w="2078" w:type="dxa"/>
            <w:tcBorders>
              <w:top w:val="single" w:sz="6" w:space="0" w:color="000000"/>
              <w:left w:val="single" w:sz="6" w:space="0" w:color="000000"/>
              <w:bottom w:val="single" w:sz="6" w:space="0" w:color="000000"/>
              <w:right w:val="nil" w:sz="6" w:space="0" w:color="auto"/>
            </w:tcBorders>
          </w:tcPr>
          <w:p>
            <w:pPr>
              <w:pStyle w:val="TableParagraph"/>
              <w:spacing w:line="270" w:lineRule="exact"/>
              <w:ind w:left="190" w:right="0"/>
              <w:jc w:val="left"/>
              <w:rPr>
                <w:rFonts w:ascii="宋体" w:hAnsi="宋体" w:cs="宋体" w:eastAsia="宋体" w:hint="default"/>
                <w:sz w:val="21"/>
                <w:szCs w:val="21"/>
              </w:rPr>
            </w:pPr>
            <w:r>
              <w:rPr>
                <w:rFonts w:ascii="宋体" w:hAnsi="宋体" w:cs="宋体" w:eastAsia="宋体" w:hint="default"/>
                <w:sz w:val="21"/>
                <w:szCs w:val="21"/>
              </w:rPr>
              <w:t>金融资产转移方式</w:t>
            </w:r>
          </w:p>
        </w:tc>
      </w:tr>
      <w:tr>
        <w:trPr>
          <w:trHeight w:val="347" w:hRule="exact"/>
        </w:trPr>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799"/>
              <w:jc w:val="right"/>
              <w:rPr>
                <w:rFonts w:ascii="宋体" w:hAnsi="宋体" w:cs="宋体" w:eastAsia="宋体" w:hint="default"/>
                <w:sz w:val="21"/>
                <w:szCs w:val="21"/>
              </w:rPr>
            </w:pPr>
            <w:r>
              <w:rPr>
                <w:rFonts w:ascii="宋体" w:hAnsi="宋体" w:cs="宋体" w:eastAsia="宋体" w:hint="default"/>
                <w:sz w:val="21"/>
                <w:szCs w:val="21"/>
              </w:rPr>
              <w:t>无追索权保理</w:t>
            </w:r>
          </w:p>
        </w:tc>
        <w:tc>
          <w:tcPr>
            <w:tcW w:w="2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92,448,846.00</w:t>
            </w: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-6,004,553.68</w:t>
            </w:r>
          </w:p>
        </w:tc>
        <w:tc>
          <w:tcPr>
            <w:tcW w:w="2078" w:type="dxa"/>
            <w:tcBorders>
              <w:top w:val="single" w:sz="6" w:space="0" w:color="000000"/>
              <w:left w:val="single" w:sz="6" w:space="0" w:color="000000"/>
              <w:bottom w:val="single" w:sz="6" w:space="0" w:color="000000"/>
              <w:right w:val="nil" w:sz="6" w:space="0" w:color="auto"/>
            </w:tcBorders>
          </w:tcPr>
          <w:p>
            <w:pPr/>
          </w:p>
        </w:tc>
      </w:tr>
      <w:tr>
        <w:trPr>
          <w:trHeight w:val="348" w:hRule="exact"/>
        </w:trPr>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737"/>
              <w:jc w:val="righ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20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92,448,846.00</w:t>
            </w:r>
          </w:p>
        </w:tc>
        <w:tc>
          <w:tcPr>
            <w:tcW w:w="20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-6,004,553.68</w:t>
            </w:r>
          </w:p>
        </w:tc>
        <w:tc>
          <w:tcPr>
            <w:tcW w:w="2078" w:type="dxa"/>
            <w:tcBorders>
              <w:top w:val="single" w:sz="6" w:space="0" w:color="000000"/>
              <w:left w:val="single" w:sz="6" w:space="0" w:color="000000"/>
              <w:bottom w:val="single" w:sz="6" w:space="0" w:color="000000"/>
              <w:right w:val="nil" w:sz="6" w:space="0" w:color="auto"/>
            </w:tcBorders>
          </w:tcPr>
          <w:p>
            <w:pPr/>
          </w:p>
        </w:tc>
      </w:tr>
    </w:tbl>
    <w:p>
      <w:pPr>
        <w:spacing w:line="240" w:lineRule="auto" w:before="2"/>
        <w:rPr>
          <w:rFonts w:ascii="宋体" w:hAnsi="宋体" w:cs="宋体" w:eastAsia="宋体" w:hint="default"/>
          <w:b/>
          <w:bCs/>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2"/>
        <w:gridCol w:w="762"/>
        <w:gridCol w:w="762"/>
        <w:gridCol w:w="790"/>
        <w:gridCol w:w="654"/>
        <w:gridCol w:w="762"/>
        <w:gridCol w:w="812"/>
        <w:gridCol w:w="932"/>
        <w:gridCol w:w="932"/>
      </w:tblGrid>
      <w:tr>
        <w:trPr>
          <w:trHeight w:val="402" w:hRule="exact"/>
        </w:trPr>
        <w:tc>
          <w:tcPr>
            <w:tcW w:w="16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4" w:type="dxa"/>
            <w:vMerge/>
            <w:tcBorders>
              <w:left w:val="single" w:sz="4" w:space="0" w:color="000000"/>
              <w:right w:val="single" w:sz="4" w:space="0" w:color="000000"/>
            </w:tcBorders>
            <w:shd w:val="clear" w:color="auto" w:fill="D3D3D3"/>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4"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3D3D3"/>
          </w:tcPr>
          <w:p>
            <w:pP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46,610,5</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91.04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4,587,92</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8.35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42,022,66</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2.69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31,990,</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808.45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3,758,221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11.75%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28,232,586.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77</w:t>
            </w:r>
          </w:p>
        </w:tc>
      </w:tr>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 w:right="0"/>
              <w:jc w:val="left"/>
              <w:rPr>
                <w:rFonts w:ascii="Times New Roman" w:hAnsi="Times New Roman" w:cs="Times New Roman" w:eastAsia="Times New Roman" w:hint="default"/>
                <w:sz w:val="18"/>
                <w:szCs w:val="18"/>
              </w:rPr>
            </w:pPr>
            <w:r>
              <w:rPr>
                <w:rFonts w:ascii="Times New Roman"/>
                <w:sz w:val="18"/>
              </w:rPr>
              <w:t>46,610,5</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91.04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4,587,92</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8.35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42,022,66</w:t>
            </w:r>
          </w:p>
          <w:p>
            <w:pPr>
              <w:pStyle w:val="TableParagraph"/>
              <w:spacing w:line="240" w:lineRule="auto" w:before="106"/>
              <w:ind w:left="442" w:right="0"/>
              <w:jc w:val="left"/>
              <w:rPr>
                <w:rFonts w:ascii="Times New Roman" w:hAnsi="Times New Roman" w:cs="Times New Roman" w:eastAsia="Times New Roman" w:hint="default"/>
                <w:sz w:val="18"/>
                <w:szCs w:val="18"/>
              </w:rPr>
            </w:pPr>
            <w:r>
              <w:rPr>
                <w:rFonts w:ascii="Times New Roman"/>
                <w:sz w:val="18"/>
              </w:rPr>
              <w:t>2.69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0" w:right="0"/>
              <w:jc w:val="left"/>
              <w:rPr>
                <w:rFonts w:ascii="Times New Roman" w:hAnsi="Times New Roman" w:cs="Times New Roman" w:eastAsia="Times New Roman" w:hint="default"/>
                <w:sz w:val="18"/>
                <w:szCs w:val="18"/>
              </w:rPr>
            </w:pPr>
            <w:r>
              <w:rPr>
                <w:rFonts w:ascii="Times New Roman"/>
                <w:sz w:val="18"/>
              </w:rPr>
              <w:t>31,990,</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808.45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100.00%</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3,758,221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.68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11.75%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28,232,586.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54"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3"/>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80" w:left="980" w:right="980"/>
          <w:cols w:num="2" w:equalWidth="0">
            <w:col w:w="4475" w:space="4354"/>
            <w:col w:w="112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0"/>
        <w:gridCol w:w="2389"/>
      </w:tblGrid>
      <w:tr>
        <w:trPr>
          <w:trHeight w:val="402" w:hRule="exact"/>
        </w:trPr>
        <w:tc>
          <w:tcPr>
            <w:tcW w:w="24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7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3" w:type="dxa"/>
            <w:vMerge/>
            <w:tcBorders>
              <w:left w:val="single" w:sz="4" w:space="0" w:color="000000"/>
              <w:bottom w:val="single" w:sz="4" w:space="0" w:color="000000"/>
              <w:right w:val="single" w:sz="4" w:space="0" w:color="000000"/>
            </w:tcBorders>
            <w:shd w:val="clear" w:color="auto" w:fill="D3D3D3"/>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9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28,815,375.70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1,440,768.79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28,815,375.70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1,440,768.79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4,120,147.16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412,014.72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3"/>
        <w:gridCol w:w="2295"/>
        <w:gridCol w:w="2390"/>
        <w:gridCol w:w="2389"/>
      </w:tblGrid>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1,544,756.18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308,951.24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8,087,312.00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2,426,193.60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42,567,591.04</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4,587,928.35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10.78%</w:t>
            </w:r>
          </w:p>
        </w:tc>
      </w:tr>
    </w:tbl>
    <w:p>
      <w:pPr>
        <w:spacing w:line="360" w:lineRule="auto" w:before="51"/>
        <w:ind w:left="153" w:right="5271"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6"/>
        <w:ind w:left="154" w:right="563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6" w:type="dxa"/>
        <w:tblLayout w:type="fixed"/>
        <w:tblCellMar>
          <w:top w:w="0" w:type="dxa"/>
          <w:left w:w="0" w:type="dxa"/>
          <w:bottom w:w="0" w:type="dxa"/>
          <w:right w:w="0" w:type="dxa"/>
        </w:tblCellMar>
        <w:tblLook w:val="01E0"/>
      </w:tblPr>
      <w:tblGrid>
        <w:gridCol w:w="1672"/>
        <w:gridCol w:w="2214"/>
        <w:gridCol w:w="2213"/>
        <w:gridCol w:w="2214"/>
      </w:tblGrid>
      <w:tr>
        <w:trPr>
          <w:trHeight w:val="347" w:hRule="exact"/>
        </w:trPr>
        <w:tc>
          <w:tcPr>
            <w:tcW w:w="1672" w:type="dxa"/>
            <w:vMerge w:val="restart"/>
            <w:tcBorders>
              <w:top w:val="single" w:sz="6" w:space="0" w:color="000000"/>
              <w:left w:val="single" w:sz="6" w:space="0" w:color="000000"/>
              <w:right w:val="single" w:sz="6" w:space="0" w:color="000000"/>
            </w:tcBorders>
          </w:tcPr>
          <w:p>
            <w:pPr>
              <w:pStyle w:val="TableParagraph"/>
              <w:spacing w:line="271" w:lineRule="exact"/>
              <w:ind w:left="407"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6641" w:type="dxa"/>
            <w:gridSpan w:val="3"/>
            <w:tcBorders>
              <w:top w:val="single" w:sz="6" w:space="0" w:color="000000"/>
              <w:left w:val="single" w:sz="6" w:space="0" w:color="000000"/>
              <w:bottom w:val="single" w:sz="6" w:space="0" w:color="000000"/>
              <w:right w:val="nil" w:sz="6" w:space="0" w:color="auto"/>
            </w:tcBorders>
          </w:tcPr>
          <w:p>
            <w:pPr>
              <w:pStyle w:val="TableParagraph"/>
              <w:spacing w:line="271" w:lineRule="exact"/>
              <w:ind w:right="4"/>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48" w:hRule="exact"/>
        </w:trPr>
        <w:tc>
          <w:tcPr>
            <w:tcW w:w="1672" w:type="dxa"/>
            <w:vMerge/>
            <w:tcBorders>
              <w:left w:val="single" w:sz="6" w:space="0" w:color="000000"/>
              <w:bottom w:val="single" w:sz="6" w:space="0" w:color="000000"/>
              <w:right w:val="single" w:sz="6" w:space="0" w:color="000000"/>
            </w:tcBorders>
          </w:tcPr>
          <w:p>
            <w:pPr/>
          </w:p>
        </w:tc>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7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7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4" w:type="dxa"/>
            <w:tcBorders>
              <w:top w:val="single" w:sz="6" w:space="0" w:color="000000"/>
              <w:left w:val="single" w:sz="6" w:space="0" w:color="000000"/>
              <w:bottom w:val="single" w:sz="6" w:space="0" w:color="000000"/>
              <w:right w:val="nil" w:sz="6" w:space="0" w:color="auto"/>
            </w:tcBorders>
          </w:tcPr>
          <w:p>
            <w:pPr>
              <w:pStyle w:val="TableParagraph"/>
              <w:spacing w:line="287" w:lineRule="exact"/>
              <w:ind w:left="52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r>
      <w:tr>
        <w:trPr>
          <w:trHeight w:val="659"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27"/>
              <w:jc w:val="left"/>
              <w:rPr>
                <w:rFonts w:ascii="宋体" w:hAnsi="宋体" w:cs="宋体" w:eastAsia="宋体" w:hint="default"/>
                <w:sz w:val="21"/>
                <w:szCs w:val="21"/>
              </w:rPr>
            </w:pPr>
            <w:r>
              <w:rPr>
                <w:rFonts w:ascii="宋体" w:hAnsi="宋体" w:cs="宋体" w:eastAsia="宋体" w:hint="default"/>
                <w:spacing w:val="24"/>
                <w:sz w:val="21"/>
                <w:szCs w:val="21"/>
              </w:rPr>
              <w:t>合并范围内</w:t>
            </w:r>
            <w:r>
              <w:rPr>
                <w:rFonts w:ascii="宋体" w:hAnsi="宋体" w:cs="宋体" w:eastAsia="宋体" w:hint="default"/>
                <w:spacing w:val="-74"/>
                <w:sz w:val="21"/>
                <w:szCs w:val="21"/>
              </w:rPr>
              <w:t> </w:t>
            </w:r>
            <w:r>
              <w:rPr>
                <w:rFonts w:ascii="宋体" w:hAnsi="宋体" w:cs="宋体" w:eastAsia="宋体" w:hint="default"/>
                <w:spacing w:val="15"/>
                <w:sz w:val="21"/>
                <w:szCs w:val="21"/>
              </w:rPr>
              <w:t>关联</w:t>
            </w:r>
            <w:r>
              <w:rPr>
                <w:rFonts w:ascii="宋体" w:hAnsi="宋体" w:cs="宋体" w:eastAsia="宋体" w:hint="default"/>
                <w:spacing w:val="-75"/>
                <w:sz w:val="21"/>
                <w:szCs w:val="21"/>
              </w:rPr>
              <w:t> </w:t>
            </w:r>
            <w:r>
              <w:rPr>
                <w:rFonts w:ascii="宋体" w:hAnsi="宋体" w:cs="宋体" w:eastAsia="宋体" w:hint="default"/>
                <w:sz w:val="21"/>
                <w:szCs w:val="21"/>
              </w:rPr>
              <w:t>方单位往来</w:t>
            </w:r>
          </w:p>
        </w:tc>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4,043,000.00</w:t>
            </w:r>
          </w:p>
        </w:tc>
        <w:tc>
          <w:tcPr>
            <w:tcW w:w="2213" w:type="dxa"/>
            <w:tcBorders>
              <w:top w:val="single" w:sz="6" w:space="0" w:color="000000"/>
              <w:left w:val="single" w:sz="6" w:space="0" w:color="000000"/>
              <w:bottom w:val="single" w:sz="6" w:space="0" w:color="000000"/>
              <w:right w:val="single" w:sz="6" w:space="0" w:color="000000"/>
            </w:tcBorders>
          </w:tcPr>
          <w:p>
            <w:pPr/>
          </w:p>
        </w:tc>
        <w:tc>
          <w:tcPr>
            <w:tcW w:w="2214" w:type="dxa"/>
            <w:tcBorders>
              <w:top w:val="single" w:sz="6" w:space="0" w:color="000000"/>
              <w:left w:val="single" w:sz="6" w:space="0" w:color="000000"/>
              <w:bottom w:val="single" w:sz="6" w:space="0" w:color="000000"/>
              <w:right w:val="nil" w:sz="6" w:space="0" w:color="auto"/>
            </w:tcBorders>
          </w:tcPr>
          <w:p>
            <w:pPr/>
          </w:p>
        </w:tc>
      </w:tr>
      <w:tr>
        <w:trPr>
          <w:trHeight w:val="347" w:hRule="exact"/>
        </w:trPr>
        <w:tc>
          <w:tcPr>
            <w:tcW w:w="167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534" w:right="0"/>
              <w:jc w:val="left"/>
              <w:rPr>
                <w:rFonts w:ascii="宋体" w:hAnsi="宋体" w:cs="宋体" w:eastAsia="宋体" w:hint="default"/>
                <w:sz w:val="21"/>
                <w:szCs w:val="21"/>
              </w:rPr>
            </w:pPr>
            <w:r>
              <w:rPr>
                <w:rFonts w:ascii="宋体" w:hAnsi="宋体" w:cs="宋体" w:eastAsia="宋体" w:hint="default"/>
                <w:sz w:val="21"/>
                <w:szCs w:val="21"/>
              </w:rPr>
              <w:t>小</w:t>
            </w:r>
            <w:r>
              <w:rPr>
                <w:rFonts w:ascii="宋体" w:hAnsi="宋体" w:cs="宋体" w:eastAsia="宋体" w:hint="default"/>
                <w:spacing w:val="63"/>
                <w:sz w:val="21"/>
                <w:szCs w:val="21"/>
              </w:rPr>
              <w:t> </w:t>
            </w:r>
            <w:r>
              <w:rPr>
                <w:rFonts w:ascii="宋体" w:hAnsi="宋体" w:cs="宋体" w:eastAsia="宋体" w:hint="default"/>
                <w:sz w:val="21"/>
                <w:szCs w:val="21"/>
              </w:rPr>
              <w:t>计</w:t>
            </w:r>
          </w:p>
        </w:tc>
        <w:tc>
          <w:tcPr>
            <w:tcW w:w="22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4,043,000.00</w:t>
            </w:r>
          </w:p>
        </w:tc>
        <w:tc>
          <w:tcPr>
            <w:tcW w:w="2213" w:type="dxa"/>
            <w:tcBorders>
              <w:top w:val="single" w:sz="6" w:space="0" w:color="000000"/>
              <w:left w:val="single" w:sz="6" w:space="0" w:color="000000"/>
              <w:bottom w:val="single" w:sz="6" w:space="0" w:color="000000"/>
              <w:right w:val="single" w:sz="6" w:space="0" w:color="000000"/>
            </w:tcBorders>
          </w:tcPr>
          <w:p>
            <w:pPr/>
          </w:p>
        </w:tc>
        <w:tc>
          <w:tcPr>
            <w:tcW w:w="2214" w:type="dxa"/>
            <w:tcBorders>
              <w:top w:val="single" w:sz="6" w:space="0" w:color="000000"/>
              <w:left w:val="single" w:sz="6" w:space="0" w:color="000000"/>
              <w:bottom w:val="single" w:sz="6" w:space="0" w:color="000000"/>
              <w:right w:val="nil" w:sz="6" w:space="0" w:color="auto"/>
            </w:tcBorders>
          </w:tcPr>
          <w:p>
            <w:pP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829,706.67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3"/>
        <w:spacing w:line="240" w:lineRule="auto" w:before="0"/>
        <w:ind w:right="0"/>
        <w:jc w:val="left"/>
        <w:rPr>
          <w:b w:val="0"/>
          <w:bCs w:val="0"/>
        </w:rPr>
      </w:pPr>
      <w:r>
        <w:rPr/>
        <w:t>（</w:t>
      </w:r>
      <w:r>
        <w:rPr>
          <w:rFonts w:ascii="Times New Roman" w:hAnsi="Times New Roman" w:cs="Times New Roman" w:eastAsia="Times New Roman" w:hint="default"/>
        </w:rPr>
        <w:t>3</w:t>
      </w:r>
      <w:r>
        <w:rPr/>
        <w:t>）其他应收款按款项性质分类情况</w:t>
      </w:r>
      <w:r>
        <w:rPr>
          <w:b w:val="0"/>
          <w:bCs w:val="0"/>
        </w:rPr>
      </w:r>
    </w:p>
    <w:p>
      <w:pPr>
        <w:spacing w:line="240" w:lineRule="auto" w:before="4"/>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27,659,331.73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25,222,506.52</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应收暂付款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4,566,400.00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794,623.60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应收税收返还款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5,568,607.95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3,867,993.73</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应收股权转让款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6,869,000.00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1,375,000.00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1,947,251.36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730,684.60</w:t>
            </w:r>
          </w:p>
        </w:tc>
      </w:tr>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46,610,591.04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31,990,808.45</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81"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孙鑫</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4,115,000.00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205,750.00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辽宁荣信电气传动技 术有限责任公司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4,043,000.00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上海得斯威国际货运 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4,034,197.52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8.66%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201,709.88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杨帆</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2,754,000.00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137,700.00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中国电能成套设备有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1,561,767.00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127,600.35</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16,507,964.52</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35.42%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672,760.23</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）涉及政府补助的应收款项</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7"/>
        <w:gridCol w:w="1944"/>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5" w:right="6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362" w:hRule="exact"/>
        </w:trPr>
        <w:tc>
          <w:tcPr>
            <w:tcW w:w="2026" w:type="dxa"/>
            <w:tcBorders>
              <w:top w:val="single" w:sz="4" w:space="0" w:color="000000"/>
              <w:left w:val="single" w:sz="4" w:space="0" w:color="000000"/>
              <w:bottom w:val="nil" w:sz="6" w:space="0" w:color="auto"/>
              <w:right w:val="single" w:sz="4" w:space="0" w:color="000000"/>
            </w:tcBorders>
          </w:tcPr>
          <w:p>
            <w:pPr/>
          </w:p>
        </w:tc>
        <w:tc>
          <w:tcPr>
            <w:tcW w:w="1866" w:type="dxa"/>
            <w:tcBorders>
              <w:top w:val="single" w:sz="4" w:space="0" w:color="000000"/>
              <w:left w:val="single" w:sz="4" w:space="0" w:color="000000"/>
              <w:bottom w:val="nil" w:sz="6" w:space="0" w:color="auto"/>
              <w:right w:val="single" w:sz="4" w:space="0" w:color="000000"/>
            </w:tcBorders>
          </w:tcPr>
          <w:p>
            <w:pPr/>
          </w:p>
        </w:tc>
        <w:tc>
          <w:tcPr>
            <w:tcW w:w="1866" w:type="dxa"/>
            <w:tcBorders>
              <w:top w:val="single" w:sz="4" w:space="0" w:color="000000"/>
              <w:left w:val="single" w:sz="4" w:space="0" w:color="000000"/>
              <w:bottom w:val="nil" w:sz="6" w:space="0" w:color="auto"/>
              <w:right w:val="single" w:sz="4" w:space="0" w:color="000000"/>
            </w:tcBorders>
          </w:tcPr>
          <w:p>
            <w:pPr/>
          </w:p>
        </w:tc>
        <w:tc>
          <w:tcPr>
            <w:tcW w:w="1867" w:type="dxa"/>
            <w:tcBorders>
              <w:top w:val="single" w:sz="4" w:space="0" w:color="000000"/>
              <w:left w:val="single" w:sz="4" w:space="0" w:color="000000"/>
              <w:bottom w:val="nil" w:sz="6" w:space="0" w:color="auto"/>
              <w:right w:val="single" w:sz="4" w:space="0" w:color="000000"/>
            </w:tcBorders>
          </w:tcPr>
          <w:p>
            <w:pPr/>
          </w:p>
        </w:tc>
        <w:tc>
          <w:tcPr>
            <w:tcW w:w="19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年上半年可以</w:t>
            </w:r>
          </w:p>
        </w:tc>
      </w:tr>
      <w:tr>
        <w:trPr>
          <w:trHeight w:val="624" w:hRule="exact"/>
        </w:trPr>
        <w:tc>
          <w:tcPr>
            <w:tcW w:w="2026"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191"/>
              <w:jc w:val="left"/>
              <w:rPr>
                <w:rFonts w:ascii="宋体" w:hAnsi="宋体" w:cs="宋体" w:eastAsia="宋体" w:hint="default"/>
                <w:sz w:val="18"/>
                <w:szCs w:val="18"/>
              </w:rPr>
            </w:pPr>
            <w:r>
              <w:rPr>
                <w:rFonts w:ascii="宋体" w:hAnsi="宋体" w:cs="宋体" w:eastAsia="宋体" w:hint="default"/>
                <w:sz w:val="18"/>
                <w:szCs w:val="18"/>
              </w:rPr>
              <w:t>鞍山市开发区国家税务 局</w:t>
            </w:r>
          </w:p>
        </w:tc>
        <w:tc>
          <w:tcPr>
            <w:tcW w:w="18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186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1,534,410.43</w:t>
            </w:r>
          </w:p>
        </w:tc>
        <w:tc>
          <w:tcPr>
            <w:tcW w:w="186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44"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23"/>
              <w:jc w:val="left"/>
              <w:rPr>
                <w:rFonts w:ascii="宋体" w:hAnsi="宋体" w:cs="宋体" w:eastAsia="宋体" w:hint="default"/>
                <w:sz w:val="18"/>
                <w:szCs w:val="18"/>
              </w:rPr>
            </w:pPr>
            <w:r>
              <w:rPr>
                <w:rFonts w:ascii="宋体" w:hAnsi="宋体" w:cs="宋体" w:eastAsia="宋体" w:hint="default"/>
                <w:sz w:val="18"/>
                <w:szCs w:val="18"/>
              </w:rPr>
              <w:t>全部回收，主要依据财 </w:t>
            </w:r>
            <w:r>
              <w:rPr>
                <w:rFonts w:ascii="宋体" w:hAnsi="宋体" w:cs="宋体" w:eastAsia="宋体" w:hint="default"/>
                <w:spacing w:val="-5"/>
                <w:sz w:val="18"/>
                <w:szCs w:val="18"/>
              </w:rPr>
              <w:t>税〔</w:t>
            </w:r>
            <w:r>
              <w:rPr>
                <w:rFonts w:ascii="Times New Roman" w:hAnsi="Times New Roman" w:cs="Times New Roman" w:eastAsia="Times New Roman" w:hint="default"/>
                <w:spacing w:val="-5"/>
                <w:sz w:val="18"/>
                <w:szCs w:val="18"/>
              </w:rPr>
              <w:t>2011</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100</w:t>
            </w:r>
            <w:r>
              <w:rPr>
                <w:rFonts w:ascii="Times New Roman" w:hAnsi="Times New Roman" w:cs="Times New Roman" w:eastAsia="Times New Roman" w:hint="default"/>
                <w:sz w:val="18"/>
                <w:szCs w:val="18"/>
              </w:rPr>
              <w:t> </w:t>
            </w:r>
            <w:r>
              <w:rPr>
                <w:rFonts w:ascii="宋体" w:hAnsi="宋体" w:cs="宋体" w:eastAsia="宋体" w:hint="default"/>
                <w:sz w:val="18"/>
                <w:szCs w:val="18"/>
              </w:rPr>
              <w:t>号文件进</w:t>
            </w:r>
          </w:p>
        </w:tc>
      </w:tr>
      <w:tr>
        <w:trPr>
          <w:trHeight w:val="352" w:hRule="exact"/>
        </w:trPr>
        <w:tc>
          <w:tcPr>
            <w:tcW w:w="2026" w:type="dxa"/>
            <w:tcBorders>
              <w:top w:val="nil" w:sz="6" w:space="0" w:color="auto"/>
              <w:left w:val="single" w:sz="4" w:space="0" w:color="000000"/>
              <w:bottom w:val="single" w:sz="4" w:space="0" w:color="000000"/>
              <w:right w:val="single" w:sz="4" w:space="0" w:color="000000"/>
            </w:tcBorders>
          </w:tcPr>
          <w:p>
            <w:pPr/>
          </w:p>
        </w:tc>
        <w:tc>
          <w:tcPr>
            <w:tcW w:w="1866" w:type="dxa"/>
            <w:tcBorders>
              <w:top w:val="nil" w:sz="6" w:space="0" w:color="auto"/>
              <w:left w:val="single" w:sz="4" w:space="0" w:color="000000"/>
              <w:bottom w:val="single" w:sz="4" w:space="0" w:color="000000"/>
              <w:right w:val="single" w:sz="4" w:space="0" w:color="000000"/>
            </w:tcBorders>
          </w:tcPr>
          <w:p>
            <w:pPr/>
          </w:p>
        </w:tc>
        <w:tc>
          <w:tcPr>
            <w:tcW w:w="1866" w:type="dxa"/>
            <w:tcBorders>
              <w:top w:val="nil" w:sz="6" w:space="0" w:color="auto"/>
              <w:left w:val="single" w:sz="4" w:space="0" w:color="000000"/>
              <w:bottom w:val="single" w:sz="4" w:space="0" w:color="000000"/>
              <w:right w:val="single" w:sz="4" w:space="0" w:color="000000"/>
            </w:tcBorders>
          </w:tcPr>
          <w:p>
            <w:pPr/>
          </w:p>
        </w:tc>
        <w:tc>
          <w:tcPr>
            <w:tcW w:w="1867" w:type="dxa"/>
            <w:tcBorders>
              <w:top w:val="nil" w:sz="6" w:space="0" w:color="auto"/>
              <w:left w:val="single" w:sz="4" w:space="0" w:color="000000"/>
              <w:bottom w:val="single" w:sz="4" w:space="0" w:color="000000"/>
              <w:right w:val="single" w:sz="4" w:space="0" w:color="000000"/>
            </w:tcBorders>
          </w:tcPr>
          <w:p>
            <w:pPr/>
          </w:p>
        </w:tc>
        <w:tc>
          <w:tcPr>
            <w:tcW w:w="19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行确认</w:t>
            </w:r>
          </w:p>
        </w:tc>
      </w:tr>
      <w:tr>
        <w:trPr>
          <w:trHeight w:val="402" w:hRule="exact"/>
        </w:trPr>
        <w:tc>
          <w:tcPr>
            <w:tcW w:w="2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1,534,410.43</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3,225,861,250.92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9" w:right="0"/>
              <w:jc w:val="left"/>
              <w:rPr>
                <w:rFonts w:ascii="Times New Roman" w:hAnsi="Times New Roman" w:cs="Times New Roman" w:eastAsia="Times New Roman" w:hint="default"/>
                <w:sz w:val="18"/>
                <w:szCs w:val="18"/>
              </w:rPr>
            </w:pPr>
            <w:r>
              <w:rPr>
                <w:rFonts w:ascii="Times New Roman"/>
                <w:sz w:val="18"/>
              </w:rPr>
              <w:t>36,643,998.16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3,189,217,252.76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240,548,237.80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240,548,237.80</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73"/>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127,660,707.66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127,660,707.66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158,506,065.28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158,506,065.28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3,353,521,958.58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9" w:right="0"/>
              <w:jc w:val="left"/>
              <w:rPr>
                <w:rFonts w:ascii="Times New Roman" w:hAnsi="Times New Roman" w:cs="Times New Roman" w:eastAsia="Times New Roman" w:hint="default"/>
                <w:sz w:val="18"/>
                <w:szCs w:val="18"/>
              </w:rPr>
            </w:pPr>
            <w:r>
              <w:rPr>
                <w:rFonts w:ascii="Times New Roman"/>
                <w:sz w:val="18"/>
              </w:rPr>
              <w:t>36,643,998.16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3,316,877,960.42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399,054,303.08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399,054,303.08</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7"/>
        <w:gridCol w:w="1336"/>
        <w:gridCol w:w="1336"/>
        <w:gridCol w:w="1334"/>
        <w:gridCol w:w="1336"/>
        <w:gridCol w:w="1388"/>
        <w:gridCol w:w="1390"/>
      </w:tblGrid>
      <w:tr>
        <w:trPr>
          <w:trHeight w:val="713"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诚和伟业</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8" w:right="0"/>
              <w:jc w:val="left"/>
              <w:rPr>
                <w:rFonts w:ascii="Times New Roman" w:hAnsi="Times New Roman" w:cs="Times New Roman" w:eastAsia="Times New Roman" w:hint="default"/>
                <w:sz w:val="18"/>
                <w:szCs w:val="18"/>
              </w:rPr>
            </w:pPr>
            <w:r>
              <w:rPr>
                <w:rFonts w:ascii="Times New Roman"/>
                <w:sz w:val="18"/>
              </w:rPr>
              <w:t>6,400,000.00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7" w:right="0"/>
              <w:jc w:val="left"/>
              <w:rPr>
                <w:rFonts w:ascii="Times New Roman" w:hAnsi="Times New Roman" w:cs="Times New Roman" w:eastAsia="Times New Roman" w:hint="default"/>
                <w:sz w:val="18"/>
                <w:szCs w:val="18"/>
              </w:rPr>
            </w:pPr>
            <w:r>
              <w:rPr>
                <w:rFonts w:ascii="Times New Roman"/>
                <w:sz w:val="18"/>
              </w:rPr>
              <w:t>13,000,000.00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19,400,000.00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荣信嘉时</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8" w:right="0"/>
              <w:jc w:val="left"/>
              <w:rPr>
                <w:rFonts w:ascii="Times New Roman" w:hAnsi="Times New Roman" w:cs="Times New Roman" w:eastAsia="Times New Roman" w:hint="default"/>
                <w:sz w:val="18"/>
                <w:szCs w:val="18"/>
              </w:rPr>
            </w:pPr>
            <w:r>
              <w:rPr>
                <w:rFonts w:ascii="Times New Roman"/>
                <w:sz w:val="18"/>
              </w:rPr>
              <w:t>6,800,000.00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7" w:right="0"/>
              <w:jc w:val="left"/>
              <w:rPr>
                <w:rFonts w:ascii="Times New Roman" w:hAnsi="Times New Roman" w:cs="Times New Roman" w:eastAsia="Times New Roman" w:hint="default"/>
                <w:sz w:val="18"/>
                <w:szCs w:val="18"/>
              </w:rPr>
            </w:pPr>
            <w:r>
              <w:rPr>
                <w:rFonts w:ascii="Times New Roman"/>
                <w:sz w:val="18"/>
              </w:rPr>
              <w:t>19,000,000.00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7" w:right="0"/>
              <w:jc w:val="left"/>
              <w:rPr>
                <w:rFonts w:ascii="Times New Roman" w:hAnsi="Times New Roman" w:cs="Times New Roman" w:eastAsia="Times New Roman" w:hint="default"/>
                <w:sz w:val="18"/>
                <w:szCs w:val="18"/>
              </w:rPr>
            </w:pPr>
            <w:r>
              <w:rPr>
                <w:rFonts w:ascii="Times New Roman"/>
                <w:sz w:val="18"/>
              </w:rPr>
              <w:t>25,800,000.00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21" w:right="0"/>
              <w:jc w:val="left"/>
              <w:rPr>
                <w:rFonts w:ascii="Times New Roman" w:hAnsi="Times New Roman" w:cs="Times New Roman" w:eastAsia="Times New Roman" w:hint="default"/>
                <w:sz w:val="18"/>
                <w:szCs w:val="18"/>
              </w:rPr>
            </w:pPr>
            <w:r>
              <w:rPr>
                <w:rFonts w:ascii="Times New Roman"/>
                <w:sz w:val="18"/>
              </w:rPr>
              <w:t>24,813,195.68</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21" w:right="0"/>
              <w:jc w:val="left"/>
              <w:rPr>
                <w:rFonts w:ascii="Times New Roman" w:hAnsi="Times New Roman" w:cs="Times New Roman" w:eastAsia="Times New Roman" w:hint="default"/>
                <w:sz w:val="18"/>
                <w:szCs w:val="18"/>
              </w:rPr>
            </w:pPr>
            <w:r>
              <w:rPr>
                <w:rFonts w:ascii="Times New Roman"/>
                <w:sz w:val="18"/>
              </w:rPr>
              <w:t>24,813,195.68</w:t>
            </w: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荣信电气</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8" w:right="0"/>
              <w:jc w:val="left"/>
              <w:rPr>
                <w:rFonts w:ascii="Times New Roman" w:hAnsi="Times New Roman" w:cs="Times New Roman" w:eastAsia="Times New Roman" w:hint="default"/>
                <w:sz w:val="18"/>
                <w:szCs w:val="18"/>
              </w:rPr>
            </w:pPr>
            <w:r>
              <w:rPr>
                <w:rFonts w:ascii="Times New Roman"/>
                <w:sz w:val="18"/>
              </w:rPr>
              <w:t>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7" w:right="0"/>
              <w:jc w:val="left"/>
              <w:rPr>
                <w:rFonts w:ascii="Times New Roman" w:hAnsi="Times New Roman" w:cs="Times New Roman" w:eastAsia="Times New Roman" w:hint="default"/>
                <w:sz w:val="18"/>
                <w:szCs w:val="18"/>
              </w:rPr>
            </w:pPr>
            <w:r>
              <w:rPr>
                <w:rFonts w:ascii="Times New Roman"/>
                <w:sz w:val="18"/>
              </w:rPr>
              <w:t>2,000,000.00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上海地澳</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8" w:right="0"/>
              <w:jc w:val="left"/>
              <w:rPr>
                <w:rFonts w:ascii="Times New Roman" w:hAnsi="Times New Roman" w:cs="Times New Roman" w:eastAsia="Times New Roman" w:hint="default"/>
                <w:sz w:val="18"/>
                <w:szCs w:val="18"/>
              </w:rPr>
            </w:pPr>
            <w:r>
              <w:rPr>
                <w:rFonts w:ascii="Times New Roman"/>
                <w:sz w:val="18"/>
              </w:rPr>
              <w:t>17,000,000.00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7" w:right="0"/>
              <w:jc w:val="left"/>
              <w:rPr>
                <w:rFonts w:ascii="Times New Roman" w:hAnsi="Times New Roman" w:cs="Times New Roman" w:eastAsia="Times New Roman" w:hint="default"/>
                <w:sz w:val="18"/>
                <w:szCs w:val="18"/>
              </w:rPr>
            </w:pPr>
            <w:r>
              <w:rPr>
                <w:rFonts w:ascii="Times New Roman"/>
                <w:sz w:val="18"/>
              </w:rPr>
              <w:t>17,000,000.00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荣科恒阳</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8" w:right="0"/>
              <w:jc w:val="left"/>
              <w:rPr>
                <w:rFonts w:ascii="Times New Roman" w:hAnsi="Times New Roman" w:cs="Times New Roman" w:eastAsia="Times New Roman" w:hint="default"/>
                <w:sz w:val="18"/>
                <w:szCs w:val="18"/>
              </w:rPr>
            </w:pPr>
            <w:r>
              <w:rPr>
                <w:rFonts w:ascii="Times New Roman"/>
                <w:sz w:val="18"/>
              </w:rPr>
              <w:t>7,650,000.00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7" w:right="0"/>
              <w:jc w:val="left"/>
              <w:rPr>
                <w:rFonts w:ascii="Times New Roman" w:hAnsi="Times New Roman" w:cs="Times New Roman" w:eastAsia="Times New Roman" w:hint="default"/>
                <w:sz w:val="18"/>
                <w:szCs w:val="18"/>
              </w:rPr>
            </w:pPr>
            <w:r>
              <w:rPr>
                <w:rFonts w:ascii="Times New Roman"/>
                <w:sz w:val="18"/>
              </w:rPr>
              <w:t>7,650,000.00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荣华恒信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58" w:right="0"/>
              <w:jc w:val="left"/>
              <w:rPr>
                <w:rFonts w:ascii="Times New Roman" w:hAnsi="Times New Roman" w:cs="Times New Roman" w:eastAsia="Times New Roman" w:hint="default"/>
                <w:sz w:val="18"/>
                <w:szCs w:val="18"/>
              </w:rPr>
            </w:pPr>
            <w:r>
              <w:rPr>
                <w:rFonts w:ascii="Times New Roman"/>
                <w:sz w:val="18"/>
              </w:rPr>
              <w:t>7,000,000.00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荣信防爆</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8" w:right="0"/>
              <w:jc w:val="left"/>
              <w:rPr>
                <w:rFonts w:ascii="Times New Roman" w:hAnsi="Times New Roman" w:cs="Times New Roman" w:eastAsia="Times New Roman" w:hint="default"/>
                <w:sz w:val="18"/>
                <w:szCs w:val="18"/>
              </w:rPr>
            </w:pPr>
            <w:r>
              <w:rPr>
                <w:rFonts w:ascii="Times New Roman"/>
                <w:sz w:val="18"/>
              </w:rPr>
              <w:t>18,092,866.00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7" w:right="0"/>
              <w:jc w:val="left"/>
              <w:rPr>
                <w:rFonts w:ascii="Times New Roman" w:hAnsi="Times New Roman" w:cs="Times New Roman" w:eastAsia="Times New Roman" w:hint="default"/>
                <w:sz w:val="18"/>
                <w:szCs w:val="18"/>
              </w:rPr>
            </w:pPr>
            <w:r>
              <w:rPr>
                <w:rFonts w:ascii="Times New Roman"/>
                <w:sz w:val="18"/>
              </w:rPr>
              <w:t>18,092,866.00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7"/>
        <w:gridCol w:w="1336"/>
        <w:gridCol w:w="1336"/>
        <w:gridCol w:w="1334"/>
        <w:gridCol w:w="1336"/>
        <w:gridCol w:w="1388"/>
        <w:gridCol w:w="1390"/>
      </w:tblGrid>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荣信电机</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荣信众腾</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荣信光伏</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9,008,004.00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9,008,004.00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荣信电气</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22,509,735.00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22,509,735.00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南京荣信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7,000,000.00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5,377,611.18</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5,377,611.18</w:t>
            </w: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荣信慧科</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荣科博信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6,800,000.00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6,453,191.30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6,453,191.30</w:t>
            </w: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荣西电力</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27,893,700.00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13,204,158.12</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41,097,858.12</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广州邦建</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荣信瑞科</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新疆荣信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荣信中科</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荣信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DMCC</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15,293,932.80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33,146,204.00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48,440,136.80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西安荣信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荣信英国</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38,714,000.00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38,714,000.00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梦网科技</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2,905,000,000.00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2,905,000,000.00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荣信香港</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8,156,655.00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8,156,655.00</w:t>
            </w:r>
          </w:p>
        </w:tc>
        <w:tc>
          <w:tcPr>
            <w:tcW w:w="1388"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240,548,237.80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3,030,221,017.12</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44,908,004.00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3,225,861,250.92</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36,643,998.16</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36,643,998.16</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山东荣信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8,772,395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-2,891,46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0.46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-5,880,93</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5.45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中煤科创</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24,061,43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0.54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-6,787,95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7.24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17,273,47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3.30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9"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32,833,82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6.45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-2,891,46</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0.46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-12,668,8</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92.69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17,273,47</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3.30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哈密荣信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18,530,15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19,665,10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-862,149.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-2,240,00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35,093,10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3.79</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714"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信力筑正</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107,142,0</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85.39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-31,847,9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54.82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75,294,13</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0.57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125,672,2</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38.83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19,665,10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-32,710,1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04.47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-2,240,00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110,387,2</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34.36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158,506,0</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65.28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19,665,10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-2,981460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-45,378,9</w:t>
            </w:r>
          </w:p>
          <w:p>
            <w:pPr>
              <w:pStyle w:val="TableParagraph"/>
              <w:spacing w:line="240" w:lineRule="auto" w:before="106"/>
              <w:ind w:left="314" w:right="0"/>
              <w:jc w:val="left"/>
              <w:rPr>
                <w:rFonts w:ascii="Times New Roman" w:hAnsi="Times New Roman" w:cs="Times New Roman" w:eastAsia="Times New Roman" w:hint="default"/>
                <w:sz w:val="18"/>
                <w:szCs w:val="18"/>
              </w:rPr>
            </w:pPr>
            <w:r>
              <w:rPr>
                <w:rFonts w:ascii="Times New Roman"/>
                <w:sz w:val="18"/>
              </w:rPr>
              <w:t>97,.16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-2,240,00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127,660,7</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07.66</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3D3D3"/>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1"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1" w:right="0"/>
              <w:jc w:val="left"/>
              <w:rPr>
                <w:rFonts w:ascii="宋体" w:hAnsi="宋体" w:cs="宋体" w:eastAsia="宋体" w:hint="default"/>
                <w:sz w:val="18"/>
                <w:szCs w:val="18"/>
              </w:rPr>
            </w:pPr>
            <w:r>
              <w:rPr>
                <w:rFonts w:ascii="宋体" w:hAnsi="宋体" w:cs="宋体" w:eastAsia="宋体" w:hint="default"/>
                <w:sz w:val="18"/>
                <w:szCs w:val="18"/>
              </w:rPr>
              <w:t>成本</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1,205,202,228.25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838,972,564.22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774,188,496.16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519,391,037.59</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3,891,484.49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5,049,598.77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1,209,093,712.74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844,022,162.99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774,188,496.16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5" w:right="0"/>
              <w:jc w:val="left"/>
              <w:rPr>
                <w:rFonts w:ascii="Times New Roman" w:hAnsi="Times New Roman" w:cs="Times New Roman" w:eastAsia="Times New Roman" w:hint="default"/>
                <w:sz w:val="18"/>
                <w:szCs w:val="18"/>
              </w:rPr>
            </w:pPr>
            <w:r>
              <w:rPr>
                <w:rFonts w:ascii="Times New Roman"/>
                <w:sz w:val="18"/>
              </w:rPr>
              <w:t>519,391,037.59</w:t>
            </w:r>
          </w:p>
        </w:tc>
      </w:tr>
    </w:tbl>
    <w:p>
      <w:pPr>
        <w:spacing w:line="240" w:lineRule="auto" w:before="2"/>
        <w:rPr>
          <w:rFonts w:ascii="宋体" w:hAnsi="宋体" w:cs="宋体" w:eastAsia="宋体" w:hint="default"/>
          <w:sz w:val="19"/>
          <w:szCs w:val="19"/>
        </w:rPr>
      </w:pPr>
    </w:p>
    <w:p>
      <w:pPr>
        <w:pStyle w:val="Heading3"/>
        <w:spacing w:line="240" w:lineRule="auto"/>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5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3,440,000.00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3,249,000.00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-45,378,997.16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-4,894,020.22</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-26,726,400.20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-10,625,000.00</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-1,721,740.92</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-68,665,397.36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-13,991,761.14</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t>十七、补充资料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before="0"/>
        <w:ind w:right="0"/>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61" w:hRule="exact"/>
        </w:trPr>
        <w:tc>
          <w:tcPr>
            <w:tcW w:w="3324" w:type="dxa"/>
            <w:tcBorders>
              <w:top w:val="single" w:sz="4" w:space="0" w:color="000000"/>
              <w:left w:val="single" w:sz="4" w:space="0" w:color="000000"/>
              <w:bottom w:val="nil" w:sz="6" w:space="0" w:color="auto"/>
              <w:right w:val="single" w:sz="4" w:space="0" w:color="000000"/>
            </w:tcBorders>
            <w:shd w:val="clear" w:color="auto" w:fill="D3D3D3"/>
          </w:tcPr>
          <w:p>
            <w:pPr/>
          </w:p>
        </w:tc>
        <w:tc>
          <w:tcPr>
            <w:tcW w:w="305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0" w:right="0"/>
              <w:jc w:val="left"/>
              <w:rPr>
                <w:rFonts w:ascii="Times New Roman" w:hAnsi="Times New Roman" w:cs="Times New Roman" w:eastAsia="Times New Roman" w:hint="default"/>
                <w:sz w:val="18"/>
                <w:szCs w:val="18"/>
              </w:rPr>
            </w:pPr>
            <w:r>
              <w:rPr>
                <w:rFonts w:ascii="Times New Roman"/>
                <w:sz w:val="18"/>
              </w:rPr>
              <w:t>48,389,674.21</w:t>
            </w:r>
          </w:p>
        </w:tc>
        <w:tc>
          <w:tcPr>
            <w:tcW w:w="3186"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主要是报告期公司出售北京房产及控股 子公司股权净损益</w:t>
            </w:r>
          </w:p>
        </w:tc>
      </w:tr>
      <w:tr>
        <w:trPr>
          <w:trHeight w:val="392" w:hRule="exact"/>
        </w:trPr>
        <w:tc>
          <w:tcPr>
            <w:tcW w:w="332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59" w:type="dxa"/>
            <w:vMerge/>
            <w:tcBorders>
              <w:left w:val="single" w:sz="4" w:space="0" w:color="000000"/>
              <w:right w:val="single" w:sz="4" w:space="0" w:color="000000"/>
            </w:tcBorders>
          </w:tcPr>
          <w:p>
            <w:pPr/>
          </w:p>
        </w:tc>
        <w:tc>
          <w:tcPr>
            <w:tcW w:w="3186" w:type="dxa"/>
            <w:vMerge/>
            <w:tcBorders>
              <w:left w:val="single" w:sz="4" w:space="0" w:color="000000"/>
              <w:right w:val="single" w:sz="4" w:space="0" w:color="000000"/>
            </w:tcBorders>
          </w:tcPr>
          <w:p>
            <w:pPr/>
          </w:p>
        </w:tc>
      </w:tr>
      <w:tr>
        <w:trPr>
          <w:trHeight w:val="161" w:hRule="exact"/>
        </w:trPr>
        <w:tc>
          <w:tcPr>
            <w:tcW w:w="3324" w:type="dxa"/>
            <w:tcBorders>
              <w:top w:val="nil" w:sz="6" w:space="0" w:color="auto"/>
              <w:left w:val="single" w:sz="4" w:space="0" w:color="000000"/>
              <w:bottom w:val="single" w:sz="4" w:space="0" w:color="000000"/>
              <w:right w:val="single" w:sz="4" w:space="0" w:color="000000"/>
            </w:tcBorders>
            <w:shd w:val="clear" w:color="auto" w:fill="D3D3D3"/>
          </w:tcPr>
          <w:p>
            <w:pPr/>
          </w:p>
        </w:tc>
        <w:tc>
          <w:tcPr>
            <w:tcW w:w="3059" w:type="dxa"/>
            <w:vMerge/>
            <w:tcBorders>
              <w:left w:val="single" w:sz="4" w:space="0" w:color="000000"/>
              <w:bottom w:val="single" w:sz="4" w:space="0" w:color="000000"/>
              <w:right w:val="single" w:sz="4" w:space="0" w:color="000000"/>
            </w:tcBorders>
          </w:tcPr>
          <w:p>
            <w:pPr/>
          </w:p>
        </w:tc>
        <w:tc>
          <w:tcPr>
            <w:tcW w:w="3186" w:type="dxa"/>
            <w:vMerge/>
            <w:tcBorders>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22" w:right="49"/>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90" w:right="0"/>
              <w:jc w:val="left"/>
              <w:rPr>
                <w:rFonts w:ascii="Times New Roman" w:hAnsi="Times New Roman" w:cs="Times New Roman" w:eastAsia="Times New Roman" w:hint="default"/>
                <w:sz w:val="18"/>
                <w:szCs w:val="18"/>
              </w:rPr>
            </w:pPr>
            <w:r>
              <w:rPr>
                <w:rFonts w:ascii="Times New Roman"/>
                <w:sz w:val="18"/>
              </w:rPr>
              <w:t>39,581,647.64</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1"/>
              <w:jc w:val="left"/>
              <w:rPr>
                <w:rFonts w:ascii="宋体" w:hAnsi="宋体" w:cs="宋体" w:eastAsia="宋体" w:hint="default"/>
                <w:sz w:val="18"/>
                <w:szCs w:val="18"/>
              </w:rPr>
            </w:pPr>
            <w:r>
              <w:rPr>
                <w:rFonts w:ascii="宋体" w:hAnsi="宋体" w:cs="宋体" w:eastAsia="宋体" w:hint="default"/>
                <w:sz w:val="18"/>
                <w:szCs w:val="18"/>
              </w:rPr>
              <w:t>除软件产品即征即退增值税返还外的政 府补助</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36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受的政府补助除外）</w:t>
            </w:r>
          </w:p>
        </w:tc>
        <w:tc>
          <w:tcPr>
            <w:tcW w:w="3059"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49"/>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1,986,379.53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-2,096,382.38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-7,644,347.57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91"/>
              <w:jc w:val="both"/>
              <w:rPr>
                <w:rFonts w:ascii="宋体" w:hAnsi="宋体" w:cs="宋体" w:eastAsia="宋体" w:hint="default"/>
                <w:sz w:val="18"/>
                <w:szCs w:val="18"/>
              </w:rPr>
            </w:pPr>
            <w:r>
              <w:rPr>
                <w:rFonts w:ascii="宋体" w:hAnsi="宋体" w:cs="宋体" w:eastAsia="宋体" w:hint="default"/>
                <w:sz w:val="18"/>
                <w:szCs w:val="18"/>
              </w:rPr>
              <w:t>预提梦网科技超额盈利奖励，超额盈利 奖励系本公司根据与梦网科技补充义务 人签订的《盈利预测补偿协议》相关奖 励规定计提的奖励费用。</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243,086.15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620,013.75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79,353,871.53</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7"/>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r>
        <w:rPr>
          <w:rFonts w:ascii="宋体" w:hAnsi="宋体" w:cs="宋体" w:eastAsia="宋体" w:hint="default"/>
          <w:sz w:val="18"/>
          <w:szCs w:val="18"/>
        </w:rPr>
      </w:r>
    </w:p>
    <w:p>
      <w:pPr>
        <w:spacing w:line="302" w:lineRule="auto" w:before="61"/>
        <w:ind w:left="154" w:right="137"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说明原因。</w:t>
      </w:r>
    </w:p>
    <w:p>
      <w:pPr>
        <w:spacing w:before="7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before="0"/>
        <w:ind w:right="0"/>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662"/>
        <w:gridCol w:w="3080"/>
        <w:gridCol w:w="1913"/>
        <w:gridCol w:w="1913"/>
      </w:tblGrid>
      <w:tr>
        <w:trPr>
          <w:trHeight w:val="206" w:hRule="exact"/>
        </w:trPr>
        <w:tc>
          <w:tcPr>
            <w:tcW w:w="2662" w:type="dxa"/>
            <w:tcBorders>
              <w:top w:val="single" w:sz="4" w:space="0" w:color="000000"/>
              <w:left w:val="single" w:sz="4" w:space="0" w:color="000000"/>
              <w:bottom w:val="nil" w:sz="6" w:space="0" w:color="auto"/>
              <w:right w:val="single" w:sz="4" w:space="0" w:color="000000"/>
            </w:tcBorders>
            <w:shd w:val="clear" w:color="auto" w:fill="D3D3D3"/>
          </w:tcPr>
          <w:p>
            <w:pPr/>
          </w:p>
        </w:tc>
        <w:tc>
          <w:tcPr>
            <w:tcW w:w="3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26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7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662" w:type="dxa"/>
            <w:vMerge/>
            <w:tcBorders>
              <w:left w:val="single" w:sz="4" w:space="0" w:color="000000"/>
              <w:bottom w:val="nil" w:sz="6" w:space="0" w:color="auto"/>
              <w:right w:val="single" w:sz="4" w:space="0" w:color="000000"/>
            </w:tcBorders>
            <w:shd w:val="clear" w:color="auto" w:fill="D3D3D3"/>
          </w:tcPr>
          <w:p>
            <w:pPr/>
          </w:p>
        </w:tc>
        <w:tc>
          <w:tcPr>
            <w:tcW w:w="3080" w:type="dxa"/>
            <w:vMerge/>
            <w:tcBorders>
              <w:left w:val="single" w:sz="4" w:space="0" w:color="000000"/>
              <w:bottom w:val="nil" w:sz="6" w:space="0" w:color="auto"/>
              <w:right w:val="single" w:sz="4" w:space="0" w:color="000000"/>
            </w:tcBorders>
            <w:shd w:val="clear" w:color="auto" w:fill="D3D3D3"/>
          </w:tcPr>
          <w:p>
            <w:pP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2" w:type="dxa"/>
            <w:tcBorders>
              <w:top w:val="nil" w:sz="6" w:space="0" w:color="auto"/>
              <w:left w:val="single" w:sz="4" w:space="0" w:color="000000"/>
              <w:bottom w:val="single" w:sz="4" w:space="0" w:color="000000"/>
              <w:right w:val="single" w:sz="4" w:space="0" w:color="000000"/>
            </w:tcBorders>
            <w:shd w:val="clear" w:color="auto" w:fill="D3D3D3"/>
          </w:tcPr>
          <w:p>
            <w:pPr/>
          </w:p>
        </w:tc>
        <w:tc>
          <w:tcPr>
            <w:tcW w:w="3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w:t>
            </w:r>
          </w:p>
        </w:tc>
      </w:tr>
      <w:tr>
        <w:trPr>
          <w:trHeight w:val="714" w:hRule="exact"/>
        </w:trPr>
        <w:tc>
          <w:tcPr>
            <w:tcW w:w="2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82" w:top="1060" w:bottom="118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3286" w:right="0"/>
        <w:jc w:val="left"/>
        <w:rPr>
          <w:b w:val="0"/>
          <w:bCs w:val="0"/>
        </w:rPr>
      </w:pPr>
      <w:bookmarkStart w:name="_TOC_250000" w:id="11"/>
      <w:r>
        <w:rPr/>
        <w:t>第十一节</w:t>
      </w:r>
      <w:r>
        <w:rPr>
          <w:spacing w:val="-9"/>
        </w:rPr>
        <w:t> </w:t>
      </w:r>
      <w:r>
        <w:rPr/>
        <w:t>备查文件目录</w:t>
      </w:r>
      <w:bookmarkEnd w:id="11"/>
      <w:r>
        <w:rPr>
          <w:b w:val="0"/>
          <w:bCs w:val="0"/>
        </w:rPr>
      </w:r>
    </w:p>
    <w:p>
      <w:pPr>
        <w:spacing w:line="240" w:lineRule="auto" w:before="7"/>
        <w:rPr>
          <w:rFonts w:ascii="宋体" w:hAnsi="宋体" w:cs="宋体" w:eastAsia="宋体" w:hint="default"/>
          <w:b/>
          <w:bCs/>
          <w:sz w:val="40"/>
          <w:szCs w:val="40"/>
        </w:rPr>
      </w:pPr>
    </w:p>
    <w:p>
      <w:pPr>
        <w:pStyle w:val="BodyText"/>
        <w:spacing w:line="256" w:lineRule="auto"/>
        <w:ind w:left="636" w:right="136"/>
        <w:jc w:val="left"/>
      </w:pPr>
      <w:r>
        <w:rPr/>
        <w:t>一、载有公司董事、高管人员签名并加盖公司公章的</w:t>
      </w:r>
      <w:r>
        <w:rPr>
          <w:rFonts w:ascii="Times New Roman" w:hAnsi="Times New Roman" w:cs="Times New Roman" w:eastAsia="Times New Roman" w:hint="default"/>
        </w:rPr>
        <w:t>2015</w:t>
      </w:r>
      <w:r>
        <w:rPr/>
        <w:t>年年度报告全文及摘要。 </w:t>
      </w:r>
      <w:r>
        <w:rPr>
          <w:spacing w:val="-2"/>
        </w:rPr>
        <w:t>二、载有法定代表人左强先生、主管会计工作的负责人戴东先生、会计机构负责人计英女士签名并盖</w:t>
      </w:r>
    </w:p>
    <w:p>
      <w:pPr>
        <w:pStyle w:val="BodyText"/>
        <w:spacing w:line="273" w:lineRule="auto" w:before="22"/>
        <w:ind w:left="636" w:right="2778" w:hanging="483"/>
        <w:jc w:val="left"/>
      </w:pPr>
      <w:r>
        <w:rPr/>
        <w:t>章的财务报告文本。 三、载有会计师事务所盖章、注册会计师签名并盖章的审计报告原件。</w:t>
      </w:r>
    </w:p>
    <w:p>
      <w:pPr>
        <w:pStyle w:val="BodyText"/>
        <w:spacing w:line="273" w:lineRule="auto" w:before="7"/>
        <w:ind w:right="136" w:firstLine="482"/>
        <w:jc w:val="left"/>
      </w:pPr>
      <w:r>
        <w:rPr>
          <w:spacing w:val="-2"/>
        </w:rPr>
        <w:t>四、报告期内在《证券时报》、《中国证券报》及巨潮资讯网上公开披露过的所有公司文件的正本及</w:t>
      </w:r>
      <w:r>
        <w:rPr/>
        <w:t> 公告的原稿。</w:t>
      </w:r>
    </w:p>
    <w:p>
      <w:pPr>
        <w:pStyle w:val="BodyText"/>
        <w:spacing w:line="273" w:lineRule="auto" w:before="7"/>
        <w:ind w:left="636" w:right="5298"/>
        <w:jc w:val="left"/>
      </w:pPr>
      <w:r>
        <w:rPr/>
        <w:t>五、其他相关资料。 以上备查文件的备置地点：公司证券事务部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240" w:lineRule="auto"/>
        <w:ind w:left="0" w:right="151"/>
        <w:jc w:val="right"/>
      </w:pPr>
      <w:r>
        <w:rPr/>
        <w:t>荣信电力电子股份有限公司</w:t>
      </w:r>
    </w:p>
    <w:p>
      <w:pPr>
        <w:spacing w:line="240" w:lineRule="auto" w:before="10"/>
        <w:rPr>
          <w:rFonts w:ascii="宋体" w:hAnsi="宋体" w:cs="宋体" w:eastAsia="宋体" w:hint="default"/>
          <w:sz w:val="14"/>
          <w:szCs w:val="14"/>
        </w:rPr>
      </w:pPr>
    </w:p>
    <w:p>
      <w:pPr>
        <w:pStyle w:val="BodyText"/>
        <w:spacing w:line="240" w:lineRule="auto"/>
        <w:ind w:left="0" w:right="151"/>
        <w:jc w:val="right"/>
      </w:pPr>
      <w:r>
        <w:rPr/>
        <w:t>法定代表人：左强</w:t>
      </w:r>
    </w:p>
    <w:p>
      <w:pPr>
        <w:spacing w:line="240" w:lineRule="auto" w:before="10"/>
        <w:rPr>
          <w:rFonts w:ascii="宋体" w:hAnsi="宋体" w:cs="宋体" w:eastAsia="宋体" w:hint="default"/>
          <w:sz w:val="14"/>
          <w:szCs w:val="14"/>
        </w:rPr>
      </w:pPr>
    </w:p>
    <w:p>
      <w:pPr>
        <w:pStyle w:val="BodyText"/>
        <w:spacing w:line="240" w:lineRule="auto"/>
        <w:ind w:left="0" w:right="149"/>
        <w:jc w:val="right"/>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14</w:t>
      </w:r>
      <w:r>
        <w:rPr>
          <w:spacing w:val="-1"/>
        </w:rPr>
        <w:t>日</w:t>
      </w:r>
    </w:p>
    <w:sectPr>
      <w:pgSz w:w="11910" w:h="16840"/>
      <w:pgMar w:header="747" w:footer="982" w:top="1060" w:bottom="118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MS Gothic">
    <w:altName w:val="MS Gothic"/>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119873pt;margin-top:795.457642pt;width:6.5pt;height:11pt;mso-position-horizontal-relative:page;mso-position-vertical-relative:page;z-index:-102810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0280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02805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46</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19873pt;margin-top:781.897522pt;width:13pt;height:11pt;mso-position-horizontal-relative:page;mso-position-vertical-relative:page;z-index:-10280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70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119873pt;margin-top:781.897522pt;width:15.5pt;height:11pt;mso-position-horizontal-relative:page;mso-position-vertical-relative:page;z-index:-10280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119873pt;margin-top:781.897522pt;width:17.5pt;height:11pt;mso-position-horizontal-relative:page;mso-position-vertical-relative:page;z-index:-10279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179993pt;margin-top:36.325325pt;width:195.45pt;height:11.5pt;mso-position-horizontal-relative:page;mso-position-vertical-relative:page;z-index:-10281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荣信电力电子股份有限公司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01"/>
      <w:ind w:left="153"/>
    </w:pPr>
    <w:rPr>
      <w:rFonts w:ascii="宋体" w:hAnsi="宋体" w:eastAsia="宋体"/>
      <w:sz w:val="21"/>
      <w:szCs w:val="21"/>
    </w:rPr>
  </w:style>
  <w:style w:styleId="BodyText" w:type="paragraph">
    <w:name w:val="Body Text"/>
    <w:basedOn w:val="Normal"/>
    <w:uiPriority w:val="1"/>
    <w:qFormat/>
    <w:pPr>
      <w:ind w:left="154"/>
    </w:pPr>
    <w:rPr>
      <w:rFonts w:ascii="宋体" w:hAnsi="宋体" w:eastAsia="宋体"/>
      <w:sz w:val="21"/>
      <w:szCs w:val="21"/>
    </w:rPr>
  </w:style>
  <w:style w:styleId="Heading1" w:type="paragraph">
    <w:name w:val="Heading 1"/>
    <w:basedOn w:val="Normal"/>
    <w:uiPriority w:val="1"/>
    <w:qFormat/>
    <w:pPr>
      <w:spacing w:before="1"/>
      <w:ind w:left="3751"/>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spacing w:before="35"/>
      <w:ind w:left="154"/>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rxpe.com/" TargetMode="External"/><Relationship Id="rId9" Type="http://schemas.openxmlformats.org/officeDocument/2006/relationships/hyperlink" Target="mailto:zqb@rxpe.com" TargetMode="External"/><Relationship Id="rId10" Type="http://schemas.openxmlformats.org/officeDocument/2006/relationships/hyperlink" Target="mailto:zdb@rxpe.com" TargetMode="External"/><Relationship Id="rId11" Type="http://schemas.openxmlformats.org/officeDocument/2006/relationships/hyperlink" Target="mailto:sz@rxpe.com" TargetMode="External"/><Relationship Id="rId12" Type="http://schemas.openxmlformats.org/officeDocument/2006/relationships/hyperlink" Target="http://www.cninfo.com.cn/" TargetMode="Externa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&lt;4D6963726F736F667420576F7264202D2032303135C4EAC4EAB6C8B1A8B8E6C8ABCEC4&gt;</dc:title>
  <dcterms:created xsi:type="dcterms:W3CDTF">2020-05-04T12:26:41Z</dcterms:created>
  <dcterms:modified xsi:type="dcterms:W3CDTF">2020-05-04T12:26:41Z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2016-04-15T00:00:00Z</vt:filetime>
  </property>
  <property fmtid="{D5CDD505-2E9C-101B-9397-08002B2CF9AE}" pid="3" name="Creator">
    <vt:lpwstr>PScript5.dll Version 5.2</vt:lpwstr>
  </property>
  <property fmtid="{D5CDD505-2E9C-101B-9397-08002B2CF9AE}" pid="4" name="LastSaved">
    <vt:filetime>2020-05-04T00:00:00Z</vt:filetime>
  </property>
</Properties>
</file>