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7"/>
          <w:szCs w:val="7"/>
        </w:rPr>
      </w:pPr>
    </w:p>
    <w:p>
      <w:pPr>
        <w:spacing w:line="20" w:lineRule="exact"/>
        <w:ind w:left="10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4pt;height:.75pt;mso-position-horizontal-relative:char;mso-position-vertical-relative:line" coordorigin="0,0" coordsize="8388,15">
            <v:group style="position:absolute;left:7;top:7;width:8374;height:2" coordorigin="7,7" coordsize="8374,2">
              <v:shape style="position:absolute;left:7;top:7;width:8374;height:2" coordorigin="7,7" coordsize="8374,0" path="m7,7l8380,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p>
      <w:pPr>
        <w:spacing w:line="1951" w:lineRule="exact"/>
        <w:ind w:left="274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2021319" cy="1239488"/>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021319" cy="1239488"/>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7"/>
        <w:ind w:left="0" w:right="1656" w:firstLine="0"/>
        <w:jc w:val="center"/>
        <w:rPr>
          <w:rFonts w:ascii="宋体" w:hAnsi="宋体" w:cs="宋体" w:eastAsia="宋体" w:hint="default"/>
          <w:sz w:val="52"/>
          <w:szCs w:val="52"/>
        </w:rPr>
      </w:pPr>
      <w:r>
        <w:rPr>
          <w:rFonts w:ascii="宋体" w:hAnsi="宋体" w:cs="宋体" w:eastAsia="宋体" w:hint="default"/>
          <w:b/>
          <w:bCs/>
          <w:sz w:val="52"/>
          <w:szCs w:val="52"/>
        </w:rPr>
        <w:t>利欧集团股份有限公司</w:t>
      </w:r>
      <w:r>
        <w:rPr>
          <w:rFonts w:ascii="宋体" w:hAnsi="宋体" w:cs="宋体" w:eastAsia="宋体" w:hint="default"/>
          <w:sz w:val="52"/>
          <w:szCs w:val="52"/>
        </w:rPr>
      </w:r>
    </w:p>
    <w:p>
      <w:pPr>
        <w:spacing w:before="219"/>
        <w:ind w:left="0" w:right="1666" w:firstLine="0"/>
        <w:jc w:val="center"/>
        <w:rPr>
          <w:rFonts w:ascii="宋体" w:hAnsi="宋体" w:cs="宋体" w:eastAsia="宋体" w:hint="default"/>
          <w:sz w:val="36"/>
          <w:szCs w:val="36"/>
        </w:rPr>
      </w:pPr>
      <w:r>
        <w:rPr>
          <w:rFonts w:ascii="宋体"/>
          <w:b/>
          <w:sz w:val="36"/>
        </w:rPr>
        <w:t>Leo Group</w:t>
      </w:r>
      <w:r>
        <w:rPr>
          <w:rFonts w:ascii="宋体"/>
          <w:b/>
          <w:spacing w:val="-19"/>
          <w:sz w:val="36"/>
        </w:rPr>
        <w:t> </w:t>
      </w:r>
      <w:r>
        <w:rPr>
          <w:rFonts w:ascii="宋体"/>
          <w:b/>
          <w:sz w:val="36"/>
        </w:rPr>
        <w:t>Co.,Ltd.</w:t>
      </w:r>
      <w:r>
        <w:rPr>
          <w:rFonts w:ascii="宋体"/>
          <w:sz w:val="36"/>
        </w:rPr>
      </w: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3"/>
          <w:szCs w:val="43"/>
        </w:rPr>
      </w:pPr>
    </w:p>
    <w:p>
      <w:pPr>
        <w:spacing w:before="0"/>
        <w:ind w:left="0" w:right="1656" w:firstLine="0"/>
        <w:jc w:val="center"/>
        <w:rPr>
          <w:rFonts w:ascii="宋体" w:hAnsi="宋体" w:cs="宋体" w:eastAsia="宋体" w:hint="default"/>
          <w:sz w:val="52"/>
          <w:szCs w:val="52"/>
        </w:rPr>
      </w:pPr>
      <w:r>
        <w:rPr>
          <w:rFonts w:ascii="宋体" w:hAnsi="宋体" w:cs="宋体" w:eastAsia="宋体" w:hint="default"/>
          <w:b/>
          <w:bCs/>
          <w:sz w:val="52"/>
          <w:szCs w:val="52"/>
        </w:rPr>
        <w:t>2014</w:t>
      </w:r>
      <w:r>
        <w:rPr>
          <w:rFonts w:ascii="宋体" w:hAnsi="宋体" w:cs="宋体" w:eastAsia="宋体" w:hint="default"/>
          <w:b/>
          <w:bCs/>
          <w:spacing w:val="-136"/>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5"/>
        <w:rPr>
          <w:rFonts w:ascii="宋体" w:hAnsi="宋体" w:cs="宋体" w:eastAsia="宋体" w:hint="default"/>
          <w:b/>
          <w:bCs/>
          <w:sz w:val="58"/>
          <w:szCs w:val="58"/>
        </w:rPr>
      </w:pPr>
    </w:p>
    <w:p>
      <w:pPr>
        <w:spacing w:line="384" w:lineRule="auto" w:before="0"/>
        <w:ind w:left="2509" w:right="4166" w:firstLine="0"/>
        <w:jc w:val="center"/>
        <w:rPr>
          <w:rFonts w:ascii="宋体" w:hAnsi="宋体" w:cs="宋体" w:eastAsia="宋体" w:hint="default"/>
          <w:sz w:val="28"/>
          <w:szCs w:val="28"/>
        </w:rPr>
      </w:pPr>
      <w:r>
        <w:rPr>
          <w:rFonts w:ascii="宋体" w:hAnsi="宋体" w:cs="宋体" w:eastAsia="宋体" w:hint="default"/>
          <w:sz w:val="28"/>
          <w:szCs w:val="28"/>
        </w:rPr>
        <w:t>证券代码：</w:t>
      </w:r>
      <w:r>
        <w:rPr>
          <w:rFonts w:ascii="宋体" w:hAnsi="宋体" w:cs="宋体" w:eastAsia="宋体" w:hint="default"/>
          <w:sz w:val="28"/>
          <w:szCs w:val="28"/>
        </w:rPr>
        <w:t>002131</w:t>
      </w:r>
      <w:r>
        <w:rPr>
          <w:rFonts w:ascii="宋体" w:hAnsi="宋体" w:cs="宋体" w:eastAsia="宋体" w:hint="default"/>
          <w:w w:val="99"/>
          <w:sz w:val="28"/>
          <w:szCs w:val="28"/>
        </w:rPr>
        <w:t> </w:t>
      </w:r>
      <w:r>
        <w:rPr>
          <w:rFonts w:ascii="宋体" w:hAnsi="宋体" w:cs="宋体" w:eastAsia="宋体" w:hint="default"/>
          <w:sz w:val="28"/>
          <w:szCs w:val="28"/>
        </w:rPr>
        <w:t>证券简称：利欧股份</w:t>
      </w:r>
      <w:r>
        <w:rPr>
          <w:rFonts w:ascii="宋体" w:hAnsi="宋体" w:cs="宋体" w:eastAsia="宋体" w:hint="default"/>
          <w:w w:val="99"/>
          <w:sz w:val="28"/>
          <w:szCs w:val="28"/>
        </w:rPr>
        <w:t> </w:t>
      </w:r>
      <w:r>
        <w:rPr>
          <w:rFonts w:ascii="宋体" w:hAnsi="宋体" w:cs="宋体" w:eastAsia="宋体" w:hint="default"/>
          <w:sz w:val="28"/>
          <w:szCs w:val="28"/>
        </w:rPr>
        <w:t>披露日期：</w:t>
      </w:r>
      <w:r>
        <w:rPr>
          <w:rFonts w:ascii="宋体" w:hAnsi="宋体" w:cs="宋体" w:eastAsia="宋体" w:hint="default"/>
          <w:sz w:val="28"/>
          <w:szCs w:val="28"/>
        </w:rPr>
        <w:t>2015</w:t>
      </w:r>
      <w:r>
        <w:rPr>
          <w:rFonts w:ascii="宋体" w:hAnsi="宋体" w:cs="宋体" w:eastAsia="宋体" w:hint="default"/>
          <w:spacing w:val="-72"/>
          <w:sz w:val="28"/>
          <w:szCs w:val="28"/>
        </w:rPr>
        <w:t> </w:t>
      </w:r>
      <w:r>
        <w:rPr>
          <w:rFonts w:ascii="宋体" w:hAnsi="宋体" w:cs="宋体" w:eastAsia="宋体" w:hint="default"/>
          <w:sz w:val="28"/>
          <w:szCs w:val="28"/>
        </w:rPr>
        <w:t>年</w:t>
      </w:r>
      <w:r>
        <w:rPr>
          <w:rFonts w:ascii="宋体" w:hAnsi="宋体" w:cs="宋体" w:eastAsia="宋体" w:hint="default"/>
          <w:spacing w:val="-72"/>
          <w:sz w:val="28"/>
          <w:szCs w:val="28"/>
        </w:rPr>
        <w:t> </w:t>
      </w:r>
      <w:r>
        <w:rPr>
          <w:rFonts w:ascii="宋体" w:hAnsi="宋体" w:cs="宋体" w:eastAsia="宋体" w:hint="default"/>
          <w:sz w:val="28"/>
          <w:szCs w:val="28"/>
        </w:rPr>
        <w:t>3</w:t>
      </w:r>
      <w:r>
        <w:rPr>
          <w:rFonts w:ascii="宋体" w:hAnsi="宋体" w:cs="宋体" w:eastAsia="宋体" w:hint="default"/>
          <w:spacing w:val="-71"/>
          <w:sz w:val="28"/>
          <w:szCs w:val="28"/>
        </w:rPr>
        <w:t> </w:t>
      </w:r>
      <w:r>
        <w:rPr>
          <w:rFonts w:ascii="宋体" w:hAnsi="宋体" w:cs="宋体" w:eastAsia="宋体" w:hint="default"/>
          <w:sz w:val="28"/>
          <w:szCs w:val="28"/>
        </w:rPr>
        <w:t>月</w:t>
      </w:r>
      <w:r>
        <w:rPr>
          <w:rFonts w:ascii="宋体" w:hAnsi="宋体" w:cs="宋体" w:eastAsia="宋体" w:hint="default"/>
          <w:spacing w:val="-72"/>
          <w:sz w:val="28"/>
          <w:szCs w:val="28"/>
        </w:rPr>
        <w:t> </w:t>
      </w:r>
      <w:r>
        <w:rPr>
          <w:rFonts w:ascii="宋体" w:hAnsi="宋体" w:cs="宋体" w:eastAsia="宋体" w:hint="default"/>
          <w:sz w:val="28"/>
          <w:szCs w:val="28"/>
        </w:rPr>
        <w:t>10</w:t>
      </w:r>
      <w:r>
        <w:rPr>
          <w:rFonts w:ascii="宋体" w:hAnsi="宋体" w:cs="宋体" w:eastAsia="宋体" w:hint="default"/>
          <w:spacing w:val="-71"/>
          <w:sz w:val="28"/>
          <w:szCs w:val="28"/>
        </w:rPr>
        <w:t> </w:t>
      </w:r>
      <w:r>
        <w:rPr>
          <w:rFonts w:ascii="宋体" w:hAnsi="宋体" w:cs="宋体" w:eastAsia="宋体" w:hint="default"/>
          <w:sz w:val="28"/>
          <w:szCs w:val="28"/>
        </w:rPr>
        <w:t>日</w:t>
      </w:r>
    </w:p>
    <w:p>
      <w:pPr>
        <w:spacing w:after="0" w:line="384" w:lineRule="auto"/>
        <w:jc w:val="center"/>
        <w:rPr>
          <w:rFonts w:ascii="宋体" w:hAnsi="宋体" w:cs="宋体" w:eastAsia="宋体" w:hint="default"/>
          <w:sz w:val="28"/>
          <w:szCs w:val="28"/>
        </w:rPr>
        <w:sectPr>
          <w:footerReference w:type="default" r:id="rId5"/>
          <w:type w:val="continuous"/>
          <w:pgSz w:w="11910" w:h="16840"/>
          <w:pgMar w:footer="570" w:top="880" w:bottom="76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left="2725" w:right="1689"/>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9"/>
          <w:szCs w:val="39"/>
        </w:rPr>
      </w:pPr>
    </w:p>
    <w:p>
      <w:pPr>
        <w:pStyle w:val="BodyText"/>
        <w:spacing w:line="357" w:lineRule="auto" w:before="0"/>
        <w:ind w:left="737" w:right="1689" w:firstLine="420"/>
        <w:jc w:val="left"/>
      </w:pPr>
      <w:r>
        <w:rPr/>
        <w:t>本公司董事会、监事会及董事、监事、高级管理人员保证年度报告内容的真实、准确、 完整，不存在虚假记载、误导性陈述或重大遗漏，并承担个别和连带的法律责任。</w:t>
      </w:r>
    </w:p>
    <w:p>
      <w:pPr>
        <w:pStyle w:val="BodyText"/>
        <w:spacing w:line="240" w:lineRule="auto" w:before="130"/>
        <w:ind w:left="1157" w:right="1689"/>
        <w:jc w:val="left"/>
      </w:pPr>
      <w:r>
        <w:rPr/>
        <w:t>除下列董事外，其他董事亲自出席了审议本次年报的董事会会议</w:t>
      </w:r>
    </w:p>
    <w:p>
      <w:pPr>
        <w:spacing w:line="240" w:lineRule="auto" w:before="7"/>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36"/>
        <w:gridCol w:w="2211"/>
        <w:gridCol w:w="2212"/>
        <w:gridCol w:w="2210"/>
      </w:tblGrid>
      <w:tr>
        <w:trPr>
          <w:trHeight w:val="32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32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出差</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张旭波</w:t>
            </w:r>
          </w:p>
        </w:tc>
      </w:tr>
    </w:tbl>
    <w:p>
      <w:pPr>
        <w:pStyle w:val="BodyText"/>
        <w:spacing w:line="240" w:lineRule="auto" w:before="86"/>
        <w:ind w:left="1158" w:right="1689"/>
        <w:jc w:val="left"/>
      </w:pPr>
      <w:r>
        <w:rPr/>
        <w:t>公司经本次董事会审议通过的利润分配预案为：以</w:t>
      </w:r>
      <w:r>
        <w:rPr>
          <w:spacing w:val="-15"/>
        </w:rPr>
        <w:t> </w:t>
      </w:r>
      <w:r>
        <w:rPr>
          <w:rFonts w:ascii="宋体" w:hAnsi="宋体" w:cs="宋体" w:eastAsia="宋体" w:hint="default"/>
        </w:rPr>
        <w:t>2014</w:t>
      </w:r>
      <w:r>
        <w:rPr>
          <w:rFonts w:ascii="宋体" w:hAnsi="宋体" w:cs="宋体" w:eastAsia="宋体" w:hint="default"/>
          <w:spacing w:val="-16"/>
        </w:rPr>
        <w:t> </w:t>
      </w:r>
      <w:r>
        <w:rPr/>
        <w:t>年</w:t>
      </w:r>
      <w:r>
        <w:rPr>
          <w:spacing w:val="-15"/>
        </w:rPr>
        <w:t> </w:t>
      </w:r>
      <w:r>
        <w:rPr>
          <w:rFonts w:ascii="宋体" w:hAnsi="宋体" w:cs="宋体" w:eastAsia="宋体" w:hint="default"/>
        </w:rPr>
        <w:t>12</w:t>
      </w:r>
      <w:r>
        <w:rPr>
          <w:rFonts w:ascii="宋体" w:hAnsi="宋体" w:cs="宋体" w:eastAsia="宋体" w:hint="default"/>
          <w:spacing w:val="-15"/>
        </w:rPr>
        <w:t> </w:t>
      </w:r>
      <w:r>
        <w:rPr/>
        <w:t>月</w:t>
      </w:r>
      <w:r>
        <w:rPr>
          <w:spacing w:val="-15"/>
        </w:rPr>
        <w:t> </w:t>
      </w:r>
      <w:r>
        <w:rPr>
          <w:rFonts w:ascii="宋体" w:hAnsi="宋体" w:cs="宋体" w:eastAsia="宋体" w:hint="default"/>
        </w:rPr>
        <w:t>31</w:t>
      </w:r>
      <w:r>
        <w:rPr>
          <w:rFonts w:ascii="宋体" w:hAnsi="宋体" w:cs="宋体" w:eastAsia="宋体" w:hint="default"/>
          <w:spacing w:val="-16"/>
        </w:rPr>
        <w:t> </w:t>
      </w:r>
      <w:r>
        <w:rPr/>
        <w:t>日的公司总股本</w:t>
      </w:r>
    </w:p>
    <w:p>
      <w:pPr>
        <w:pStyle w:val="BodyText"/>
        <w:spacing w:line="355" w:lineRule="auto" w:before="133"/>
        <w:ind w:left="738" w:right="1782"/>
        <w:jc w:val="left"/>
      </w:pPr>
      <w:r>
        <w:rPr>
          <w:rFonts w:ascii="宋体" w:hAnsi="宋体" w:cs="宋体" w:eastAsia="宋体" w:hint="default"/>
        </w:rPr>
        <w:t>391,424,450</w:t>
      </w:r>
      <w:r>
        <w:rPr>
          <w:rFonts w:ascii="宋体" w:hAnsi="宋体" w:cs="宋体" w:eastAsia="宋体" w:hint="default"/>
          <w:spacing w:val="-53"/>
        </w:rPr>
        <w:t> </w:t>
      </w:r>
      <w:r>
        <w:rPr/>
        <w:t>股为基数</w:t>
      </w:r>
      <w:r>
        <w:rPr>
          <w:spacing w:val="-9"/>
        </w:rPr>
        <w:t>，</w:t>
      </w:r>
      <w:r>
        <w:rPr/>
        <w:t>向全体股东每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股派</w:t>
      </w:r>
      <w:r>
        <w:rPr>
          <w:spacing w:val="-2"/>
        </w:rPr>
        <w:t>发</w:t>
      </w:r>
      <w:r>
        <w:rPr/>
        <w:t>现金红利</w:t>
      </w:r>
      <w:r>
        <w:rPr>
          <w:spacing w:val="-53"/>
        </w:rPr>
        <w:t> </w:t>
      </w:r>
      <w:r>
        <w:rPr>
          <w:rFonts w:ascii="宋体" w:hAnsi="宋体" w:cs="宋体" w:eastAsia="宋体" w:hint="default"/>
        </w:rPr>
        <w:t>0.5</w:t>
      </w:r>
      <w:r>
        <w:rPr>
          <w:rFonts w:ascii="宋体" w:hAnsi="宋体" w:cs="宋体" w:eastAsia="宋体" w:hint="default"/>
          <w:spacing w:val="-52"/>
        </w:rPr>
        <w:t> </w:t>
      </w:r>
      <w:r>
        <w:rPr>
          <w:spacing w:val="-9"/>
        </w:rPr>
        <w:t>元</w:t>
      </w:r>
      <w:r>
        <w:rPr/>
        <w:t>（含</w:t>
      </w:r>
      <w:r>
        <w:rPr>
          <w:spacing w:val="-2"/>
        </w:rPr>
        <w:t>税</w:t>
      </w:r>
      <w:r>
        <w:rPr>
          <w:spacing w:val="-106"/>
        </w:rPr>
        <w:t>）</w:t>
      </w:r>
      <w:r>
        <w:rPr>
          <w:spacing w:val="-9"/>
        </w:rPr>
        <w:t>，</w:t>
      </w:r>
      <w:r>
        <w:rPr/>
        <w:t>送红股</w:t>
      </w:r>
      <w:r>
        <w:rPr>
          <w:spacing w:val="-52"/>
        </w:rPr>
        <w:t> </w:t>
      </w:r>
      <w:r>
        <w:rPr>
          <w:rFonts w:ascii="宋体" w:hAnsi="宋体" w:cs="宋体" w:eastAsia="宋体" w:hint="default"/>
        </w:rPr>
        <w:t>0</w:t>
      </w:r>
      <w:r>
        <w:rPr>
          <w:rFonts w:ascii="宋体" w:hAnsi="宋体" w:cs="宋体" w:eastAsia="宋体" w:hint="default"/>
          <w:spacing w:val="-53"/>
        </w:rPr>
        <w:t> </w:t>
      </w:r>
      <w:r>
        <w:rPr>
          <w:spacing w:val="-9"/>
        </w:rPr>
        <w:t>股</w:t>
      </w:r>
      <w:r>
        <w:rPr/>
        <w:t>（含</w:t>
      </w:r>
      <w:r>
        <w:rPr/>
        <w:t> 税</w:t>
      </w:r>
      <w:r>
        <w:rPr>
          <w:spacing w:val="-105"/>
        </w:rPr>
        <w:t>）</w:t>
      </w:r>
      <w:r>
        <w:rPr/>
        <w:t>，不以</w:t>
      </w:r>
      <w:r>
        <w:rPr>
          <w:spacing w:val="-2"/>
        </w:rPr>
        <w:t>公</w:t>
      </w:r>
      <w:r>
        <w:rPr/>
        <w:t>积金转增股本。</w:t>
      </w:r>
    </w:p>
    <w:p>
      <w:pPr>
        <w:pStyle w:val="BodyText"/>
        <w:spacing w:line="357" w:lineRule="auto" w:before="133"/>
        <w:ind w:left="737" w:right="1689" w:firstLine="420"/>
        <w:jc w:val="left"/>
      </w:pPr>
      <w:r>
        <w:rPr>
          <w:spacing w:val="2"/>
        </w:rPr>
        <w:t>公司负责人王相荣、主管会计工作负责人及会计机构负责人</w:t>
      </w:r>
      <w:r>
        <w:rPr>
          <w:rFonts w:ascii="宋体" w:hAnsi="宋体" w:cs="宋体" w:eastAsia="宋体" w:hint="default"/>
          <w:spacing w:val="2"/>
        </w:rPr>
        <w:t>(</w:t>
      </w:r>
      <w:r>
        <w:rPr>
          <w:spacing w:val="2"/>
        </w:rPr>
        <w:t>会计主管人员</w:t>
      </w:r>
      <w:r>
        <w:rPr>
          <w:rFonts w:ascii="宋体" w:hAnsi="宋体" w:cs="宋体" w:eastAsia="宋体" w:hint="default"/>
          <w:spacing w:val="2"/>
        </w:rPr>
        <w:t>)</w:t>
      </w:r>
      <w:r>
        <w:rPr>
          <w:spacing w:val="2"/>
        </w:rPr>
        <w:t>陈林富声</w:t>
      </w:r>
      <w:r>
        <w:rPr/>
        <w:t> 明：保证年度报告中财务报告的真实、准确、完整。</w:t>
      </w:r>
    </w:p>
    <w:p>
      <w:pPr>
        <w:pStyle w:val="BodyText"/>
        <w:spacing w:line="357" w:lineRule="auto" w:before="130"/>
        <w:ind w:left="737" w:right="1689" w:firstLine="420"/>
        <w:jc w:val="left"/>
      </w:pPr>
      <w:r>
        <w:rPr>
          <w:spacing w:val="-3"/>
        </w:rPr>
        <w:t>本年度报告涉及未来计划等前瞻性陈述，不构成公司对投资者的实质承诺，请投资者注</w:t>
      </w:r>
      <w:r>
        <w:rPr/>
        <w:t> 意投资风险。</w:t>
      </w:r>
    </w:p>
    <w:p>
      <w:pPr>
        <w:spacing w:after="0" w:line="357" w:lineRule="auto"/>
        <w:jc w:val="left"/>
        <w:sectPr>
          <w:headerReference w:type="default" r:id="rId7"/>
          <w:footerReference w:type="default" r:id="rId8"/>
          <w:pgSz w:w="11910" w:h="16840"/>
          <w:pgMar w:header="877" w:footer="938" w:top="1100" w:bottom="1120" w:left="1060" w:right="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tabs>
          <w:tab w:pos="1083" w:val="left" w:leader="none"/>
        </w:tabs>
        <w:spacing w:line="460" w:lineRule="exact" w:before="0"/>
        <w:ind w:left="0" w:right="1657"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8440" w:val="right" w:leader="dot"/>
            </w:tabs>
            <w:spacing w:line="240" w:lineRule="auto" w:before="0"/>
            <w:ind w:left="138"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8440"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8440"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8427"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8440"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8440"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8440"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8440"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8440"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8440" w:val="right" w:leader="dot"/>
            </w:tabs>
            <w:spacing w:line="240" w:lineRule="auto" w:before="175"/>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内部控制</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8440"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8440"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178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38" w:top="1100" w:bottom="1120" w:left="1660" w:right="0"/>
        </w:sectPr>
      </w:pPr>
    </w:p>
    <w:p>
      <w:pPr>
        <w:tabs>
          <w:tab w:pos="643" w:val="left" w:leader="none"/>
        </w:tabs>
        <w:spacing w:before="788"/>
        <w:ind w:left="0" w:right="1055"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2"/>
          <w:szCs w:val="22"/>
        </w:rPr>
      </w:pPr>
    </w:p>
    <w:p>
      <w:pPr>
        <w:spacing w:before="0"/>
        <w:ind w:left="0" w:right="1103" w:firstLine="0"/>
        <w:jc w:val="right"/>
        <w:rPr>
          <w:rFonts w:ascii="宋体" w:hAnsi="宋体" w:cs="宋体" w:eastAsia="宋体" w:hint="default"/>
          <w:sz w:val="18"/>
          <w:szCs w:val="18"/>
        </w:rPr>
      </w:pPr>
      <w:r>
        <w:rPr/>
        <w:pict>
          <v:shape style="position:absolute;margin-left:58.200001pt;margin-top:-306.628265pt;width:479.25pt;height:429.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10"/>
                    <w:gridCol w:w="5424"/>
                  </w:tblGrid>
                  <w:tr>
                    <w:trPr>
                      <w:trHeight w:val="324"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3"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公司、利欧股份</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r>
                  <w:tr>
                    <w:trPr>
                      <w:trHeight w:val="323"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长沙天鹅</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r>
                  <w:tr>
                    <w:trPr>
                      <w:trHeight w:val="323"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r>
                  <w:tr>
                    <w:trPr>
                      <w:trHeight w:val="323"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日立泵</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日立泵制造（无锡）有限公司</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r>
                  <w:tr>
                    <w:trPr>
                      <w:trHeight w:val="323"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r>
                  <w:tr>
                    <w:trPr>
                      <w:trHeight w:val="726"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9"/>
                          <w:ind w:left="16" w:right="23"/>
                          <w:jc w:val="both"/>
                          <w:rPr>
                            <w:rFonts w:ascii="宋体" w:hAnsi="宋体" w:cs="宋体" w:eastAsia="宋体" w:hint="default"/>
                            <w:sz w:val="18"/>
                            <w:szCs w:val="18"/>
                          </w:rPr>
                        </w:pPr>
                        <w:r>
                          <w:rPr>
                            <w:rFonts w:ascii="宋体" w:hAnsi="宋体" w:cs="宋体" w:eastAsia="宋体" w:hint="default"/>
                            <w:spacing w:val="-2"/>
                            <w:sz w:val="18"/>
                            <w:szCs w:val="18"/>
                          </w:rPr>
                          <w:t>是以互联网、移动互联网为实施载体并采用数字技术手段开展的营销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活动，涵盖了包括营销策略制定、创意内容制作、媒体投放、营销效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果监测和优化提升等内容的完整营销服务链条。</w:t>
                        </w:r>
                      </w:p>
                      <w:p>
                        <w:pPr>
                          <w:pStyle w:val="TableParagraph"/>
                          <w:spacing w:line="237" w:lineRule="auto" w:before="40"/>
                          <w:ind w:left="16" w:right="20"/>
                          <w:jc w:val="both"/>
                          <w:rPr>
                            <w:rFonts w:ascii="宋体" w:hAnsi="宋体" w:cs="宋体" w:eastAsia="宋体" w:hint="default"/>
                            <w:sz w:val="18"/>
                            <w:szCs w:val="18"/>
                          </w:rPr>
                        </w:pPr>
                        <w:r>
                          <w:rPr>
                            <w:rFonts w:ascii="宋体" w:hAnsi="宋体" w:cs="宋体" w:eastAsia="宋体" w:hint="default"/>
                            <w:spacing w:val="-2"/>
                            <w:sz w:val="18"/>
                            <w:szCs w:val="18"/>
                          </w:rPr>
                          <w:t>为清晰披露公司数字营销业务的构成，本年度报告在分析主营业务时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将数字营销业务分为“数字营销服务”和“媒介代理服务”，披露的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“数字营销服务”是一个相对狭义的概念，主要指营销创意内容服务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等。</w:t>
                        </w:r>
                      </w:p>
                    </w:tc>
                  </w:tr>
                  <w:tr>
                    <w:trPr>
                      <w:trHeight w:val="313"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725"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23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微型水泵</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4" w:lineRule="exact" w:before="32"/>
                          <w:ind w:left="16" w:right="22"/>
                          <w:jc w:val="both"/>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Q=0.2</w:t>
                        </w:r>
                        <w:r>
                          <w:rPr>
                            <w:rFonts w:ascii="宋体" w:hAnsi="宋体" w:cs="宋体" w:eastAsia="宋体" w:hint="default"/>
                            <w:sz w:val="18"/>
                            <w:szCs w:val="18"/>
                          </w:rPr>
                          <w:t>～</w:t>
                        </w:r>
                        <w:r>
                          <w:rPr>
                            <w:rFonts w:ascii="Times New Roman" w:hAnsi="Times New Roman" w:cs="Times New Roman" w:eastAsia="Times New Roman" w:hint="default"/>
                            <w:sz w:val="18"/>
                            <w:szCs w:val="18"/>
                          </w:rPr>
                          <w:t>8m3/h</w:t>
                        </w:r>
                        <w:r>
                          <w:rPr>
                            <w:rFonts w:ascii="宋体" w:hAnsi="宋体" w:cs="宋体" w:eastAsia="宋体" w:hint="default"/>
                            <w:sz w:val="18"/>
                            <w:szCs w:val="18"/>
                          </w:rPr>
                          <w:t>，</w:t>
                        </w:r>
                        <w:r>
                          <w:rPr>
                            <w:rFonts w:ascii="Times New Roman" w:hAnsi="Times New Roman" w:cs="Times New Roman" w:eastAsia="Times New Roman" w:hint="default"/>
                            <w:sz w:val="18"/>
                            <w:szCs w:val="18"/>
                          </w:rPr>
                          <w:t>H=2~45</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3"/>
                            <w:sz w:val="18"/>
                            <w:szCs w:val="18"/>
                          </w:rPr>
                          <w:t>m</w:t>
                        </w:r>
                        <w:r>
                          <w:rPr>
                            <w:rFonts w:ascii="宋体" w:hAnsi="宋体" w:cs="宋体" w:eastAsia="宋体" w:hint="default"/>
                            <w:spacing w:val="-3"/>
                            <w:sz w:val="18"/>
                            <w:szCs w:val="18"/>
                          </w:rPr>
                          <w:t>；配用功率为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4kW</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以下，主要</w:t>
                        </w:r>
                        <w:r>
                          <w:rPr>
                            <w:rFonts w:ascii="宋体" w:hAnsi="宋体" w:cs="宋体" w:eastAsia="宋体" w:hint="default"/>
                            <w:sz w:val="18"/>
                            <w:szCs w:val="18"/>
                          </w:rPr>
                          <w:t> </w:t>
                        </w:r>
                        <w:r>
                          <w:rPr>
                            <w:rFonts w:ascii="宋体" w:hAnsi="宋体" w:cs="宋体" w:eastAsia="宋体" w:hint="default"/>
                            <w:spacing w:val="-2"/>
                            <w:sz w:val="18"/>
                            <w:szCs w:val="18"/>
                          </w:rPr>
                          <w:t>应用于家庭和园林浇灌、生活供水、排水、排污、喷泉以及城市市政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污水处理和工业废水处理，小区供水和增压用泵</w:t>
                        </w:r>
                      </w:p>
                    </w:tc>
                  </w:tr>
                  <w:tr>
                    <w:trPr>
                      <w:trHeight w:val="31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239"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58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小型水泵</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35" w:lineRule="auto" w:before="13"/>
                          <w:ind w:left="16" w:right="22"/>
                          <w:jc w:val="left"/>
                          <w:rPr>
                            <w:rFonts w:ascii="宋体" w:hAnsi="宋体" w:cs="宋体" w:eastAsia="宋体" w:hint="default"/>
                            <w:sz w:val="18"/>
                            <w:szCs w:val="18"/>
                          </w:rPr>
                        </w:pPr>
                        <w:r>
                          <w:rPr>
                            <w:rFonts w:ascii="宋体" w:hAnsi="宋体" w:cs="宋体" w:eastAsia="宋体" w:hint="default"/>
                            <w:sz w:val="18"/>
                            <w:szCs w:val="18"/>
                          </w:rPr>
                          <w:t>一般情况下</w:t>
                        </w:r>
                        <w:r>
                          <w:rPr>
                            <w:rFonts w:ascii="宋体" w:hAnsi="宋体" w:cs="宋体" w:eastAsia="宋体" w:hint="default"/>
                            <w:spacing w:val="-56"/>
                            <w:sz w:val="18"/>
                            <w:szCs w:val="18"/>
                          </w:rPr>
                          <w:t> </w:t>
                        </w:r>
                        <w:r>
                          <w:rPr>
                            <w:rFonts w:ascii="Times New Roman" w:hAnsi="Times New Roman" w:cs="Times New Roman" w:eastAsia="Times New Roman" w:hint="default"/>
                            <w:spacing w:val="-5"/>
                            <w:w w:val="99"/>
                            <w:sz w:val="18"/>
                            <w:szCs w:val="18"/>
                          </w:rPr>
                          <w:t>Q=10</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100m3/h</w:t>
                        </w: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H=10~120</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13"/>
                            <w:w w:val="99"/>
                            <w:sz w:val="18"/>
                            <w:szCs w:val="18"/>
                          </w:rPr>
                          <w:t>m</w:t>
                        </w:r>
                        <w:r>
                          <w:rPr>
                            <w:rFonts w:ascii="宋体" w:hAnsi="宋体" w:cs="宋体" w:eastAsia="宋体" w:hint="default"/>
                            <w:spacing w:val="-13"/>
                            <w:w w:val="99"/>
                            <w:sz w:val="18"/>
                            <w:szCs w:val="18"/>
                          </w:rPr>
                          <w:t>；配用功率为</w:t>
                        </w:r>
                        <w:r>
                          <w:rPr>
                            <w:rFonts w:ascii="宋体" w:hAnsi="宋体" w:cs="宋体" w:eastAsia="宋体" w:hint="default"/>
                            <w:spacing w:val="-56"/>
                            <w:w w:val="99"/>
                            <w:sz w:val="18"/>
                            <w:szCs w:val="18"/>
                          </w:rPr>
                          <w:t> </w:t>
                        </w:r>
                        <w:r>
                          <w:rPr>
                            <w:rFonts w:ascii="Times New Roman" w:hAnsi="Times New Roman" w:cs="Times New Roman" w:eastAsia="Times New Roman" w:hint="default"/>
                            <w:w w:val="99"/>
                            <w:sz w:val="18"/>
                            <w:szCs w:val="18"/>
                          </w:rPr>
                          <w:t>4kW</w:t>
                        </w:r>
                        <w:r>
                          <w:rPr>
                            <w:rFonts w:ascii="Times New Roman" w:hAnsi="Times New Roman" w:cs="Times New Roman" w:eastAsia="Times New Roman" w:hint="default"/>
                            <w:spacing w:val="-12"/>
                            <w:w w:val="99"/>
                            <w:sz w:val="18"/>
                            <w:szCs w:val="18"/>
                          </w:rPr>
                          <w:t> </w:t>
                        </w:r>
                        <w:r>
                          <w:rPr>
                            <w:rFonts w:ascii="宋体" w:hAnsi="宋体" w:cs="宋体" w:eastAsia="宋体" w:hint="default"/>
                            <w:w w:val="99"/>
                            <w:sz w:val="18"/>
                            <w:szCs w:val="18"/>
                          </w:rPr>
                          <w:t>到</w:t>
                        </w:r>
                        <w:r>
                          <w:rPr>
                            <w:rFonts w:ascii="宋体" w:hAnsi="宋体" w:cs="宋体" w:eastAsia="宋体" w:hint="default"/>
                            <w:spacing w:val="-56"/>
                            <w:w w:val="99"/>
                            <w:sz w:val="18"/>
                            <w:szCs w:val="18"/>
                          </w:rPr>
                          <w:t> </w:t>
                        </w:r>
                        <w:r>
                          <w:rPr>
                            <w:rFonts w:ascii="Times New Roman" w:hAnsi="Times New Roman" w:cs="Times New Roman" w:eastAsia="Times New Roman" w:hint="default"/>
                            <w:w w:val="99"/>
                            <w:sz w:val="18"/>
                            <w:szCs w:val="18"/>
                          </w:rPr>
                          <w:t>45kW</w:t>
                        </w:r>
                        <w:r>
                          <w:rPr>
                            <w:rFonts w:ascii="Times New Roman" w:hAnsi="Times New Roman" w:cs="Times New Roman" w:eastAsia="Times New Roman" w:hint="default"/>
                            <w:spacing w:val="-40"/>
                            <w:w w:val="99"/>
                            <w:sz w:val="18"/>
                            <w:szCs w:val="18"/>
                          </w:rPr>
                          <w:t> </w:t>
                        </w:r>
                        <w:r>
                          <w:rPr>
                            <w:rFonts w:ascii="宋体" w:hAnsi="宋体" w:cs="宋体" w:eastAsia="宋体" w:hint="default"/>
                            <w:spacing w:val="-2"/>
                            <w:sz w:val="18"/>
                            <w:szCs w:val="18"/>
                          </w:rPr>
                          <w:t>主要用于城市给排水、工厂、医院、学校、宾馆及机关团体生活给排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水，也可应用于小区供水和增压用泵；在市政工程中可进行污水处理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工业废水排放处理；可作为中央空调中循环水和锅炉供水及北方冬季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供暖系统中的循环回水循环用泵。过流部件采用不锈钢时可用做消防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泵</w:t>
                        </w:r>
                      </w:p>
                    </w:tc>
                  </w:tr>
                  <w:tr>
                    <w:trPr>
                      <w:trHeight w:val="31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588"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23"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利欧集团股份有限公司章程</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324" w:hRule="exact"/>
                    </w:trPr>
                    <w:tc>
                      <w:tcPr>
                        <w:tcW w:w="353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sz w:val="18"/>
          <w:szCs w:val="18"/>
        </w:rPr>
        <w:t>，</w:t>
      </w:r>
    </w:p>
    <w:p>
      <w:pPr>
        <w:spacing w:line="240" w:lineRule="auto" w:before="9"/>
        <w:rPr>
          <w:rFonts w:ascii="宋体" w:hAnsi="宋体" w:cs="宋体" w:eastAsia="宋体" w:hint="default"/>
          <w:sz w:val="17"/>
          <w:szCs w:val="17"/>
        </w:rPr>
      </w:pPr>
    </w:p>
    <w:p>
      <w:pPr>
        <w:spacing w:before="0"/>
        <w:ind w:left="0" w:right="1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38" w:top="1100" w:bottom="1120" w:left="1060" w:right="0"/>
        </w:sectPr>
      </w:pPr>
    </w:p>
    <w:p>
      <w:pPr>
        <w:spacing w:line="240" w:lineRule="auto" w:before="5"/>
        <w:rPr>
          <w:rFonts w:ascii="宋体" w:hAnsi="宋体" w:cs="宋体" w:eastAsia="宋体" w:hint="default"/>
          <w:sz w:val="23"/>
          <w:szCs w:val="23"/>
        </w:rPr>
      </w:pPr>
    </w:p>
    <w:p>
      <w:pPr>
        <w:spacing w:before="1"/>
        <w:ind w:left="3330" w:right="0" w:firstLine="0"/>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2"/>
        <w:rPr>
          <w:rFonts w:ascii="宋体" w:hAnsi="宋体" w:cs="宋体" w:eastAsia="宋体" w:hint="default"/>
          <w:b/>
          <w:bCs/>
          <w:sz w:val="34"/>
          <w:szCs w:val="34"/>
        </w:rPr>
      </w:pPr>
    </w:p>
    <w:p>
      <w:pPr>
        <w:pStyle w:val="BodyText"/>
        <w:spacing w:line="357" w:lineRule="auto" w:before="0"/>
        <w:ind w:left="558" w:right="7148"/>
        <w:jc w:val="left"/>
      </w:pPr>
      <w:r>
        <w:rPr/>
        <w:t>一、机械制造板块风险提示 </w:t>
      </w:r>
      <w:r>
        <w:rPr>
          <w:rFonts w:ascii="宋体" w:hAnsi="宋体" w:cs="宋体" w:eastAsia="宋体" w:hint="default"/>
        </w:rPr>
        <w:t>1</w:t>
      </w:r>
      <w:r>
        <w:rPr/>
        <w:t>、市场波动风险</w:t>
      </w:r>
    </w:p>
    <w:p>
      <w:pPr>
        <w:pStyle w:val="BodyText"/>
        <w:spacing w:line="357" w:lineRule="auto"/>
        <w:ind w:right="1684" w:firstLine="420"/>
        <w:jc w:val="left"/>
      </w:pPr>
      <w:r>
        <w:rPr>
          <w:spacing w:val="-3"/>
        </w:rPr>
        <w:t>公司产品以出口为主，</w:t>
      </w:r>
      <w:r>
        <w:rPr>
          <w:rFonts w:ascii="宋体" w:hAnsi="宋体" w:cs="宋体" w:eastAsia="宋体" w:hint="default"/>
          <w:spacing w:val="-3"/>
        </w:rPr>
        <w:t>2012</w:t>
      </w:r>
      <w:r>
        <w:rPr>
          <w:spacing w:val="-3"/>
        </w:rPr>
        <w:t>年、</w:t>
      </w:r>
      <w:r>
        <w:rPr>
          <w:rFonts w:ascii="宋体" w:hAnsi="宋体" w:cs="宋体" w:eastAsia="宋体" w:hint="default"/>
          <w:spacing w:val="-3"/>
        </w:rPr>
        <w:t>2013</w:t>
      </w:r>
      <w:r>
        <w:rPr>
          <w:spacing w:val="-3"/>
        </w:rPr>
        <w:t>年和</w:t>
      </w:r>
      <w:r>
        <w:rPr>
          <w:rFonts w:ascii="宋体" w:hAnsi="宋体" w:cs="宋体" w:eastAsia="宋体" w:hint="default"/>
          <w:spacing w:val="-3"/>
        </w:rPr>
        <w:t>2014</w:t>
      </w:r>
      <w:r>
        <w:rPr>
          <w:spacing w:val="-3"/>
        </w:rPr>
        <w:t>年，公司产品出口销售收入占公司当年机</w:t>
      </w:r>
      <w:r>
        <w:rPr/>
        <w:t> </w:t>
      </w:r>
      <w:r>
        <w:rPr>
          <w:spacing w:val="-2"/>
        </w:rPr>
        <w:t>械制造板块主营业务收入的比例分别为：</w:t>
      </w:r>
      <w:r>
        <w:rPr>
          <w:rFonts w:ascii="宋体" w:hAnsi="宋体" w:cs="宋体" w:eastAsia="宋体" w:hint="default"/>
          <w:spacing w:val="-2"/>
        </w:rPr>
        <w:t>73.97%</w:t>
      </w:r>
      <w:r>
        <w:rPr>
          <w:spacing w:val="-2"/>
        </w:rPr>
        <w:t>、</w:t>
      </w:r>
      <w:r>
        <w:rPr>
          <w:rFonts w:ascii="宋体" w:hAnsi="宋体" w:cs="宋体" w:eastAsia="宋体" w:hint="default"/>
          <w:spacing w:val="-2"/>
        </w:rPr>
        <w:t>72.83%</w:t>
      </w:r>
      <w:r>
        <w:rPr>
          <w:spacing w:val="-2"/>
        </w:rPr>
        <w:t>和</w:t>
      </w:r>
      <w:r>
        <w:rPr>
          <w:rFonts w:ascii="宋体" w:hAnsi="宋体" w:cs="宋体" w:eastAsia="宋体" w:hint="default"/>
          <w:spacing w:val="-2"/>
        </w:rPr>
        <w:t>74.36%</w:t>
      </w:r>
      <w:r>
        <w:rPr>
          <w:spacing w:val="-2"/>
        </w:rPr>
        <w:t>。近年来，在国际市场开</w:t>
      </w:r>
      <w:r>
        <w:rPr>
          <w:spacing w:val="-100"/>
        </w:rPr>
        <w:t> </w:t>
      </w:r>
      <w:r>
        <w:rPr>
          <w:spacing w:val="-100"/>
        </w:rPr>
      </w:r>
      <w:r>
        <w:rPr>
          <w:spacing w:val="-5"/>
        </w:rPr>
        <w:t>拓过程中，公司依靠产品良好的性价比优势，与世界知名的微型小型水泵和园林机械制造商、</w:t>
      </w:r>
      <w:r>
        <w:rPr>
          <w:spacing w:val="-92"/>
        </w:rPr>
        <w:t> </w:t>
      </w:r>
      <w:r>
        <w:rPr>
          <w:spacing w:val="-92"/>
        </w:rPr>
      </w:r>
      <w:r>
        <w:rPr/>
        <w:t>经销商及国外连锁超市建立了稳定的合作关系。</w:t>
      </w:r>
    </w:p>
    <w:p>
      <w:pPr>
        <w:pStyle w:val="BodyText"/>
        <w:spacing w:line="357" w:lineRule="auto"/>
        <w:ind w:right="1792" w:firstLine="420"/>
        <w:jc w:val="both"/>
      </w:pPr>
      <w:r>
        <w:rPr>
          <w:spacing w:val="-3"/>
        </w:rPr>
        <w:t>目前，全球经济复苏依然缓慢，并且存在诸多不确定因素，可能影响公司产品出口收入</w:t>
      </w:r>
      <w:r>
        <w:rPr/>
        <w:t> </w:t>
      </w:r>
      <w:r>
        <w:rPr>
          <w:spacing w:val="-3"/>
        </w:rPr>
        <w:t>的稳定增长。如公司主要客户所在国的政治经济环境、贸易政策等发生重大变化，也将对公</w:t>
      </w:r>
      <w:r>
        <w:rPr>
          <w:spacing w:val="-72"/>
        </w:rPr>
        <w:t> </w:t>
      </w:r>
      <w:r>
        <w:rPr>
          <w:spacing w:val="-72"/>
        </w:rPr>
      </w:r>
      <w:r>
        <w:rPr/>
        <w:t>司的经营产生一定影响。因此，公司存在市场波动风险。</w:t>
      </w:r>
    </w:p>
    <w:p>
      <w:pPr>
        <w:pStyle w:val="BodyText"/>
        <w:spacing w:line="357" w:lineRule="auto"/>
        <w:ind w:left="557" w:right="1794"/>
        <w:jc w:val="left"/>
      </w:pPr>
      <w:r>
        <w:rPr>
          <w:rFonts w:ascii="宋体" w:hAnsi="宋体" w:cs="宋体" w:eastAsia="宋体" w:hint="default"/>
        </w:rPr>
        <w:t>2</w:t>
      </w:r>
      <w:r>
        <w:rPr/>
        <w:t>、原材料价格波动风险 公司产品生产所用的主要原材料包括铜漆包线、铝锭、硅钢片、</w:t>
      </w:r>
      <w:r>
        <w:rPr>
          <w:rFonts w:ascii="宋体" w:hAnsi="宋体" w:cs="宋体" w:eastAsia="宋体" w:hint="default"/>
        </w:rPr>
        <w:t>PP</w:t>
      </w:r>
      <w:r>
        <w:rPr/>
        <w:t>及</w:t>
      </w:r>
      <w:r>
        <w:rPr>
          <w:rFonts w:ascii="宋体" w:hAnsi="宋体" w:cs="宋体" w:eastAsia="宋体" w:hint="default"/>
        </w:rPr>
        <w:t>ABS</w:t>
      </w:r>
      <w:r>
        <w:rPr/>
        <w:t>塑料、轴料、</w:t>
      </w:r>
    </w:p>
    <w:p>
      <w:pPr>
        <w:pStyle w:val="BodyText"/>
        <w:spacing w:line="357" w:lineRule="auto"/>
        <w:ind w:right="1794"/>
        <w:jc w:val="both"/>
      </w:pPr>
      <w:r>
        <w:rPr>
          <w:spacing w:val="-3"/>
        </w:rPr>
        <w:t>生铁和钢材等，材料成本占主营业务成本很大一部分。由于原材料成本在公司产品成本中所</w:t>
      </w:r>
      <w:r>
        <w:rPr>
          <w:spacing w:val="-77"/>
        </w:rPr>
        <w:t> </w:t>
      </w:r>
      <w:r>
        <w:rPr>
          <w:spacing w:val="-77"/>
        </w:rPr>
      </w:r>
      <w:r>
        <w:rPr>
          <w:spacing w:val="-3"/>
        </w:rPr>
        <w:t>占比重较大，原材料价格的波动将直接影响公司的营业成本，进而对公司的经营业绩带来影</w:t>
      </w:r>
      <w:r>
        <w:rPr>
          <w:spacing w:val="-75"/>
        </w:rPr>
        <w:t> </w:t>
      </w:r>
      <w:r>
        <w:rPr>
          <w:spacing w:val="-75"/>
        </w:rPr>
      </w:r>
      <w:r>
        <w:rPr/>
        <w:t>响。因此，公司存在主要原材料价格波动风险。</w:t>
      </w:r>
    </w:p>
    <w:p>
      <w:pPr>
        <w:pStyle w:val="BodyText"/>
        <w:spacing w:line="240" w:lineRule="auto"/>
        <w:ind w:left="557" w:right="0"/>
        <w:jc w:val="left"/>
      </w:pPr>
      <w:r>
        <w:rPr>
          <w:rFonts w:ascii="宋体" w:hAnsi="宋体" w:cs="宋体" w:eastAsia="宋体" w:hint="default"/>
        </w:rPr>
        <w:t>3</w:t>
      </w:r>
      <w:r>
        <w:rPr/>
        <w:t>、管理风险</w:t>
      </w:r>
    </w:p>
    <w:p>
      <w:pPr>
        <w:pStyle w:val="BodyText"/>
        <w:spacing w:line="355" w:lineRule="auto" w:before="134"/>
        <w:ind w:left="558" w:right="1684"/>
        <w:jc w:val="left"/>
      </w:pPr>
      <w:r>
        <w:rPr/>
        <w:t>（</w:t>
      </w:r>
      <w:r>
        <w:rPr>
          <w:rFonts w:ascii="宋体" w:hAnsi="宋体" w:cs="宋体" w:eastAsia="宋体" w:hint="default"/>
        </w:rPr>
        <w:t>1</w:t>
      </w:r>
      <w:r>
        <w:rPr/>
        <w:t>）产业整合风险 </w:t>
      </w: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月，公司与大农机械合资设立大农实业，进入清洗与植保机械行业，这是公司</w:t>
      </w:r>
    </w:p>
    <w:p>
      <w:pPr>
        <w:pStyle w:val="BodyText"/>
        <w:spacing w:line="357" w:lineRule="auto" w:before="33"/>
        <w:ind w:right="1794"/>
        <w:jc w:val="both"/>
      </w:pPr>
      <w:r>
        <w:rPr>
          <w:spacing w:val="-3"/>
        </w:rPr>
        <w:t>首次进行行业整合；</w:t>
      </w:r>
      <w:r>
        <w:rPr>
          <w:rFonts w:ascii="宋体" w:hAnsi="宋体" w:cs="宋体" w:eastAsia="宋体" w:hint="default"/>
          <w:spacing w:val="-3"/>
        </w:rPr>
        <w:t>2010</w:t>
      </w:r>
      <w:r>
        <w:rPr>
          <w:spacing w:val="-3"/>
        </w:rPr>
        <w:t>年</w:t>
      </w:r>
      <w:r>
        <w:rPr>
          <w:rFonts w:ascii="宋体" w:hAnsi="宋体" w:cs="宋体" w:eastAsia="宋体" w:hint="default"/>
          <w:spacing w:val="-3"/>
        </w:rPr>
        <w:t>6</w:t>
      </w:r>
      <w:r>
        <w:rPr>
          <w:spacing w:val="-3"/>
        </w:rPr>
        <w:t>月，公司设立湖南利欧，此后，又于</w:t>
      </w: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月初完成了对长沙</w:t>
      </w:r>
      <w:r>
        <w:rPr>
          <w:spacing w:val="-63"/>
        </w:rPr>
        <w:t> </w:t>
      </w:r>
      <w:r>
        <w:rPr/>
        <w:t>天鹅的收购，成功进入工业泵市场；</w:t>
      </w:r>
      <w:r>
        <w:rPr>
          <w:rFonts w:ascii="宋体" w:hAnsi="宋体" w:cs="宋体" w:eastAsia="宋体" w:hint="default"/>
        </w:rPr>
        <w:t>2012</w:t>
      </w:r>
      <w:r>
        <w:rPr/>
        <w:t>年</w:t>
      </w:r>
      <w:r>
        <w:rPr>
          <w:rFonts w:ascii="宋体" w:hAnsi="宋体" w:cs="宋体" w:eastAsia="宋体" w:hint="default"/>
        </w:rPr>
        <w:t>2</w:t>
      </w:r>
      <w:r>
        <w:rPr/>
        <w:t>月，公司又完成了对无锡锡泵和大连华能的收 购，此次收购进一步丰富了公司的工业泵产品线，增强了公司在工业泵市场的竞争力。</w:t>
      </w:r>
    </w:p>
    <w:p>
      <w:pPr>
        <w:pStyle w:val="BodyText"/>
        <w:spacing w:line="357" w:lineRule="auto"/>
        <w:ind w:left="138" w:right="1706" w:firstLine="420"/>
        <w:jc w:val="both"/>
      </w:pPr>
      <w:r>
        <w:rPr/>
        <w:t>公司根据业务发展需要，对各家子公司进行整合。由于公司和各家子公司在企业文化、 管理制度、业务模式等方面存在诸多不同，若整合过程不顺利，无法发挥预期的协同效应， 将对公司的经营业绩产生不利影响，损害股东的利益。因此，公司存在产业整合风险。</w:t>
      </w:r>
    </w:p>
    <w:p>
      <w:pPr>
        <w:pStyle w:val="BodyText"/>
        <w:spacing w:line="357" w:lineRule="auto"/>
        <w:ind w:left="558" w:right="1684"/>
        <w:jc w:val="left"/>
      </w:pPr>
      <w:r>
        <w:rPr/>
        <w:t>（</w:t>
      </w:r>
      <w:r>
        <w:rPr>
          <w:rFonts w:ascii="宋体" w:hAnsi="宋体" w:cs="宋体" w:eastAsia="宋体" w:hint="default"/>
        </w:rPr>
        <w:t>2</w:t>
      </w:r>
      <w:r>
        <w:rPr/>
        <w:t>）人力资源风险 </w:t>
      </w:r>
      <w:r>
        <w:rPr>
          <w:spacing w:val="-3"/>
        </w:rPr>
        <w:t>近年来，国内许多地区都出现了“用工荒”现象，由于劳动力短缺导致用工成本持续上</w:t>
      </w:r>
    </w:p>
    <w:p>
      <w:pPr>
        <w:pStyle w:val="BodyText"/>
        <w:spacing w:line="357" w:lineRule="auto"/>
        <w:ind w:left="557" w:right="0" w:hanging="420"/>
        <w:jc w:val="left"/>
      </w:pPr>
      <w:r>
        <w:rPr/>
        <w:t>升，尤其在制造业发达地区（如广东、浙江、江苏等省份）较为明显。 </w:t>
      </w:r>
      <w:r>
        <w:rPr>
          <w:spacing w:val="-3"/>
        </w:rPr>
        <w:t>虽然公司通过优化产品结构、提高设备自动化程度、优化工艺流程、提高产品售价等措</w:t>
      </w:r>
    </w:p>
    <w:p>
      <w:pPr>
        <w:pStyle w:val="BodyText"/>
        <w:spacing w:line="357" w:lineRule="auto"/>
        <w:ind w:right="1792"/>
        <w:jc w:val="both"/>
      </w:pPr>
      <w:r>
        <w:rPr>
          <w:spacing w:val="-3"/>
        </w:rPr>
        <w:t>施，部分抵消了劳动力短缺和劳动力成本上升对公司的不利影响，但是如果劳动力短缺和劳</w:t>
      </w:r>
      <w:r>
        <w:rPr>
          <w:spacing w:val="-75"/>
        </w:rPr>
        <w:t> </w:t>
      </w:r>
      <w:r>
        <w:rPr>
          <w:spacing w:val="-75"/>
        </w:rPr>
      </w:r>
      <w:r>
        <w:rPr>
          <w:spacing w:val="-3"/>
        </w:rPr>
        <w:t>动力价格上涨的状况持续存在，将对公司进一步扩大经营规模形成较大制约。因此，公司存</w:t>
      </w:r>
      <w:r>
        <w:rPr>
          <w:spacing w:val="-72"/>
        </w:rPr>
        <w:t> </w:t>
      </w:r>
      <w:r>
        <w:rPr>
          <w:spacing w:val="-72"/>
        </w:rPr>
      </w:r>
      <w:r>
        <w:rPr/>
        <w:t>在人力资源风险。</w:t>
      </w:r>
    </w:p>
    <w:p>
      <w:pPr>
        <w:pStyle w:val="BodyText"/>
        <w:spacing w:line="357" w:lineRule="auto"/>
        <w:ind w:left="557" w:right="0"/>
        <w:jc w:val="left"/>
      </w:pPr>
      <w:r>
        <w:rPr>
          <w:rFonts w:ascii="宋体" w:hAnsi="宋体" w:cs="宋体" w:eastAsia="宋体" w:hint="default"/>
        </w:rPr>
        <w:t>4</w:t>
      </w:r>
      <w:r>
        <w:rPr/>
        <w:t>、出口退税率变化导致公司业绩波动的风险 </w:t>
      </w:r>
      <w:r>
        <w:rPr>
          <w:spacing w:val="-3"/>
        </w:rPr>
        <w:t>目前，公司产品的出口退税率主要为</w:t>
      </w:r>
      <w:r>
        <w:rPr>
          <w:rFonts w:ascii="宋体" w:hAnsi="宋体" w:cs="宋体" w:eastAsia="宋体" w:hint="default"/>
          <w:spacing w:val="-3"/>
        </w:rPr>
        <w:t>5%</w:t>
      </w:r>
      <w:r>
        <w:rPr>
          <w:spacing w:val="-3"/>
        </w:rPr>
        <w:t>、</w:t>
      </w:r>
      <w:r>
        <w:rPr>
          <w:rFonts w:ascii="宋体" w:hAnsi="宋体" w:cs="宋体" w:eastAsia="宋体" w:hint="default"/>
          <w:spacing w:val="-3"/>
        </w:rPr>
        <w:t>9%</w:t>
      </w:r>
      <w:r>
        <w:rPr>
          <w:spacing w:val="-3"/>
        </w:rPr>
        <w:t>、</w:t>
      </w:r>
      <w:r>
        <w:rPr>
          <w:rFonts w:ascii="宋体" w:hAnsi="宋体" w:cs="宋体" w:eastAsia="宋体" w:hint="default"/>
          <w:spacing w:val="-3"/>
        </w:rPr>
        <w:t>13%</w:t>
      </w:r>
      <w:r>
        <w:rPr>
          <w:spacing w:val="-3"/>
        </w:rPr>
        <w:t>、</w:t>
      </w:r>
      <w:r>
        <w:rPr>
          <w:rFonts w:ascii="宋体" w:hAnsi="宋体" w:cs="宋体" w:eastAsia="宋体" w:hint="default"/>
          <w:spacing w:val="-3"/>
        </w:rPr>
        <w:t>15%</w:t>
      </w:r>
      <w:r>
        <w:rPr>
          <w:spacing w:val="-3"/>
        </w:rPr>
        <w:t>和</w:t>
      </w:r>
      <w:r>
        <w:rPr>
          <w:rFonts w:ascii="宋体" w:hAnsi="宋体" w:cs="宋体" w:eastAsia="宋体" w:hint="default"/>
          <w:spacing w:val="-3"/>
        </w:rPr>
        <w:t>17%</w:t>
      </w:r>
      <w:r>
        <w:rPr>
          <w:spacing w:val="-3"/>
        </w:rPr>
        <w:t>，出口货物实行“免、抵、</w:t>
      </w:r>
    </w:p>
    <w:p>
      <w:pPr>
        <w:spacing w:after="0" w:line="357"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1793"/>
        <w:jc w:val="both"/>
      </w:pPr>
      <w:r>
        <w:rPr>
          <w:spacing w:val="-3"/>
        </w:rPr>
        <w:t>退”税政策。国家出口退税率的上调，短期来看，有利于增强公司产品的出口竞争力，有助</w:t>
      </w:r>
      <w:r>
        <w:rPr>
          <w:spacing w:val="-76"/>
        </w:rPr>
        <w:t> </w:t>
      </w:r>
      <w:r>
        <w:rPr>
          <w:spacing w:val="-76"/>
        </w:rPr>
      </w:r>
      <w:r>
        <w:rPr/>
        <w:t>于公司进一步扩大出口销售，拓展国际市场，长期来看，有助于产业的转型升级。</w:t>
      </w:r>
    </w:p>
    <w:p>
      <w:pPr>
        <w:pStyle w:val="BodyText"/>
        <w:spacing w:line="357" w:lineRule="auto" w:before="33"/>
        <w:ind w:left="138" w:right="0" w:firstLine="420"/>
        <w:jc w:val="left"/>
      </w:pPr>
      <w:r>
        <w:rPr>
          <w:spacing w:val="-3"/>
        </w:rPr>
        <w:t>但是，若未来出口退税率下调，将直接影响产品销售毛利率，对公司产品的出口竞争力</w:t>
      </w:r>
      <w:r>
        <w:rPr/>
        <w:t> 和经营业绩产生不利影响。</w:t>
      </w:r>
    </w:p>
    <w:p>
      <w:pPr>
        <w:pStyle w:val="BodyText"/>
        <w:spacing w:line="355" w:lineRule="auto" w:before="31"/>
        <w:ind w:left="558" w:right="7148"/>
        <w:jc w:val="left"/>
      </w:pPr>
      <w:r>
        <w:rPr/>
        <w:t>二、数字营销板块风险提示 </w:t>
      </w:r>
      <w:r>
        <w:rPr>
          <w:rFonts w:ascii="宋体" w:hAnsi="宋体" w:cs="宋体" w:eastAsia="宋体" w:hint="default"/>
        </w:rPr>
        <w:t>1</w:t>
      </w:r>
      <w:r>
        <w:rPr/>
        <w:t>、整合风险</w:t>
      </w:r>
    </w:p>
    <w:p>
      <w:pPr>
        <w:pStyle w:val="BodyText"/>
        <w:spacing w:line="357" w:lineRule="auto" w:before="33"/>
        <w:ind w:right="1689" w:firstLine="420"/>
        <w:jc w:val="left"/>
      </w:pPr>
      <w:r>
        <w:rPr>
          <w:rFonts w:ascii="宋体" w:hAnsi="宋体" w:cs="宋体" w:eastAsia="宋体" w:hint="default"/>
        </w:rPr>
        <w:t>2014</w:t>
      </w:r>
      <w:r>
        <w:rPr/>
        <w:t>年</w:t>
      </w:r>
      <w:r>
        <w:rPr>
          <w:rFonts w:ascii="宋体" w:hAnsi="宋体" w:cs="宋体" w:eastAsia="宋体" w:hint="default"/>
        </w:rPr>
        <w:t>4</w:t>
      </w:r>
      <w:r>
        <w:rPr/>
        <w:t>月，公司完成收购上海漫酷</w:t>
      </w:r>
      <w:r>
        <w:rPr>
          <w:rFonts w:ascii="宋体" w:hAnsi="宋体" w:cs="宋体" w:eastAsia="宋体" w:hint="default"/>
        </w:rPr>
        <w:t>85%</w:t>
      </w:r>
      <w:r>
        <w:rPr/>
        <w:t>的股权，公司进入数字营销领域。</w:t>
      </w:r>
      <w:r>
        <w:rPr>
          <w:rFonts w:ascii="宋体" w:hAnsi="宋体" w:cs="宋体" w:eastAsia="宋体" w:hint="default"/>
        </w:rPr>
        <w:t>2014</w:t>
      </w:r>
      <w:r>
        <w:rPr/>
        <w:t>年</w:t>
      </w:r>
      <w:r>
        <w:rPr>
          <w:rFonts w:ascii="宋体" w:hAnsi="宋体" w:cs="宋体" w:eastAsia="宋体" w:hint="default"/>
        </w:rPr>
        <w:t>12</w:t>
      </w:r>
      <w:r>
        <w:rPr/>
        <w:t>月， </w:t>
      </w:r>
      <w:r>
        <w:rPr>
          <w:spacing w:val="-3"/>
        </w:rPr>
        <w:t>公司完成收购上海氩氪和琥珀传播</w:t>
      </w:r>
      <w:r>
        <w:rPr>
          <w:rFonts w:ascii="宋体" w:hAnsi="宋体" w:cs="宋体" w:eastAsia="宋体" w:hint="default"/>
          <w:spacing w:val="-3"/>
        </w:rPr>
        <w:t>100%</w:t>
      </w:r>
      <w:r>
        <w:rPr>
          <w:spacing w:val="-3"/>
        </w:rPr>
        <w:t>的股权。公司原有业务属于传统制造业，</w:t>
      </w:r>
      <w:r>
        <w:rPr>
          <w:rFonts w:ascii="宋体" w:hAnsi="宋体" w:cs="宋体" w:eastAsia="宋体" w:hint="default"/>
          <w:spacing w:val="-3"/>
        </w:rPr>
        <w:t>2014</w:t>
      </w:r>
      <w:r>
        <w:rPr>
          <w:spacing w:val="-3"/>
        </w:rPr>
        <w:t>年公司</w:t>
      </w:r>
      <w:r>
        <w:rPr>
          <w:spacing w:val="-65"/>
        </w:rPr>
        <w:t> </w:t>
      </w:r>
      <w:r>
        <w:rPr/>
        <w:t>收购的</w:t>
      </w:r>
      <w:r>
        <w:rPr>
          <w:rFonts w:ascii="宋体" w:hAnsi="宋体" w:cs="宋体" w:eastAsia="宋体" w:hint="default"/>
        </w:rPr>
        <w:t>3</w:t>
      </w:r>
      <w:r>
        <w:rPr/>
        <w:t>家公司属于互联网新兴行业，公司管理层在互联网业务领域的管理经验尚待加强。 </w:t>
      </w:r>
      <w:r>
        <w:rPr>
          <w:spacing w:val="-3"/>
        </w:rPr>
        <w:t>为发挥资产及业务之间的协同效应，提高公司竞争力，公司原有业务与新收购资产的相关业</w:t>
      </w:r>
      <w:r>
        <w:rPr>
          <w:spacing w:val="-76"/>
        </w:rPr>
        <w:t> </w:t>
      </w:r>
      <w:r>
        <w:rPr>
          <w:spacing w:val="-76"/>
        </w:rPr>
      </w:r>
      <w:r>
        <w:rPr>
          <w:spacing w:val="-3"/>
        </w:rPr>
        <w:t>务需进行一定程度的整合。公司在互联网企业经营管理、组织设置、团队磨合、内部控制和</w:t>
      </w:r>
      <w:r>
        <w:rPr>
          <w:spacing w:val="-73"/>
        </w:rPr>
        <w:t> </w:t>
      </w:r>
      <w:r>
        <w:rPr>
          <w:spacing w:val="-73"/>
        </w:rPr>
      </w:r>
      <w:r>
        <w:rPr/>
        <w:t>人才引进等方面存在一定的风险和挑战。</w:t>
      </w:r>
    </w:p>
    <w:p>
      <w:pPr>
        <w:pStyle w:val="BodyText"/>
        <w:spacing w:line="357" w:lineRule="auto"/>
        <w:ind w:left="558" w:right="1684"/>
        <w:jc w:val="left"/>
      </w:pPr>
      <w:r>
        <w:rPr>
          <w:rFonts w:ascii="宋体" w:hAnsi="宋体" w:cs="宋体" w:eastAsia="宋体" w:hint="default"/>
        </w:rPr>
        <w:t>2</w:t>
      </w:r>
      <w:r>
        <w:rPr/>
        <w:t>、人才流失风险 </w:t>
      </w:r>
      <w:r>
        <w:rPr>
          <w:spacing w:val="-3"/>
        </w:rPr>
        <w:t>人力资源是数字营销公司的核心资源，是保持和提升公司竞争力的关键要素。数字营销</w:t>
      </w:r>
    </w:p>
    <w:p>
      <w:pPr>
        <w:pStyle w:val="BodyText"/>
        <w:spacing w:line="355" w:lineRule="auto"/>
        <w:ind w:right="1794"/>
        <w:jc w:val="both"/>
      </w:pPr>
      <w:r>
        <w:rPr>
          <w:spacing w:val="-3"/>
        </w:rPr>
        <w:t>公司管理团队及业务人员的稳定性，将直接影响公司数字营销业务的发展和业绩。若不能很</w:t>
      </w:r>
      <w:r>
        <w:rPr>
          <w:spacing w:val="-75"/>
        </w:rPr>
        <w:t> </w:t>
      </w:r>
      <w:r>
        <w:rPr>
          <w:spacing w:val="-75"/>
        </w:rPr>
      </w:r>
      <w:r>
        <w:rPr/>
        <w:t>好地控制人才流失的风险，则会对公司数字营销领域的经营和业务发展造成不利影响。</w:t>
      </w:r>
    </w:p>
    <w:p>
      <w:pPr>
        <w:pStyle w:val="BodyText"/>
        <w:spacing w:line="357" w:lineRule="auto" w:before="33"/>
        <w:ind w:right="0" w:firstLine="420"/>
        <w:jc w:val="left"/>
      </w:pPr>
      <w:r>
        <w:rPr>
          <w:spacing w:val="-3"/>
        </w:rPr>
        <w:t>为避免核心团队成员流失造成不利影响，公司在股权收购合同中约定了一系列的奖励和</w:t>
      </w:r>
      <w:r>
        <w:rPr/>
        <w:t> 惩罚措施，确保核心团队成员的稳定。</w:t>
      </w:r>
    </w:p>
    <w:p>
      <w:pPr>
        <w:pStyle w:val="BodyText"/>
        <w:spacing w:line="355" w:lineRule="auto" w:before="31"/>
        <w:ind w:left="558" w:right="0"/>
        <w:jc w:val="left"/>
      </w:pPr>
      <w:r>
        <w:rPr>
          <w:rFonts w:ascii="宋体" w:hAnsi="宋体" w:cs="宋体" w:eastAsia="宋体" w:hint="default"/>
        </w:rPr>
        <w:t>3</w:t>
      </w:r>
      <w:r>
        <w:rPr/>
        <w:t>、公司客户集中的风险 </w:t>
      </w:r>
      <w:r>
        <w:rPr>
          <w:spacing w:val="-3"/>
        </w:rPr>
        <w:t>上海漫酷、上海氩氪和琥珀传播的销售规模不断扩大，但客户集中度较高，存在对主要</w:t>
      </w:r>
    </w:p>
    <w:p>
      <w:pPr>
        <w:pStyle w:val="BodyText"/>
        <w:spacing w:line="355" w:lineRule="auto" w:before="33"/>
        <w:ind w:right="1792"/>
        <w:jc w:val="both"/>
      </w:pPr>
      <w:r>
        <w:rPr>
          <w:spacing w:val="-3"/>
        </w:rPr>
        <w:t>客户依赖的风险。一方面，较高的客户集中度导致其对客户的议价能力较低；另一方面，若</w:t>
      </w:r>
      <w:r>
        <w:rPr>
          <w:spacing w:val="-73"/>
        </w:rPr>
        <w:t> </w:t>
      </w:r>
      <w:r>
        <w:rPr>
          <w:spacing w:val="-73"/>
        </w:rPr>
      </w:r>
      <w:r>
        <w:rPr>
          <w:spacing w:val="-3"/>
        </w:rPr>
        <w:t>主要客户流失，而又没有足够的新增客户补充，营业收入可能出现下滑，从而对净利润的实</w:t>
      </w:r>
      <w:r>
        <w:rPr>
          <w:spacing w:val="-72"/>
        </w:rPr>
        <w:t> </w:t>
      </w:r>
      <w:r>
        <w:rPr>
          <w:spacing w:val="-72"/>
        </w:rPr>
      </w:r>
      <w:r>
        <w:rPr/>
        <w:t>现造成不利影响。</w:t>
      </w:r>
    </w:p>
    <w:p>
      <w:pPr>
        <w:pStyle w:val="BodyText"/>
        <w:spacing w:line="355" w:lineRule="auto" w:before="33"/>
        <w:ind w:left="558" w:right="0"/>
        <w:jc w:val="left"/>
      </w:pPr>
      <w:r>
        <w:rPr>
          <w:rFonts w:ascii="宋体" w:hAnsi="宋体" w:cs="宋体" w:eastAsia="宋体" w:hint="default"/>
        </w:rPr>
        <w:t>4</w:t>
      </w:r>
      <w:r>
        <w:rPr/>
        <w:t>、市场竞争加剧风险 </w:t>
      </w:r>
      <w:r>
        <w:rPr>
          <w:spacing w:val="-3"/>
        </w:rPr>
        <w:t>现阶段，我国数字营销领域基本处于完全竞争状态，行业内公司数量众多，市场竞争激</w:t>
      </w:r>
    </w:p>
    <w:p>
      <w:pPr>
        <w:pStyle w:val="BodyText"/>
        <w:spacing w:line="357" w:lineRule="auto" w:before="33"/>
        <w:ind w:right="1792"/>
        <w:jc w:val="both"/>
      </w:pPr>
      <w:r>
        <w:rPr>
          <w:spacing w:val="-3"/>
        </w:rPr>
        <w:t>烈。随着我国经济的快速稳定发展，企业品牌意识不断加强，我国数字营销行业步入上升周</w:t>
      </w:r>
      <w:r>
        <w:rPr>
          <w:spacing w:val="-72"/>
        </w:rPr>
        <w:t> </w:t>
      </w:r>
      <w:r>
        <w:rPr>
          <w:spacing w:val="-72"/>
        </w:rPr>
      </w:r>
      <w:r>
        <w:rPr>
          <w:spacing w:val="-3"/>
        </w:rPr>
        <w:t>期，各类数字营销公司纷纷抓住这一良好时机，不断提升自身的经营实力，力争维持较高的</w:t>
      </w:r>
      <w:r>
        <w:rPr>
          <w:spacing w:val="-72"/>
        </w:rPr>
        <w:t> </w:t>
      </w:r>
      <w:r>
        <w:rPr>
          <w:spacing w:val="-72"/>
        </w:rPr>
      </w:r>
      <w:r>
        <w:rPr>
          <w:spacing w:val="-3"/>
        </w:rPr>
        <w:t>市场份额。在日新月异不断升级的市场竞争态势中，尽管上海漫酷、上海氩氪和琥珀传播不</w:t>
      </w:r>
      <w:r>
        <w:rPr>
          <w:spacing w:val="-74"/>
        </w:rPr>
        <w:t> </w:t>
      </w:r>
      <w:r>
        <w:rPr>
          <w:spacing w:val="-74"/>
        </w:rPr>
      </w:r>
      <w:r>
        <w:rPr>
          <w:spacing w:val="-3"/>
        </w:rPr>
        <w:t>断提升自身业务水平和创新能力，以保持其经营业绩的稳定发展，但面对大量竞争对手，不</w:t>
      </w:r>
      <w:r>
        <w:rPr>
          <w:spacing w:val="-72"/>
        </w:rPr>
        <w:t> </w:t>
      </w:r>
      <w:r>
        <w:rPr>
          <w:spacing w:val="-72"/>
        </w:rPr>
      </w:r>
      <w:r>
        <w:rPr/>
        <w:t>排除上述</w:t>
      </w:r>
      <w:r>
        <w:rPr>
          <w:rFonts w:ascii="宋体" w:hAnsi="宋体" w:cs="宋体" w:eastAsia="宋体" w:hint="default"/>
        </w:rPr>
        <w:t>3</w:t>
      </w:r>
      <w:r>
        <w:rPr/>
        <w:t>家公司的业务、财务状况及经营业绩将会受到不利影响。</w:t>
      </w:r>
    </w:p>
    <w:p>
      <w:pPr>
        <w:pStyle w:val="BodyText"/>
        <w:spacing w:line="357" w:lineRule="auto" w:before="31"/>
        <w:ind w:left="558" w:right="1684"/>
        <w:jc w:val="left"/>
      </w:pPr>
      <w:r>
        <w:rPr>
          <w:rFonts w:ascii="宋体" w:hAnsi="宋体" w:cs="宋体" w:eastAsia="宋体" w:hint="default"/>
        </w:rPr>
        <w:t>5</w:t>
      </w:r>
      <w:r>
        <w:rPr/>
        <w:t>、政策风险 </w:t>
      </w:r>
      <w:r>
        <w:rPr>
          <w:spacing w:val="-3"/>
        </w:rPr>
        <w:t>我国数字营销行业的主管部门是工业和信息化部以及国家工商行政管理总局等。数字营</w:t>
      </w:r>
    </w:p>
    <w:p>
      <w:pPr>
        <w:pStyle w:val="BodyText"/>
        <w:spacing w:line="355" w:lineRule="auto" w:before="31"/>
        <w:ind w:left="138" w:right="1793"/>
        <w:jc w:val="both"/>
      </w:pPr>
      <w:r>
        <w:rPr>
          <w:spacing w:val="-3"/>
        </w:rPr>
        <w:t>销行业属于互联网服务行业的新生分支，自诞生以来一直没有统一的行业规范和标准。随着</w:t>
      </w:r>
      <w:r>
        <w:rPr>
          <w:spacing w:val="-75"/>
        </w:rPr>
        <w:t> </w:t>
      </w:r>
      <w:r>
        <w:rPr>
          <w:spacing w:val="-75"/>
        </w:rPr>
      </w:r>
      <w:r>
        <w:rPr>
          <w:spacing w:val="-3"/>
        </w:rPr>
        <w:t>相关监管部门对数字营销行业持续增强的监管力度，数字营销行业的准入门槛可能会有所提</w:t>
      </w:r>
    </w:p>
    <w:p>
      <w:pPr>
        <w:spacing w:after="0" w:line="355"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1792"/>
        <w:jc w:val="both"/>
      </w:pPr>
      <w:r>
        <w:rPr>
          <w:spacing w:val="-3"/>
        </w:rPr>
        <w:t>高，若上海漫酷、上海氩氪和琥珀传播在未来不能达到新政策的要求，则将对其持续经营产</w:t>
      </w:r>
      <w:r>
        <w:rPr>
          <w:spacing w:val="-72"/>
        </w:rPr>
        <w:t> </w:t>
      </w:r>
      <w:r>
        <w:rPr>
          <w:spacing w:val="-72"/>
        </w:rPr>
      </w:r>
      <w:r>
        <w:rPr/>
        <w:t>生不利影响。</w:t>
      </w:r>
    </w:p>
    <w:p>
      <w:pPr>
        <w:pStyle w:val="BodyText"/>
        <w:spacing w:line="357" w:lineRule="auto" w:before="33"/>
        <w:ind w:left="557" w:right="1794"/>
        <w:jc w:val="left"/>
        <w:rPr>
          <w:rFonts w:ascii="宋体" w:hAnsi="宋体" w:cs="宋体" w:eastAsia="宋体" w:hint="default"/>
        </w:rPr>
      </w:pPr>
      <w:r>
        <w:rPr>
          <w:rFonts w:ascii="宋体" w:hAnsi="宋体" w:cs="宋体" w:eastAsia="宋体" w:hint="default"/>
        </w:rPr>
        <w:t>6</w:t>
      </w:r>
      <w:r>
        <w:rPr/>
        <w:t>、交易形成的商誉将影响公司未来业绩及财务指标风险 公司现金购买上海漫酷</w:t>
      </w:r>
      <w:r>
        <w:rPr>
          <w:rFonts w:ascii="宋体" w:hAnsi="宋体" w:cs="宋体" w:eastAsia="宋体" w:hint="default"/>
        </w:rPr>
        <w:t>85%</w:t>
      </w:r>
      <w:r>
        <w:rPr/>
        <w:t>股权以及发行股份及支付现金购买上海氩氪和琥珀传播</w:t>
      </w:r>
      <w:r>
        <w:rPr>
          <w:rFonts w:ascii="宋体" w:hAnsi="宋体" w:cs="宋体" w:eastAsia="宋体" w:hint="default"/>
        </w:rPr>
        <w:t>100%</w:t>
      </w:r>
    </w:p>
    <w:p>
      <w:pPr>
        <w:pStyle w:val="BodyText"/>
        <w:spacing w:line="357" w:lineRule="auto" w:before="31"/>
        <w:ind w:left="138" w:right="1792"/>
        <w:jc w:val="both"/>
      </w:pPr>
      <w:r>
        <w:rPr>
          <w:spacing w:val="-8"/>
        </w:rPr>
        <w:t>股权，形成非同一控制下企业合并，会在公司合并资产负债表形成较大金额的商誉。根据《企</w:t>
      </w:r>
      <w:r>
        <w:rPr>
          <w:spacing w:val="-77"/>
        </w:rPr>
        <w:t> </w:t>
      </w:r>
      <w:r>
        <w:rPr>
          <w:spacing w:val="-77"/>
        </w:rPr>
      </w:r>
      <w:r>
        <w:rPr>
          <w:spacing w:val="-3"/>
        </w:rPr>
        <w:t>业会计准则》规定，本次交易形成的商誉不作摊销处理，但需在未来每年年度终了做减值测</w:t>
      </w:r>
      <w:r>
        <w:rPr>
          <w:spacing w:val="-74"/>
        </w:rPr>
        <w:t> </w:t>
      </w:r>
      <w:r>
        <w:rPr>
          <w:spacing w:val="-74"/>
        </w:rPr>
      </w:r>
      <w:r>
        <w:rPr>
          <w:spacing w:val="-3"/>
        </w:rPr>
        <w:t>试。如果上海漫酷、上海氩氪和琥珀传播未来经营状况恶化，将有可能出现商誉减值，从而</w:t>
      </w:r>
      <w:r>
        <w:rPr>
          <w:spacing w:val="-73"/>
        </w:rPr>
        <w:t> </w:t>
      </w:r>
      <w:r>
        <w:rPr>
          <w:spacing w:val="-73"/>
        </w:rPr>
      </w:r>
      <w:r>
        <w:rPr/>
        <w:t>影响公司合并报表利润。</w:t>
      </w:r>
    </w:p>
    <w:p>
      <w:pPr>
        <w:spacing w:after="0" w:line="357" w:lineRule="auto"/>
        <w:jc w:val="both"/>
        <w:sectPr>
          <w:pgSz w:w="11910" w:h="16840"/>
          <w:pgMar w:header="877" w:footer="938" w:top="1100" w:bottom="1120" w:left="166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right="1058"/>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left="737" w:right="1689"/>
        <w:jc w:val="left"/>
        <w:rPr>
          <w:b w:val="0"/>
          <w:bCs w:val="0"/>
        </w:rPr>
      </w:pPr>
      <w:r>
        <w:rPr/>
        <w:pict>
          <v:group style="position:absolute;margin-left:173.899994pt;margin-top:115.275627pt;width:361.6pt;height:15.7pt;mso-position-horizontal-relative:page;mso-position-vertical-relative:paragraph;z-index:-907360" coordorigin="3478,2306" coordsize="7232,314">
            <v:shape style="position:absolute;left:3478;top:2306;width:7232;height:314" coordorigin="3478,2306" coordsize="7232,314" path="m3478,2619l10710,2619,10710,2306,3478,2306,3478,2619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2259"/>
        <w:gridCol w:w="2976"/>
        <w:gridCol w:w="2135"/>
        <w:gridCol w:w="2189"/>
      </w:tblGrid>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利欧股份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002131</w:t>
            </w:r>
          </w:p>
        </w:tc>
      </w:tr>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利欧集团股份有限公司</w:t>
            </w:r>
          </w:p>
        </w:tc>
      </w:tr>
      <w:tr>
        <w:trPr>
          <w:trHeight w:val="32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利欧股份</w:t>
            </w:r>
          </w:p>
        </w:tc>
      </w:tr>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Leo Group Co.,Ltd.</w:t>
            </w:r>
          </w:p>
        </w:tc>
      </w:tr>
      <w:tr>
        <w:trPr>
          <w:trHeight w:val="324" w:hRule="exact"/>
        </w:trPr>
        <w:tc>
          <w:tcPr>
            <w:tcW w:w="225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1"/>
              <w:ind w:left="11" w:right="-50"/>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9" w:type="dxa"/>
            <w:gridSpan w:val="3"/>
            <w:tcBorders>
              <w:top w:val="single" w:sz="4" w:space="0" w:color="000000"/>
              <w:left w:val="single" w:sz="22" w:space="0" w:color="FFFFFF"/>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sz w:val="18"/>
              </w:rPr>
              <w:t>LEO</w:t>
            </w:r>
          </w:p>
        </w:tc>
      </w:tr>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王相荣</w:t>
            </w:r>
          </w:p>
        </w:tc>
      </w:tr>
      <w:tr>
        <w:trPr>
          <w:trHeight w:val="32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浙江省温岭市滨海镇利欧路</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317500</w:t>
            </w:r>
          </w:p>
        </w:tc>
      </w:tr>
      <w:tr>
        <w:trPr>
          <w:trHeight w:val="32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32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317500</w:t>
            </w:r>
          </w:p>
        </w:tc>
      </w:tr>
      <w:tr>
        <w:trPr>
          <w:trHeight w:val="323"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hyperlink r:id="rId9">
              <w:r>
                <w:rPr>
                  <w:rFonts w:ascii="宋体"/>
                  <w:sz w:val="18"/>
                </w:rPr>
                <w:t>http://www.leogroup.cn</w:t>
              </w:r>
            </w:hyperlink>
          </w:p>
        </w:tc>
      </w:tr>
      <w:tr>
        <w:trPr>
          <w:trHeight w:val="324" w:hRule="exact"/>
        </w:trPr>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hyperlink r:id="rId10">
              <w:r>
                <w:rPr>
                  <w:rFonts w:ascii="宋体"/>
                  <w:sz w:val="18"/>
                </w:rPr>
                <w:t>wxr@leogroup.cn</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1689"/>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3165"/>
        <w:gridCol w:w="3203"/>
        <w:gridCol w:w="3190"/>
      </w:tblGrid>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周利明</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浙江省温岭市工业城中心大道</w:t>
            </w:r>
          </w:p>
        </w:tc>
      </w:tr>
      <w:tr>
        <w:trPr>
          <w:trHeight w:val="32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0576-89986666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0576-89986666</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0576-89989898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0576-89989898</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hyperlink r:id="rId11">
              <w:r>
                <w:rPr>
                  <w:rFonts w:ascii="宋体"/>
                  <w:sz w:val="18"/>
                </w:rPr>
                <w:t>sec@leogroup.cn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hyperlink r:id="rId11">
              <w:r>
                <w:rPr>
                  <w:rFonts w:ascii="宋体"/>
                  <w:sz w:val="18"/>
                </w:rPr>
                <w:t>sec@leogroup.cn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689"/>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3727"/>
        <w:gridCol w:w="5841"/>
      </w:tblGrid>
      <w:tr>
        <w:trPr>
          <w:trHeight w:val="324"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32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hyperlink r:id="rId12">
              <w:r>
                <w:rPr>
                  <w:rFonts w:ascii="宋体"/>
                  <w:sz w:val="18"/>
                </w:rPr>
                <w:t>http://www.cninfo.com.cn</w:t>
              </w:r>
            </w:hyperlink>
          </w:p>
        </w:tc>
      </w:tr>
      <w:tr>
        <w:trPr>
          <w:trHeight w:val="32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1689"/>
        <w:jc w:val="left"/>
        <w:rPr>
          <w:b w:val="0"/>
          <w:bCs w:val="0"/>
        </w:rPr>
      </w:pPr>
      <w:bookmarkStart w:name="四、注册变更情况" w:id="8"/>
      <w:bookmarkEnd w:id="8"/>
      <w:r>
        <w:rPr>
          <w:b w:val="0"/>
          <w:bCs w:val="0"/>
        </w:rPr>
      </w: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1598"/>
        <w:gridCol w:w="1594"/>
        <w:gridCol w:w="1594"/>
        <w:gridCol w:w="1595"/>
        <w:gridCol w:w="1594"/>
        <w:gridCol w:w="1594"/>
      </w:tblGrid>
      <w:tr>
        <w:trPr>
          <w:trHeight w:val="121"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522"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3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21"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50" w:space="0" w:color="D2D2D2"/>
              <w:left w:val="single" w:sz="13" w:space="0" w:color="D2D2D2"/>
              <w:right w:val="single" w:sz="4" w:space="0" w:color="000000"/>
            </w:tcBorders>
          </w:tcPr>
          <w:p>
            <w:pPr>
              <w:pStyle w:val="TableParagraph"/>
              <w:spacing w:line="240" w:lineRule="auto" w:before="68"/>
              <w:ind w:left="9"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vMerge w:val="restart"/>
            <w:tcBorders>
              <w:top w:val="single" w:sz="50" w:space="0" w:color="D2D2D2"/>
              <w:left w:val="single" w:sz="4" w:space="0" w:color="000000"/>
              <w:right w:val="single" w:sz="4" w:space="0" w:color="000000"/>
            </w:tcBorders>
          </w:tcPr>
          <w:p>
            <w:pPr>
              <w:pStyle w:val="TableParagraph"/>
              <w:spacing w:line="186" w:lineRule="exact"/>
              <w:ind w:left="22" w:right="0"/>
              <w:jc w:val="left"/>
              <w:rPr>
                <w:rFonts w:ascii="宋体" w:hAnsi="宋体" w:cs="宋体" w:eastAsia="宋体" w:hint="default"/>
                <w:sz w:val="18"/>
                <w:szCs w:val="18"/>
              </w:rPr>
            </w:pPr>
            <w:r>
              <w:rPr>
                <w:rFonts w:ascii="宋体" w:hAnsi="宋体" w:cs="宋体" w:eastAsia="宋体" w:hint="default"/>
                <w:spacing w:val="11"/>
                <w:sz w:val="18"/>
                <w:szCs w:val="18"/>
              </w:rPr>
              <w:t>浙江省工商行政管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理局</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7"/>
              <w:ind w:left="206" w:right="0"/>
              <w:jc w:val="left"/>
              <w:rPr>
                <w:rFonts w:ascii="宋体" w:hAnsi="宋体" w:cs="宋体" w:eastAsia="宋体" w:hint="default"/>
                <w:sz w:val="18"/>
                <w:szCs w:val="18"/>
              </w:rPr>
            </w:pPr>
            <w:r>
              <w:rPr>
                <w:rFonts w:ascii="宋体"/>
                <w:sz w:val="18"/>
              </w:rPr>
              <w:t>3310811003881</w:t>
            </w:r>
          </w:p>
        </w:tc>
        <w:tc>
          <w:tcPr>
            <w:tcW w:w="1594" w:type="dxa"/>
            <w:vMerge w:val="restart"/>
            <w:tcBorders>
              <w:top w:val="single" w:sz="50" w:space="0" w:color="D2D2D2"/>
              <w:left w:val="single" w:sz="4" w:space="0" w:color="000000"/>
              <w:right w:val="single" w:sz="4" w:space="0" w:color="000000"/>
            </w:tcBorders>
          </w:tcPr>
          <w:p>
            <w:pPr>
              <w:pStyle w:val="TableParagraph"/>
              <w:spacing w:line="240" w:lineRule="auto" w:before="68"/>
              <w:ind w:left="115" w:right="0"/>
              <w:jc w:val="left"/>
              <w:rPr>
                <w:rFonts w:ascii="宋体" w:hAnsi="宋体" w:cs="宋体" w:eastAsia="宋体" w:hint="default"/>
                <w:sz w:val="18"/>
                <w:szCs w:val="18"/>
              </w:rPr>
            </w:pPr>
            <w:r>
              <w:rPr>
                <w:rFonts w:ascii="宋体"/>
                <w:sz w:val="18"/>
              </w:rPr>
              <w:t>331081728913048</w:t>
            </w:r>
          </w:p>
        </w:tc>
        <w:tc>
          <w:tcPr>
            <w:tcW w:w="1594" w:type="dxa"/>
            <w:vMerge w:val="restart"/>
            <w:tcBorders>
              <w:top w:val="single" w:sz="50" w:space="0" w:color="D2D2D2"/>
              <w:left w:val="single" w:sz="4" w:space="0" w:color="000000"/>
              <w:right w:val="single" w:sz="4" w:space="0" w:color="000000"/>
            </w:tcBorders>
          </w:tcPr>
          <w:p>
            <w:pPr>
              <w:pStyle w:val="TableParagraph"/>
              <w:spacing w:line="240" w:lineRule="auto" w:before="68"/>
              <w:ind w:left="342" w:right="0"/>
              <w:jc w:val="left"/>
              <w:rPr>
                <w:rFonts w:ascii="宋体" w:hAnsi="宋体" w:cs="宋体" w:eastAsia="宋体" w:hint="default"/>
                <w:sz w:val="18"/>
                <w:szCs w:val="18"/>
              </w:rPr>
            </w:pPr>
            <w:r>
              <w:rPr>
                <w:rFonts w:ascii="宋体"/>
                <w:sz w:val="18"/>
              </w:rPr>
              <w:t>72891304-8</w:t>
            </w:r>
          </w:p>
        </w:tc>
      </w:tr>
      <w:tr>
        <w:trPr>
          <w:trHeight w:val="43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3"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21"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3" w:space="0" w:color="D2D2D2"/>
              <w:right w:val="single" w:sz="4" w:space="0" w:color="000000"/>
            </w:tcBorders>
          </w:tcPr>
          <w:p>
            <w:pPr>
              <w:pStyle w:val="TableParagraph"/>
              <w:spacing w:line="240" w:lineRule="auto" w:before="127"/>
              <w:ind w:left="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1"/>
                <w:sz w:val="18"/>
                <w:szCs w:val="18"/>
              </w:rPr>
              <w:t>浙江省工商行政管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理局</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7"/>
              <w:ind w:left="116" w:right="0"/>
              <w:jc w:val="left"/>
              <w:rPr>
                <w:rFonts w:ascii="宋体" w:hAnsi="宋体" w:cs="宋体" w:eastAsia="宋体" w:hint="default"/>
                <w:sz w:val="18"/>
                <w:szCs w:val="18"/>
              </w:rPr>
            </w:pPr>
            <w:r>
              <w:rPr>
                <w:rFonts w:ascii="宋体"/>
                <w:sz w:val="18"/>
              </w:rPr>
              <w:t>330000000001282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7"/>
              <w:ind w:left="115" w:right="0"/>
              <w:jc w:val="left"/>
              <w:rPr>
                <w:rFonts w:ascii="宋体" w:hAnsi="宋体" w:cs="宋体" w:eastAsia="宋体" w:hint="default"/>
                <w:sz w:val="18"/>
                <w:szCs w:val="18"/>
              </w:rPr>
            </w:pPr>
            <w:r>
              <w:rPr>
                <w:rFonts w:ascii="宋体"/>
                <w:sz w:val="18"/>
              </w:rPr>
              <w:t>331081728913048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7"/>
              <w:ind w:left="342" w:right="0"/>
              <w:jc w:val="left"/>
              <w:rPr>
                <w:rFonts w:ascii="宋体" w:hAnsi="宋体" w:cs="宋体" w:eastAsia="宋体" w:hint="default"/>
                <w:sz w:val="18"/>
                <w:szCs w:val="18"/>
              </w:rPr>
            </w:pPr>
            <w:r>
              <w:rPr>
                <w:rFonts w:ascii="宋体"/>
                <w:sz w:val="18"/>
              </w:rPr>
              <w:t>72891304-8</w:t>
            </w:r>
          </w:p>
        </w:tc>
      </w:tr>
      <w:tr>
        <w:trPr>
          <w:trHeight w:val="43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3"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38" w:top="1100" w:bottom="1120" w:left="1060" w:right="0"/>
        </w:sectPr>
      </w:pPr>
    </w:p>
    <w:p>
      <w:pPr>
        <w:spacing w:line="240" w:lineRule="auto" w:before="8"/>
        <w:rPr>
          <w:rFonts w:ascii="宋体" w:hAnsi="宋体" w:cs="宋体" w:eastAsia="宋体" w:hint="default"/>
          <w:b/>
          <w:bCs/>
          <w:sz w:val="22"/>
          <w:szCs w:val="22"/>
        </w:rPr>
      </w:pPr>
    </w:p>
    <w:p>
      <w:pPr>
        <w:spacing w:before="44"/>
        <w:ind w:left="0" w:right="1104" w:firstLine="0"/>
        <w:jc w:val="right"/>
        <w:rPr>
          <w:rFonts w:ascii="宋体" w:hAnsi="宋体" w:cs="宋体" w:eastAsia="宋体" w:hint="default"/>
          <w:sz w:val="18"/>
          <w:szCs w:val="18"/>
        </w:rPr>
      </w:pPr>
      <w:r>
        <w:rPr/>
        <w:pict>
          <v:shape style="position:absolute;margin-left:58.259998pt;margin-top:1.191743pt;width:479.1pt;height:98.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6377"/>
                  </w:tblGrid>
                  <w:tr>
                    <w:trPr>
                      <w:trHeight w:val="163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公司自成立以来，一直专注于微型小型水泵及园林机械产品的研发、生产和销售</w:t>
                        </w:r>
                        <w:r>
                          <w:rPr>
                            <w:rFonts w:ascii="宋体" w:hAnsi="宋体" w:cs="宋体" w:eastAsia="宋体" w:hint="default"/>
                            <w:sz w:val="18"/>
                            <w:szCs w:val="18"/>
                          </w:rPr>
                          <w:t> 公司上市后，积极推动业务转型升级，不断拓宽业务领域。</w:t>
                        </w:r>
                        <w:r>
                          <w:rPr>
                            <w:rFonts w:ascii="宋体" w:hAnsi="宋体" w:cs="宋体" w:eastAsia="宋体" w:hint="default"/>
                            <w:sz w:val="18"/>
                            <w:szCs w:val="18"/>
                          </w:rPr>
                          <w:t>2007</w:t>
                        </w:r>
                        <w:r>
                          <w:rPr>
                            <w:rFonts w:ascii="宋体" w:hAnsi="宋体" w:cs="宋体" w:eastAsia="宋体" w:hint="default"/>
                            <w:spacing w:val="-65"/>
                            <w:sz w:val="18"/>
                            <w:szCs w:val="18"/>
                          </w:rPr>
                          <w:t> </w:t>
                        </w:r>
                        <w:r>
                          <w:rPr>
                            <w:rFonts w:ascii="宋体" w:hAnsi="宋体" w:cs="宋体" w:eastAsia="宋体" w:hint="default"/>
                            <w:sz w:val="18"/>
                            <w:szCs w:val="18"/>
                          </w:rPr>
                          <w:t>年底，公司与浙 江大农机械有限公司合资设立了大农实业，进入清洗与植保机械业务领域；</w:t>
                        </w:r>
                        <w:r>
                          <w:rPr>
                            <w:rFonts w:ascii="宋体" w:hAnsi="宋体" w:cs="宋体" w:eastAsia="宋体"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6</w:t>
                        </w:r>
                        <w:r>
                          <w:rPr>
                            <w:rFonts w:ascii="宋体" w:hAnsi="宋体" w:cs="宋体" w:eastAsia="宋体" w:hint="default"/>
                            <w:spacing w:val="-53"/>
                            <w:sz w:val="18"/>
                            <w:szCs w:val="18"/>
                          </w:rPr>
                          <w:t> </w:t>
                        </w:r>
                        <w:r>
                          <w:rPr>
                            <w:rFonts w:ascii="宋体" w:hAnsi="宋体" w:cs="宋体" w:eastAsia="宋体" w:hint="default"/>
                            <w:sz w:val="18"/>
                            <w:szCs w:val="18"/>
                          </w:rPr>
                          <w:t>月，公司投资设立湖南利欧，进入工业泵业务领域；</w:t>
                        </w:r>
                        <w:r>
                          <w:rPr>
                            <w:rFonts w:ascii="宋体" w:hAnsi="宋体" w:cs="宋体" w:eastAsia="宋体" w:hint="default"/>
                            <w:sz w:val="18"/>
                            <w:szCs w:val="18"/>
                          </w:rPr>
                          <w:t>2012</w:t>
                        </w:r>
                        <w:r>
                          <w:rPr>
                            <w:rFonts w:ascii="宋体" w:hAnsi="宋体" w:cs="宋体" w:eastAsia="宋体" w:hint="default"/>
                            <w:spacing w:val="-53"/>
                            <w:sz w:val="18"/>
                            <w:szCs w:val="18"/>
                          </w:rPr>
                          <w:t> </w:t>
                        </w:r>
                        <w:r>
                          <w:rPr>
                            <w:rFonts w:ascii="宋体" w:hAnsi="宋体" w:cs="宋体" w:eastAsia="宋体" w:hint="default"/>
                            <w:sz w:val="18"/>
                            <w:szCs w:val="18"/>
                          </w:rPr>
                          <w:t>年初，公司完成对 长沙天鹅、无锡锡泵和大连华能的收购，进一步完善了工业泵业务领域的布局。 </w:t>
                        </w:r>
                        <w:r>
                          <w:rPr>
                            <w:rFonts w:ascii="宋体" w:hAnsi="宋体" w:cs="宋体" w:eastAsia="宋体" w:hint="default"/>
                            <w:sz w:val="18"/>
                            <w:szCs w:val="18"/>
                          </w:rPr>
                          <w:t>2014</w:t>
                        </w:r>
                        <w:r>
                          <w:rPr>
                            <w:rFonts w:ascii="宋体" w:hAnsi="宋体" w:cs="宋体" w:eastAsia="宋体" w:hint="default"/>
                            <w:spacing w:val="-29"/>
                            <w:sz w:val="18"/>
                            <w:szCs w:val="18"/>
                          </w:rPr>
                          <w:t> </w:t>
                        </w:r>
                        <w:r>
                          <w:rPr>
                            <w:rFonts w:ascii="宋体" w:hAnsi="宋体" w:cs="宋体" w:eastAsia="宋体" w:hint="default"/>
                            <w:spacing w:val="-4"/>
                            <w:sz w:val="18"/>
                            <w:szCs w:val="18"/>
                          </w:rPr>
                          <w:t>年，公司完成收购上海漫酷、上海氩氪和琥珀传播，成功进入数字营销领域</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0" w:right="1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1"/>
        <w:ind w:left="758" w:right="1695"/>
        <w:jc w:val="left"/>
        <w:rPr>
          <w:b w:val="0"/>
          <w:bCs w:val="0"/>
        </w:rPr>
      </w:pPr>
      <w:bookmarkStart w:name="五、其他有关资料" w:id="9"/>
      <w:bookmarkEnd w:id="9"/>
      <w:r>
        <w:rPr>
          <w:b w:val="0"/>
          <w:bCs w:val="0"/>
        </w:rPr>
      </w:r>
      <w:r>
        <w:rPr/>
        <w:t>五、其他有关资料</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757" w:right="1695"/>
        <w:jc w:val="left"/>
      </w:pPr>
      <w:r>
        <w:rPr/>
        <w:t>公司聘请的会计师事务所</w:t>
      </w:r>
    </w:p>
    <w:p>
      <w:pPr>
        <w:spacing w:line="240" w:lineRule="auto" w:before="7"/>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2661"/>
        <w:gridCol w:w="6907"/>
      </w:tblGrid>
      <w:tr>
        <w:trPr>
          <w:trHeight w:val="32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宋体" w:hAnsi="宋体" w:cs="宋体" w:eastAsia="宋体" w:hint="default"/>
                <w:sz w:val="18"/>
                <w:szCs w:val="18"/>
              </w:rPr>
              <w:t>128</w:t>
            </w:r>
            <w:r>
              <w:rPr>
                <w:rFonts w:ascii="宋体" w:hAnsi="宋体" w:cs="宋体" w:eastAsia="宋体" w:hint="default"/>
                <w:spacing w:val="-46"/>
                <w:sz w:val="18"/>
                <w:szCs w:val="18"/>
              </w:rPr>
              <w:t> </w:t>
            </w:r>
            <w:r>
              <w:rPr>
                <w:rFonts w:ascii="宋体" w:hAnsi="宋体" w:cs="宋体" w:eastAsia="宋体" w:hint="default"/>
                <w:sz w:val="18"/>
                <w:szCs w:val="18"/>
              </w:rPr>
              <w:t>号新湖商务大厦</w:t>
            </w:r>
            <w:r>
              <w:rPr>
                <w:rFonts w:ascii="宋体" w:hAnsi="宋体" w:cs="宋体" w:eastAsia="宋体" w:hint="default"/>
                <w:spacing w:val="-46"/>
                <w:sz w:val="18"/>
                <w:szCs w:val="18"/>
              </w:rPr>
              <w:t> </w:t>
            </w:r>
            <w:r>
              <w:rPr>
                <w:rFonts w:ascii="宋体" w:hAnsi="宋体" w:cs="宋体" w:eastAsia="宋体" w:hint="default"/>
                <w:sz w:val="18"/>
                <w:szCs w:val="18"/>
              </w:rPr>
              <w:t>4-10</w:t>
            </w:r>
            <w:r>
              <w:rPr>
                <w:rFonts w:ascii="宋体" w:hAnsi="宋体" w:cs="宋体" w:eastAsia="宋体" w:hint="default"/>
                <w:spacing w:val="-46"/>
                <w:sz w:val="18"/>
                <w:szCs w:val="18"/>
              </w:rPr>
              <w:t> </w:t>
            </w:r>
            <w:r>
              <w:rPr>
                <w:rFonts w:ascii="宋体" w:hAnsi="宋体" w:cs="宋体" w:eastAsia="宋体" w:hint="default"/>
                <w:sz w:val="18"/>
                <w:szCs w:val="18"/>
              </w:rPr>
              <w:t>层</w:t>
            </w:r>
          </w:p>
        </w:tc>
      </w:tr>
      <w:tr>
        <w:trPr>
          <w:trHeight w:val="32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沃巍勇、罗联玬</w:t>
            </w:r>
          </w:p>
        </w:tc>
      </w:tr>
    </w:tbl>
    <w:p>
      <w:pPr>
        <w:pStyle w:val="BodyText"/>
        <w:spacing w:line="240" w:lineRule="auto" w:before="6"/>
        <w:ind w:left="758" w:right="1695"/>
        <w:jc w:val="left"/>
      </w:pPr>
      <w:r>
        <w:rPr/>
        <w:t>公司聘请的报告期内履行持续督导职责的保荐机构</w:t>
      </w:r>
    </w:p>
    <w:p>
      <w:pPr>
        <w:pStyle w:val="BodyText"/>
        <w:tabs>
          <w:tab w:pos="1599" w:val="left" w:leader="none"/>
        </w:tabs>
        <w:spacing w:line="240" w:lineRule="auto" w:before="174"/>
        <w:ind w:left="758" w:right="1695"/>
        <w:jc w:val="left"/>
      </w:pPr>
      <w:r>
        <w:rPr/>
        <w:t>√适用</w:t>
        <w:tab/>
        <w:t>□不适用</w:t>
      </w:r>
    </w:p>
    <w:p>
      <w:pPr>
        <w:spacing w:line="240" w:lineRule="auto" w:before="11"/>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2189"/>
        <w:gridCol w:w="3272"/>
        <w:gridCol w:w="1737"/>
        <w:gridCol w:w="2392"/>
      </w:tblGrid>
      <w:tr>
        <w:trPr>
          <w:trHeight w:val="323"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48"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 w:right="0"/>
              <w:jc w:val="left"/>
              <w:rPr>
                <w:rFonts w:ascii="宋体" w:hAnsi="宋体" w:cs="宋体" w:eastAsia="宋体" w:hint="default"/>
                <w:sz w:val="18"/>
                <w:szCs w:val="18"/>
              </w:rPr>
            </w:pPr>
            <w:r>
              <w:rPr>
                <w:rFonts w:ascii="宋体" w:hAnsi="宋体" w:cs="宋体" w:eastAsia="宋体" w:hint="default"/>
                <w:sz w:val="18"/>
                <w:szCs w:val="18"/>
              </w:rPr>
              <w:t>保荐机构主办人姓名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32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广州市天河北路</w:t>
            </w:r>
            <w:r>
              <w:rPr>
                <w:rFonts w:ascii="宋体" w:hAnsi="宋体" w:cs="宋体" w:eastAsia="宋体" w:hint="default"/>
                <w:spacing w:val="-46"/>
                <w:sz w:val="18"/>
                <w:szCs w:val="18"/>
              </w:rPr>
              <w:t> </w:t>
            </w:r>
            <w:r>
              <w:rPr>
                <w:rFonts w:ascii="宋体" w:hAnsi="宋体" w:cs="宋体" w:eastAsia="宋体" w:hint="default"/>
                <w:sz w:val="18"/>
                <w:szCs w:val="18"/>
              </w:rPr>
              <w:t>183</w:t>
            </w:r>
            <w:r>
              <w:rPr>
                <w:rFonts w:ascii="宋体" w:hAnsi="宋体" w:cs="宋体" w:eastAsia="宋体" w:hint="default"/>
                <w:spacing w:val="-46"/>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宋体" w:hAnsi="宋体" w:cs="宋体" w:eastAsia="宋体" w:hint="default"/>
                <w:sz w:val="18"/>
                <w:szCs w:val="18"/>
              </w:rPr>
              <w:t>43</w:t>
            </w:r>
            <w:r>
              <w:rPr>
                <w:rFonts w:ascii="宋体" w:hAnsi="宋体" w:cs="宋体" w:eastAsia="宋体" w:hint="default"/>
                <w:spacing w:val="-46"/>
                <w:sz w:val="18"/>
                <w:szCs w:val="18"/>
              </w:rPr>
              <w:t> </w:t>
            </w:r>
            <w:r>
              <w:rPr>
                <w:rFonts w:ascii="宋体" w:hAnsi="宋体" w:cs="宋体" w:eastAsia="宋体" w:hint="default"/>
                <w:sz w:val="18"/>
                <w:szCs w:val="18"/>
              </w:rPr>
              <w:t>楼</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吴克卫、许一忠</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47"/>
              <w:jc w:val="right"/>
              <w:rPr>
                <w:rFonts w:ascii="宋体" w:hAnsi="宋体" w:cs="宋体" w:eastAsia="宋体" w:hint="default"/>
                <w:sz w:val="18"/>
                <w:szCs w:val="18"/>
              </w:rPr>
            </w:pPr>
            <w:r>
              <w:rPr>
                <w:rFonts w:ascii="宋体"/>
                <w:sz w:val="18"/>
              </w:rPr>
              <w:t>2014.1.8-2015.12.31</w:t>
            </w:r>
          </w:p>
        </w:tc>
      </w:tr>
    </w:tbl>
    <w:p>
      <w:pPr>
        <w:pStyle w:val="BodyText"/>
        <w:spacing w:line="240" w:lineRule="auto" w:before="6"/>
        <w:ind w:left="758" w:right="1695"/>
        <w:jc w:val="left"/>
      </w:pPr>
      <w:r>
        <w:rPr/>
        <w:t>公司聘请的报告期内履行持续督导职责的财务顾问</w:t>
      </w:r>
    </w:p>
    <w:p>
      <w:pPr>
        <w:pStyle w:val="BodyText"/>
        <w:spacing w:line="240" w:lineRule="auto" w:before="172"/>
        <w:ind w:left="758" w:right="1695"/>
        <w:jc w:val="left"/>
      </w:pPr>
      <w:r>
        <w:rPr/>
        <w:t>√ 适用 □</w:t>
      </w:r>
      <w:r>
        <w:rPr>
          <w:spacing w:val="-2"/>
        </w:rPr>
        <w:t> </w:t>
      </w:r>
      <w:r>
        <w:rPr/>
        <w:t>不适用</w:t>
      </w:r>
    </w:p>
    <w:p>
      <w:pPr>
        <w:spacing w:line="240" w:lineRule="auto" w:before="12"/>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2189"/>
        <w:gridCol w:w="3272"/>
        <w:gridCol w:w="1737"/>
        <w:gridCol w:w="2392"/>
      </w:tblGrid>
      <w:tr>
        <w:trPr>
          <w:trHeight w:val="323"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48"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557"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4"/>
              <w:jc w:val="left"/>
              <w:rPr>
                <w:rFonts w:ascii="宋体" w:hAnsi="宋体" w:cs="宋体" w:eastAsia="宋体" w:hint="default"/>
                <w:sz w:val="18"/>
                <w:szCs w:val="18"/>
              </w:rPr>
            </w:pPr>
            <w:r>
              <w:rPr>
                <w:rFonts w:ascii="宋体" w:hAnsi="宋体" w:cs="宋体" w:eastAsia="宋体" w:hint="default"/>
                <w:sz w:val="18"/>
                <w:szCs w:val="18"/>
              </w:rPr>
              <w:t>中国民族证券有限责任公 司</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5"/>
              <w:jc w:val="center"/>
              <w:rPr>
                <w:rFonts w:ascii="宋体" w:hAnsi="宋体" w:cs="宋体" w:eastAsia="宋体" w:hint="default"/>
                <w:sz w:val="18"/>
                <w:szCs w:val="18"/>
              </w:rPr>
            </w:pPr>
            <w:r>
              <w:rPr>
                <w:rFonts w:ascii="宋体" w:hAnsi="宋体" w:cs="宋体" w:eastAsia="宋体" w:hint="default"/>
                <w:sz w:val="18"/>
                <w:szCs w:val="18"/>
              </w:rPr>
              <w:t>北京市朝阳区北四环中路</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号楼</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梁羽周、俞君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sz w:val="18"/>
              </w:rPr>
              <w:t>2014.12.31-2015.12.31</w:t>
            </w:r>
          </w:p>
        </w:tc>
      </w:tr>
    </w:tbl>
    <w:p>
      <w:pPr>
        <w:spacing w:after="0" w:line="240" w:lineRule="auto"/>
        <w:jc w:val="left"/>
        <w:rPr>
          <w:rFonts w:ascii="宋体" w:hAnsi="宋体" w:cs="宋体" w:eastAsia="宋体" w:hint="default"/>
          <w:sz w:val="18"/>
          <w:szCs w:val="18"/>
        </w:rPr>
        <w:sectPr>
          <w:pgSz w:w="11910" w:h="16840"/>
          <w:pgMar w:header="877" w:footer="938" w:top="1100" w:bottom="1120" w:left="104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565" w:right="1689"/>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1689"/>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738" w:right="1689"/>
        <w:jc w:val="left"/>
      </w:pPr>
      <w:r>
        <w:rPr/>
        <w:t>公司是否因会计政策变更及会计差错更正等追溯调整或重述以前年度会计数据</w:t>
      </w:r>
    </w:p>
    <w:p>
      <w:pPr>
        <w:spacing w:before="42"/>
        <w:ind w:left="738" w:right="1689"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2"/>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595"/>
        <w:gridCol w:w="1751"/>
        <w:gridCol w:w="1738"/>
        <w:gridCol w:w="1738"/>
        <w:gridCol w:w="1736"/>
      </w:tblGrid>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2,874,269,599.64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1,841,272,919.82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56.10%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1,620,323,237.92</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179,916,115.75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55,990,125.47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221.34%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47,863,340.85</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93,832,078.95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32,781,214.23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186.24%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44,592,414.70</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-109,977,222.09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46,525,641.55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-336.38%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52,747,071.31</w:t>
            </w:r>
          </w:p>
        </w:tc>
      </w:tr>
      <w:tr>
        <w:trPr>
          <w:trHeight w:val="32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166.67%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0.15</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166.67%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0.15</w:t>
            </w:r>
          </w:p>
        </w:tc>
      </w:tr>
      <w:tr>
        <w:trPr>
          <w:trHeight w:val="388"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1" w:type="dxa"/>
            <w:tcBorders>
              <w:top w:val="single" w:sz="4" w:space="0" w:color="000000"/>
              <w:left w:val="single" w:sz="13" w:space="0" w:color="D2D2D2"/>
              <w:bottom w:val="single" w:sz="51" w:space="0" w:color="D2D2D2"/>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11.34%</w:t>
            </w:r>
          </w:p>
        </w:tc>
        <w:tc>
          <w:tcPr>
            <w:tcW w:w="1738" w:type="dxa"/>
            <w:tcBorders>
              <w:top w:val="single" w:sz="4" w:space="0" w:color="000000"/>
              <w:left w:val="single" w:sz="4" w:space="0" w:color="000000"/>
              <w:bottom w:val="single" w:sz="51" w:space="0" w:color="D2D2D2"/>
              <w:right w:val="single" w:sz="9" w:space="0" w:color="D2D2D2"/>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5.17%</w:t>
            </w:r>
          </w:p>
        </w:tc>
        <w:tc>
          <w:tcPr>
            <w:tcW w:w="173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6.17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736" w:type="dxa"/>
            <w:tcBorders>
              <w:top w:val="single" w:sz="4" w:space="0" w:color="000000"/>
              <w:left w:val="single" w:sz="13" w:space="0" w:color="D2D2D2"/>
              <w:bottom w:val="single" w:sz="51" w:space="0" w:color="D2D2D2"/>
              <w:right w:val="single" w:sz="4" w:space="0" w:color="000000"/>
            </w:tcBorders>
          </w:tcPr>
          <w:p>
            <w:pPr>
              <w:pStyle w:val="TableParagraph"/>
              <w:spacing w:line="240" w:lineRule="auto" w:before="10"/>
              <w:ind w:right="11"/>
              <w:jc w:val="center"/>
              <w:rPr>
                <w:rFonts w:ascii="宋体" w:hAnsi="宋体" w:cs="宋体" w:eastAsia="宋体" w:hint="default"/>
                <w:sz w:val="18"/>
                <w:szCs w:val="18"/>
              </w:rPr>
            </w:pPr>
            <w:r>
              <w:rPr>
                <w:rFonts w:ascii="宋体"/>
                <w:sz w:val="18"/>
              </w:rPr>
              <w:t>4.60%</w:t>
            </w:r>
          </w:p>
        </w:tc>
      </w:tr>
      <w:tr>
        <w:trPr>
          <w:trHeight w:val="427"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1"/>
              <w:jc w:val="center"/>
              <w:rPr>
                <w:rFonts w:ascii="宋体" w:hAnsi="宋体" w:cs="宋体" w:eastAsia="宋体" w:hint="default"/>
                <w:sz w:val="18"/>
                <w:szCs w:val="18"/>
              </w:rPr>
            </w:pPr>
            <w:r>
              <w:rPr>
                <w:rFonts w:ascii="宋体"/>
                <w:sz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89"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4,201,407,970.39</w:t>
            </w:r>
          </w:p>
        </w:tc>
        <w:tc>
          <w:tcPr>
            <w:tcW w:w="1738" w:type="dxa"/>
            <w:tcBorders>
              <w:top w:val="single" w:sz="50" w:space="0" w:color="D2D2D2"/>
              <w:left w:val="single" w:sz="4" w:space="0" w:color="000000"/>
              <w:bottom w:val="single" w:sz="4" w:space="0" w:color="000000"/>
              <w:right w:val="single" w:sz="9" w:space="0" w:color="D2D2D2"/>
            </w:tcBorders>
          </w:tcPr>
          <w:p>
            <w:pPr>
              <w:pStyle w:val="TableParagraph"/>
              <w:spacing w:line="240" w:lineRule="auto" w:before="18"/>
              <w:ind w:left="4" w:right="0"/>
              <w:jc w:val="center"/>
              <w:rPr>
                <w:rFonts w:ascii="宋体" w:hAnsi="宋体" w:cs="宋体" w:eastAsia="宋体" w:hint="default"/>
                <w:sz w:val="18"/>
                <w:szCs w:val="18"/>
              </w:rPr>
            </w:pPr>
            <w:r>
              <w:rPr>
                <w:rFonts w:ascii="宋体"/>
                <w:sz w:val="18"/>
              </w:rPr>
              <w:t>2,843,415,028.76</w:t>
            </w:r>
          </w:p>
        </w:tc>
        <w:tc>
          <w:tcPr>
            <w:tcW w:w="1738"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76"/>
              <w:ind w:left="4" w:right="0"/>
              <w:jc w:val="center"/>
              <w:rPr>
                <w:rFonts w:ascii="宋体" w:hAnsi="宋体" w:cs="宋体" w:eastAsia="宋体" w:hint="default"/>
                <w:sz w:val="18"/>
                <w:szCs w:val="18"/>
              </w:rPr>
            </w:pPr>
            <w:r>
              <w:rPr>
                <w:rFonts w:ascii="宋体"/>
                <w:sz w:val="18"/>
              </w:rPr>
              <w:t>47.76%</w:t>
            </w:r>
          </w:p>
        </w:tc>
        <w:tc>
          <w:tcPr>
            <w:tcW w:w="1736"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8"/>
              <w:ind w:right="10"/>
              <w:jc w:val="center"/>
              <w:rPr>
                <w:rFonts w:ascii="宋体" w:hAnsi="宋体" w:cs="宋体" w:eastAsia="宋体" w:hint="default"/>
                <w:sz w:val="18"/>
                <w:szCs w:val="18"/>
              </w:rPr>
            </w:pPr>
            <w:r>
              <w:rPr>
                <w:rFonts w:ascii="宋体"/>
                <w:sz w:val="18"/>
              </w:rPr>
              <w:t>2,214,729,976.58</w:t>
            </w:r>
          </w:p>
        </w:tc>
      </w:tr>
      <w:tr>
        <w:trPr>
          <w:trHeight w:val="557"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2,003,735,842.79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1,512,294,731.53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32.50%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1,062,953,532.24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2"/>
        <w:spacing w:line="240" w:lineRule="auto" w:before="26"/>
        <w:ind w:right="1689"/>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left="738" w:right="1793" w:firstLine="420"/>
        <w:jc w:val="left"/>
      </w:pPr>
      <w:r>
        <w:rPr>
          <w:rFonts w:ascii="宋体" w:hAnsi="宋体" w:cs="宋体" w:eastAsia="宋体" w:hint="default"/>
        </w:rPr>
        <w:t>1</w:t>
      </w:r>
      <w:r>
        <w:rPr/>
        <w:t>、公司报告期不存在按照国际会计准则与按照中国会计准则披露的财务报告中净利润 和净资产差异情况。</w:t>
      </w:r>
    </w:p>
    <w:p>
      <w:pPr>
        <w:pStyle w:val="BodyText"/>
        <w:spacing w:line="355" w:lineRule="auto" w:before="73"/>
        <w:ind w:left="738" w:right="1793" w:firstLine="420"/>
        <w:jc w:val="left"/>
      </w:pPr>
      <w:r>
        <w:rPr>
          <w:rFonts w:ascii="宋体" w:hAnsi="宋体" w:cs="宋体" w:eastAsia="宋体" w:hint="default"/>
        </w:rPr>
        <w:t>2</w:t>
      </w:r>
      <w:r>
        <w:rPr/>
        <w:t>、公司报告期不存在按照境外会计准则与按照中国会计准则披露的财务报告中净利润 和净资产差异情况。</w:t>
      </w:r>
    </w:p>
    <w:p>
      <w:pPr>
        <w:spacing w:line="240" w:lineRule="auto" w:before="13"/>
        <w:rPr>
          <w:rFonts w:ascii="宋体" w:hAnsi="宋体" w:cs="宋体" w:eastAsia="宋体" w:hint="default"/>
          <w:sz w:val="28"/>
          <w:szCs w:val="28"/>
        </w:rPr>
      </w:pPr>
    </w:p>
    <w:p>
      <w:pPr>
        <w:pStyle w:val="Heading2"/>
        <w:spacing w:line="240" w:lineRule="auto"/>
        <w:ind w:right="1689"/>
        <w:jc w:val="left"/>
        <w:rPr>
          <w:b w:val="0"/>
          <w:bCs w:val="0"/>
        </w:rPr>
      </w:pPr>
      <w:bookmarkStart w:name="三、非经常性损益项目及金额" w:id="14"/>
      <w:bookmarkEnd w:id="14"/>
      <w:r>
        <w:rPr>
          <w:b w:val="0"/>
          <w:bCs w:val="0"/>
        </w:rPr>
      </w:r>
      <w:r>
        <w:rPr/>
        <w:t>三、非经常性损益项目及金额</w:t>
      </w:r>
      <w:r>
        <w:rPr>
          <w:b w:val="0"/>
          <w:bCs w:val="0"/>
        </w:rPr>
      </w:r>
    </w:p>
    <w:p>
      <w:pPr>
        <w:spacing w:line="240" w:lineRule="auto" w:before="11"/>
        <w:rPr>
          <w:rFonts w:ascii="宋体" w:hAnsi="宋体" w:cs="宋体" w:eastAsia="宋体" w:hint="default"/>
          <w:b/>
          <w:bCs/>
          <w:sz w:val="18"/>
          <w:szCs w:val="18"/>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32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3"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73" w:right="0"/>
              <w:jc w:val="left"/>
              <w:rPr>
                <w:rFonts w:ascii="宋体" w:hAnsi="宋体" w:cs="宋体" w:eastAsia="宋体" w:hint="default"/>
                <w:sz w:val="18"/>
                <w:szCs w:val="18"/>
              </w:rPr>
            </w:pPr>
            <w:r>
              <w:rPr>
                <w:rFonts w:ascii="宋体"/>
                <w:sz w:val="18"/>
              </w:rPr>
              <w:t>94,534,159.37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59" w:right="0"/>
              <w:jc w:val="left"/>
              <w:rPr>
                <w:rFonts w:ascii="宋体" w:hAnsi="宋体" w:cs="宋体" w:eastAsia="宋体" w:hint="default"/>
                <w:sz w:val="18"/>
                <w:szCs w:val="18"/>
              </w:rPr>
            </w:pPr>
            <w:r>
              <w:rPr>
                <w:rFonts w:ascii="宋体"/>
                <w:sz w:val="18"/>
              </w:rPr>
              <w:t>-922,100.34</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9" w:right="0"/>
              <w:jc w:val="left"/>
              <w:rPr>
                <w:rFonts w:ascii="宋体" w:hAnsi="宋体" w:cs="宋体" w:eastAsia="宋体" w:hint="default"/>
                <w:sz w:val="18"/>
                <w:szCs w:val="18"/>
              </w:rPr>
            </w:pPr>
            <w:r>
              <w:rPr>
                <w:rFonts w:ascii="宋体"/>
                <w:sz w:val="18"/>
              </w:rPr>
              <w:t>-2,892,727.23</w:t>
            </w:r>
          </w:p>
        </w:tc>
        <w:tc>
          <w:tcPr>
            <w:tcW w:w="1710" w:type="dxa"/>
            <w:vMerge w:val="restart"/>
            <w:tcBorders>
              <w:top w:val="single" w:sz="4" w:space="0" w:color="000000"/>
              <w:left w:val="single" w:sz="4" w:space="0" w:color="000000"/>
              <w:right w:val="single" w:sz="4" w:space="0" w:color="000000"/>
            </w:tcBorders>
          </w:tcPr>
          <w:p>
            <w:pPr>
              <w:pStyle w:val="TableParagraph"/>
              <w:spacing w:line="237" w:lineRule="auto" w:before="12"/>
              <w:ind w:left="22" w:right="55"/>
              <w:jc w:val="both"/>
              <w:rPr>
                <w:rFonts w:ascii="宋体" w:hAnsi="宋体" w:cs="宋体" w:eastAsia="宋体" w:hint="default"/>
                <w:sz w:val="18"/>
                <w:szCs w:val="18"/>
              </w:rPr>
            </w:pPr>
            <w:r>
              <w:rPr>
                <w:rFonts w:ascii="宋体" w:hAnsi="宋体" w:cs="宋体" w:eastAsia="宋体" w:hint="default"/>
                <w:sz w:val="18"/>
                <w:szCs w:val="18"/>
              </w:rPr>
              <w:t>主要系本期公司控股 子公司无锡利欧锡泵 制造有限公司出售其 所持有的</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日立泵 股权所产生的收益所 致。</w:t>
            </w:r>
          </w:p>
        </w:tc>
      </w:tr>
      <w:tr>
        <w:trPr>
          <w:trHeight w:val="54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2" w:lineRule="exact" w:before="34"/>
              <w:ind w:left="11"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vMerge/>
            <w:tcBorders>
              <w:left w:val="single" w:sz="9"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472"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9"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32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越权审批，或无正式批准文件，或偶发性</w:t>
            </w:r>
          </w:p>
        </w:tc>
        <w:tc>
          <w:tcPr>
            <w:tcW w:w="15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left="309" w:right="0"/>
              <w:jc w:val="left"/>
              <w:rPr>
                <w:rFonts w:ascii="宋体" w:hAnsi="宋体" w:cs="宋体" w:eastAsia="宋体" w:hint="default"/>
                <w:sz w:val="18"/>
                <w:szCs w:val="18"/>
              </w:rPr>
            </w:pPr>
            <w:r>
              <w:rPr>
                <w:rFonts w:ascii="宋体"/>
                <w:sz w:val="18"/>
              </w:rPr>
              <w:t>972,754.91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296"/>
        <w:gridCol w:w="1521"/>
        <w:gridCol w:w="1520"/>
        <w:gridCol w:w="1522"/>
        <w:gridCol w:w="1710"/>
      </w:tblGrid>
      <w:tr>
        <w:trPr>
          <w:trHeight w:val="28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的税收返还、减免</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9"/>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1"/>
              <w:jc w:val="right"/>
              <w:rPr>
                <w:rFonts w:ascii="宋体" w:hAnsi="宋体" w:cs="宋体" w:eastAsia="宋体" w:hint="default"/>
                <w:sz w:val="18"/>
                <w:szCs w:val="18"/>
              </w:rPr>
            </w:pPr>
            <w:r>
              <w:rPr>
                <w:rFonts w:ascii="宋体"/>
                <w:sz w:val="18"/>
              </w:rPr>
              <w:t>56,609,763.31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sz w:val="18"/>
              </w:rPr>
              <w:t>9,591,046.15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sz w:val="18"/>
              </w:rPr>
              <w:t>8,248,449.80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55"/>
              <w:jc w:val="both"/>
              <w:rPr>
                <w:rFonts w:ascii="宋体" w:hAnsi="宋体" w:cs="宋体" w:eastAsia="宋体" w:hint="default"/>
                <w:sz w:val="18"/>
                <w:szCs w:val="18"/>
              </w:rPr>
            </w:pPr>
            <w:r>
              <w:rPr>
                <w:rFonts w:ascii="宋体" w:hAnsi="宋体" w:cs="宋体" w:eastAsia="宋体" w:hint="default"/>
                <w:sz w:val="18"/>
                <w:szCs w:val="18"/>
              </w:rPr>
              <w:t>主要系公司根据政府 土地收储相关文件确 认</w:t>
            </w:r>
            <w:r>
              <w:rPr>
                <w:rFonts w:ascii="宋体" w:hAnsi="宋体" w:cs="宋体" w:eastAsia="宋体" w:hint="default"/>
                <w:spacing w:val="-46"/>
                <w:sz w:val="18"/>
                <w:szCs w:val="18"/>
              </w:rPr>
              <w:t> </w:t>
            </w:r>
            <w:r>
              <w:rPr>
                <w:rFonts w:ascii="宋体" w:hAnsi="宋体" w:cs="宋体" w:eastAsia="宋体" w:hint="default"/>
                <w:sz w:val="18"/>
                <w:szCs w:val="18"/>
              </w:rPr>
              <w:t>4,812</w:t>
            </w:r>
            <w:r>
              <w:rPr>
                <w:rFonts w:ascii="宋体" w:hAnsi="宋体" w:cs="宋体" w:eastAsia="宋体" w:hint="default"/>
                <w:spacing w:val="-46"/>
                <w:sz w:val="18"/>
                <w:szCs w:val="18"/>
              </w:rPr>
              <w:t> </w:t>
            </w:r>
            <w:r>
              <w:rPr>
                <w:rFonts w:ascii="宋体" w:hAnsi="宋体" w:cs="宋体" w:eastAsia="宋体" w:hint="default"/>
                <w:sz w:val="18"/>
                <w:szCs w:val="18"/>
              </w:rPr>
              <w:t>万元搬迁奖 励。</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4" w:right="0"/>
              <w:jc w:val="left"/>
              <w:rPr>
                <w:rFonts w:ascii="宋体" w:hAnsi="宋体" w:cs="宋体" w:eastAsia="宋体" w:hint="default"/>
                <w:sz w:val="18"/>
                <w:szCs w:val="18"/>
              </w:rPr>
            </w:pPr>
            <w:r>
              <w:rPr>
                <w:rFonts w:ascii="宋体"/>
                <w:sz w:val="18"/>
              </w:rPr>
              <w:t>3,745,542.70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4" w:right="0"/>
              <w:jc w:val="left"/>
              <w:rPr>
                <w:rFonts w:ascii="宋体" w:hAnsi="宋体" w:cs="宋体" w:eastAsia="宋体" w:hint="default"/>
                <w:sz w:val="18"/>
                <w:szCs w:val="18"/>
              </w:rPr>
            </w:pPr>
            <w:r>
              <w:rPr>
                <w:rFonts w:ascii="宋体"/>
                <w:sz w:val="18"/>
              </w:rPr>
              <w:t>2,994,630.51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71"/>
              <w:jc w:val="right"/>
              <w:rPr>
                <w:rFonts w:ascii="宋体" w:hAnsi="宋体" w:cs="宋体" w:eastAsia="宋体" w:hint="default"/>
                <w:sz w:val="18"/>
                <w:szCs w:val="18"/>
              </w:rPr>
            </w:pPr>
            <w:r>
              <w:rPr>
                <w:rFonts w:ascii="宋体"/>
                <w:sz w:val="18"/>
              </w:rPr>
              <w:t>-6,757,506.99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59" w:right="0"/>
              <w:jc w:val="left"/>
              <w:rPr>
                <w:rFonts w:ascii="宋体" w:hAnsi="宋体" w:cs="宋体" w:eastAsia="宋体" w:hint="default"/>
                <w:sz w:val="18"/>
                <w:szCs w:val="18"/>
              </w:rPr>
            </w:pPr>
            <w:r>
              <w:rPr>
                <w:rFonts w:ascii="宋体"/>
                <w:sz w:val="18"/>
              </w:rPr>
              <w:t>-300,000.00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4"/>
              <w:jc w:val="right"/>
              <w:rPr>
                <w:rFonts w:ascii="宋体" w:hAnsi="宋体" w:cs="宋体" w:eastAsia="宋体" w:hint="default"/>
                <w:sz w:val="18"/>
                <w:szCs w:val="18"/>
              </w:rPr>
            </w:pPr>
            <w:r>
              <w:rPr>
                <w:rFonts w:ascii="宋体"/>
                <w:sz w:val="18"/>
              </w:rPr>
              <w:t>-20,804,679.50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11,878,847.00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-823,910.00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55"/>
              <w:jc w:val="both"/>
              <w:rPr>
                <w:rFonts w:ascii="宋体" w:hAnsi="宋体" w:cs="宋体" w:eastAsia="宋体" w:hint="default"/>
                <w:sz w:val="18"/>
                <w:szCs w:val="18"/>
              </w:rPr>
            </w:pPr>
            <w:r>
              <w:rPr>
                <w:rFonts w:ascii="宋体" w:hAnsi="宋体" w:cs="宋体" w:eastAsia="宋体" w:hint="default"/>
                <w:sz w:val="18"/>
                <w:szCs w:val="18"/>
              </w:rPr>
              <w:t>主要系本期公司未履 行完毕的远期结售汇 合约按远期汇率计算 并确认公允价值变动 收益减少所致。</w:t>
            </w: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4" w:right="0"/>
              <w:jc w:val="left"/>
              <w:rPr>
                <w:rFonts w:ascii="宋体" w:hAnsi="宋体" w:cs="宋体" w:eastAsia="宋体" w:hint="default"/>
                <w:sz w:val="18"/>
                <w:szCs w:val="18"/>
              </w:rPr>
            </w:pPr>
            <w:r>
              <w:rPr>
                <w:rFonts w:ascii="宋体"/>
                <w:sz w:val="18"/>
              </w:rPr>
              <w:t>1,236,931.46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1,039,059.71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-246,529.74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4" w:right="0"/>
              <w:jc w:val="left"/>
              <w:rPr>
                <w:rFonts w:ascii="宋体" w:hAnsi="宋体" w:cs="宋体" w:eastAsia="宋体" w:hint="default"/>
                <w:sz w:val="18"/>
                <w:szCs w:val="18"/>
              </w:rPr>
            </w:pPr>
            <w:r>
              <w:rPr>
                <w:rFonts w:ascii="宋体"/>
                <w:sz w:val="18"/>
              </w:rPr>
              <w:t>256,341.28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2,276,211.70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4"/>
              <w:jc w:val="right"/>
              <w:rPr>
                <w:rFonts w:ascii="宋体" w:hAnsi="宋体" w:cs="宋体" w:eastAsia="宋体" w:hint="default"/>
                <w:sz w:val="18"/>
                <w:szCs w:val="18"/>
              </w:rPr>
            </w:pPr>
            <w:r>
              <w:rPr>
                <w:rFonts w:ascii="宋体"/>
                <w:sz w:val="18"/>
              </w:rPr>
              <w:t>19,350,822.98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2,167,360.37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793,801.92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4"/>
              <w:jc w:val="right"/>
              <w:rPr>
                <w:rFonts w:ascii="宋体" w:hAnsi="宋体" w:cs="宋体" w:eastAsia="宋体" w:hint="default"/>
                <w:sz w:val="18"/>
                <w:szCs w:val="18"/>
              </w:rPr>
            </w:pPr>
            <w:r>
              <w:rPr>
                <w:rFonts w:ascii="宋体"/>
                <w:sz w:val="18"/>
              </w:rPr>
              <w:t>24,058,446.76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1,481,423.12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220,554.76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宋体" w:hAnsi="宋体" w:cs="宋体" w:eastAsia="宋体" w:hint="default"/>
                <w:sz w:val="18"/>
                <w:szCs w:val="18"/>
              </w:rPr>
            </w:pPr>
            <w:r>
              <w:rPr>
                <w:rFonts w:ascii="宋体"/>
                <w:sz w:val="18"/>
              </w:rPr>
              <w:t>86,084,036.80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23,208,911.24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3,270,926.15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bl>
    <w:p>
      <w:pPr>
        <w:pStyle w:val="BodyText"/>
        <w:spacing w:line="240" w:lineRule="auto" w:before="5"/>
        <w:ind w:left="1158" w:right="1689"/>
        <w:jc w:val="left"/>
      </w:pPr>
      <w:r>
        <w:rPr/>
        <w:t>对公司根据《公开发行证券的公司信息披露解释性公告第</w:t>
      </w:r>
      <w:r>
        <w:rPr>
          <w:spacing w:val="-74"/>
        </w:rPr>
        <w:t> </w:t>
      </w:r>
      <w:r>
        <w:rPr>
          <w:rFonts w:ascii="宋体" w:hAnsi="宋体" w:cs="宋体" w:eastAsia="宋体" w:hint="default"/>
        </w:rPr>
        <w:t>1</w:t>
      </w:r>
      <w:r>
        <w:rPr>
          <w:rFonts w:ascii="宋体" w:hAnsi="宋体" w:cs="宋体" w:eastAsia="宋体" w:hint="default"/>
          <w:spacing w:val="-74"/>
        </w:rPr>
        <w:t> </w:t>
      </w:r>
      <w:r>
        <w:rPr>
          <w:spacing w:val="-4"/>
        </w:rPr>
        <w:t>号——非经常性损益》定义</w:t>
      </w:r>
    </w:p>
    <w:p>
      <w:pPr>
        <w:pStyle w:val="BodyText"/>
        <w:spacing w:line="357" w:lineRule="auto" w:before="133"/>
        <w:ind w:left="737" w:right="1780"/>
        <w:jc w:val="left"/>
      </w:pPr>
      <w:r>
        <w:rPr>
          <w:spacing w:val="-3"/>
        </w:rPr>
        <w:t>界定的非经常性损益项目，以及把《公开发行证券的公司信息披露解释性公告第</w:t>
      </w:r>
      <w:r>
        <w:rPr>
          <w:spacing w:val="-45"/>
        </w:rPr>
        <w:t> </w:t>
      </w:r>
      <w:r>
        <w:rPr>
          <w:rFonts w:ascii="宋体" w:hAnsi="宋体" w:cs="宋体" w:eastAsia="宋体" w:hint="default"/>
        </w:rPr>
        <w:t>1</w:t>
      </w:r>
      <w:r>
        <w:rPr>
          <w:rFonts w:ascii="宋体" w:hAnsi="宋体" w:cs="宋体" w:eastAsia="宋体" w:hint="default"/>
          <w:spacing w:val="-46"/>
        </w:rPr>
        <w:t> </w:t>
      </w:r>
      <w:r>
        <w:rPr/>
        <w:t>号——非 经常性损益》中列举的非经常性损益项目界定为经常性损益的项目，应说明原因。</w:t>
      </w:r>
    </w:p>
    <w:p>
      <w:pPr>
        <w:pStyle w:val="BodyText"/>
        <w:spacing w:line="240" w:lineRule="auto" w:before="71"/>
        <w:ind w:left="737" w:right="1689"/>
        <w:jc w:val="left"/>
      </w:pPr>
      <w:r>
        <w:rPr/>
        <w:t>□ 适用 √</w:t>
      </w:r>
      <w:r>
        <w:rPr>
          <w:spacing w:val="-2"/>
        </w:rPr>
        <w:t> </w:t>
      </w:r>
      <w:r>
        <w:rPr/>
        <w:t>不适用</w:t>
      </w:r>
    </w:p>
    <w:p>
      <w:pPr>
        <w:spacing w:after="0" w:line="240" w:lineRule="auto"/>
        <w:jc w:val="left"/>
        <w:sectPr>
          <w:pgSz w:w="11910" w:h="16840"/>
          <w:pgMar w:header="877" w:footer="938" w:top="1100" w:bottom="1120" w:left="10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29" w:right="0"/>
        <w:jc w:val="left"/>
        <w:rPr>
          <w:b w:val="0"/>
          <w:bCs w:val="0"/>
        </w:rPr>
      </w:pPr>
      <w:bookmarkStart w:name="第四节 董事会报告" w:id="15"/>
      <w:bookmarkEnd w:id="15"/>
      <w:r>
        <w:rPr>
          <w:b w:val="0"/>
          <w:bCs w:val="0"/>
        </w:rPr>
      </w:r>
      <w:bookmarkStart w:name="_bookmark3" w:id="16"/>
      <w:bookmarkEnd w:id="16"/>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left="138" w:right="0"/>
        <w:jc w:val="left"/>
        <w:rPr>
          <w:b w:val="0"/>
          <w:bCs w:val="0"/>
        </w:rPr>
      </w:pPr>
      <w:bookmarkStart w:name="一、概述" w:id="17"/>
      <w:bookmarkEnd w:id="17"/>
      <w:r>
        <w:rPr>
          <w:b w:val="0"/>
          <w:bCs w:val="0"/>
        </w:rPr>
      </w:r>
      <w:r>
        <w:rPr/>
        <w:t>一、概述</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792" w:firstLine="420"/>
        <w:jc w:val="both"/>
      </w:pPr>
      <w:r>
        <w:rPr>
          <w:rFonts w:ascii="宋体" w:hAnsi="宋体" w:cs="宋体" w:eastAsia="宋体" w:hint="default"/>
          <w:spacing w:val="-3"/>
        </w:rPr>
        <w:t>2014</w:t>
      </w:r>
      <w:r>
        <w:rPr>
          <w:spacing w:val="-3"/>
        </w:rPr>
        <w:t>年，按照年初制定的年度发展目标和公司战略规划，公司经营团队在董事会的正确</w:t>
      </w:r>
      <w:r>
        <w:rPr/>
        <w:t> </w:t>
      </w:r>
      <w:r>
        <w:rPr>
          <w:spacing w:val="-3"/>
        </w:rPr>
        <w:t>领导下，在全体利欧人的共同努力下，无论是在市场开拓，还是内部管理提升、人才培养等</w:t>
      </w:r>
      <w:r>
        <w:rPr>
          <w:spacing w:val="-73"/>
        </w:rPr>
        <w:t> </w:t>
      </w:r>
      <w:r>
        <w:rPr>
          <w:spacing w:val="-73"/>
        </w:rPr>
      </w:r>
      <w:r>
        <w:rPr/>
        <w:t>方面，公司都持续进步，公司原有机械制造业务实现了稳中向好的发展态势。</w:t>
      </w:r>
    </w:p>
    <w:p>
      <w:pPr>
        <w:pStyle w:val="BodyText"/>
        <w:spacing w:line="357" w:lineRule="auto" w:before="31"/>
        <w:ind w:right="0" w:firstLine="420"/>
        <w:jc w:val="left"/>
      </w:pPr>
      <w:r>
        <w:rPr>
          <w:spacing w:val="-3"/>
        </w:rPr>
        <w:t>自上市以来，利欧股份业务范围已逐步由单纯的民用泵业务拓展到工业泵业务，在整个</w:t>
      </w:r>
      <w:r>
        <w:rPr/>
        <w:t> </w:t>
      </w:r>
      <w:r>
        <w:rPr>
          <w:spacing w:val="-3"/>
        </w:rPr>
        <w:t>泵业领域覆盖了较为完整的泵业产品。随着传统泵制造业务的增长趋于稳定，为增强公司盈</w:t>
      </w:r>
      <w:r>
        <w:rPr>
          <w:spacing w:val="-74"/>
        </w:rPr>
        <w:t> </w:t>
      </w:r>
      <w:r>
        <w:rPr>
          <w:spacing w:val="-74"/>
        </w:rPr>
      </w:r>
      <w:r>
        <w:rPr>
          <w:spacing w:val="-3"/>
        </w:rPr>
        <w:t>利能力，培育新的利润增长点，公司积极寻求战略发展的新突破，力求从传统行业以外发掘</w:t>
      </w:r>
      <w:r>
        <w:rPr>
          <w:spacing w:val="-72"/>
        </w:rPr>
        <w:t> </w:t>
      </w:r>
      <w:r>
        <w:rPr>
          <w:spacing w:val="-72"/>
        </w:rPr>
      </w:r>
      <w:r>
        <w:rPr>
          <w:spacing w:val="-3"/>
        </w:rPr>
        <w:t>新的业绩增长点。</w:t>
      </w:r>
      <w:r>
        <w:rPr>
          <w:rFonts w:ascii="宋体" w:hAnsi="宋体" w:cs="宋体" w:eastAsia="宋体" w:hint="default"/>
          <w:spacing w:val="-3"/>
        </w:rPr>
        <w:t>2014</w:t>
      </w:r>
      <w:r>
        <w:rPr>
          <w:spacing w:val="-3"/>
        </w:rPr>
        <w:t>年，公司在专注于经营原有制造业务的同时，从国家产业政策导向以</w:t>
      </w:r>
      <w:r>
        <w:rPr>
          <w:spacing w:val="-67"/>
        </w:rPr>
        <w:t> </w:t>
      </w:r>
      <w:r>
        <w:rPr>
          <w:spacing w:val="-67"/>
        </w:rPr>
      </w:r>
      <w:r>
        <w:rPr>
          <w:spacing w:val="-3"/>
        </w:rPr>
        <w:t>及行业发展现状、市场前景等方面进行论证，谋求进入互联网业务领域，完成收购了上海漫</w:t>
      </w:r>
      <w:r>
        <w:rPr>
          <w:spacing w:val="-73"/>
        </w:rPr>
        <w:t> </w:t>
      </w:r>
      <w:r>
        <w:rPr>
          <w:spacing w:val="-73"/>
        </w:rPr>
      </w:r>
      <w:r>
        <w:rPr/>
        <w:t>酷、上海氩氪和琥珀传播等</w:t>
      </w:r>
      <w:r>
        <w:rPr>
          <w:rFonts w:ascii="宋体" w:hAnsi="宋体" w:cs="宋体" w:eastAsia="宋体" w:hint="default"/>
        </w:rPr>
        <w:t>3</w:t>
      </w:r>
      <w:r>
        <w:rPr/>
        <w:t>家数字营销公司。目前，公司数字营销业务已覆盖营销策略、 </w:t>
      </w:r>
      <w:r>
        <w:rPr>
          <w:spacing w:val="-3"/>
        </w:rPr>
        <w:t>创意、执行、媒体投放、监测、评估、优化提升、社会化营销等完整的数字营销服务，实现</w:t>
      </w:r>
      <w:r>
        <w:rPr>
          <w:spacing w:val="-77"/>
        </w:rPr>
        <w:t> </w:t>
      </w:r>
      <w:r>
        <w:rPr>
          <w:spacing w:val="-77"/>
        </w:rPr>
      </w:r>
      <w:r>
        <w:rPr>
          <w:spacing w:val="-3"/>
        </w:rPr>
        <w:t>全产业链布局，公司已成为行业内首家一站式整合数字营销服务机构。公司已成功实现主营</w:t>
      </w:r>
      <w:r>
        <w:rPr>
          <w:spacing w:val="-75"/>
        </w:rPr>
        <w:t> </w:t>
      </w:r>
      <w:r>
        <w:rPr>
          <w:spacing w:val="-75"/>
        </w:rPr>
      </w:r>
      <w:r>
        <w:rPr>
          <w:spacing w:val="-5"/>
        </w:rPr>
        <w:t>业务由传统制造业向互联网业务领域的逐步扩张。</w:t>
      </w:r>
      <w:r>
        <w:rPr>
          <w:rFonts w:ascii="宋体" w:hAnsi="宋体" w:cs="宋体" w:eastAsia="宋体" w:hint="default"/>
          <w:spacing w:val="-5"/>
        </w:rPr>
        <w:t>2015</w:t>
      </w:r>
      <w:r>
        <w:rPr>
          <w:spacing w:val="-5"/>
        </w:rPr>
        <w:t>年，公司将继续通过收购兼并的方式，</w:t>
      </w:r>
      <w:r>
        <w:rPr>
          <w:spacing w:val="-86"/>
        </w:rPr>
        <w:t> </w:t>
      </w:r>
      <w:r>
        <w:rPr>
          <w:spacing w:val="-86"/>
        </w:rPr>
      </w:r>
      <w:r>
        <w:rPr/>
        <w:t>实现公司互联网板块的发展壮大。</w:t>
      </w:r>
    </w:p>
    <w:p>
      <w:pPr>
        <w:pStyle w:val="BodyText"/>
        <w:spacing w:line="357" w:lineRule="auto" w:before="31"/>
        <w:ind w:right="1794" w:firstLine="420"/>
        <w:jc w:val="both"/>
      </w:pPr>
      <w:r>
        <w:rPr>
          <w:spacing w:val="-2"/>
        </w:rPr>
        <w:t>报告期内，公司实现营业收入</w:t>
      </w:r>
      <w:r>
        <w:rPr>
          <w:rFonts w:ascii="宋体" w:hAnsi="宋体" w:cs="宋体" w:eastAsia="宋体" w:hint="default"/>
          <w:spacing w:val="-2"/>
        </w:rPr>
        <w:t>287,426.96</w:t>
      </w:r>
      <w:r>
        <w:rPr>
          <w:spacing w:val="-2"/>
        </w:rPr>
        <w:t>万元，同比增长</w:t>
      </w:r>
      <w:r>
        <w:rPr>
          <w:rFonts w:ascii="宋体" w:hAnsi="宋体" w:cs="宋体" w:eastAsia="宋体" w:hint="default"/>
          <w:spacing w:val="-2"/>
        </w:rPr>
        <w:t>56.10%</w:t>
      </w:r>
      <w:r>
        <w:rPr>
          <w:spacing w:val="-2"/>
        </w:rPr>
        <w:t>，其中，主营业务收入</w:t>
      </w:r>
      <w:r>
        <w:rPr/>
        <w:t> </w:t>
      </w:r>
      <w:r>
        <w:rPr>
          <w:rFonts w:ascii="宋体" w:hAnsi="宋体" w:cs="宋体" w:eastAsia="宋体" w:hint="default"/>
        </w:rPr>
        <w:t>283,793.92</w:t>
      </w:r>
      <w:r>
        <w:rPr/>
        <w:t>万元，同比增长</w:t>
      </w:r>
      <w:r>
        <w:rPr>
          <w:rFonts w:ascii="宋体" w:hAnsi="宋体" w:cs="宋体" w:eastAsia="宋体" w:hint="default"/>
        </w:rPr>
        <w:t>57.51%</w:t>
      </w:r>
      <w:r>
        <w:rPr/>
        <w:t>；实现归属于上市公司股东的净利润</w:t>
      </w:r>
      <w:r>
        <w:rPr>
          <w:rFonts w:ascii="宋体" w:hAnsi="宋体" w:cs="宋体" w:eastAsia="宋体" w:hint="default"/>
        </w:rPr>
        <w:t>17,991.61</w:t>
      </w:r>
      <w:r>
        <w:rPr/>
        <w:t>万元，同</w:t>
      </w:r>
      <w:r>
        <w:rPr>
          <w:spacing w:val="-93"/>
        </w:rPr>
        <w:t> </w:t>
      </w:r>
      <w:r>
        <w:rPr/>
        <w:t>比增长</w:t>
      </w:r>
      <w:r>
        <w:rPr>
          <w:rFonts w:ascii="宋体" w:hAnsi="宋体" w:cs="宋体" w:eastAsia="宋体" w:hint="default"/>
        </w:rPr>
        <w:t>221.34%</w:t>
      </w:r>
      <w:r>
        <w:rPr/>
        <w:t>；实现每股收益</w:t>
      </w:r>
      <w:r>
        <w:rPr>
          <w:rFonts w:ascii="宋体" w:hAnsi="宋体" w:cs="宋体" w:eastAsia="宋体" w:hint="default"/>
        </w:rPr>
        <w:t>0.48</w:t>
      </w:r>
      <w:r>
        <w:rPr/>
        <w:t>元，同比增长</w:t>
      </w:r>
      <w:r>
        <w:rPr>
          <w:rFonts w:ascii="宋体" w:hAnsi="宋体" w:cs="宋体" w:eastAsia="宋体" w:hint="default"/>
        </w:rPr>
        <w:t>166.67%</w:t>
      </w:r>
      <w:r>
        <w:rPr/>
        <w:t>。主要原因系：（</w:t>
      </w:r>
      <w:r>
        <w:rPr>
          <w:rFonts w:ascii="宋体" w:hAnsi="宋体" w:cs="宋体" w:eastAsia="宋体" w:hint="default"/>
        </w:rPr>
        <w:t>1</w:t>
      </w:r>
      <w:r>
        <w:rPr/>
        <w:t>）民用泵业务</w:t>
      </w:r>
      <w:r>
        <w:rPr>
          <w:spacing w:val="-95"/>
        </w:rPr>
        <w:t> </w:t>
      </w:r>
      <w:r>
        <w:rPr>
          <w:spacing w:val="-95"/>
        </w:rPr>
      </w:r>
      <w:r>
        <w:rPr>
          <w:spacing w:val="-3"/>
        </w:rPr>
        <w:t>销售收入稳步增长，且产品毛利率提升；（</w:t>
      </w:r>
      <w:r>
        <w:rPr>
          <w:rFonts w:ascii="宋体" w:hAnsi="宋体" w:cs="宋体" w:eastAsia="宋体" w:hint="default"/>
          <w:spacing w:val="-3"/>
        </w:rPr>
        <w:t>2</w:t>
      </w:r>
      <w:r>
        <w:rPr>
          <w:spacing w:val="-3"/>
        </w:rPr>
        <w:t>）上海漫酷广告有限公司自</w:t>
      </w:r>
      <w:r>
        <w:rPr>
          <w:rFonts w:ascii="宋体" w:hAnsi="宋体" w:cs="宋体" w:eastAsia="宋体" w:hint="default"/>
          <w:spacing w:val="-3"/>
        </w:rPr>
        <w:t>2014</w:t>
      </w:r>
      <w:r>
        <w:rPr>
          <w:spacing w:val="-3"/>
        </w:rPr>
        <w:t>年</w:t>
      </w:r>
      <w:r>
        <w:rPr>
          <w:rFonts w:ascii="宋体" w:hAnsi="宋体" w:cs="宋体" w:eastAsia="宋体" w:hint="default"/>
          <w:spacing w:val="-3"/>
        </w:rPr>
        <w:t>4</w:t>
      </w:r>
      <w:r>
        <w:rPr>
          <w:spacing w:val="-3"/>
        </w:rPr>
        <w:t>月起纳入公</w:t>
      </w:r>
      <w:r>
        <w:rPr>
          <w:spacing w:val="-70"/>
        </w:rPr>
        <w:t> </w:t>
      </w:r>
      <w:r>
        <w:rPr>
          <w:spacing w:val="-70"/>
        </w:rPr>
      </w:r>
      <w:r>
        <w:rPr/>
        <w:t>司财务报表合并范围；（</w:t>
      </w:r>
      <w:r>
        <w:rPr>
          <w:rFonts w:ascii="宋体" w:hAnsi="宋体" w:cs="宋体" w:eastAsia="宋体" w:hint="default"/>
        </w:rPr>
        <w:t>3</w:t>
      </w:r>
      <w:r>
        <w:rPr/>
        <w:t>）本报告期，无锡锡泵处置日立泵</w:t>
      </w:r>
      <w:r>
        <w:rPr>
          <w:rFonts w:ascii="宋体" w:hAnsi="宋体" w:cs="宋体" w:eastAsia="宋体" w:hint="default"/>
        </w:rPr>
        <w:t>30%</w:t>
      </w:r>
      <w:r>
        <w:rPr/>
        <w:t>股权，实现投资收益。</w:t>
      </w:r>
    </w:p>
    <w:p>
      <w:pPr>
        <w:pStyle w:val="BodyText"/>
        <w:spacing w:line="357" w:lineRule="auto"/>
        <w:ind w:left="138" w:right="1688" w:firstLine="420"/>
        <w:jc w:val="left"/>
      </w:pPr>
      <w:r>
        <w:rPr>
          <w:spacing w:val="-2"/>
        </w:rPr>
        <w:t>报告期末，公司总资产为</w:t>
      </w:r>
      <w:r>
        <w:rPr>
          <w:rFonts w:ascii="宋体" w:hAnsi="宋体" w:cs="宋体" w:eastAsia="宋体" w:hint="default"/>
          <w:spacing w:val="-2"/>
        </w:rPr>
        <w:t>420,140.80</w:t>
      </w:r>
      <w:r>
        <w:rPr>
          <w:spacing w:val="-2"/>
        </w:rPr>
        <w:t>万元，较期初增加</w:t>
      </w:r>
      <w:r>
        <w:rPr>
          <w:rFonts w:ascii="宋体" w:hAnsi="宋体" w:cs="宋体" w:eastAsia="宋体" w:hint="default"/>
          <w:spacing w:val="-2"/>
        </w:rPr>
        <w:t>47.76%</w:t>
      </w:r>
      <w:r>
        <w:rPr>
          <w:spacing w:val="-2"/>
        </w:rPr>
        <w:t>；归属于上市公司股东的</w:t>
      </w:r>
      <w:r>
        <w:rPr/>
        <w:t> 所有者权益为</w:t>
      </w:r>
      <w:r>
        <w:rPr>
          <w:rFonts w:ascii="宋体" w:hAnsi="宋体" w:cs="宋体" w:eastAsia="宋体" w:hint="default"/>
        </w:rPr>
        <w:t>200,373.58</w:t>
      </w:r>
      <w:r>
        <w:rPr/>
        <w:t>万元，较期初增加</w:t>
      </w:r>
      <w:r>
        <w:rPr>
          <w:rFonts w:ascii="宋体" w:hAnsi="宋体" w:cs="宋体" w:eastAsia="宋体" w:hint="default"/>
        </w:rPr>
        <w:t>32.50%</w:t>
      </w:r>
      <w:r>
        <w:rPr/>
        <w:t>。主要原因系本期公司完成对上海漫酷、 上海氩氪和琥珀传播等</w:t>
      </w:r>
      <w:r>
        <w:rPr>
          <w:rFonts w:ascii="宋体" w:hAnsi="宋体" w:cs="宋体" w:eastAsia="宋体" w:hint="default"/>
        </w:rPr>
        <w:t>3</w:t>
      </w:r>
      <w:r>
        <w:rPr/>
        <w:t>家数字营销公司并购所致。</w:t>
      </w:r>
    </w:p>
    <w:p>
      <w:pPr>
        <w:pStyle w:val="BodyText"/>
        <w:spacing w:line="357" w:lineRule="auto"/>
        <w:ind w:right="1684" w:firstLine="420"/>
        <w:jc w:val="left"/>
      </w:pPr>
      <w:r>
        <w:rPr>
          <w:spacing w:val="-3"/>
        </w:rPr>
        <w:t>本报告期，部分工业泵子公司仍处于亏损状态，未能实现年初制定的工业泵板块的经营</w:t>
      </w:r>
      <w:r>
        <w:rPr/>
        <w:t> </w:t>
      </w:r>
      <w:r>
        <w:rPr>
          <w:spacing w:val="-3"/>
        </w:rPr>
        <w:t>目标，主要原因是：工业泵属于强周期产品，受国内经济形势不景气的影响，产品订单数量</w:t>
      </w:r>
      <w:r>
        <w:rPr>
          <w:spacing w:val="-74"/>
        </w:rPr>
        <w:t> </w:t>
      </w:r>
      <w:r>
        <w:rPr>
          <w:spacing w:val="-74"/>
        </w:rPr>
      </w:r>
      <w:r>
        <w:rPr>
          <w:spacing w:val="-5"/>
        </w:rPr>
        <w:t>下滑；市场竞争加剧，产品毛利率下降；人工成本增加。公司将继续加大工业泵板块的整合，</w:t>
      </w:r>
      <w:r>
        <w:rPr>
          <w:spacing w:val="-97"/>
        </w:rPr>
        <w:t> </w:t>
      </w:r>
      <w:r>
        <w:rPr>
          <w:spacing w:val="-97"/>
        </w:rPr>
      </w:r>
      <w:r>
        <w:rPr/>
        <w:t>加强市场开拓、成本核算和费用控制，力争在</w:t>
      </w:r>
      <w:r>
        <w:rPr>
          <w:rFonts w:ascii="宋体" w:hAnsi="宋体" w:cs="宋体" w:eastAsia="宋体" w:hint="default"/>
        </w:rPr>
        <w:t>2015</w:t>
      </w:r>
      <w:r>
        <w:rPr/>
        <w:t>年工业泵业务的盈利状况得到明显改善。</w:t>
      </w:r>
    </w:p>
    <w:p>
      <w:pPr>
        <w:spacing w:after="0" w:line="357" w:lineRule="auto"/>
        <w:jc w:val="left"/>
        <w:sectPr>
          <w:pgSz w:w="11910" w:h="16840"/>
          <w:pgMar w:header="877" w:footer="938" w:top="1100" w:bottom="1120" w:left="1660" w:right="0"/>
        </w:sectPr>
      </w:pPr>
    </w:p>
    <w:p>
      <w:pPr>
        <w:spacing w:line="240" w:lineRule="auto" w:before="7"/>
        <w:rPr>
          <w:rFonts w:ascii="宋体" w:hAnsi="宋体" w:cs="宋体" w:eastAsia="宋体" w:hint="default"/>
          <w:sz w:val="19"/>
          <w:szCs w:val="19"/>
        </w:rPr>
      </w:pPr>
    </w:p>
    <w:p>
      <w:pPr>
        <w:pStyle w:val="Heading2"/>
        <w:spacing w:line="240" w:lineRule="auto" w:before="26"/>
        <w:ind w:left="138" w:right="0"/>
        <w:jc w:val="left"/>
        <w:rPr>
          <w:b w:val="0"/>
          <w:bCs w:val="0"/>
        </w:rPr>
      </w:pPr>
      <w:bookmarkStart w:name="二、主营业务分析" w:id="18"/>
      <w:bookmarkEnd w:id="18"/>
      <w:r>
        <w:rPr>
          <w:b w:val="0"/>
          <w:bCs w:val="0"/>
        </w:rPr>
      </w:r>
      <w:r>
        <w:rPr/>
        <w:t>二、主营业务分析</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37" w:right="0"/>
        <w:jc w:val="left"/>
        <w:rPr>
          <w:b w:val="0"/>
          <w:bCs w:val="0"/>
        </w:rPr>
      </w:pPr>
      <w:bookmarkStart w:name="1、概述" w:id="19"/>
      <w:bookmarkEnd w:id="19"/>
      <w:r>
        <w:rPr>
          <w:b w:val="0"/>
          <w:bCs w:val="0"/>
        </w:rPr>
      </w:r>
      <w:r>
        <w:rPr>
          <w:rFonts w:ascii="宋体" w:hAnsi="宋体" w:cs="宋体" w:eastAsia="宋体" w:hint="default"/>
        </w:rPr>
        <w:t>1</w:t>
      </w:r>
      <w:r>
        <w:rPr/>
        <w:t>、概述</w:t>
      </w:r>
      <w:r>
        <w:rPr>
          <w:b w:val="0"/>
          <w:bCs w:val="0"/>
        </w:rPr>
      </w:r>
    </w:p>
    <w:p>
      <w:pPr>
        <w:spacing w:line="240" w:lineRule="auto" w:before="13"/>
        <w:rPr>
          <w:rFonts w:ascii="宋体" w:hAnsi="宋体" w:cs="宋体" w:eastAsia="宋体" w:hint="default"/>
          <w:b/>
          <w:bCs/>
          <w:sz w:val="22"/>
          <w:szCs w:val="22"/>
        </w:rPr>
      </w:pPr>
    </w:p>
    <w:p>
      <w:pPr>
        <w:pStyle w:val="BodyText"/>
        <w:spacing w:line="357" w:lineRule="auto" w:before="0"/>
        <w:ind w:right="1792" w:firstLine="420"/>
        <w:jc w:val="both"/>
      </w:pPr>
      <w:r>
        <w:rPr>
          <w:spacing w:val="-3"/>
        </w:rPr>
        <w:t>在公司进入互联网领域前，本公司及控股子公司主要从事微型小型水泵、园林机械、清</w:t>
      </w:r>
      <w:r>
        <w:rPr/>
        <w:t> </w:t>
      </w:r>
      <w:r>
        <w:rPr>
          <w:spacing w:val="-3"/>
        </w:rPr>
        <w:t>洗和植保机械、工业泵的研发、制造、销售业务。本报告期，公司完成收购上海漫酷、上海</w:t>
      </w:r>
      <w:r>
        <w:rPr>
          <w:spacing w:val="-74"/>
        </w:rPr>
        <w:t> </w:t>
      </w:r>
      <w:r>
        <w:rPr>
          <w:spacing w:val="-74"/>
        </w:rPr>
      </w:r>
      <w:r>
        <w:rPr>
          <w:spacing w:val="-3"/>
        </w:rPr>
        <w:t>氩氪和琥珀传播后，公司成功进入互联网领域。目前，公司主营业务包含机械制造和互联网</w:t>
      </w:r>
      <w:r>
        <w:rPr>
          <w:spacing w:val="-77"/>
        </w:rPr>
        <w:t> </w:t>
      </w:r>
      <w:r>
        <w:rPr>
          <w:spacing w:val="-77"/>
        </w:rPr>
      </w:r>
      <w:r>
        <w:rPr>
          <w:spacing w:val="-3"/>
        </w:rPr>
        <w:t>服务。其中，互联网服务包括数字营销服务和数字媒介代理服务，数字营销服务主要是指上</w:t>
      </w:r>
      <w:r>
        <w:rPr>
          <w:spacing w:val="-75"/>
        </w:rPr>
        <w:t> </w:t>
      </w:r>
      <w:r>
        <w:rPr>
          <w:spacing w:val="-75"/>
        </w:rPr>
      </w:r>
      <w:r>
        <w:rPr/>
        <w:t>海氩氪和琥珀传播的主营业务，数字媒介代理服务主要指上海漫酷的主营业务。</w:t>
      </w:r>
    </w:p>
    <w:p>
      <w:pPr>
        <w:pStyle w:val="BodyText"/>
        <w:spacing w:line="357" w:lineRule="auto" w:before="31"/>
        <w:ind w:right="1793" w:firstLine="420"/>
        <w:jc w:val="both"/>
      </w:pPr>
      <w:r>
        <w:rPr>
          <w:spacing w:val="-3"/>
        </w:rPr>
        <w:t>受欧债危机等因素的影响，</w:t>
      </w:r>
      <w:r>
        <w:rPr>
          <w:rFonts w:ascii="宋体" w:hAnsi="宋体" w:cs="宋体" w:eastAsia="宋体" w:hint="default"/>
          <w:spacing w:val="-3"/>
        </w:rPr>
        <w:t>2012</w:t>
      </w:r>
      <w:r>
        <w:rPr>
          <w:spacing w:val="-3"/>
        </w:rPr>
        <w:t>年度，公司的民用泵</w:t>
      </w:r>
      <w:r>
        <w:rPr>
          <w:rFonts w:ascii="宋体" w:hAnsi="宋体" w:cs="宋体" w:eastAsia="宋体" w:hint="default"/>
          <w:spacing w:val="-3"/>
        </w:rPr>
        <w:t>(</w:t>
      </w:r>
      <w:r>
        <w:rPr>
          <w:spacing w:val="-3"/>
        </w:rPr>
        <w:t>微型小型水泵</w:t>
      </w:r>
      <w:r>
        <w:rPr>
          <w:rFonts w:ascii="宋体" w:hAnsi="宋体" w:cs="宋体" w:eastAsia="宋体" w:hint="default"/>
          <w:spacing w:val="-3"/>
        </w:rPr>
        <w:t>)</w:t>
      </w:r>
      <w:r>
        <w:rPr>
          <w:spacing w:val="-3"/>
        </w:rPr>
        <w:t>业务出现了一定程</w:t>
      </w:r>
      <w:r>
        <w:rPr/>
        <w:t> </w:t>
      </w:r>
      <w:r>
        <w:rPr>
          <w:spacing w:val="-3"/>
        </w:rPr>
        <w:t>度的销售下滑。</w:t>
      </w:r>
      <w:r>
        <w:rPr>
          <w:rFonts w:ascii="宋体" w:hAnsi="宋体" w:cs="宋体" w:eastAsia="宋体" w:hint="default"/>
          <w:spacing w:val="-3"/>
        </w:rPr>
        <w:t>2013</w:t>
      </w:r>
      <w:r>
        <w:rPr>
          <w:spacing w:val="-3"/>
        </w:rPr>
        <w:t>年，随着国外的经济形势渐趋稳定，公司民用泵</w:t>
      </w:r>
      <w:r>
        <w:rPr>
          <w:rFonts w:ascii="宋体" w:hAnsi="宋体" w:cs="宋体" w:eastAsia="宋体" w:hint="default"/>
          <w:spacing w:val="-3"/>
        </w:rPr>
        <w:t>(</w:t>
      </w:r>
      <w:r>
        <w:rPr>
          <w:spacing w:val="-3"/>
        </w:rPr>
        <w:t>微型小型水泵</w:t>
      </w:r>
      <w:r>
        <w:rPr>
          <w:rFonts w:ascii="宋体" w:hAnsi="宋体" w:cs="宋体" w:eastAsia="宋体" w:hint="default"/>
          <w:spacing w:val="-3"/>
        </w:rPr>
        <w:t>)</w:t>
      </w:r>
      <w:r>
        <w:rPr>
          <w:spacing w:val="-3"/>
        </w:rPr>
        <w:t>的销售</w:t>
      </w:r>
      <w:r>
        <w:rPr>
          <w:spacing w:val="-70"/>
        </w:rPr>
        <w:t> </w:t>
      </w:r>
      <w:r>
        <w:rPr/>
        <w:t>出现了恢复性增长，销售收入较上年同期增长</w:t>
      </w:r>
      <w:r>
        <w:rPr>
          <w:rFonts w:ascii="宋体" w:hAnsi="宋体" w:cs="宋体" w:eastAsia="宋体" w:hint="default"/>
        </w:rPr>
        <w:t>8.30</w:t>
      </w:r>
      <w:r>
        <w:rPr>
          <w:rFonts w:ascii="宋体" w:hAnsi="宋体" w:cs="宋体" w:eastAsia="宋体" w:hint="default"/>
          <w:spacing w:val="-85"/>
        </w:rPr>
        <w:t> </w:t>
      </w:r>
      <w:r>
        <w:rPr>
          <w:rFonts w:ascii="宋体" w:hAnsi="宋体" w:cs="宋体" w:eastAsia="宋体" w:hint="default"/>
        </w:rPr>
        <w:t>%</w:t>
      </w:r>
      <w:r>
        <w:rPr/>
        <w:t>。</w:t>
      </w:r>
      <w:r>
        <w:rPr>
          <w:rFonts w:ascii="宋体" w:hAnsi="宋体" w:cs="宋体" w:eastAsia="宋体" w:hint="default"/>
        </w:rPr>
        <w:t>2014</w:t>
      </w:r>
      <w:r>
        <w:rPr/>
        <w:t>年，公司民用泵</w:t>
      </w:r>
      <w:r>
        <w:rPr>
          <w:rFonts w:ascii="宋体" w:hAnsi="宋体" w:cs="宋体" w:eastAsia="宋体" w:hint="default"/>
        </w:rPr>
        <w:t>(</w:t>
      </w:r>
      <w:r>
        <w:rPr/>
        <w:t>微型小型水泵</w:t>
      </w:r>
      <w:r>
        <w:rPr>
          <w:rFonts w:ascii="宋体" w:hAnsi="宋体" w:cs="宋体" w:eastAsia="宋体" w:hint="default"/>
        </w:rPr>
        <w:t>) </w:t>
      </w:r>
      <w:r>
        <w:rPr/>
        <w:t>的销售稳步增长，销售收入较上年同期增长</w:t>
      </w:r>
      <w:r>
        <w:rPr>
          <w:rFonts w:ascii="宋体" w:hAnsi="宋体" w:cs="宋体" w:eastAsia="宋体" w:hint="default"/>
        </w:rPr>
        <w:t>5.09%</w:t>
      </w:r>
      <w:r>
        <w:rPr/>
        <w:t>。其中，民用泵</w:t>
      </w:r>
      <w:r>
        <w:rPr>
          <w:rFonts w:ascii="宋体" w:hAnsi="宋体" w:cs="宋体" w:eastAsia="宋体" w:hint="default"/>
        </w:rPr>
        <w:t>(</w:t>
      </w:r>
      <w:r>
        <w:rPr/>
        <w:t>微型小型水泵</w:t>
      </w:r>
      <w:r>
        <w:rPr>
          <w:rFonts w:ascii="宋体" w:hAnsi="宋体" w:cs="宋体" w:eastAsia="宋体" w:hint="default"/>
        </w:rPr>
        <w:t>)</w:t>
      </w:r>
      <w:r>
        <w:rPr/>
        <w:t>的自主品 牌销售收入为</w:t>
      </w:r>
      <w:r>
        <w:rPr>
          <w:rFonts w:ascii="宋体" w:hAnsi="宋体" w:cs="宋体" w:eastAsia="宋体" w:hint="default"/>
        </w:rPr>
        <w:t>34,945.73</w:t>
      </w:r>
      <w:r>
        <w:rPr/>
        <w:t>万元</w:t>
      </w:r>
      <w:r>
        <w:rPr>
          <w:rFonts w:ascii="宋体" w:hAnsi="宋体" w:cs="宋体" w:eastAsia="宋体" w:hint="default"/>
        </w:rPr>
        <w:t>,</w:t>
      </w:r>
      <w:r>
        <w:rPr/>
        <w:t>占民用泵</w:t>
      </w:r>
      <w:r>
        <w:rPr>
          <w:rFonts w:ascii="宋体" w:hAnsi="宋体" w:cs="宋体" w:eastAsia="宋体" w:hint="default"/>
        </w:rPr>
        <w:t>(</w:t>
      </w:r>
      <w:r>
        <w:rPr/>
        <w:t>微型小型水泵</w:t>
      </w:r>
      <w:r>
        <w:rPr>
          <w:rFonts w:ascii="宋体" w:hAnsi="宋体" w:cs="宋体" w:eastAsia="宋体" w:hint="default"/>
        </w:rPr>
        <w:t>)</w:t>
      </w:r>
      <w:r>
        <w:rPr/>
        <w:t>销售收入的</w:t>
      </w:r>
      <w:r>
        <w:rPr>
          <w:rFonts w:ascii="宋体" w:hAnsi="宋体" w:cs="宋体" w:eastAsia="宋体" w:hint="default"/>
        </w:rPr>
        <w:t>33.87%</w:t>
      </w:r>
      <w:r>
        <w:rPr/>
        <w:t>。</w:t>
      </w:r>
    </w:p>
    <w:p>
      <w:pPr>
        <w:pStyle w:val="BodyText"/>
        <w:spacing w:line="240" w:lineRule="auto" w:before="31"/>
        <w:ind w:left="0" w:right="1793"/>
        <w:jc w:val="right"/>
      </w:pPr>
      <w:r>
        <w:rPr/>
        <w:t>单位：万元</w:t>
      </w:r>
    </w:p>
    <w:p>
      <w:pPr>
        <w:spacing w:line="240" w:lineRule="auto" w:before="10"/>
        <w:rPr>
          <w:rFonts w:ascii="宋体" w:hAnsi="宋体" w:cs="宋体" w:eastAsia="宋体" w:hint="default"/>
          <w:sz w:val="12"/>
          <w:szCs w:val="12"/>
        </w:rPr>
      </w:pPr>
    </w:p>
    <w:tbl>
      <w:tblPr>
        <w:tblW w:w="0" w:type="auto"/>
        <w:jc w:val="left"/>
        <w:tblInd w:w="548" w:type="dxa"/>
        <w:tblLayout w:type="fixed"/>
        <w:tblCellMar>
          <w:top w:w="0" w:type="dxa"/>
          <w:left w:w="0" w:type="dxa"/>
          <w:bottom w:w="0" w:type="dxa"/>
          <w:right w:w="0" w:type="dxa"/>
        </w:tblCellMar>
        <w:tblLook w:val="01E0"/>
      </w:tblPr>
      <w:tblGrid>
        <w:gridCol w:w="2303"/>
        <w:gridCol w:w="1580"/>
        <w:gridCol w:w="1440"/>
        <w:gridCol w:w="2160"/>
      </w:tblGrid>
      <w:tr>
        <w:trPr>
          <w:trHeight w:val="407" w:hRule="exact"/>
        </w:trPr>
        <w:tc>
          <w:tcPr>
            <w:tcW w:w="230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增减</w:t>
            </w:r>
          </w:p>
        </w:tc>
      </w:tr>
      <w:tr>
        <w:trPr>
          <w:trHeight w:val="407" w:hRule="exact"/>
        </w:trPr>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287,426.96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184,127.29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56.10%</w:t>
            </w:r>
          </w:p>
        </w:tc>
      </w:tr>
      <w:tr>
        <w:trPr>
          <w:trHeight w:val="408" w:hRule="exact"/>
        </w:trPr>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221,167.54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139,396.20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58.66%</w:t>
            </w:r>
          </w:p>
        </w:tc>
      </w:tr>
      <w:tr>
        <w:trPr>
          <w:trHeight w:val="407" w:hRule="exact"/>
        </w:trPr>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49,067.59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37,857.00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29.61%</w:t>
            </w:r>
          </w:p>
        </w:tc>
      </w:tr>
      <w:tr>
        <w:trPr>
          <w:trHeight w:val="407" w:hRule="exact"/>
        </w:trPr>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8,542.64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6,982.36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22.35%</w:t>
            </w:r>
          </w:p>
        </w:tc>
      </w:tr>
      <w:tr>
        <w:trPr>
          <w:trHeight w:val="557" w:hRule="exact"/>
        </w:trPr>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64" w:right="156" w:hanging="810"/>
              <w:jc w:val="left"/>
              <w:rPr>
                <w:rFonts w:ascii="宋体" w:hAnsi="宋体" w:cs="宋体" w:eastAsia="宋体" w:hint="default"/>
                <w:sz w:val="18"/>
                <w:szCs w:val="18"/>
              </w:rPr>
            </w:pPr>
            <w:r>
              <w:rPr>
                <w:rFonts w:ascii="宋体" w:hAnsi="宋体" w:cs="宋体" w:eastAsia="宋体" w:hint="default"/>
                <w:sz w:val="18"/>
                <w:szCs w:val="18"/>
              </w:rPr>
              <w:t>经营活动产生的现金流量 净额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-10,997.72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4,652.56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-336.38%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391" w:lineRule="auto" w:before="0"/>
        <w:ind w:left="558" w:right="1688" w:hanging="420"/>
        <w:jc w:val="left"/>
      </w:pPr>
      <w:r>
        <w:rPr/>
        <w:t>公司回顾总结前期披露的发展战略和经营计划在报告期内的进展情况： 报告期内，公司深化落实发展战略，切实按照年初制订的经营计划开展生产经营活动。</w:t>
      </w:r>
    </w:p>
    <w:p>
      <w:pPr>
        <w:pStyle w:val="BodyText"/>
        <w:spacing w:line="357" w:lineRule="auto" w:before="2"/>
        <w:ind w:right="1792"/>
        <w:jc w:val="both"/>
      </w:pPr>
      <w:r>
        <w:rPr>
          <w:rFonts w:ascii="宋体" w:hAnsi="宋体" w:cs="宋体" w:eastAsia="宋体" w:hint="default"/>
          <w:spacing w:val="-3"/>
        </w:rPr>
        <w:t>2014</w:t>
      </w:r>
      <w:r>
        <w:rPr>
          <w:spacing w:val="-3"/>
        </w:rPr>
        <w:t>年度，公司强化质量管理，加强销售管理和新产品研发，持续推进标准化管理工作，继</w:t>
      </w:r>
      <w:r>
        <w:rPr>
          <w:spacing w:val="-68"/>
        </w:rPr>
        <w:t> </w:t>
      </w:r>
      <w:r>
        <w:rPr>
          <w:spacing w:val="-68"/>
        </w:rPr>
      </w:r>
      <w:r>
        <w:rPr>
          <w:spacing w:val="-3"/>
        </w:rPr>
        <w:t>续完善各项集团管控制度，加强运营效率，基本都较好地完成年初制订的各项工作目标。但</w:t>
      </w:r>
      <w:r>
        <w:rPr>
          <w:spacing w:val="-72"/>
        </w:rPr>
        <w:t> </w:t>
      </w:r>
      <w:r>
        <w:rPr>
          <w:spacing w:val="-72"/>
        </w:rPr>
      </w:r>
      <w:r>
        <w:rPr>
          <w:spacing w:val="-3"/>
        </w:rPr>
        <w:t>是，由于国内整体经济形势等因素的影响，大连基地和湖南基地未能完成公司年初制定的经</w:t>
      </w:r>
      <w:r>
        <w:rPr>
          <w:spacing w:val="-75"/>
        </w:rPr>
        <w:t> </w:t>
      </w:r>
      <w:r>
        <w:rPr>
          <w:spacing w:val="-75"/>
        </w:rPr>
      </w:r>
      <w:r>
        <w:rPr/>
        <w:t>营目标。</w:t>
      </w:r>
      <w:r>
        <w:rPr>
          <w:rFonts w:ascii="宋体" w:hAnsi="宋体" w:cs="宋体" w:eastAsia="宋体" w:hint="default"/>
        </w:rPr>
        <w:t>2014</w:t>
      </w:r>
      <w:r>
        <w:rPr/>
        <w:t>年，公司完成收购上海漫酷、上海氩氪和琥珀传播等</w:t>
      </w:r>
      <w:r>
        <w:rPr>
          <w:rFonts w:ascii="宋体" w:hAnsi="宋体" w:cs="宋体" w:eastAsia="宋体" w:hint="default"/>
        </w:rPr>
        <w:t>3</w:t>
      </w:r>
      <w:r>
        <w:rPr/>
        <w:t>家数字营销公司，主营 业务由机械制造向互联网业务领域的逐步扩张，进一步实现了公司转型升级的战略目标。</w:t>
      </w:r>
    </w:p>
    <w:p>
      <w:pPr>
        <w:spacing w:line="240" w:lineRule="auto" w:before="10"/>
        <w:rPr>
          <w:rFonts w:ascii="宋体" w:hAnsi="宋体" w:cs="宋体" w:eastAsia="宋体" w:hint="default"/>
          <w:sz w:val="20"/>
          <w:szCs w:val="20"/>
        </w:rPr>
      </w:pPr>
    </w:p>
    <w:p>
      <w:pPr>
        <w:pStyle w:val="BodyText"/>
        <w:spacing w:line="240" w:lineRule="auto" w:before="0"/>
        <w:ind w:right="0"/>
        <w:jc w:val="both"/>
      </w:pPr>
      <w:r>
        <w:rPr/>
        <w:t>公司实际经营业绩较曾公开披露过的本年度盈利预测低于或高于</w:t>
      </w:r>
      <w:r>
        <w:rPr>
          <w:spacing w:val="-54"/>
        </w:rPr>
        <w:t> </w:t>
      </w:r>
      <w:r>
        <w:rPr>
          <w:rFonts w:ascii="宋体" w:hAnsi="宋体" w:cs="宋体" w:eastAsia="宋体" w:hint="default"/>
        </w:rPr>
        <w:t>20%</w:t>
      </w:r>
      <w:r>
        <w:rPr/>
        <w:t>以上的差异原因</w:t>
      </w:r>
    </w:p>
    <w:p>
      <w:pPr>
        <w:spacing w:line="499" w:lineRule="auto" w:before="174"/>
        <w:ind w:left="138" w:right="83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收入" w:id="20"/>
      <w:bookmarkEnd w:id="20"/>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240" w:lineRule="auto" w:before="72"/>
        <w:ind w:left="558" w:right="0"/>
        <w:jc w:val="left"/>
      </w:pPr>
      <w:r>
        <w:rPr>
          <w:spacing w:val="-3"/>
        </w:rPr>
        <w:t>报告期内，公司的主营业务发生了较大变化，在机械制造业务（含微型小型水泵、园林</w:t>
      </w:r>
    </w:p>
    <w:p>
      <w:pPr>
        <w:spacing w:after="0" w:line="240"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737" w:right="1689"/>
        <w:jc w:val="left"/>
      </w:pPr>
      <w:r>
        <w:rPr>
          <w:spacing w:val="-3"/>
        </w:rPr>
        <w:t>机械、清洗和植保机械、工业泵等）基础上，增加了数字营销业务（包括数字营销服务和数</w:t>
      </w:r>
      <w:r>
        <w:rPr>
          <w:spacing w:val="-80"/>
        </w:rPr>
        <w:t> </w:t>
      </w:r>
      <w:r>
        <w:rPr>
          <w:spacing w:val="-80"/>
        </w:rPr>
      </w:r>
      <w:r>
        <w:rPr/>
        <w:t>字媒介代理服务）。</w:t>
      </w:r>
    </w:p>
    <w:p>
      <w:pPr>
        <w:pStyle w:val="BodyText"/>
        <w:spacing w:line="240" w:lineRule="auto" w:before="73"/>
        <w:ind w:left="738" w:right="1689"/>
        <w:jc w:val="left"/>
      </w:pPr>
      <w:r>
        <w:rPr/>
        <w:t>公司实物销售收入是否大于劳务收入</w:t>
      </w:r>
    </w:p>
    <w:p>
      <w:pPr>
        <w:pStyle w:val="BodyText"/>
        <w:spacing w:line="240" w:lineRule="auto" w:before="174"/>
        <w:ind w:left="738" w:right="1689"/>
        <w:jc w:val="left"/>
      </w:pPr>
      <w:r>
        <w:rPr/>
        <w:t>√是 □ 否</w:t>
      </w:r>
    </w:p>
    <w:p>
      <w:pPr>
        <w:spacing w:line="240" w:lineRule="auto" w:before="12"/>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1926"/>
        <w:gridCol w:w="1891"/>
        <w:gridCol w:w="1926"/>
        <w:gridCol w:w="1914"/>
        <w:gridCol w:w="1914"/>
      </w:tblGrid>
      <w:tr>
        <w:trPr>
          <w:trHeight w:val="323"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1926"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微型小型水泵</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销售量（万台）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681" w:right="0"/>
              <w:jc w:val="left"/>
              <w:rPr>
                <w:rFonts w:ascii="宋体" w:hAnsi="宋体" w:cs="宋体" w:eastAsia="宋体" w:hint="default"/>
                <w:sz w:val="18"/>
                <w:szCs w:val="18"/>
              </w:rPr>
            </w:pPr>
            <w:r>
              <w:rPr>
                <w:rFonts w:ascii="宋体"/>
                <w:sz w:val="18"/>
              </w:rPr>
              <w:t>462.74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415.93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11.25</w:t>
            </w:r>
          </w:p>
        </w:tc>
      </w:tr>
      <w:tr>
        <w:trPr>
          <w:trHeight w:val="323" w:hRule="exact"/>
        </w:trPr>
        <w:tc>
          <w:tcPr>
            <w:tcW w:w="1926"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681" w:right="0"/>
              <w:jc w:val="left"/>
              <w:rPr>
                <w:rFonts w:ascii="宋体" w:hAnsi="宋体" w:cs="宋体" w:eastAsia="宋体" w:hint="default"/>
                <w:sz w:val="18"/>
                <w:szCs w:val="18"/>
              </w:rPr>
            </w:pPr>
            <w:r>
              <w:rPr>
                <w:rFonts w:ascii="宋体"/>
                <w:sz w:val="18"/>
              </w:rPr>
              <w:t>467.26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13.96</w:t>
            </w:r>
          </w:p>
        </w:tc>
      </w:tr>
      <w:tr>
        <w:trPr>
          <w:trHeight w:val="324" w:hRule="exact"/>
        </w:trPr>
        <w:tc>
          <w:tcPr>
            <w:tcW w:w="1926"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库存量（万台）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70.63</w:t>
            </w:r>
          </w:p>
        </w:tc>
      </w:tr>
      <w:tr>
        <w:trPr>
          <w:trHeight w:val="323" w:hRule="exact"/>
        </w:trPr>
        <w:tc>
          <w:tcPr>
            <w:tcW w:w="1926"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10.13</w:t>
            </w:r>
          </w:p>
        </w:tc>
      </w:tr>
      <w:tr>
        <w:trPr>
          <w:trHeight w:val="324" w:hRule="exact"/>
        </w:trPr>
        <w:tc>
          <w:tcPr>
            <w:tcW w:w="1926"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生产量（万台）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-5.68</w:t>
            </w:r>
          </w:p>
        </w:tc>
      </w:tr>
      <w:tr>
        <w:trPr>
          <w:trHeight w:val="323" w:hRule="exact"/>
        </w:trPr>
        <w:tc>
          <w:tcPr>
            <w:tcW w:w="1926"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-0.81</w:t>
            </w:r>
          </w:p>
        </w:tc>
      </w:tr>
      <w:tr>
        <w:trPr>
          <w:trHeight w:val="324" w:hRule="exact"/>
        </w:trPr>
        <w:tc>
          <w:tcPr>
            <w:tcW w:w="1926"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销售量（万台）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-14.38</w:t>
            </w:r>
          </w:p>
        </w:tc>
      </w:tr>
      <w:tr>
        <w:trPr>
          <w:trHeight w:val="324" w:hRule="exact"/>
        </w:trPr>
        <w:tc>
          <w:tcPr>
            <w:tcW w:w="1926"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-6.01</w:t>
            </w:r>
          </w:p>
        </w:tc>
      </w:tr>
      <w:tr>
        <w:trPr>
          <w:trHeight w:val="323" w:hRule="exact"/>
        </w:trPr>
        <w:tc>
          <w:tcPr>
            <w:tcW w:w="1926"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库存量（万台）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64.29</w:t>
            </w:r>
          </w:p>
        </w:tc>
      </w:tr>
      <w:tr>
        <w:trPr>
          <w:trHeight w:val="324" w:hRule="exact"/>
        </w:trPr>
        <w:tc>
          <w:tcPr>
            <w:tcW w:w="1926" w:type="dxa"/>
            <w:vMerge w:val="restart"/>
            <w:tcBorders>
              <w:top w:val="single" w:sz="4" w:space="0" w:color="000000"/>
              <w:left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销售量（台）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-17.57</w:t>
            </w:r>
          </w:p>
        </w:tc>
      </w:tr>
      <w:tr>
        <w:trPr>
          <w:trHeight w:val="323" w:hRule="exact"/>
        </w:trPr>
        <w:tc>
          <w:tcPr>
            <w:tcW w:w="1926" w:type="dxa"/>
            <w:vMerge/>
            <w:tcBorders>
              <w:left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生产量（台）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-11.35</w:t>
            </w:r>
          </w:p>
        </w:tc>
      </w:tr>
      <w:tr>
        <w:trPr>
          <w:trHeight w:val="324" w:hRule="exact"/>
        </w:trPr>
        <w:tc>
          <w:tcPr>
            <w:tcW w:w="1926" w:type="dxa"/>
            <w:vMerge/>
            <w:tcBorders>
              <w:left w:val="single" w:sz="4" w:space="0" w:color="000000"/>
              <w:bottom w:val="single" w:sz="4" w:space="0" w:color="000000"/>
              <w:right w:val="single" w:sz="13"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库存量（台）</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-13.88</w:t>
            </w:r>
          </w:p>
        </w:tc>
      </w:tr>
    </w:tbl>
    <w:p>
      <w:pPr>
        <w:pStyle w:val="BodyText"/>
        <w:spacing w:line="357" w:lineRule="auto" w:before="5"/>
        <w:ind w:left="738" w:right="1845" w:firstLine="420"/>
        <w:jc w:val="left"/>
      </w:pPr>
      <w:r>
        <w:rPr/>
        <w:t>微型小型水泵产品的库存量较去年增加</w:t>
      </w:r>
      <w:r>
        <w:rPr>
          <w:spacing w:val="-52"/>
        </w:rPr>
        <w:t> </w:t>
      </w:r>
      <w:r>
        <w:rPr>
          <w:rFonts w:ascii="宋体" w:hAnsi="宋体" w:cs="宋体" w:eastAsia="宋体" w:hint="default"/>
        </w:rPr>
        <w:t>70.63%</w:t>
      </w:r>
      <w:r>
        <w:rPr/>
        <w:t>，主要原因系期末客户未及时提货，导 致库存产品数量增加。</w:t>
      </w:r>
    </w:p>
    <w:p>
      <w:pPr>
        <w:pStyle w:val="BodyText"/>
        <w:spacing w:line="240" w:lineRule="auto" w:before="70"/>
        <w:ind w:left="738" w:right="1689"/>
        <w:jc w:val="left"/>
      </w:pPr>
      <w:r>
        <w:rPr/>
        <w:t>公司重大的在手订单情况</w:t>
      </w:r>
    </w:p>
    <w:p>
      <w:pPr>
        <w:pStyle w:val="BodyText"/>
        <w:spacing w:line="391" w:lineRule="auto" w:before="174"/>
        <w:ind w:left="738" w:right="5048"/>
        <w:jc w:val="left"/>
      </w:pPr>
      <w:r>
        <w:rPr/>
        <w:t>□ 适用 √</w:t>
      </w:r>
      <w:r>
        <w:rPr>
          <w:spacing w:val="-2"/>
        </w:rPr>
        <w:t> </w:t>
      </w:r>
      <w:r>
        <w:rPr/>
        <w:t>不适用</w:t>
      </w:r>
      <w:r>
        <w:rPr/>
        <w:t> 公司报告期内产品或服务发生重大变化或调整有关情况</w:t>
      </w:r>
    </w:p>
    <w:p>
      <w:pPr>
        <w:pStyle w:val="BodyText"/>
        <w:spacing w:line="391" w:lineRule="auto" w:before="41"/>
        <w:ind w:left="1158" w:right="1689" w:hanging="420"/>
        <w:jc w:val="left"/>
      </w:pPr>
      <w:r>
        <w:rPr/>
        <w:t>√适用 □</w:t>
      </w:r>
      <w:r>
        <w:rPr>
          <w:spacing w:val="-1"/>
        </w:rPr>
        <w:t> </w:t>
      </w:r>
      <w:r>
        <w:rPr/>
        <w:t>不适用</w:t>
      </w:r>
      <w:r>
        <w:rPr/>
        <w:t> </w:t>
      </w:r>
      <w:r>
        <w:rPr>
          <w:spacing w:val="-3"/>
        </w:rPr>
        <w:t>报告期内，公司的主营业务发生了较大变化，在机械制造业务（含微型小型水泵、园林</w:t>
      </w:r>
    </w:p>
    <w:p>
      <w:pPr>
        <w:pStyle w:val="BodyText"/>
        <w:spacing w:line="355" w:lineRule="auto" w:before="1"/>
        <w:ind w:left="738" w:right="1689"/>
        <w:jc w:val="left"/>
      </w:pPr>
      <w:r>
        <w:rPr>
          <w:spacing w:val="-3"/>
        </w:rPr>
        <w:t>机械、清洗和植保机械、工业泵等）基础上，增加了数字营销业务（包括数字营销服务和数</w:t>
      </w:r>
      <w:r>
        <w:rPr>
          <w:spacing w:val="-78"/>
        </w:rPr>
        <w:t> </w:t>
      </w:r>
      <w:r>
        <w:rPr>
          <w:spacing w:val="-78"/>
        </w:rPr>
      </w:r>
      <w:r>
        <w:rPr>
          <w:spacing w:val="-12"/>
        </w:rPr>
        <w:t>字媒介代理服务）。</w:t>
      </w:r>
    </w:p>
    <w:p>
      <w:pPr>
        <w:pStyle w:val="BodyText"/>
        <w:spacing w:line="240" w:lineRule="auto" w:before="73"/>
        <w:ind w:left="738" w:right="1689"/>
        <w:jc w:val="left"/>
      </w:pPr>
      <w:r>
        <w:rPr/>
        <w:t>公司主要销售客户情况</w:t>
      </w:r>
    </w:p>
    <w:p>
      <w:pPr>
        <w:spacing w:line="240" w:lineRule="auto" w:before="12"/>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257"/>
        <w:gridCol w:w="5312"/>
      </w:tblGrid>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505,903,316.88</w:t>
            </w:r>
          </w:p>
        </w:tc>
      </w:tr>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17.83%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738" w:right="1689"/>
        <w:jc w:val="left"/>
      </w:pPr>
      <w:r>
        <w:rPr/>
        <w:t>公司前</w:t>
      </w:r>
      <w:r>
        <w:rPr>
          <w:spacing w:val="-54"/>
        </w:rPr>
        <w:t> </w:t>
      </w:r>
      <w:r>
        <w:rPr>
          <w:rFonts w:ascii="宋体" w:hAnsi="宋体" w:cs="宋体" w:eastAsia="宋体" w:hint="default"/>
        </w:rPr>
        <w:t>5</w:t>
      </w:r>
      <w:r>
        <w:rPr>
          <w:rFonts w:ascii="宋体" w:hAnsi="宋体" w:cs="宋体" w:eastAsia="宋体" w:hint="default"/>
          <w:spacing w:val="-53"/>
        </w:rPr>
        <w:t> </w:t>
      </w:r>
      <w:r>
        <w:rPr/>
        <w:t>大客户资料</w:t>
      </w:r>
    </w:p>
    <w:p>
      <w:pPr>
        <w:pStyle w:val="BodyText"/>
        <w:spacing w:line="240" w:lineRule="auto" w:before="174"/>
        <w:ind w:left="738" w:right="1689"/>
        <w:jc w:val="left"/>
      </w:pPr>
      <w:r>
        <w:rPr/>
        <w:t>√ 适用 □</w:t>
      </w:r>
      <w:r>
        <w:rPr>
          <w:spacing w:val="-2"/>
        </w:rPr>
        <w:t> </w:t>
      </w:r>
      <w:r>
        <w:rPr/>
        <w:t>不适用</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779"/>
        <w:gridCol w:w="3314"/>
        <w:gridCol w:w="2322"/>
        <w:gridCol w:w="3143"/>
      </w:tblGrid>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4"/>
              <w:jc w:val="right"/>
              <w:rPr>
                <w:rFonts w:ascii="宋体" w:hAnsi="宋体" w:cs="宋体" w:eastAsia="宋体" w:hint="default"/>
                <w:sz w:val="18"/>
                <w:szCs w:val="18"/>
              </w:rPr>
            </w:pPr>
            <w:r>
              <w:rPr>
                <w:rFonts w:ascii="宋体"/>
                <w:sz w:val="18"/>
              </w:rPr>
              <w:t>126,947,479.62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4.47</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116,726,076.34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4.11</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102,327,415.84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3.61</w:t>
            </w:r>
          </w:p>
        </w:tc>
      </w:tr>
    </w:tbl>
    <w:p>
      <w:pPr>
        <w:spacing w:after="0" w:line="240" w:lineRule="auto"/>
        <w:jc w:val="center"/>
        <w:rPr>
          <w:rFonts w:ascii="宋体" w:hAnsi="宋体" w:cs="宋体" w:eastAsia="宋体" w:hint="default"/>
          <w:sz w:val="18"/>
          <w:szCs w:val="18"/>
        </w:rPr>
        <w:sectPr>
          <w:pgSz w:w="11910" w:h="16840"/>
          <w:pgMar w:header="877"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779"/>
        <w:gridCol w:w="3314"/>
        <w:gridCol w:w="2322"/>
        <w:gridCol w:w="3143"/>
      </w:tblGrid>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94,963,048.42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3.35</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64,939,296.66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2.29</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505,903,316.88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17.83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before="35"/>
        <w:ind w:left="738" w:right="1689"/>
        <w:jc w:val="left"/>
        <w:rPr>
          <w:b w:val="0"/>
          <w:bCs w:val="0"/>
        </w:rPr>
      </w:pPr>
      <w:bookmarkStart w:name="3、成本" w:id="21"/>
      <w:bookmarkEnd w:id="21"/>
      <w:r>
        <w:rPr>
          <w:b w:val="0"/>
          <w:bCs w:val="0"/>
        </w:rPr>
      </w:r>
      <w:r>
        <w:rPr>
          <w:rFonts w:ascii="宋体" w:hAnsi="宋体" w:cs="宋体" w:eastAsia="宋体" w:hint="default"/>
        </w:rPr>
        <w:t>3</w:t>
      </w:r>
      <w:r>
        <w:rPr/>
        <w:t>、成本</w:t>
      </w:r>
      <w:r>
        <w:rPr>
          <w:b w:val="0"/>
          <w:bCs w:val="0"/>
        </w:rPr>
      </w:r>
    </w:p>
    <w:p>
      <w:pPr>
        <w:spacing w:line="240" w:lineRule="auto" w:before="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38" w:top="1100" w:bottom="1120" w:left="1060" w:right="0"/>
        </w:sectPr>
      </w:pPr>
    </w:p>
    <w:p>
      <w:pPr>
        <w:pStyle w:val="BodyText"/>
        <w:spacing w:line="240" w:lineRule="auto" w:before="35"/>
        <w:ind w:left="738" w:right="-20"/>
        <w:jc w:val="left"/>
      </w:pPr>
      <w:r>
        <w:rPr/>
        <w:t>行业、产品分类</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737"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880" w:bottom="760" w:left="1060" w:right="0"/>
          <w:cols w:num="2" w:equalWidth="0">
            <w:col w:w="2209" w:space="5385"/>
            <w:col w:w="3256"/>
          </w:cols>
        </w:sectPr>
      </w:pPr>
    </w:p>
    <w:p>
      <w:pPr>
        <w:spacing w:line="240" w:lineRule="auto" w:before="3"/>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24"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行业、产品分类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557"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3" w:right="47" w:hanging="196"/>
              <w:jc w:val="left"/>
              <w:rPr>
                <w:rFonts w:ascii="宋体" w:hAnsi="宋体" w:cs="宋体" w:eastAsia="宋体" w:hint="default"/>
                <w:sz w:val="18"/>
                <w:szCs w:val="18"/>
              </w:rPr>
            </w:pPr>
            <w:r>
              <w:rPr>
                <w:rFonts w:ascii="宋体" w:hAnsi="宋体" w:cs="宋体" w:eastAsia="宋体" w:hint="default"/>
                <w:sz w:val="18"/>
                <w:szCs w:val="18"/>
              </w:rPr>
              <w:t>占主营业务成本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2" w:right="48" w:hanging="196"/>
              <w:jc w:val="left"/>
              <w:rPr>
                <w:rFonts w:ascii="宋体" w:hAnsi="宋体" w:cs="宋体" w:eastAsia="宋体" w:hint="default"/>
                <w:sz w:val="18"/>
                <w:szCs w:val="18"/>
              </w:rPr>
            </w:pPr>
            <w:r>
              <w:rPr>
                <w:rFonts w:ascii="宋体" w:hAnsi="宋体" w:cs="宋体" w:eastAsia="宋体" w:hint="default"/>
                <w:sz w:val="18"/>
                <w:szCs w:val="18"/>
              </w:rPr>
              <w:t>占主营业务成本 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94"/>
              <w:jc w:val="left"/>
              <w:rPr>
                <w:rFonts w:ascii="Times New Roman" w:hAnsi="Times New Roman" w:cs="Times New Roman" w:eastAsia="Times New Roman" w:hint="default"/>
                <w:sz w:val="18"/>
                <w:szCs w:val="18"/>
              </w:rPr>
            </w:pPr>
            <w:r>
              <w:rPr>
                <w:rFonts w:ascii="宋体" w:hAnsi="宋体" w:cs="宋体" w:eastAsia="宋体" w:hint="default"/>
                <w:sz w:val="18"/>
                <w:szCs w:val="18"/>
              </w:rPr>
              <w:t>民用泵</w:t>
            </w:r>
            <w:r>
              <w:rPr>
                <w:rFonts w:ascii="Times New Roman" w:hAnsi="Times New Roman" w:cs="Times New Roman" w:eastAsia="Times New Roman" w:hint="default"/>
                <w:sz w:val="18"/>
                <w:szCs w:val="18"/>
              </w:rPr>
              <w:t>(</w:t>
            </w:r>
            <w:r>
              <w:rPr>
                <w:rFonts w:ascii="宋体" w:hAnsi="宋体" w:cs="宋体" w:eastAsia="宋体" w:hint="default"/>
                <w:sz w:val="18"/>
                <w:szCs w:val="18"/>
              </w:rPr>
              <w:t>微型小 型水泵</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7"/>
              <w:jc w:val="right"/>
              <w:rPr>
                <w:rFonts w:ascii="宋体" w:hAnsi="宋体" w:cs="宋体" w:eastAsia="宋体" w:hint="default"/>
                <w:sz w:val="18"/>
                <w:szCs w:val="18"/>
              </w:rPr>
            </w:pPr>
            <w:r>
              <w:rPr>
                <w:rFonts w:ascii="宋体"/>
                <w:sz w:val="18"/>
              </w:rPr>
              <w:t>749,103,723.62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7" w:right="0"/>
              <w:jc w:val="left"/>
              <w:rPr>
                <w:rFonts w:ascii="宋体" w:hAnsi="宋体" w:cs="宋体" w:eastAsia="宋体" w:hint="default"/>
                <w:sz w:val="18"/>
                <w:szCs w:val="18"/>
              </w:rPr>
            </w:pPr>
            <w:r>
              <w:rPr>
                <w:rFonts w:ascii="宋体"/>
                <w:sz w:val="18"/>
              </w:rPr>
              <w:t>34.27%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737,423,616.80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7" w:right="0"/>
              <w:jc w:val="left"/>
              <w:rPr>
                <w:rFonts w:ascii="宋体" w:hAnsi="宋体" w:cs="宋体" w:eastAsia="宋体" w:hint="default"/>
                <w:sz w:val="18"/>
                <w:szCs w:val="18"/>
              </w:rPr>
            </w:pPr>
            <w:r>
              <w:rPr>
                <w:rFonts w:ascii="宋体"/>
                <w:sz w:val="18"/>
              </w:rPr>
              <w:t>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1.58%</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7"/>
              <w:jc w:val="right"/>
              <w:rPr>
                <w:rFonts w:ascii="宋体" w:hAnsi="宋体" w:cs="宋体" w:eastAsia="宋体" w:hint="default"/>
                <w:sz w:val="18"/>
                <w:szCs w:val="18"/>
              </w:rPr>
            </w:pPr>
            <w:r>
              <w:rPr>
                <w:rFonts w:ascii="宋体"/>
                <w:sz w:val="18"/>
              </w:rPr>
              <w:t>307,207,847.10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sz w:val="18"/>
              </w:rPr>
              <w:t>14.05%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335,945,600.62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宋体" w:hAnsi="宋体" w:cs="宋体" w:eastAsia="宋体" w:hint="default"/>
                <w:sz w:val="18"/>
                <w:szCs w:val="18"/>
              </w:rPr>
            </w:pPr>
            <w:r>
              <w:rPr>
                <w:rFonts w:ascii="宋体"/>
                <w:sz w:val="18"/>
              </w:rPr>
              <w:t>24.60%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-8.55%</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87,639,338.84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sz w:val="18"/>
              </w:rPr>
              <w:t>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78,412,301.67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2" w:right="0"/>
              <w:jc w:val="left"/>
              <w:rPr>
                <w:rFonts w:ascii="宋体" w:hAnsi="宋体" w:cs="宋体" w:eastAsia="宋体" w:hint="default"/>
                <w:sz w:val="18"/>
                <w:szCs w:val="18"/>
              </w:rPr>
            </w:pPr>
            <w:r>
              <w:rPr>
                <w:rFonts w:ascii="宋体"/>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11.77%</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7"/>
              <w:jc w:val="right"/>
              <w:rPr>
                <w:rFonts w:ascii="宋体" w:hAnsi="宋体" w:cs="宋体" w:eastAsia="宋体" w:hint="default"/>
                <w:sz w:val="18"/>
                <w:szCs w:val="18"/>
              </w:rPr>
            </w:pPr>
            <w:r>
              <w:rPr>
                <w:rFonts w:ascii="宋体"/>
                <w:sz w:val="18"/>
              </w:rPr>
              <w:t>80,472,488.43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sz w:val="18"/>
              </w:rPr>
              <w:t>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73,097,772.91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2" w:right="0"/>
              <w:jc w:val="left"/>
              <w:rPr>
                <w:rFonts w:ascii="宋体" w:hAnsi="宋体" w:cs="宋体" w:eastAsia="宋体" w:hint="default"/>
                <w:sz w:val="18"/>
                <w:szCs w:val="18"/>
              </w:rPr>
            </w:pPr>
            <w:r>
              <w:rPr>
                <w:rFonts w:ascii="宋体"/>
                <w:sz w:val="18"/>
              </w:rPr>
              <w:t>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10.09%</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7"/>
              <w:jc w:val="right"/>
              <w:rPr>
                <w:rFonts w:ascii="宋体" w:hAnsi="宋体" w:cs="宋体" w:eastAsia="宋体" w:hint="default"/>
                <w:sz w:val="18"/>
                <w:szCs w:val="18"/>
              </w:rPr>
            </w:pPr>
            <w:r>
              <w:rPr>
                <w:rFonts w:ascii="宋体"/>
                <w:sz w:val="18"/>
              </w:rPr>
              <w:t>149,260,608.46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sz w:val="18"/>
              </w:rPr>
              <w:t>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137,147,946.66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7" w:right="0"/>
              <w:jc w:val="left"/>
              <w:rPr>
                <w:rFonts w:ascii="宋体" w:hAnsi="宋体" w:cs="宋体" w:eastAsia="宋体" w:hint="default"/>
                <w:sz w:val="18"/>
                <w:szCs w:val="18"/>
              </w:rPr>
            </w:pPr>
            <w:r>
              <w:rPr>
                <w:rFonts w:ascii="宋体"/>
                <w:sz w:val="18"/>
              </w:rPr>
              <w:t>10.04%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8.83%</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sz w:val="18"/>
              </w:rPr>
              <w:t>3,857,734.06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3,453,796.38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2" w:right="0"/>
              <w:jc w:val="left"/>
              <w:rPr>
                <w:rFonts w:ascii="宋体" w:hAnsi="宋体" w:cs="宋体" w:eastAsia="宋体" w:hint="default"/>
                <w:sz w:val="18"/>
                <w:szCs w:val="18"/>
              </w:rPr>
            </w:pPr>
            <w:r>
              <w:rPr>
                <w:rFonts w:ascii="宋体"/>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11.70%</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7"/>
              <w:jc w:val="right"/>
              <w:rPr>
                <w:rFonts w:ascii="宋体" w:hAnsi="宋体" w:cs="宋体" w:eastAsia="宋体" w:hint="default"/>
                <w:sz w:val="18"/>
                <w:szCs w:val="18"/>
              </w:rPr>
            </w:pPr>
            <w:r>
              <w:rPr>
                <w:rFonts w:ascii="宋体"/>
                <w:sz w:val="18"/>
              </w:rPr>
              <w:t>793,569,136.27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7" w:right="0"/>
              <w:jc w:val="left"/>
              <w:rPr>
                <w:rFonts w:ascii="宋体" w:hAnsi="宋体" w:cs="宋体" w:eastAsia="宋体" w:hint="default"/>
                <w:sz w:val="18"/>
                <w:szCs w:val="18"/>
              </w:rPr>
            </w:pPr>
            <w:r>
              <w:rPr>
                <w:rFonts w:ascii="宋体"/>
                <w:sz w:val="18"/>
              </w:rPr>
              <w:t>36.31%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sz w:val="18"/>
              </w:rPr>
              <w:t>14,721,421.91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sz w:val="18"/>
              </w:rPr>
              <w:t>0.67%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8"/>
          <w:szCs w:val="18"/>
        </w:rPr>
      </w:pPr>
    </w:p>
    <w:p>
      <w:pPr>
        <w:pStyle w:val="Heading3"/>
        <w:spacing w:line="240" w:lineRule="auto" w:before="35"/>
        <w:ind w:right="1689"/>
        <w:jc w:val="left"/>
        <w:rPr>
          <w:b w:val="0"/>
          <w:bCs w:val="0"/>
        </w:rPr>
      </w:pPr>
      <w:r>
        <w:rPr/>
        <w:t>说明</w:t>
      </w:r>
      <w:r>
        <w:rPr>
          <w:b w:val="0"/>
          <w:bCs w:val="0"/>
        </w:rPr>
      </w:r>
    </w:p>
    <w:p>
      <w:pPr>
        <w:pStyle w:val="BodyText"/>
        <w:spacing w:line="391" w:lineRule="auto" w:before="174"/>
        <w:ind w:left="738" w:right="2529"/>
        <w:jc w:val="left"/>
      </w:pPr>
      <w:r>
        <w:rPr>
          <w:rFonts w:ascii="宋体" w:hAnsi="宋体" w:cs="宋体" w:eastAsia="宋体" w:hint="default"/>
        </w:rPr>
        <w:t>A</w:t>
      </w:r>
      <w:r>
        <w:rPr>
          <w:rFonts w:ascii="宋体" w:hAnsi="宋体" w:cs="宋体" w:eastAsia="宋体" w:hint="default"/>
          <w:spacing w:val="-1"/>
        </w:rPr>
        <w:t> </w:t>
      </w:r>
      <w:r>
        <w:rPr/>
        <w:t>配件：包括公司销售的电机及水泵、园林机械、工业泵及清洗和植保机械零部件 </w:t>
      </w:r>
      <w:r>
        <w:rPr>
          <w:rFonts w:ascii="宋体" w:hAnsi="宋体" w:cs="宋体" w:eastAsia="宋体" w:hint="default"/>
        </w:rPr>
        <w:t>B</w:t>
      </w:r>
      <w:r>
        <w:rPr>
          <w:rFonts w:ascii="宋体" w:hAnsi="宋体" w:cs="宋体" w:eastAsia="宋体" w:hint="default"/>
          <w:spacing w:val="-1"/>
        </w:rPr>
        <w:t> </w:t>
      </w:r>
      <w:r>
        <w:rPr/>
        <w:t>其他：包括变频供水系统及排污控制系统等产品及检测服务</w:t>
      </w:r>
    </w:p>
    <w:p>
      <w:pPr>
        <w:pStyle w:val="BodyText"/>
        <w:spacing w:line="391" w:lineRule="auto" w:before="40"/>
        <w:ind w:left="737" w:right="5260"/>
        <w:jc w:val="left"/>
      </w:pPr>
      <w:r>
        <w:rPr>
          <w:rFonts w:ascii="宋体" w:hAnsi="宋体" w:cs="宋体" w:eastAsia="宋体" w:hint="default"/>
        </w:rPr>
        <w:t>C</w:t>
      </w:r>
      <w:r>
        <w:rPr>
          <w:rFonts w:ascii="宋体" w:hAnsi="宋体" w:cs="宋体" w:eastAsia="宋体" w:hint="default"/>
          <w:spacing w:val="-1"/>
        </w:rPr>
        <w:t> </w:t>
      </w:r>
      <w:r>
        <w:rPr/>
        <w:t>数字营销服务：指上海氩氪和琥珀传播的主营业务 </w:t>
      </w:r>
      <w:r>
        <w:rPr>
          <w:rFonts w:ascii="宋体" w:hAnsi="宋体" w:cs="宋体" w:eastAsia="宋体" w:hint="default"/>
        </w:rPr>
        <w:t>D</w:t>
      </w:r>
      <w:r>
        <w:rPr>
          <w:rFonts w:ascii="宋体" w:hAnsi="宋体" w:cs="宋体" w:eastAsia="宋体" w:hint="default"/>
          <w:spacing w:val="-53"/>
        </w:rPr>
        <w:t> </w:t>
      </w:r>
      <w:r>
        <w:rPr/>
        <w:t>媒介代理服务：指上海漫酷的主营业务 公司主要供应商情况</w:t>
      </w:r>
    </w:p>
    <w:p>
      <w:pPr>
        <w:spacing w:line="240" w:lineRule="auto" w:before="10"/>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4257"/>
        <w:gridCol w:w="5312"/>
      </w:tblGrid>
      <w:tr>
        <w:trPr>
          <w:trHeight w:val="32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752,992,202.11</w:t>
            </w:r>
          </w:p>
        </w:tc>
      </w:tr>
      <w:tr>
        <w:trPr>
          <w:trHeight w:val="32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tabs>
                <w:tab w:pos="2379" w:val="left" w:leader="none"/>
              </w:tabs>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31.76%</w:t>
            </w:r>
          </w:p>
        </w:tc>
      </w:tr>
    </w:tbl>
    <w:p>
      <w:pPr>
        <w:spacing w:line="240" w:lineRule="auto" w:before="1"/>
        <w:rPr>
          <w:rFonts w:ascii="宋体" w:hAnsi="宋体" w:cs="宋体" w:eastAsia="宋体" w:hint="default"/>
          <w:sz w:val="13"/>
          <w:szCs w:val="13"/>
        </w:rPr>
      </w:pPr>
    </w:p>
    <w:p>
      <w:pPr>
        <w:pStyle w:val="BodyText"/>
        <w:spacing w:line="240" w:lineRule="auto" w:before="35"/>
        <w:ind w:left="738" w:right="1689"/>
        <w:jc w:val="left"/>
      </w:pPr>
      <w:r>
        <w:rPr/>
        <w:pict>
          <v:group style="position:absolute;margin-left:271.600006pt;margin-top:-25.316332pt;width:263.9pt;height:16.9pt;mso-position-horizontal-relative:page;mso-position-vertical-relative:paragraph;z-index:-907312" coordorigin="5432,-506" coordsize="5278,338">
            <v:group style="position:absolute;left:5443;top:-495;width:2;height:315" coordorigin="5443,-495" coordsize="2,315">
              <v:shape style="position:absolute;left:5443;top:-495;width:2;height:315" coordorigin="5443,-495" coordsize="0,315" path="m5443,-495l5443,-181e" filled="false" stroked="true" strokeweight="1.140pt" strokecolor="#ffffff">
                <v:path arrowok="t"/>
              </v:shape>
            </v:group>
            <v:group style="position:absolute;left:5455;top:-495;width:5256;height:315" coordorigin="5455,-495" coordsize="5256,315">
              <v:shape style="position:absolute;left:5455;top:-495;width:5256;height:315" coordorigin="5455,-495" coordsize="5256,315" path="m5455,-181l10710,-181,10710,-495,5455,-495,5455,-181xe" filled="true" fillcolor="#ffffff" stroked="false">
                <v:path arrowok="t"/>
                <v:fill type="solid"/>
              </v:shape>
            </v:group>
            <w10:wrap type="none"/>
          </v:group>
        </w:pict>
      </w:r>
      <w:r>
        <w:rPr/>
        <w:t>公司前</w:t>
      </w:r>
      <w:r>
        <w:rPr>
          <w:spacing w:val="-54"/>
        </w:rPr>
        <w:t> </w:t>
      </w:r>
      <w:r>
        <w:rPr>
          <w:rFonts w:ascii="宋体" w:hAnsi="宋体" w:cs="宋体" w:eastAsia="宋体" w:hint="default"/>
        </w:rPr>
        <w:t>5</w:t>
      </w:r>
      <w:r>
        <w:rPr>
          <w:rFonts w:ascii="宋体" w:hAnsi="宋体" w:cs="宋体" w:eastAsia="宋体" w:hint="default"/>
          <w:spacing w:val="-53"/>
        </w:rPr>
        <w:t> </w:t>
      </w:r>
      <w:r>
        <w:rPr/>
        <w:t>名供应商资料</w:t>
      </w:r>
    </w:p>
    <w:p>
      <w:pPr>
        <w:pStyle w:val="BodyText"/>
        <w:spacing w:line="240" w:lineRule="auto" w:before="174"/>
        <w:ind w:left="738" w:right="1689"/>
        <w:jc w:val="left"/>
      </w:pPr>
      <w:r>
        <w:rPr/>
        <w:t>√ 适用 □</w:t>
      </w:r>
      <w:r>
        <w:rPr>
          <w:spacing w:val="-2"/>
        </w:rPr>
        <w:t> </w:t>
      </w:r>
      <w:r>
        <w:rPr/>
        <w:t>不适用</w:t>
      </w:r>
    </w:p>
    <w:p>
      <w:pPr>
        <w:spacing w:line="240" w:lineRule="auto" w:before="12"/>
        <w:rPr>
          <w:rFonts w:ascii="宋体" w:hAnsi="宋体" w:cs="宋体" w:eastAsia="宋体"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912"/>
        <w:gridCol w:w="3180"/>
        <w:gridCol w:w="2322"/>
        <w:gridCol w:w="3143"/>
      </w:tblGrid>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300,026,669.81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12.66%</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130,872,691.73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5.52%</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123,867,609.43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5.22%</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99,366,646.23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4.19%</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4"/>
              <w:jc w:val="right"/>
              <w:rPr>
                <w:rFonts w:ascii="宋体" w:hAnsi="宋体" w:cs="宋体" w:eastAsia="宋体" w:hint="default"/>
                <w:sz w:val="18"/>
                <w:szCs w:val="18"/>
              </w:rPr>
            </w:pPr>
            <w:r>
              <w:rPr>
                <w:rFonts w:ascii="宋体"/>
                <w:sz w:val="18"/>
              </w:rPr>
              <w:t>98,858,584.91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4.17%</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64"/>
              <w:jc w:val="right"/>
              <w:rPr>
                <w:rFonts w:ascii="宋体" w:hAnsi="宋体" w:cs="宋体" w:eastAsia="宋体" w:hint="default"/>
                <w:sz w:val="18"/>
                <w:szCs w:val="18"/>
              </w:rPr>
            </w:pPr>
            <w:r>
              <w:rPr>
                <w:rFonts w:ascii="宋体"/>
                <w:sz w:val="18"/>
              </w:rPr>
              <w:t>752,992,202.11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31.76%</w:t>
            </w:r>
          </w:p>
        </w:tc>
      </w:tr>
    </w:tbl>
    <w:p>
      <w:pPr>
        <w:spacing w:after="0" w:line="240" w:lineRule="auto"/>
        <w:jc w:val="center"/>
        <w:rPr>
          <w:rFonts w:ascii="宋体" w:hAnsi="宋体" w:cs="宋体" w:eastAsia="宋体" w:hint="default"/>
          <w:sz w:val="18"/>
          <w:szCs w:val="18"/>
        </w:rPr>
        <w:sectPr>
          <w:type w:val="continuous"/>
          <w:pgSz w:w="11910" w:h="16840"/>
          <w:pgMar w:top="880" w:bottom="760" w:left="1060" w:right="0"/>
        </w:sectPr>
      </w:pPr>
    </w:p>
    <w:p>
      <w:pPr>
        <w:spacing w:line="240" w:lineRule="auto" w:before="1"/>
        <w:rPr>
          <w:rFonts w:ascii="宋体" w:hAnsi="宋体" w:cs="宋体" w:eastAsia="宋体" w:hint="default"/>
          <w:sz w:val="19"/>
          <w:szCs w:val="19"/>
        </w:rPr>
      </w:pPr>
    </w:p>
    <w:p>
      <w:pPr>
        <w:pStyle w:val="Heading3"/>
        <w:spacing w:line="240" w:lineRule="auto" w:before="35"/>
        <w:ind w:left="778" w:right="582"/>
        <w:jc w:val="left"/>
        <w:rPr>
          <w:b w:val="0"/>
          <w:bCs w:val="0"/>
        </w:rPr>
      </w:pPr>
      <w:bookmarkStart w:name="4、费用" w:id="22"/>
      <w:bookmarkEnd w:id="22"/>
      <w:r>
        <w:rPr>
          <w:b w:val="0"/>
          <w:bCs w:val="0"/>
        </w:rPr>
      </w:r>
      <w:r>
        <w:rPr>
          <w:rFonts w:ascii="宋体" w:hAnsi="宋体" w:cs="宋体" w:eastAsia="宋体" w:hint="default"/>
        </w:rPr>
        <w:t>4</w:t>
      </w:r>
      <w:r>
        <w:rPr/>
        <w:t>、费用</w:t>
      </w:r>
      <w:r>
        <w:rPr>
          <w:b w:val="0"/>
          <w:bCs w:val="0"/>
        </w:rPr>
      </w:r>
    </w:p>
    <w:p>
      <w:pPr>
        <w:spacing w:line="240" w:lineRule="auto" w:before="11"/>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1336"/>
        <w:gridCol w:w="2309"/>
        <w:gridCol w:w="2442"/>
        <w:gridCol w:w="2442"/>
      </w:tblGrid>
      <w:tr>
        <w:trPr>
          <w:trHeight w:val="402" w:hRule="exact"/>
        </w:trPr>
        <w:tc>
          <w:tcPr>
            <w:tcW w:w="1336"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309"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42"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925"/>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42"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858"/>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20,591.17</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812"/>
              <w:jc w:val="right"/>
              <w:rPr>
                <w:rFonts w:ascii="宋体" w:hAnsi="宋体" w:cs="宋体" w:eastAsia="宋体" w:hint="default"/>
                <w:sz w:val="18"/>
                <w:szCs w:val="18"/>
              </w:rPr>
            </w:pPr>
            <w:r>
              <w:rPr>
                <w:rFonts w:ascii="宋体"/>
                <w:sz w:val="18"/>
              </w:rPr>
              <w:t>14,105.31</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948"/>
              <w:jc w:val="right"/>
              <w:rPr>
                <w:rFonts w:ascii="宋体" w:hAnsi="宋体" w:cs="宋体" w:eastAsia="宋体" w:hint="default"/>
                <w:sz w:val="18"/>
                <w:szCs w:val="18"/>
              </w:rPr>
            </w:pPr>
            <w:r>
              <w:rPr>
                <w:rFonts w:ascii="宋体"/>
                <w:sz w:val="18"/>
              </w:rPr>
              <w:t>45.98%</w:t>
            </w:r>
          </w:p>
        </w:tc>
      </w:tr>
      <w:tr>
        <w:trPr>
          <w:trHeight w:val="402" w:hRule="exact"/>
        </w:trPr>
        <w:tc>
          <w:tcPr>
            <w:tcW w:w="13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87" w:right="0"/>
              <w:jc w:val="center"/>
              <w:rPr>
                <w:rFonts w:ascii="宋体" w:hAnsi="宋体" w:cs="宋体" w:eastAsia="宋体" w:hint="default"/>
                <w:sz w:val="18"/>
                <w:szCs w:val="18"/>
              </w:rPr>
            </w:pPr>
            <w:r>
              <w:rPr>
                <w:rFonts w:ascii="宋体"/>
                <w:sz w:val="18"/>
              </w:rPr>
              <w:t>26,798.60</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812"/>
              <w:jc w:val="right"/>
              <w:rPr>
                <w:rFonts w:ascii="宋体" w:hAnsi="宋体" w:cs="宋体" w:eastAsia="宋体" w:hint="default"/>
                <w:sz w:val="18"/>
                <w:szCs w:val="18"/>
              </w:rPr>
            </w:pPr>
            <w:r>
              <w:rPr>
                <w:rFonts w:ascii="宋体"/>
                <w:sz w:val="18"/>
              </w:rPr>
              <w:t>21,029.66</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948"/>
              <w:jc w:val="right"/>
              <w:rPr>
                <w:rFonts w:ascii="宋体" w:hAnsi="宋体" w:cs="宋体" w:eastAsia="宋体" w:hint="default"/>
                <w:sz w:val="18"/>
                <w:szCs w:val="18"/>
              </w:rPr>
            </w:pPr>
            <w:r>
              <w:rPr>
                <w:rFonts w:ascii="宋体"/>
                <w:sz w:val="18"/>
              </w:rPr>
              <w:t>27.43%</w:t>
            </w:r>
          </w:p>
        </w:tc>
      </w:tr>
      <w:tr>
        <w:trPr>
          <w:trHeight w:val="402" w:hRule="exact"/>
        </w:trPr>
        <w:tc>
          <w:tcPr>
            <w:tcW w:w="13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88" w:right="0"/>
              <w:jc w:val="center"/>
              <w:rPr>
                <w:rFonts w:ascii="宋体" w:hAnsi="宋体" w:cs="宋体" w:eastAsia="宋体" w:hint="default"/>
                <w:sz w:val="18"/>
                <w:szCs w:val="18"/>
              </w:rPr>
            </w:pPr>
            <w:r>
              <w:rPr>
                <w:rFonts w:ascii="宋体"/>
                <w:sz w:val="18"/>
              </w:rPr>
              <w:t>1,677.82</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858"/>
              <w:jc w:val="right"/>
              <w:rPr>
                <w:rFonts w:ascii="宋体" w:hAnsi="宋体" w:cs="宋体" w:eastAsia="宋体" w:hint="default"/>
                <w:sz w:val="18"/>
                <w:szCs w:val="18"/>
              </w:rPr>
            </w:pPr>
            <w:r>
              <w:rPr>
                <w:rFonts w:ascii="宋体"/>
                <w:sz w:val="18"/>
              </w:rPr>
              <w:t>2,722.04</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902"/>
              <w:jc w:val="right"/>
              <w:rPr>
                <w:rFonts w:ascii="宋体" w:hAnsi="宋体" w:cs="宋体" w:eastAsia="宋体" w:hint="default"/>
                <w:sz w:val="18"/>
                <w:szCs w:val="18"/>
              </w:rPr>
            </w:pPr>
            <w:r>
              <w:rPr>
                <w:rFonts w:ascii="宋体"/>
                <w:sz w:val="18"/>
              </w:rPr>
              <w:t>-38.36%</w:t>
            </w:r>
          </w:p>
        </w:tc>
      </w:tr>
      <w:tr>
        <w:trPr>
          <w:trHeight w:val="402" w:hRule="exact"/>
        </w:trPr>
        <w:tc>
          <w:tcPr>
            <w:tcW w:w="13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3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3,917.59</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858"/>
              <w:jc w:val="right"/>
              <w:rPr>
                <w:rFonts w:ascii="宋体" w:hAnsi="宋体" w:cs="宋体" w:eastAsia="宋体" w:hint="default"/>
                <w:sz w:val="18"/>
                <w:szCs w:val="18"/>
              </w:rPr>
            </w:pPr>
            <w:r>
              <w:rPr>
                <w:rFonts w:ascii="宋体"/>
                <w:sz w:val="18"/>
              </w:rPr>
              <w:t>2,049.29</w:t>
            </w:r>
          </w:p>
        </w:tc>
        <w:tc>
          <w:tcPr>
            <w:tcW w:w="2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948"/>
              <w:jc w:val="right"/>
              <w:rPr>
                <w:rFonts w:ascii="宋体" w:hAnsi="宋体" w:cs="宋体" w:eastAsia="宋体" w:hint="default"/>
                <w:sz w:val="18"/>
                <w:szCs w:val="18"/>
              </w:rPr>
            </w:pPr>
            <w:r>
              <w:rPr>
                <w:rFonts w:ascii="宋体"/>
                <w:sz w:val="18"/>
              </w:rPr>
              <w:t>91.17%</w:t>
            </w:r>
          </w:p>
        </w:tc>
      </w:tr>
    </w:tbl>
    <w:p>
      <w:pPr>
        <w:pStyle w:val="BodyText"/>
        <w:spacing w:line="241" w:lineRule="exact" w:before="0"/>
        <w:ind w:left="778" w:right="582"/>
        <w:jc w:val="left"/>
      </w:pPr>
      <w:r>
        <w:rPr>
          <w:spacing w:val="-1"/>
        </w:rPr>
        <w:t>（</w:t>
      </w:r>
      <w:r>
        <w:rPr>
          <w:rFonts w:ascii="宋体" w:hAnsi="宋体" w:cs="宋体" w:eastAsia="宋体" w:hint="default"/>
          <w:spacing w:val="-1"/>
        </w:rPr>
        <w:t>1</w:t>
      </w:r>
      <w:r>
        <w:rPr>
          <w:spacing w:val="-1"/>
        </w:rPr>
        <w:t>）销售费用较去年同期增加</w:t>
      </w:r>
      <w:r>
        <w:rPr>
          <w:spacing w:val="-48"/>
        </w:rPr>
        <w:t> </w:t>
      </w:r>
      <w:r>
        <w:rPr>
          <w:rFonts w:ascii="宋体" w:hAnsi="宋体" w:cs="宋体" w:eastAsia="宋体" w:hint="default"/>
          <w:spacing w:val="-1"/>
        </w:rPr>
        <w:t>45.98%</w:t>
      </w:r>
      <w:r>
        <w:rPr>
          <w:spacing w:val="-1"/>
        </w:rPr>
        <w:t>，主要原因系本期因非同一控制下企业合并入，公司</w:t>
      </w:r>
    </w:p>
    <w:p>
      <w:pPr>
        <w:pStyle w:val="BodyText"/>
        <w:spacing w:line="240" w:lineRule="auto" w:before="133"/>
        <w:ind w:left="777" w:right="582"/>
        <w:jc w:val="left"/>
      </w:pPr>
      <w:r>
        <w:rPr/>
        <w:t>新增互联网业务，导致职工薪酬大幅增加所致。</w:t>
      </w:r>
    </w:p>
    <w:p>
      <w:pPr>
        <w:pStyle w:val="BodyText"/>
        <w:spacing w:line="355" w:lineRule="auto" w:before="134"/>
        <w:ind w:left="778" w:right="1783"/>
        <w:jc w:val="left"/>
      </w:pPr>
      <w:r>
        <w:rPr/>
        <w:t>（</w:t>
      </w:r>
      <w:r>
        <w:rPr>
          <w:rFonts w:ascii="宋体" w:hAnsi="宋体" w:cs="宋体" w:eastAsia="宋体" w:hint="default"/>
        </w:rPr>
        <w:t>2</w:t>
      </w:r>
      <w:r>
        <w:rPr/>
        <w:t>）财务费用较去年同期减少</w:t>
      </w:r>
      <w:r>
        <w:rPr>
          <w:spacing w:val="-32"/>
        </w:rPr>
        <w:t> </w:t>
      </w:r>
      <w:r>
        <w:rPr>
          <w:rFonts w:ascii="宋体" w:hAnsi="宋体" w:cs="宋体" w:eastAsia="宋体" w:hint="default"/>
        </w:rPr>
        <w:t>38.36%</w:t>
      </w:r>
      <w:r>
        <w:rPr/>
        <w:t>，主要原因系</w:t>
      </w:r>
      <w:r>
        <w:rPr>
          <w:spacing w:val="-32"/>
        </w:rPr>
        <w:t> </w:t>
      </w:r>
      <w:r>
        <w:rPr>
          <w:rFonts w:ascii="宋体" w:hAnsi="宋体" w:cs="宋体" w:eastAsia="宋体" w:hint="default"/>
        </w:rPr>
        <w:t>2013</w:t>
      </w:r>
      <w:r>
        <w:rPr>
          <w:rFonts w:ascii="宋体" w:hAnsi="宋体" w:cs="宋体" w:eastAsia="宋体" w:hint="default"/>
          <w:spacing w:val="-31"/>
        </w:rPr>
        <w:t> </w:t>
      </w:r>
      <w:r>
        <w:rPr/>
        <w:t>年底非公开发行股票募集资金到 账，归还部分银行借款，利息支出减少所致。</w:t>
      </w:r>
    </w:p>
    <w:p>
      <w:pPr>
        <w:pStyle w:val="BodyText"/>
        <w:spacing w:line="355" w:lineRule="auto" w:before="33"/>
        <w:ind w:left="778" w:right="1773"/>
        <w:jc w:val="left"/>
      </w:pPr>
      <w:r>
        <w:rPr/>
        <w:t>（</w:t>
      </w:r>
      <w:r>
        <w:rPr>
          <w:rFonts w:ascii="宋体" w:hAnsi="宋体" w:cs="宋体" w:eastAsia="宋体" w:hint="default"/>
        </w:rPr>
        <w:t>3</w:t>
      </w:r>
      <w:r>
        <w:rPr/>
        <w:t>）所得税费用较去年同期增加</w:t>
      </w:r>
      <w:r>
        <w:rPr>
          <w:spacing w:val="-85"/>
        </w:rPr>
        <w:t> </w:t>
      </w:r>
      <w:r>
        <w:rPr>
          <w:rFonts w:ascii="宋体" w:hAnsi="宋体" w:cs="宋体" w:eastAsia="宋体" w:hint="default"/>
        </w:rPr>
        <w:t>91.17%</w:t>
      </w:r>
      <w:r>
        <w:rPr/>
        <w:t>，主要原因系公司本期出售日立泵股权确认股权投 资处置收益以及经营利润增加，导致相应的所得税费用增加所致。</w:t>
      </w:r>
    </w:p>
    <w:p>
      <w:pPr>
        <w:spacing w:line="240" w:lineRule="auto" w:before="5"/>
        <w:rPr>
          <w:rFonts w:ascii="宋体" w:hAnsi="宋体" w:cs="宋体" w:eastAsia="宋体" w:hint="default"/>
          <w:sz w:val="25"/>
          <w:szCs w:val="25"/>
        </w:rPr>
      </w:pPr>
    </w:p>
    <w:p>
      <w:pPr>
        <w:pStyle w:val="Heading3"/>
        <w:spacing w:line="240" w:lineRule="auto"/>
        <w:ind w:left="778" w:right="582"/>
        <w:jc w:val="left"/>
        <w:rPr>
          <w:b w:val="0"/>
          <w:bCs w:val="0"/>
        </w:rPr>
      </w:pPr>
      <w:bookmarkStart w:name="5、研发支出" w:id="23"/>
      <w:bookmarkEnd w:id="23"/>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1"/>
          <w:szCs w:val="21"/>
        </w:rPr>
      </w:pPr>
    </w:p>
    <w:p>
      <w:pPr>
        <w:pStyle w:val="BodyText"/>
        <w:spacing w:line="357" w:lineRule="auto" w:before="0"/>
        <w:ind w:left="777" w:right="582" w:firstLine="420"/>
        <w:jc w:val="left"/>
      </w:pPr>
      <w:r>
        <w:rPr>
          <w:spacing w:val="-3"/>
        </w:rPr>
        <w:t>报告期内，公司立足战略目标，围绕主营业务，不断加大资金、技术、人才投入，增强</w:t>
      </w:r>
      <w:r>
        <w:rPr/>
        <w:t> 研发能力，通过技术创新提升公司核心竞争力。</w:t>
      </w:r>
    </w:p>
    <w:p>
      <w:pPr>
        <w:spacing w:before="3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667" w:type="dxa"/>
        <w:tblLayout w:type="fixed"/>
        <w:tblCellMar>
          <w:top w:w="0" w:type="dxa"/>
          <w:left w:w="0" w:type="dxa"/>
          <w:bottom w:w="0" w:type="dxa"/>
          <w:right w:w="0" w:type="dxa"/>
        </w:tblCellMar>
        <w:tblLook w:val="01E0"/>
      </w:tblPr>
      <w:tblGrid>
        <w:gridCol w:w="2133"/>
        <w:gridCol w:w="2135"/>
        <w:gridCol w:w="2132"/>
        <w:gridCol w:w="2129"/>
      </w:tblGrid>
      <w:tr>
        <w:trPr>
          <w:trHeight w:val="402" w:hRule="exact"/>
        </w:trPr>
        <w:tc>
          <w:tcPr>
            <w:tcW w:w="213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35"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32"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29"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13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研发投入（万元）</w:t>
            </w:r>
          </w:p>
        </w:tc>
        <w:tc>
          <w:tcPr>
            <w:tcW w:w="2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8,542.64</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6,982.36</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5,472.21</w:t>
            </w:r>
          </w:p>
        </w:tc>
      </w:tr>
      <w:tr>
        <w:trPr>
          <w:trHeight w:val="402" w:hRule="exact"/>
        </w:trPr>
        <w:tc>
          <w:tcPr>
            <w:tcW w:w="213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占营业收入比例</w:t>
            </w:r>
          </w:p>
        </w:tc>
        <w:tc>
          <w:tcPr>
            <w:tcW w:w="2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2.97%</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3.79%</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3.38%</w:t>
            </w:r>
          </w:p>
        </w:tc>
      </w:tr>
      <w:tr>
        <w:trPr>
          <w:trHeight w:val="402" w:hRule="exact"/>
        </w:trPr>
        <w:tc>
          <w:tcPr>
            <w:tcW w:w="213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占净资产的比例</w:t>
            </w:r>
          </w:p>
        </w:tc>
        <w:tc>
          <w:tcPr>
            <w:tcW w:w="2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4.26%</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4.62%</w:t>
            </w:r>
          </w:p>
        </w:tc>
        <w:tc>
          <w:tcPr>
            <w:tcW w:w="2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5.15%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before="35"/>
        <w:ind w:left="778" w:right="582"/>
        <w:jc w:val="left"/>
        <w:rPr>
          <w:b w:val="0"/>
          <w:bCs w:val="0"/>
        </w:rPr>
      </w:pPr>
      <w:bookmarkStart w:name="6、现金流" w:id="24"/>
      <w:bookmarkEnd w:id="24"/>
      <w:r>
        <w:rPr>
          <w:b w:val="0"/>
          <w:bCs w:val="0"/>
        </w:rPr>
      </w:r>
      <w:r>
        <w:rPr>
          <w:rFonts w:ascii="宋体" w:hAnsi="宋体" w:cs="宋体" w:eastAsia="宋体" w:hint="default"/>
        </w:rPr>
        <w:t>6</w:t>
      </w:r>
      <w:r>
        <w:rPr/>
        <w:t>、现金流</w:t>
      </w:r>
      <w:r>
        <w:rPr>
          <w:b w:val="0"/>
          <w:bCs w:val="0"/>
        </w:rPr>
      </w:r>
    </w:p>
    <w:p>
      <w:pPr>
        <w:spacing w:line="240" w:lineRule="auto" w:before="11"/>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445"/>
        <w:gridCol w:w="2404"/>
        <w:gridCol w:w="2392"/>
        <w:gridCol w:w="2393"/>
      </w:tblGrid>
      <w:tr>
        <w:trPr>
          <w:trHeight w:val="323"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4"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471"/>
              <w:jc w:val="right"/>
              <w:rPr>
                <w:rFonts w:ascii="宋体" w:hAnsi="宋体" w:cs="宋体" w:eastAsia="宋体" w:hint="default"/>
                <w:sz w:val="18"/>
                <w:szCs w:val="18"/>
              </w:rPr>
            </w:pPr>
            <w:r>
              <w:rPr>
                <w:rFonts w:ascii="宋体"/>
                <w:sz w:val="18"/>
              </w:rPr>
              <w:t>3,375,451,169.93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2,003,109,487.85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68.51%</w:t>
            </w:r>
          </w:p>
        </w:tc>
      </w:tr>
      <w:tr>
        <w:trPr>
          <w:trHeight w:val="323"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471"/>
              <w:jc w:val="right"/>
              <w:rPr>
                <w:rFonts w:ascii="宋体" w:hAnsi="宋体" w:cs="宋体" w:eastAsia="宋体" w:hint="default"/>
                <w:sz w:val="18"/>
                <w:szCs w:val="18"/>
              </w:rPr>
            </w:pPr>
            <w:r>
              <w:rPr>
                <w:rFonts w:ascii="宋体"/>
                <w:sz w:val="18"/>
              </w:rPr>
              <w:t>3,485,428,392.02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1,956,583,846.30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78.14%</w:t>
            </w:r>
          </w:p>
        </w:tc>
      </w:tr>
      <w:tr>
        <w:trPr>
          <w:trHeight w:val="324"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514"/>
              <w:jc w:val="right"/>
              <w:rPr>
                <w:rFonts w:ascii="宋体" w:hAnsi="宋体" w:cs="宋体" w:eastAsia="宋体" w:hint="default"/>
                <w:sz w:val="18"/>
                <w:szCs w:val="18"/>
              </w:rPr>
            </w:pPr>
            <w:r>
              <w:rPr>
                <w:rFonts w:ascii="宋体"/>
                <w:sz w:val="18"/>
              </w:rPr>
              <w:t>-109,977,222.09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46,525,641.55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-336.38%</w:t>
            </w:r>
          </w:p>
        </w:tc>
      </w:tr>
      <w:tr>
        <w:trPr>
          <w:trHeight w:val="323"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561"/>
              <w:jc w:val="right"/>
              <w:rPr>
                <w:rFonts w:ascii="宋体" w:hAnsi="宋体" w:cs="宋体" w:eastAsia="宋体" w:hint="default"/>
                <w:sz w:val="18"/>
                <w:szCs w:val="18"/>
              </w:rPr>
            </w:pPr>
            <w:r>
              <w:rPr>
                <w:rFonts w:ascii="宋体"/>
                <w:sz w:val="18"/>
              </w:rPr>
              <w:t>331,584,114.95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249,459,877.70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32.92%</w:t>
            </w:r>
          </w:p>
        </w:tc>
      </w:tr>
      <w:tr>
        <w:trPr>
          <w:trHeight w:val="324"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561"/>
              <w:jc w:val="right"/>
              <w:rPr>
                <w:rFonts w:ascii="宋体" w:hAnsi="宋体" w:cs="宋体" w:eastAsia="宋体" w:hint="default"/>
                <w:sz w:val="18"/>
                <w:szCs w:val="18"/>
              </w:rPr>
            </w:pPr>
            <w:r>
              <w:rPr>
                <w:rFonts w:ascii="宋体"/>
                <w:sz w:val="18"/>
              </w:rPr>
              <w:t>593,485,245.02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243,704,209.02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143.53%</w:t>
            </w:r>
          </w:p>
        </w:tc>
      </w:tr>
      <w:tr>
        <w:trPr>
          <w:trHeight w:val="324"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514"/>
              <w:jc w:val="right"/>
              <w:rPr>
                <w:rFonts w:ascii="宋体" w:hAnsi="宋体" w:cs="宋体" w:eastAsia="宋体" w:hint="default"/>
                <w:sz w:val="18"/>
                <w:szCs w:val="18"/>
              </w:rPr>
            </w:pPr>
            <w:r>
              <w:rPr>
                <w:rFonts w:ascii="宋体"/>
                <w:sz w:val="18"/>
              </w:rPr>
              <w:t>-261,901,130.07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5,755,668.68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-4650.32%</w:t>
            </w:r>
          </w:p>
        </w:tc>
      </w:tr>
      <w:tr>
        <w:trPr>
          <w:trHeight w:val="323"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471"/>
              <w:jc w:val="right"/>
              <w:rPr>
                <w:rFonts w:ascii="宋体" w:hAnsi="宋体" w:cs="宋体" w:eastAsia="宋体" w:hint="default"/>
                <w:sz w:val="18"/>
                <w:szCs w:val="18"/>
              </w:rPr>
            </w:pPr>
            <w:r>
              <w:rPr>
                <w:rFonts w:ascii="宋体"/>
                <w:sz w:val="18"/>
              </w:rPr>
              <w:t>1,272,815,566.16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1,562,469,417.91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-18.54%</w:t>
            </w:r>
          </w:p>
        </w:tc>
      </w:tr>
      <w:tr>
        <w:trPr>
          <w:trHeight w:val="324"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471"/>
              <w:jc w:val="right"/>
              <w:rPr>
                <w:rFonts w:ascii="宋体" w:hAnsi="宋体" w:cs="宋体" w:eastAsia="宋体" w:hint="default"/>
                <w:sz w:val="18"/>
                <w:szCs w:val="18"/>
              </w:rPr>
            </w:pPr>
            <w:r>
              <w:rPr>
                <w:rFonts w:ascii="宋体"/>
                <w:sz w:val="18"/>
              </w:rPr>
              <w:t>1,224,587,825.12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1,300,986,384.21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-5.87%</w:t>
            </w:r>
          </w:p>
        </w:tc>
      </w:tr>
      <w:tr>
        <w:trPr>
          <w:trHeight w:val="323"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606" w:right="0"/>
              <w:jc w:val="left"/>
              <w:rPr>
                <w:rFonts w:ascii="宋体" w:hAnsi="宋体" w:cs="宋体" w:eastAsia="宋体" w:hint="default"/>
                <w:sz w:val="18"/>
                <w:szCs w:val="18"/>
              </w:rPr>
            </w:pPr>
            <w:r>
              <w:rPr>
                <w:rFonts w:ascii="宋体"/>
                <w:sz w:val="18"/>
              </w:rPr>
              <w:t>48,227,741.04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261,483,033.70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-81.56%</w:t>
            </w:r>
          </w:p>
        </w:tc>
      </w:tr>
      <w:tr>
        <w:trPr>
          <w:trHeight w:val="324" w:hRule="exact"/>
        </w:trPr>
        <w:tc>
          <w:tcPr>
            <w:tcW w:w="2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514"/>
              <w:jc w:val="right"/>
              <w:rPr>
                <w:rFonts w:ascii="宋体" w:hAnsi="宋体" w:cs="宋体" w:eastAsia="宋体" w:hint="default"/>
                <w:sz w:val="18"/>
                <w:szCs w:val="18"/>
              </w:rPr>
            </w:pPr>
            <w:r>
              <w:rPr>
                <w:rFonts w:ascii="宋体"/>
                <w:sz w:val="18"/>
              </w:rPr>
              <w:t>-313,292,747.37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324,035,368.79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-196.68%</w:t>
            </w:r>
          </w:p>
        </w:tc>
      </w:tr>
    </w:tbl>
    <w:p>
      <w:pPr>
        <w:spacing w:after="0" w:line="240" w:lineRule="auto"/>
        <w:jc w:val="center"/>
        <w:rPr>
          <w:rFonts w:ascii="宋体" w:hAnsi="宋体" w:cs="宋体" w:eastAsia="宋体" w:hint="default"/>
          <w:sz w:val="18"/>
          <w:szCs w:val="18"/>
        </w:rPr>
        <w:sectPr>
          <w:pgSz w:w="11910" w:h="16840"/>
          <w:pgMar w:header="877" w:footer="938" w:top="1100" w:bottom="11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1058" w:right="1774"/>
        <w:jc w:val="left"/>
      </w:pPr>
      <w:r>
        <w:rPr/>
        <w:t>相关数据同比发生变动</w:t>
      </w:r>
      <w:r>
        <w:rPr>
          <w:spacing w:val="-55"/>
        </w:rPr>
        <w:t> </w:t>
      </w:r>
      <w:r>
        <w:rPr>
          <w:rFonts w:ascii="宋体" w:hAnsi="宋体" w:cs="宋体" w:eastAsia="宋体" w:hint="default"/>
        </w:rPr>
        <w:t>30%</w:t>
      </w:r>
      <w:r>
        <w:rPr/>
        <w:t>以上的原因说明</w:t>
      </w:r>
    </w:p>
    <w:p>
      <w:pPr>
        <w:pStyle w:val="BodyText"/>
        <w:spacing w:line="240" w:lineRule="auto" w:before="174"/>
        <w:ind w:left="1058" w:right="1774"/>
        <w:jc w:val="left"/>
      </w:pPr>
      <w:r>
        <w:rPr/>
        <w:t>√ 适用 □</w:t>
      </w:r>
      <w:r>
        <w:rPr>
          <w:spacing w:val="-2"/>
        </w:rPr>
        <w:t> </w:t>
      </w:r>
      <w:r>
        <w:rPr/>
        <w:t>不适用</w:t>
      </w:r>
    </w:p>
    <w:p>
      <w:pPr>
        <w:pStyle w:val="BodyText"/>
        <w:spacing w:line="357" w:lineRule="auto" w:before="173"/>
        <w:ind w:left="1057" w:right="1811"/>
        <w:jc w:val="both"/>
      </w:pPr>
      <w:r>
        <w:rPr/>
        <w:t>（</w:t>
      </w:r>
      <w:r>
        <w:rPr>
          <w:rFonts w:ascii="宋体" w:hAnsi="宋体" w:cs="宋体" w:eastAsia="宋体" w:hint="default"/>
        </w:rPr>
        <w:t>1</w:t>
      </w:r>
      <w:r>
        <w:rPr/>
        <w:t>）经营活动产生的现金流量净额较去年同期减少</w:t>
      </w:r>
      <w:r>
        <w:rPr>
          <w:spacing w:val="-54"/>
        </w:rPr>
        <w:t> </w:t>
      </w:r>
      <w:r>
        <w:rPr>
          <w:rFonts w:ascii="宋体" w:hAnsi="宋体" w:cs="宋体" w:eastAsia="宋体" w:hint="default"/>
        </w:rPr>
        <w:t>336.38%</w:t>
      </w:r>
      <w:r>
        <w:rPr/>
        <w:t>，主要原因系本期支付上海漫 酷原股东的暂借款及支付</w:t>
      </w:r>
      <w:r>
        <w:rPr>
          <w:spacing w:val="-54"/>
        </w:rPr>
        <w:t> </w:t>
      </w:r>
      <w:r>
        <w:rPr>
          <w:rFonts w:ascii="宋体" w:hAnsi="宋体" w:cs="宋体" w:eastAsia="宋体" w:hint="default"/>
        </w:rPr>
        <w:t>MediaV(HK)</w:t>
      </w:r>
      <w:r>
        <w:rPr>
          <w:rFonts w:ascii="宋体" w:hAnsi="宋体" w:cs="宋体" w:eastAsia="宋体" w:hint="default"/>
          <w:spacing w:val="-2"/>
        </w:rPr>
        <w:t> </w:t>
      </w:r>
      <w:r>
        <w:rPr>
          <w:rFonts w:ascii="宋体" w:hAnsi="宋体" w:cs="宋体" w:eastAsia="宋体" w:hint="default"/>
        </w:rPr>
        <w:t>Limited</w:t>
      </w:r>
      <w:r>
        <w:rPr>
          <w:rFonts w:ascii="宋体" w:hAnsi="宋体" w:cs="宋体" w:eastAsia="宋体" w:hint="default"/>
          <w:spacing w:val="-53"/>
        </w:rPr>
        <w:t> </w:t>
      </w:r>
      <w:r>
        <w:rPr/>
        <w:t>和聚越信息技术</w:t>
      </w:r>
      <w:r>
        <w:rPr>
          <w:rFonts w:ascii="宋体" w:hAnsi="宋体" w:cs="宋体" w:eastAsia="宋体" w:hint="default"/>
        </w:rPr>
        <w:t>(</w:t>
      </w:r>
      <w:r>
        <w:rPr/>
        <w:t>上海</w:t>
      </w:r>
      <w:r>
        <w:rPr>
          <w:rFonts w:ascii="宋体" w:hAnsi="宋体" w:cs="宋体" w:eastAsia="宋体" w:hint="default"/>
        </w:rPr>
        <w:t>)</w:t>
      </w:r>
      <w:r>
        <w:rPr/>
        <w:t>有限公司的往来款所 致。</w:t>
      </w:r>
    </w:p>
    <w:p>
      <w:pPr>
        <w:pStyle w:val="BodyText"/>
        <w:spacing w:line="355" w:lineRule="auto" w:before="71"/>
        <w:ind w:left="1057" w:right="1774"/>
        <w:jc w:val="left"/>
      </w:pPr>
      <w:r>
        <w:rPr/>
        <w:t>（</w:t>
      </w:r>
      <w:r>
        <w:rPr>
          <w:rFonts w:ascii="宋体" w:hAnsi="宋体" w:cs="宋体" w:eastAsia="宋体" w:hint="default"/>
        </w:rPr>
        <w:t>2</w:t>
      </w:r>
      <w:r>
        <w:rPr/>
        <w:t>）投资活动产生的现金流量净额较去年同期减少</w:t>
      </w:r>
      <w:r>
        <w:rPr>
          <w:spacing w:val="-85"/>
        </w:rPr>
        <w:t> </w:t>
      </w:r>
      <w:r>
        <w:rPr>
          <w:rFonts w:ascii="宋体" w:hAnsi="宋体" w:cs="宋体" w:eastAsia="宋体" w:hint="default"/>
        </w:rPr>
        <w:t>4650.32%</w:t>
      </w:r>
      <w:r>
        <w:rPr/>
        <w:t>，主要原因系本期公司收购上 海漫酷、上海氩氪、琥珀传播等三家公司支付收购款项所致。</w:t>
      </w:r>
    </w:p>
    <w:p>
      <w:pPr>
        <w:pStyle w:val="BodyText"/>
        <w:spacing w:line="357" w:lineRule="auto" w:before="73"/>
        <w:ind w:left="1057" w:right="1774"/>
        <w:jc w:val="left"/>
      </w:pPr>
      <w:r>
        <w:rPr/>
        <w:t>（</w:t>
      </w:r>
      <w:r>
        <w:rPr>
          <w:rFonts w:ascii="宋体" w:hAnsi="宋体" w:cs="宋体" w:eastAsia="宋体" w:hint="default"/>
        </w:rPr>
        <w:t>3</w:t>
      </w:r>
      <w:r>
        <w:rPr/>
        <w:t>）筹资活动产生的现金流量净额较去年同期减少</w:t>
      </w:r>
      <w:r>
        <w:rPr>
          <w:spacing w:val="-85"/>
        </w:rPr>
        <w:t> </w:t>
      </w:r>
      <w:r>
        <w:rPr>
          <w:rFonts w:ascii="宋体" w:hAnsi="宋体" w:cs="宋体" w:eastAsia="宋体" w:hint="default"/>
        </w:rPr>
        <w:t>81.56%</w:t>
      </w:r>
      <w:r>
        <w:rPr/>
        <w:t>，主要原因系去年公司收到非公 开发行股票募集资金</w:t>
      </w:r>
      <w:r>
        <w:rPr>
          <w:spacing w:val="-54"/>
        </w:rPr>
        <w:t> </w:t>
      </w:r>
      <w:r>
        <w:rPr>
          <w:rFonts w:ascii="宋体" w:hAnsi="宋体" w:cs="宋体" w:eastAsia="宋体" w:hint="default"/>
        </w:rPr>
        <w:t>4.09</w:t>
      </w:r>
      <w:r>
        <w:rPr>
          <w:rFonts w:ascii="宋体" w:hAnsi="宋体" w:cs="宋体" w:eastAsia="宋体" w:hint="default"/>
          <w:spacing w:val="-54"/>
        </w:rPr>
        <w:t> </w:t>
      </w:r>
      <w:r>
        <w:rPr/>
        <w:t>亿元，而本期募集资金金额大幅减少所致。</w:t>
      </w:r>
    </w:p>
    <w:p>
      <w:pPr>
        <w:pStyle w:val="BodyText"/>
        <w:spacing w:line="369" w:lineRule="auto" w:before="70"/>
        <w:ind w:left="1057" w:right="1774"/>
        <w:jc w:val="left"/>
      </w:pPr>
      <w:r>
        <w:rPr/>
        <w:t>（</w:t>
      </w:r>
      <w:r>
        <w:rPr>
          <w:rFonts w:ascii="宋体" w:hAnsi="宋体" w:cs="宋体" w:eastAsia="宋体" w:hint="default"/>
        </w:rPr>
        <w:t>4</w:t>
      </w:r>
      <w:r>
        <w:rPr/>
        <w:t>）现金及现金等价物净增加额较去年同期减少</w:t>
      </w:r>
      <w:r>
        <w:rPr>
          <w:spacing w:val="-55"/>
        </w:rPr>
        <w:t> </w:t>
      </w:r>
      <w:r>
        <w:rPr>
          <w:rFonts w:ascii="宋体" w:hAnsi="宋体" w:cs="宋体" w:eastAsia="宋体" w:hint="default"/>
        </w:rPr>
        <w:t>196.68%</w:t>
      </w:r>
      <w:r>
        <w:rPr/>
        <w:t>，主要原因系本期支付其他与经 </w:t>
      </w:r>
      <w:r>
        <w:rPr>
          <w:spacing w:val="-3"/>
        </w:rPr>
        <w:t>营活动有关的现金、取得子公司及其他营业单位支付的现金净额大幅增加以及吸收投资收到</w:t>
      </w:r>
      <w:r>
        <w:rPr>
          <w:spacing w:val="-73"/>
        </w:rPr>
        <w:t> </w:t>
      </w:r>
      <w:r>
        <w:rPr>
          <w:spacing w:val="-73"/>
        </w:rPr>
      </w:r>
      <w:r>
        <w:rPr/>
        <w:t>的现金大幅减少所致。 报告期内公司经营活动的现金流量与本年度净利润存在重大差异的原因说明</w:t>
      </w:r>
    </w:p>
    <w:p>
      <w:pPr>
        <w:pStyle w:val="BodyText"/>
        <w:spacing w:line="240" w:lineRule="auto" w:before="60"/>
        <w:ind w:left="1058" w:right="1774"/>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67"/>
        <w:ind w:left="1058" w:right="1774"/>
        <w:jc w:val="left"/>
        <w:rPr>
          <w:b w:val="0"/>
          <w:bCs w:val="0"/>
        </w:rPr>
      </w:pPr>
      <w:bookmarkStart w:name="三、主营业务构成情况" w:id="25"/>
      <w:bookmarkEnd w:id="25"/>
      <w:r>
        <w:rPr>
          <w:b w:val="0"/>
          <w:bCs w:val="0"/>
        </w:rPr>
      </w:r>
      <w:r>
        <w:rPr/>
        <w:t>三、主营业务构成情况</w:t>
      </w:r>
      <w:r>
        <w:rPr>
          <w:b w:val="0"/>
          <w:bCs w:val="0"/>
        </w:rPr>
      </w:r>
    </w:p>
    <w:p>
      <w:pPr>
        <w:spacing w:line="240" w:lineRule="auto" w:before="7"/>
        <w:rPr>
          <w:rFonts w:ascii="宋体" w:hAnsi="宋体" w:cs="宋体" w:eastAsia="宋体" w:hint="default"/>
          <w:b/>
          <w:bCs/>
          <w:sz w:val="23"/>
          <w:szCs w:val="23"/>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362"/>
        <w:gridCol w:w="1521"/>
        <w:gridCol w:w="1523"/>
        <w:gridCol w:w="1368"/>
        <w:gridCol w:w="1357"/>
        <w:gridCol w:w="1385"/>
        <w:gridCol w:w="1664"/>
      </w:tblGrid>
      <w:tr>
        <w:trPr>
          <w:trHeight w:val="557"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9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 w:right="38"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 w:right="56"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5" w:right="110" w:hanging="285"/>
              <w:jc w:val="left"/>
              <w:rPr>
                <w:rFonts w:ascii="宋体" w:hAnsi="宋体" w:cs="宋体" w:eastAsia="宋体" w:hint="default"/>
                <w:sz w:val="18"/>
                <w:szCs w:val="18"/>
              </w:rPr>
            </w:pPr>
            <w:r>
              <w:rPr>
                <w:rFonts w:ascii="宋体" w:hAnsi="宋体" w:cs="宋体" w:eastAsia="宋体" w:hint="default"/>
                <w:sz w:val="18"/>
                <w:szCs w:val="18"/>
              </w:rPr>
              <w:t>毛利率比上年同期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1018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sz w:val="18"/>
              </w:rPr>
              <w:t>1,858,894,078.27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right"/>
              <w:rPr>
                <w:rFonts w:ascii="宋体" w:hAnsi="宋体" w:cs="宋体" w:eastAsia="宋体" w:hint="default"/>
                <w:sz w:val="18"/>
                <w:szCs w:val="18"/>
              </w:rPr>
            </w:pPr>
            <w:r>
              <w:rPr>
                <w:rFonts w:ascii="宋体"/>
                <w:sz w:val="18"/>
              </w:rPr>
              <w:t>1,377,029,055.14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25.92%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sz w:val="18"/>
              </w:rPr>
              <w:t>3.27%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sz w:val="18"/>
              </w:rPr>
              <w:t>0.89%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1.75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互联网业</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宋体"/>
                <w:sz w:val="18"/>
              </w:rPr>
              <w:t>978,040,859.01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sz w:val="18"/>
              </w:rPr>
              <w:t>808,290,558.19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17.36%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sz w:val="18"/>
              </w:rPr>
              <w:t>-</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sz w:val="18"/>
              </w:rPr>
              <w:t>1,004,237.49</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sz w:val="18"/>
              </w:rPr>
              <w:t>512,685.36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48.95%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1"/>
              <w:jc w:val="right"/>
              <w:rPr>
                <w:rFonts w:ascii="宋体" w:hAnsi="宋体" w:cs="宋体" w:eastAsia="宋体" w:hint="default"/>
                <w:sz w:val="18"/>
                <w:szCs w:val="18"/>
              </w:rPr>
            </w:pPr>
            <w:r>
              <w:rPr>
                <w:rFonts w:ascii="宋体"/>
                <w:sz w:val="18"/>
              </w:rPr>
              <w:t>-40.18%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sz w:val="18"/>
              </w:rPr>
              <w:t>-10.58%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67"/>
                <w:sz w:val="18"/>
                <w:szCs w:val="18"/>
              </w:rPr>
              <w:t> </w:t>
            </w:r>
            <w:r>
              <w:rPr>
                <w:rFonts w:ascii="宋体" w:hAnsi="宋体" w:cs="宋体" w:eastAsia="宋体" w:hint="default"/>
                <w:sz w:val="18"/>
                <w:szCs w:val="18"/>
              </w:rPr>
              <w:t>16.90</w:t>
            </w:r>
            <w:r>
              <w:rPr>
                <w:rFonts w:ascii="宋体" w:hAnsi="宋体" w:cs="宋体" w:eastAsia="宋体" w:hint="default"/>
                <w:spacing w:val="-67"/>
                <w:sz w:val="18"/>
                <w:szCs w:val="18"/>
              </w:rPr>
              <w:t> </w:t>
            </w:r>
            <w:r>
              <w:rPr>
                <w:rFonts w:ascii="宋体" w:hAnsi="宋体" w:cs="宋体" w:eastAsia="宋体" w:hint="default"/>
                <w:sz w:val="18"/>
                <w:szCs w:val="18"/>
              </w:rPr>
              <w:t>个百分点</w:t>
            </w:r>
          </w:p>
        </w:tc>
      </w:tr>
      <w:tr>
        <w:trPr>
          <w:trHeight w:val="323" w:hRule="exact"/>
        </w:trPr>
        <w:tc>
          <w:tcPr>
            <w:tcW w:w="1018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557"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87"/>
              <w:jc w:val="left"/>
              <w:rPr>
                <w:rFonts w:ascii="Times New Roman" w:hAnsi="Times New Roman" w:cs="Times New Roman" w:eastAsia="Times New Roman" w:hint="default"/>
                <w:sz w:val="18"/>
                <w:szCs w:val="18"/>
              </w:rPr>
            </w:pPr>
            <w:r>
              <w:rPr>
                <w:rFonts w:ascii="宋体" w:hAnsi="宋体" w:cs="宋体" w:eastAsia="宋体" w:hint="default"/>
                <w:sz w:val="18"/>
                <w:szCs w:val="18"/>
              </w:rPr>
              <w:t>民用泵</w:t>
            </w:r>
            <w:r>
              <w:rPr>
                <w:rFonts w:ascii="Times New Roman" w:hAnsi="Times New Roman" w:cs="Times New Roman" w:eastAsia="Times New Roman" w:hint="default"/>
                <w:sz w:val="18"/>
                <w:szCs w:val="18"/>
              </w:rPr>
              <w:t>(</w:t>
            </w:r>
            <w:r>
              <w:rPr>
                <w:rFonts w:ascii="宋体" w:hAnsi="宋体" w:cs="宋体" w:eastAsia="宋体" w:hint="default"/>
                <w:sz w:val="18"/>
                <w:szCs w:val="18"/>
              </w:rPr>
              <w:t>微型小 型水泵</w:t>
            </w:r>
            <w:r>
              <w:rPr>
                <w:rFonts w:ascii="Times New Roman" w:hAnsi="Times New Roman" w:cs="Times New Roman" w:eastAsia="Times New Roman" w:hint="default"/>
                <w:sz w:val="18"/>
                <w:szCs w:val="18"/>
              </w:rPr>
              <w:t>)</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1"/>
              <w:jc w:val="right"/>
              <w:rPr>
                <w:rFonts w:ascii="宋体" w:hAnsi="宋体" w:cs="宋体" w:eastAsia="宋体" w:hint="default"/>
                <w:sz w:val="18"/>
                <w:szCs w:val="18"/>
              </w:rPr>
            </w:pPr>
            <w:r>
              <w:rPr>
                <w:rFonts w:ascii="宋体"/>
                <w:sz w:val="18"/>
              </w:rPr>
              <w:t>1,031,767,643.23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6" w:right="0"/>
              <w:jc w:val="left"/>
              <w:rPr>
                <w:rFonts w:ascii="宋体" w:hAnsi="宋体" w:cs="宋体" w:eastAsia="宋体" w:hint="default"/>
                <w:sz w:val="18"/>
                <w:szCs w:val="18"/>
              </w:rPr>
            </w:pPr>
            <w:r>
              <w:rPr>
                <w:rFonts w:ascii="宋体"/>
                <w:sz w:val="18"/>
              </w:rPr>
              <w:t>749,103,723.62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sz w:val="18"/>
              </w:rPr>
              <w:t>27.40%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1" w:right="0"/>
              <w:jc w:val="left"/>
              <w:rPr>
                <w:rFonts w:ascii="宋体" w:hAnsi="宋体" w:cs="宋体" w:eastAsia="宋体" w:hint="default"/>
                <w:sz w:val="18"/>
                <w:szCs w:val="18"/>
              </w:rPr>
            </w:pPr>
            <w:r>
              <w:rPr>
                <w:rFonts w:ascii="宋体"/>
                <w:sz w:val="18"/>
              </w:rPr>
              <w:t>5.09%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1" w:right="0"/>
              <w:jc w:val="left"/>
              <w:rPr>
                <w:rFonts w:ascii="宋体" w:hAnsi="宋体" w:cs="宋体" w:eastAsia="宋体" w:hint="default"/>
                <w:sz w:val="18"/>
                <w:szCs w:val="18"/>
              </w:rPr>
            </w:pPr>
            <w:r>
              <w:rPr>
                <w:rFonts w:ascii="宋体"/>
                <w:sz w:val="18"/>
              </w:rPr>
              <w:t>1.58%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2.51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7" w:right="0"/>
              <w:jc w:val="left"/>
              <w:rPr>
                <w:rFonts w:ascii="宋体" w:hAnsi="宋体" w:cs="宋体" w:eastAsia="宋体" w:hint="default"/>
                <w:sz w:val="18"/>
                <w:szCs w:val="18"/>
              </w:rPr>
            </w:pPr>
            <w:r>
              <w:rPr>
                <w:rFonts w:ascii="宋体"/>
                <w:sz w:val="18"/>
              </w:rPr>
              <w:t>392,621,431.06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
              <w:jc w:val="right"/>
              <w:rPr>
                <w:rFonts w:ascii="宋体" w:hAnsi="宋体" w:cs="宋体" w:eastAsia="宋体" w:hint="default"/>
                <w:sz w:val="18"/>
                <w:szCs w:val="18"/>
              </w:rPr>
            </w:pPr>
            <w:r>
              <w:rPr>
                <w:rFonts w:ascii="宋体"/>
                <w:sz w:val="18"/>
              </w:rPr>
              <w:t>307,207,847.10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21.75%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4"/>
              <w:jc w:val="right"/>
              <w:rPr>
                <w:rFonts w:ascii="宋体" w:hAnsi="宋体" w:cs="宋体" w:eastAsia="宋体" w:hint="default"/>
                <w:sz w:val="18"/>
                <w:szCs w:val="18"/>
              </w:rPr>
            </w:pPr>
            <w:r>
              <w:rPr>
                <w:rFonts w:ascii="宋体"/>
                <w:sz w:val="18"/>
              </w:rPr>
              <w:t>-10.77%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6" w:right="0"/>
              <w:jc w:val="left"/>
              <w:rPr>
                <w:rFonts w:ascii="宋体" w:hAnsi="宋体" w:cs="宋体" w:eastAsia="宋体" w:hint="default"/>
                <w:sz w:val="18"/>
                <w:szCs w:val="18"/>
              </w:rPr>
            </w:pPr>
            <w:r>
              <w:rPr>
                <w:rFonts w:ascii="宋体"/>
                <w:sz w:val="18"/>
              </w:rPr>
              <w:t>-8.55%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6"/>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宋体" w:hAnsi="宋体" w:cs="宋体" w:eastAsia="宋体" w:hint="default"/>
                <w:sz w:val="18"/>
                <w:szCs w:val="18"/>
              </w:rPr>
              <w:t>1.90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105,141,821.92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87,639,338.84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16.65%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sz w:val="18"/>
              </w:rPr>
              <w:t>12.03%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6" w:right="0"/>
              <w:jc w:val="left"/>
              <w:rPr>
                <w:rFonts w:ascii="宋体" w:hAnsi="宋体" w:cs="宋体" w:eastAsia="宋体" w:hint="default"/>
                <w:sz w:val="18"/>
                <w:szCs w:val="18"/>
              </w:rPr>
            </w:pPr>
            <w:r>
              <w:rPr>
                <w:rFonts w:ascii="宋体"/>
                <w:sz w:val="18"/>
              </w:rPr>
              <w:t>11.77%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0.20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清洗和植保机械</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6"/>
              <w:jc w:val="right"/>
              <w:rPr>
                <w:rFonts w:ascii="宋体" w:hAnsi="宋体" w:cs="宋体" w:eastAsia="宋体" w:hint="default"/>
                <w:sz w:val="18"/>
                <w:szCs w:val="18"/>
              </w:rPr>
            </w:pPr>
            <w:r>
              <w:rPr>
                <w:rFonts w:ascii="宋体"/>
                <w:sz w:val="18"/>
              </w:rPr>
              <w:t>111,348,373.72</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0" w:right="0"/>
              <w:jc w:val="left"/>
              <w:rPr>
                <w:rFonts w:ascii="宋体" w:hAnsi="宋体" w:cs="宋体" w:eastAsia="宋体" w:hint="default"/>
                <w:sz w:val="18"/>
                <w:szCs w:val="18"/>
              </w:rPr>
            </w:pPr>
            <w:r>
              <w:rPr>
                <w:rFonts w:ascii="宋体"/>
                <w:sz w:val="18"/>
              </w:rPr>
              <w:t>80,472,488.43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27.73%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98"/>
              <w:jc w:val="right"/>
              <w:rPr>
                <w:rFonts w:ascii="宋体" w:hAnsi="宋体" w:cs="宋体" w:eastAsia="宋体" w:hint="default"/>
                <w:sz w:val="18"/>
                <w:szCs w:val="18"/>
              </w:rPr>
            </w:pPr>
            <w:r>
              <w:rPr>
                <w:rFonts w:ascii="宋体"/>
                <w:sz w:val="18"/>
              </w:rPr>
              <w:t>13.68%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6" w:right="0"/>
              <w:jc w:val="left"/>
              <w:rPr>
                <w:rFonts w:ascii="宋体" w:hAnsi="宋体" w:cs="宋体" w:eastAsia="宋体" w:hint="default"/>
                <w:sz w:val="18"/>
                <w:szCs w:val="18"/>
              </w:rPr>
            </w:pPr>
            <w:r>
              <w:rPr>
                <w:rFonts w:ascii="宋体"/>
                <w:sz w:val="18"/>
              </w:rPr>
              <w:t>10.09%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2.36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sz w:val="18"/>
              </w:rPr>
              <w:t>214,370,843.17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sz w:val="18"/>
              </w:rPr>
              <w:t>149,260,608.46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30.37%</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98"/>
              <w:jc w:val="right"/>
              <w:rPr>
                <w:rFonts w:ascii="宋体" w:hAnsi="宋体" w:cs="宋体" w:eastAsia="宋体" w:hint="default"/>
                <w:sz w:val="18"/>
                <w:szCs w:val="18"/>
              </w:rPr>
            </w:pPr>
            <w:r>
              <w:rPr>
                <w:rFonts w:ascii="宋体"/>
                <w:sz w:val="18"/>
              </w:rPr>
              <w:t>17.18%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1" w:right="0"/>
              <w:jc w:val="left"/>
              <w:rPr>
                <w:rFonts w:ascii="宋体" w:hAnsi="宋体" w:cs="宋体" w:eastAsia="宋体" w:hint="default"/>
                <w:sz w:val="18"/>
                <w:szCs w:val="18"/>
              </w:rPr>
            </w:pPr>
            <w:r>
              <w:rPr>
                <w:rFonts w:ascii="宋体"/>
                <w:sz w:val="18"/>
              </w:rPr>
              <w:t>8.83%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5.34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7" w:right="0"/>
              <w:jc w:val="left"/>
              <w:rPr>
                <w:rFonts w:ascii="宋体" w:hAnsi="宋体" w:cs="宋体" w:eastAsia="宋体" w:hint="default"/>
                <w:sz w:val="18"/>
                <w:szCs w:val="18"/>
              </w:rPr>
            </w:pPr>
            <w:r>
              <w:rPr>
                <w:rFonts w:ascii="宋体"/>
                <w:sz w:val="18"/>
              </w:rPr>
              <w:t>4,648,202.67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06" w:right="0"/>
              <w:jc w:val="left"/>
              <w:rPr>
                <w:rFonts w:ascii="宋体" w:hAnsi="宋体" w:cs="宋体" w:eastAsia="宋体" w:hint="default"/>
                <w:sz w:val="18"/>
                <w:szCs w:val="18"/>
              </w:rPr>
            </w:pPr>
            <w:r>
              <w:rPr>
                <w:rFonts w:ascii="宋体"/>
                <w:sz w:val="18"/>
              </w:rPr>
              <w:t>3,857,734.06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17.01%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4"/>
              <w:jc w:val="right"/>
              <w:rPr>
                <w:rFonts w:ascii="宋体" w:hAnsi="宋体" w:cs="宋体" w:eastAsia="宋体" w:hint="default"/>
                <w:sz w:val="18"/>
                <w:szCs w:val="18"/>
              </w:rPr>
            </w:pPr>
            <w:r>
              <w:rPr>
                <w:rFonts w:ascii="宋体"/>
                <w:sz w:val="18"/>
              </w:rPr>
              <w:t>-10.30%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6" w:right="0"/>
              <w:jc w:val="left"/>
              <w:rPr>
                <w:rFonts w:ascii="宋体" w:hAnsi="宋体" w:cs="宋体" w:eastAsia="宋体" w:hint="default"/>
                <w:sz w:val="18"/>
                <w:szCs w:val="18"/>
              </w:rPr>
            </w:pPr>
            <w:r>
              <w:rPr>
                <w:rFonts w:ascii="宋体"/>
                <w:sz w:val="18"/>
              </w:rPr>
              <w:t>11.70%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7"/>
                <w:sz w:val="18"/>
                <w:szCs w:val="18"/>
              </w:rPr>
              <w:t> </w:t>
            </w:r>
            <w:r>
              <w:rPr>
                <w:rFonts w:ascii="宋体" w:hAnsi="宋体" w:cs="宋体" w:eastAsia="宋体" w:hint="default"/>
                <w:sz w:val="18"/>
                <w:szCs w:val="18"/>
              </w:rPr>
              <w:t>16.34</w:t>
            </w:r>
            <w:r>
              <w:rPr>
                <w:rFonts w:ascii="宋体" w:hAnsi="宋体" w:cs="宋体" w:eastAsia="宋体" w:hint="default"/>
                <w:spacing w:val="-47"/>
                <w:sz w:val="18"/>
                <w:szCs w:val="18"/>
              </w:rPr>
              <w:t> </w:t>
            </w:r>
            <w:r>
              <w:rPr>
                <w:rFonts w:ascii="宋体" w:hAnsi="宋体" w:cs="宋体" w:eastAsia="宋体" w:hint="default"/>
                <w:sz w:val="18"/>
                <w:szCs w:val="18"/>
              </w:rPr>
              <w:t>个百分点</w:t>
            </w:r>
          </w:p>
        </w:tc>
      </w:tr>
      <w:tr>
        <w:trPr>
          <w:trHeight w:val="34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sz w:val="20"/>
                <w:szCs w:val="20"/>
              </w:rPr>
              <w:t>媒介代理服务</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sz w:val="18"/>
              </w:rPr>
              <w:t>949,078,798.16</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sz w:val="18"/>
              </w:rPr>
              <w:t>793,569,136.27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16.39%</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20"/>
                <w:szCs w:val="20"/>
              </w:rPr>
            </w:pPr>
            <w:r>
              <w:rPr>
                <w:rFonts w:ascii="宋体" w:hAnsi="宋体" w:cs="宋体" w:eastAsia="宋体" w:hint="default"/>
                <w:sz w:val="20"/>
                <w:szCs w:val="20"/>
              </w:rPr>
              <w:t>数字营销服务</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3" w:right="0"/>
              <w:jc w:val="left"/>
              <w:rPr>
                <w:rFonts w:ascii="宋体" w:hAnsi="宋体" w:cs="宋体" w:eastAsia="宋体" w:hint="default"/>
                <w:sz w:val="18"/>
                <w:szCs w:val="18"/>
              </w:rPr>
            </w:pPr>
            <w:r>
              <w:rPr>
                <w:rFonts w:ascii="宋体"/>
                <w:sz w:val="18"/>
              </w:rPr>
              <w:t>28,962,060.84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0" w:right="0"/>
              <w:jc w:val="left"/>
              <w:rPr>
                <w:rFonts w:ascii="宋体" w:hAnsi="宋体" w:cs="宋体" w:eastAsia="宋体" w:hint="default"/>
                <w:sz w:val="18"/>
                <w:szCs w:val="18"/>
              </w:rPr>
            </w:pPr>
            <w:r>
              <w:rPr>
                <w:rFonts w:ascii="宋体"/>
                <w:sz w:val="18"/>
              </w:rPr>
              <w:t>14,721,421.91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49.17%</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18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  外</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宋体" w:hAnsi="宋体" w:cs="宋体" w:eastAsia="宋体" w:hint="default"/>
                <w:sz w:val="18"/>
                <w:szCs w:val="18"/>
              </w:rPr>
            </w:pPr>
            <w:r>
              <w:rPr>
                <w:rFonts w:ascii="宋体"/>
                <w:sz w:val="18"/>
              </w:rPr>
              <w:t>1,012,068,170.84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sz w:val="18"/>
              </w:rPr>
              <w:t>750,885,402.79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25.81%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宋体" w:hAnsi="宋体" w:cs="宋体" w:eastAsia="宋体" w:hint="default"/>
                <w:sz w:val="18"/>
                <w:szCs w:val="18"/>
              </w:rPr>
            </w:pPr>
            <w:r>
              <w:rPr>
                <w:rFonts w:ascii="宋体"/>
                <w:sz w:val="18"/>
              </w:rPr>
              <w:t>4.01%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1" w:right="0"/>
              <w:jc w:val="left"/>
              <w:rPr>
                <w:rFonts w:ascii="宋体" w:hAnsi="宋体" w:cs="宋体" w:eastAsia="宋体" w:hint="default"/>
                <w:sz w:val="18"/>
                <w:szCs w:val="18"/>
              </w:rPr>
            </w:pPr>
            <w:r>
              <w:rPr>
                <w:rFonts w:ascii="宋体"/>
                <w:sz w:val="18"/>
              </w:rPr>
              <w:t>0.55%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宋体" w:hAnsi="宋体" w:cs="宋体" w:eastAsia="宋体" w:hint="default"/>
                <w:sz w:val="18"/>
                <w:szCs w:val="18"/>
              </w:rPr>
              <w:t>2.56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3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  内</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1"/>
              <w:jc w:val="right"/>
              <w:rPr>
                <w:rFonts w:ascii="宋体" w:hAnsi="宋体" w:cs="宋体" w:eastAsia="宋体" w:hint="default"/>
                <w:sz w:val="18"/>
                <w:szCs w:val="18"/>
              </w:rPr>
            </w:pPr>
            <w:r>
              <w:rPr>
                <w:rFonts w:ascii="宋体"/>
                <w:sz w:val="18"/>
              </w:rPr>
              <w:t>1,825,871,003.93</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
              <w:jc w:val="right"/>
              <w:rPr>
                <w:rFonts w:ascii="宋体" w:hAnsi="宋体" w:cs="宋体" w:eastAsia="宋体" w:hint="default"/>
                <w:sz w:val="18"/>
                <w:szCs w:val="18"/>
              </w:rPr>
            </w:pPr>
            <w:r>
              <w:rPr>
                <w:rFonts w:ascii="宋体"/>
                <w:sz w:val="18"/>
              </w:rPr>
              <w:t>1,434,946,895.90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sz w:val="18"/>
              </w:rPr>
              <w:t>21.41%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4"/>
              <w:jc w:val="right"/>
              <w:rPr>
                <w:rFonts w:ascii="宋体" w:hAnsi="宋体" w:cs="宋体" w:eastAsia="宋体" w:hint="default"/>
                <w:sz w:val="18"/>
                <w:szCs w:val="18"/>
              </w:rPr>
            </w:pPr>
            <w:r>
              <w:rPr>
                <w:rFonts w:ascii="宋体"/>
                <w:sz w:val="18"/>
              </w:rPr>
              <w:t>120.33%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2" w:right="0"/>
              <w:jc w:val="left"/>
              <w:rPr>
                <w:rFonts w:ascii="宋体" w:hAnsi="宋体" w:cs="宋体" w:eastAsia="宋体" w:hint="default"/>
                <w:sz w:val="18"/>
                <w:szCs w:val="18"/>
              </w:rPr>
            </w:pPr>
            <w:r>
              <w:rPr>
                <w:rFonts w:ascii="宋体"/>
                <w:sz w:val="18"/>
              </w:rPr>
              <w:t>131.92%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38" w:top="1100" w:bottom="1120" w:left="740" w:right="0"/>
        </w:sectPr>
      </w:pPr>
    </w:p>
    <w:p>
      <w:pPr>
        <w:spacing w:line="240" w:lineRule="auto" w:before="2"/>
        <w:rPr>
          <w:rFonts w:ascii="宋体" w:hAnsi="宋体" w:cs="宋体" w:eastAsia="宋体" w:hint="default"/>
          <w:sz w:val="19"/>
          <w:szCs w:val="19"/>
        </w:rPr>
      </w:pPr>
    </w:p>
    <w:p>
      <w:pPr>
        <w:pStyle w:val="BodyText"/>
        <w:spacing w:line="355" w:lineRule="auto" w:before="35"/>
        <w:ind w:left="498" w:right="1777" w:firstLine="420"/>
        <w:jc w:val="left"/>
      </w:pPr>
      <w:r>
        <w:rPr>
          <w:spacing w:val="-3"/>
        </w:rPr>
        <w:t>说明：上述分地区的主营业务构成中，销售到国外的营业收入是指公司自营出口的销售</w:t>
      </w:r>
      <w:r>
        <w:rPr/>
        <w:t> </w:t>
      </w:r>
      <w:r>
        <w:rPr>
          <w:spacing w:val="-3"/>
        </w:rPr>
        <w:t>收入。国内销售包含两部分，一部分为间接出口销售收入 </w:t>
      </w:r>
      <w:r>
        <w:rPr>
          <w:rFonts w:ascii="宋体" w:hAnsi="宋体" w:cs="宋体" w:eastAsia="宋体" w:hint="default"/>
        </w:rPr>
        <w:t>37,086.34</w:t>
      </w:r>
      <w:r>
        <w:rPr>
          <w:rFonts w:ascii="宋体" w:hAnsi="宋体" w:cs="宋体" w:eastAsia="宋体" w:hint="default"/>
          <w:spacing w:val="-76"/>
        </w:rPr>
        <w:t> </w:t>
      </w:r>
      <w:r>
        <w:rPr>
          <w:spacing w:val="-4"/>
        </w:rPr>
        <w:t>万元，另一部分为纯内</w:t>
      </w:r>
    </w:p>
    <w:p>
      <w:pPr>
        <w:pStyle w:val="BodyText"/>
        <w:spacing w:line="240" w:lineRule="auto" w:before="33"/>
        <w:ind w:left="497" w:right="0"/>
        <w:jc w:val="left"/>
      </w:pPr>
      <w:r>
        <w:rPr/>
        <w:t>销销售收入 </w:t>
      </w:r>
      <w:r>
        <w:rPr>
          <w:rFonts w:ascii="宋体" w:hAnsi="宋体" w:cs="宋体" w:eastAsia="宋体" w:hint="default"/>
        </w:rPr>
        <w:t>145,500.76</w:t>
      </w:r>
      <w:r>
        <w:rPr>
          <w:rFonts w:ascii="宋体" w:hAnsi="宋体" w:cs="宋体" w:eastAsia="宋体" w:hint="default"/>
          <w:spacing w:val="-79"/>
        </w:rPr>
        <w:t> </w:t>
      </w:r>
      <w:r>
        <w:rPr>
          <w:spacing w:val="-4"/>
        </w:rPr>
        <w:t>万元。本年度，公司产品出口销售收入（包括自营出口和间接出口）</w:t>
      </w:r>
    </w:p>
    <w:p>
      <w:pPr>
        <w:pStyle w:val="BodyText"/>
        <w:spacing w:line="240" w:lineRule="auto" w:before="133"/>
        <w:ind w:left="497" w:right="1777"/>
        <w:jc w:val="left"/>
      </w:pPr>
      <w:r>
        <w:rPr>
          <w:rFonts w:ascii="宋体" w:hAnsi="宋体" w:cs="宋体" w:eastAsia="宋体" w:hint="default"/>
        </w:rPr>
        <w:t>138,293.16</w:t>
      </w:r>
      <w:r>
        <w:rPr>
          <w:rFonts w:ascii="宋体" w:hAnsi="宋体" w:cs="宋体" w:eastAsia="宋体" w:hint="default"/>
          <w:spacing w:val="-54"/>
        </w:rPr>
        <w:t> </w:t>
      </w:r>
      <w:r>
        <w:rPr/>
        <w:t>万元，占公司主营业务收入（不含互联网业务）的比例为</w:t>
      </w:r>
      <w:r>
        <w:rPr>
          <w:spacing w:val="-53"/>
        </w:rPr>
        <w:t> </w:t>
      </w:r>
      <w:r>
        <w:rPr>
          <w:rFonts w:ascii="宋体" w:hAnsi="宋体" w:cs="宋体" w:eastAsia="宋体" w:hint="default"/>
        </w:rPr>
        <w:t>74.36%</w:t>
      </w:r>
      <w:r>
        <w:rPr/>
        <w:t>。</w:t>
      </w:r>
    </w:p>
    <w:p>
      <w:pPr>
        <w:pStyle w:val="BodyText"/>
        <w:spacing w:line="355" w:lineRule="auto" w:before="174"/>
        <w:ind w:left="498" w:right="1780" w:firstLine="420"/>
        <w:jc w:val="left"/>
      </w:pPr>
      <w:r>
        <w:rPr>
          <w:spacing w:val="-4"/>
        </w:rPr>
        <w:t>公司主营业务数据统计口径在报告期发生调整的情况下，公司最近</w:t>
      </w:r>
      <w:r>
        <w:rPr/>
        <w:t> </w:t>
      </w:r>
      <w:r>
        <w:rPr>
          <w:rFonts w:ascii="宋体" w:hAnsi="宋体" w:cs="宋体" w:eastAsia="宋体" w:hint="default"/>
        </w:rPr>
        <w:t>1</w:t>
      </w:r>
      <w:r>
        <w:rPr>
          <w:rFonts w:ascii="宋体" w:hAnsi="宋体" w:cs="宋体" w:eastAsia="宋体" w:hint="default"/>
          <w:spacing w:val="-73"/>
        </w:rPr>
        <w:t> </w:t>
      </w:r>
      <w:r>
        <w:rPr>
          <w:spacing w:val="-1"/>
        </w:rPr>
        <w:t>年按报告期末口径</w:t>
      </w:r>
      <w:r>
        <w:rPr/>
        <w:t> 调整后的主营业务数据</w:t>
      </w:r>
    </w:p>
    <w:p>
      <w:pPr>
        <w:pStyle w:val="BodyText"/>
        <w:spacing w:line="240" w:lineRule="auto" w:before="73"/>
        <w:ind w:left="498" w:right="1777"/>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67"/>
        <w:ind w:left="498" w:right="1777"/>
        <w:jc w:val="left"/>
        <w:rPr>
          <w:b w:val="0"/>
          <w:bCs w:val="0"/>
        </w:rPr>
      </w:pPr>
      <w:bookmarkStart w:name="四、资产、负债状况分析" w:id="26"/>
      <w:bookmarkEnd w:id="26"/>
      <w:r>
        <w:rPr>
          <w:b w:val="0"/>
          <w:bCs w:val="0"/>
        </w:rPr>
      </w:r>
      <w:r>
        <w:rPr/>
        <w:t>四、资产、负债状况分析</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498" w:right="1777"/>
        <w:jc w:val="left"/>
        <w:rPr>
          <w:b w:val="0"/>
          <w:bCs w:val="0"/>
        </w:rPr>
      </w:pPr>
      <w:bookmarkStart w:name="1、资产项目重大变动情况" w:id="27"/>
      <w:bookmarkEnd w:id="27"/>
      <w:r>
        <w:rPr>
          <w:b w:val="0"/>
          <w:bCs w:val="0"/>
        </w:rPr>
      </w:r>
      <w:r>
        <w:rPr>
          <w:rFonts w:ascii="宋体" w:hAnsi="宋体" w:cs="宋体" w:eastAsia="宋体"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357"/>
        <w:gridCol w:w="1543"/>
        <w:gridCol w:w="903"/>
        <w:gridCol w:w="1496"/>
        <w:gridCol w:w="960"/>
        <w:gridCol w:w="1466"/>
        <w:gridCol w:w="1352"/>
      </w:tblGrid>
      <w:tr>
        <w:trPr>
          <w:trHeight w:val="32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4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21" w:right="1" w:firstLine="63"/>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29" w:right="2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6" w:type="dxa"/>
            <w:vMerge w:val="restart"/>
            <w:tcBorders>
              <w:top w:val="nil" w:sz="6" w:space="0" w:color="auto"/>
              <w:left w:val="single" w:sz="4" w:space="0" w:color="000000"/>
              <w:right w:val="single" w:sz="4" w:space="0" w:color="000000"/>
            </w:tcBorders>
            <w:shd w:val="clear" w:color="auto" w:fill="D2D2D2"/>
          </w:tcPr>
          <w:p>
            <w:pPr>
              <w:pStyle w:val="TableParagraph"/>
              <w:spacing w:line="220" w:lineRule="exact"/>
              <w:ind w:left="112" w:right="0"/>
              <w:jc w:val="left"/>
              <w:rPr>
                <w:rFonts w:ascii="宋体" w:hAnsi="宋体" w:cs="宋体" w:eastAsia="宋体" w:hint="default"/>
                <w:sz w:val="18"/>
                <w:szCs w:val="18"/>
              </w:rPr>
            </w:pPr>
            <w:r>
              <w:rPr>
                <w:rFonts w:ascii="宋体" w:hAnsi="宋体" w:cs="宋体" w:eastAsia="宋体" w:hint="default"/>
                <w:sz w:val="18"/>
                <w:szCs w:val="18"/>
              </w:rPr>
              <w:t>比重增减（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52"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45"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5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3" w:type="dxa"/>
            <w:vMerge/>
            <w:tcBorders>
              <w:left w:val="single" w:sz="4" w:space="0" w:color="000000"/>
              <w:right w:val="single" w:sz="4" w:space="0" w:color="000000"/>
            </w:tcBorders>
            <w:shd w:val="clear" w:color="auto" w:fill="D2D2D2"/>
          </w:tcPr>
          <w:p>
            <w:pPr/>
          </w:p>
        </w:tc>
        <w:tc>
          <w:tcPr>
            <w:tcW w:w="14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0" w:type="dxa"/>
            <w:vMerge/>
            <w:tcBorders>
              <w:left w:val="single" w:sz="4" w:space="0" w:color="000000"/>
              <w:right w:val="single" w:sz="4" w:space="0" w:color="000000"/>
            </w:tcBorders>
            <w:shd w:val="clear" w:color="auto" w:fill="D2D2D2"/>
          </w:tcPr>
          <w:p>
            <w:pPr/>
          </w:p>
        </w:tc>
        <w:tc>
          <w:tcPr>
            <w:tcW w:w="1466" w:type="dxa"/>
            <w:vMerge/>
            <w:tcBorders>
              <w:left w:val="single" w:sz="4" w:space="0" w:color="000000"/>
              <w:bottom w:val="nil" w:sz="6" w:space="0" w:color="auto"/>
              <w:right w:val="single" w:sz="4" w:space="0" w:color="000000"/>
            </w:tcBorders>
            <w:shd w:val="clear" w:color="auto" w:fill="D2D2D2"/>
          </w:tcPr>
          <w:p>
            <w:pPr/>
          </w:p>
        </w:tc>
        <w:tc>
          <w:tcPr>
            <w:tcW w:w="1352" w:type="dxa"/>
            <w:vMerge/>
            <w:tcBorders>
              <w:left w:val="single" w:sz="4" w:space="0" w:color="000000"/>
              <w:bottom w:val="nil" w:sz="6" w:space="0" w:color="auto"/>
              <w:right w:val="single" w:sz="4" w:space="0" w:color="000000"/>
            </w:tcBorders>
            <w:shd w:val="clear" w:color="auto" w:fill="D2D2D2"/>
          </w:tcPr>
          <w:p>
            <w:pPr/>
          </w:p>
        </w:tc>
      </w:tr>
      <w:tr>
        <w:trPr>
          <w:trHeight w:val="290"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3" w:type="dxa"/>
            <w:vMerge/>
            <w:tcBorders>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1496"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1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3" w:type="dxa"/>
            <w:vMerge w:val="restart"/>
            <w:tcBorders>
              <w:top w:val="single" w:sz="47" w:space="0" w:color="D2D2D2"/>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sz w:val="18"/>
              </w:rPr>
              <w:t>179,467,891.43</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18"/>
                <w:szCs w:val="18"/>
              </w:rPr>
            </w:pPr>
            <w:r>
              <w:rPr>
                <w:rFonts w:ascii="宋体"/>
                <w:sz w:val="18"/>
              </w:rPr>
              <w:t>4.27%</w:t>
            </w:r>
          </w:p>
        </w:tc>
        <w:tc>
          <w:tcPr>
            <w:tcW w:w="1496" w:type="dxa"/>
            <w:vMerge w:val="restart"/>
            <w:tcBorders>
              <w:top w:val="single" w:sz="47"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8"/>
                <w:szCs w:val="18"/>
              </w:rPr>
            </w:pPr>
            <w:r>
              <w:rPr>
                <w:rFonts w:ascii="宋体"/>
                <w:sz w:val="18"/>
              </w:rPr>
              <w:t>482,266,172.27</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sz w:val="18"/>
              </w:rPr>
              <w:t>16.96%</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18"/>
                <w:szCs w:val="18"/>
              </w:rPr>
            </w:pPr>
            <w:r>
              <w:rPr>
                <w:rFonts w:ascii="宋体"/>
                <w:sz w:val="18"/>
              </w:rPr>
              <w:t>-12.69%</w:t>
            </w:r>
          </w:p>
        </w:tc>
        <w:tc>
          <w:tcPr>
            <w:tcW w:w="1352" w:type="dxa"/>
            <w:vMerge w:val="restart"/>
            <w:tcBorders>
              <w:top w:val="single" w:sz="4" w:space="0" w:color="000000"/>
              <w:left w:val="single" w:sz="4" w:space="0" w:color="000000"/>
              <w:right w:val="single" w:sz="4" w:space="0" w:color="000000"/>
            </w:tcBorders>
          </w:tcPr>
          <w:p>
            <w:pPr>
              <w:pStyle w:val="TableParagraph"/>
              <w:spacing w:line="230" w:lineRule="auto" w:before="19"/>
              <w:ind w:left="22" w:right="12"/>
              <w:jc w:val="both"/>
              <w:rPr>
                <w:rFonts w:ascii="宋体" w:hAnsi="宋体" w:cs="宋体" w:eastAsia="宋体" w:hint="default"/>
                <w:sz w:val="18"/>
                <w:szCs w:val="18"/>
              </w:rPr>
            </w:pPr>
            <w:r>
              <w:rPr>
                <w:rFonts w:ascii="宋体" w:hAnsi="宋体" w:cs="宋体" w:eastAsia="宋体" w:hint="default"/>
                <w:spacing w:val="5"/>
                <w:sz w:val="18"/>
                <w:szCs w:val="18"/>
              </w:rPr>
              <w:t>主要系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末非公开发行股</w:t>
            </w:r>
            <w:r>
              <w:rPr>
                <w:rFonts w:ascii="宋体" w:hAnsi="宋体" w:cs="宋体" w:eastAsia="宋体" w:hint="default"/>
                <w:spacing w:val="6"/>
                <w:sz w:val="18"/>
                <w:szCs w:val="18"/>
              </w:rPr>
              <w:t> 票募集资金到账 </w:t>
            </w:r>
            <w:r>
              <w:rPr>
                <w:rFonts w:ascii="宋体" w:hAnsi="宋体" w:cs="宋体" w:eastAsia="宋体" w:hint="default"/>
                <w:sz w:val="18"/>
                <w:szCs w:val="18"/>
              </w:rPr>
              <w:t>及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pacing w:val="8"/>
                <w:sz w:val="18"/>
                <w:szCs w:val="18"/>
              </w:rPr>
              <w:t>年支付</w:t>
            </w:r>
            <w:r>
              <w:rPr>
                <w:rFonts w:ascii="宋体" w:hAnsi="宋体" w:cs="宋体" w:eastAsia="宋体" w:hint="default"/>
                <w:spacing w:val="9"/>
                <w:sz w:val="18"/>
                <w:szCs w:val="18"/>
              </w:rPr>
              <w:t> </w:t>
            </w:r>
            <w:r>
              <w:rPr>
                <w:rFonts w:ascii="宋体" w:hAnsi="宋体" w:cs="宋体" w:eastAsia="宋体" w:hint="default"/>
                <w:sz w:val="18"/>
                <w:szCs w:val="18"/>
              </w:rPr>
              <w:t>股权收购款所致</w:t>
            </w:r>
          </w:p>
        </w:tc>
      </w:tr>
      <w:tr>
        <w:trPr>
          <w:trHeight w:val="31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43" w:type="dxa"/>
            <w:vMerge/>
            <w:tcBorders>
              <w:left w:val="single" w:sz="9" w:space="0" w:color="D2D2D2"/>
              <w:right w:val="single" w:sz="4" w:space="0" w:color="000000"/>
            </w:tcBorders>
          </w:tcPr>
          <w:p>
            <w:pPr/>
          </w:p>
        </w:tc>
        <w:tc>
          <w:tcPr>
            <w:tcW w:w="903"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47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3" w:type="dxa"/>
            <w:vMerge/>
            <w:tcBorders>
              <w:left w:val="single" w:sz="9" w:space="0" w:color="D2D2D2"/>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r>
      <w:tr>
        <w:trPr>
          <w:trHeight w:val="35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8" w:right="0"/>
              <w:jc w:val="left"/>
              <w:rPr>
                <w:rFonts w:ascii="宋体" w:hAnsi="宋体" w:cs="宋体" w:eastAsia="宋体" w:hint="default"/>
                <w:sz w:val="18"/>
                <w:szCs w:val="18"/>
              </w:rPr>
            </w:pPr>
            <w:r>
              <w:rPr>
                <w:rFonts w:ascii="宋体"/>
                <w:sz w:val="18"/>
              </w:rPr>
              <w:t>1,461,078,437.28</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5" w:right="0"/>
              <w:jc w:val="left"/>
              <w:rPr>
                <w:rFonts w:ascii="宋体" w:hAnsi="宋体" w:cs="宋体" w:eastAsia="宋体" w:hint="default"/>
                <w:sz w:val="18"/>
                <w:szCs w:val="18"/>
              </w:rPr>
            </w:pPr>
            <w:r>
              <w:rPr>
                <w:rFonts w:ascii="宋体"/>
                <w:sz w:val="18"/>
              </w:rPr>
              <w:t>34.78%</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sz w:val="18"/>
              </w:rPr>
              <w:t>641,839,996.36</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3" w:right="0"/>
              <w:jc w:val="left"/>
              <w:rPr>
                <w:rFonts w:ascii="宋体" w:hAnsi="宋体" w:cs="宋体" w:eastAsia="宋体" w:hint="default"/>
                <w:sz w:val="18"/>
                <w:szCs w:val="18"/>
              </w:rPr>
            </w:pPr>
            <w:r>
              <w:rPr>
                <w:rFonts w:ascii="宋体"/>
                <w:sz w:val="18"/>
              </w:rPr>
              <w:t>22.57%</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57" w:right="0"/>
              <w:jc w:val="left"/>
              <w:rPr>
                <w:rFonts w:ascii="宋体" w:hAnsi="宋体" w:cs="宋体" w:eastAsia="宋体" w:hint="default"/>
                <w:sz w:val="18"/>
                <w:szCs w:val="18"/>
              </w:rPr>
            </w:pPr>
            <w:r>
              <w:rPr>
                <w:rFonts w:ascii="宋体"/>
                <w:sz w:val="18"/>
              </w:rPr>
              <w:t>12.21%</w:t>
            </w:r>
          </w:p>
        </w:tc>
        <w:tc>
          <w:tcPr>
            <w:tcW w:w="1352" w:type="dxa"/>
            <w:vMerge w:val="restart"/>
            <w:tcBorders>
              <w:top w:val="single" w:sz="4" w:space="0" w:color="000000"/>
              <w:left w:val="single" w:sz="4" w:space="0" w:color="000000"/>
              <w:right w:val="single" w:sz="4" w:space="0" w:color="000000"/>
            </w:tcBorders>
          </w:tcPr>
          <w:p>
            <w:pPr>
              <w:pStyle w:val="TableParagraph"/>
              <w:spacing w:line="237" w:lineRule="auto" w:before="12"/>
              <w:ind w:left="22" w:right="17"/>
              <w:jc w:val="both"/>
              <w:rPr>
                <w:rFonts w:ascii="宋体" w:hAnsi="宋体" w:cs="宋体" w:eastAsia="宋体" w:hint="default"/>
                <w:sz w:val="18"/>
                <w:szCs w:val="18"/>
              </w:rPr>
            </w:pPr>
            <w:r>
              <w:rPr>
                <w:rFonts w:ascii="宋体" w:hAnsi="宋体" w:cs="宋体" w:eastAsia="宋体" w:hint="default"/>
                <w:spacing w:val="6"/>
                <w:sz w:val="18"/>
                <w:szCs w:val="18"/>
              </w:rPr>
              <w:t>主要系本期因非 同一控制下企业 合并转入增加所 </w:t>
            </w:r>
            <w:r>
              <w:rPr>
                <w:rFonts w:ascii="宋体" w:hAnsi="宋体" w:cs="宋体" w:eastAsia="宋体" w:hint="default"/>
                <w:sz w:val="18"/>
                <w:szCs w:val="18"/>
              </w:rPr>
              <w:t>致</w:t>
            </w:r>
          </w:p>
        </w:tc>
      </w:tr>
      <w:tr>
        <w:trPr>
          <w:trHeight w:val="31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43" w:type="dxa"/>
            <w:vMerge/>
            <w:tcBorders>
              <w:left w:val="single" w:sz="9" w:space="0" w:color="D2D2D2"/>
              <w:right w:val="single" w:sz="4" w:space="0" w:color="000000"/>
            </w:tcBorders>
          </w:tcPr>
          <w:p>
            <w:pPr/>
          </w:p>
        </w:tc>
        <w:tc>
          <w:tcPr>
            <w:tcW w:w="903"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35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3" w:type="dxa"/>
            <w:vMerge/>
            <w:tcBorders>
              <w:left w:val="single" w:sz="9" w:space="0" w:color="D2D2D2"/>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37"/>
              <w:jc w:val="right"/>
              <w:rPr>
                <w:rFonts w:ascii="宋体" w:hAnsi="宋体" w:cs="宋体" w:eastAsia="宋体" w:hint="default"/>
                <w:sz w:val="18"/>
                <w:szCs w:val="18"/>
              </w:rPr>
            </w:pPr>
            <w:r>
              <w:rPr>
                <w:rFonts w:ascii="宋体"/>
                <w:sz w:val="18"/>
              </w:rPr>
              <w:t>448,763,042.75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10.68%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2" w:right="0"/>
              <w:jc w:val="left"/>
              <w:rPr>
                <w:rFonts w:ascii="宋体" w:hAnsi="宋体" w:cs="宋体" w:eastAsia="宋体" w:hint="default"/>
                <w:sz w:val="18"/>
                <w:szCs w:val="18"/>
              </w:rPr>
            </w:pPr>
            <w:r>
              <w:rPr>
                <w:rFonts w:ascii="宋体"/>
                <w:sz w:val="18"/>
              </w:rPr>
              <w:t>364,223,643.92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12.81%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7" w:right="0"/>
              <w:jc w:val="left"/>
              <w:rPr>
                <w:rFonts w:ascii="宋体" w:hAnsi="宋体" w:cs="宋体" w:eastAsia="宋体" w:hint="default"/>
                <w:sz w:val="18"/>
                <w:szCs w:val="18"/>
              </w:rPr>
            </w:pPr>
            <w:r>
              <w:rPr>
                <w:rFonts w:ascii="宋体"/>
                <w:sz w:val="18"/>
              </w:rPr>
              <w:t>-2.13%</w:t>
            </w: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3,794,178.95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0.09%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2" w:right="0"/>
              <w:jc w:val="left"/>
              <w:rPr>
                <w:rFonts w:ascii="宋体" w:hAnsi="宋体" w:cs="宋体" w:eastAsia="宋体" w:hint="default"/>
                <w:sz w:val="18"/>
                <w:szCs w:val="18"/>
              </w:rPr>
            </w:pPr>
            <w:r>
              <w:rPr>
                <w:rFonts w:ascii="宋体"/>
                <w:sz w:val="18"/>
              </w:rPr>
              <w:t>3,998,945.15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0.14%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7" w:right="0"/>
              <w:jc w:val="left"/>
              <w:rPr>
                <w:rFonts w:ascii="宋体" w:hAnsi="宋体" w:cs="宋体" w:eastAsia="宋体" w:hint="default"/>
                <w:sz w:val="18"/>
                <w:szCs w:val="18"/>
              </w:rPr>
            </w:pPr>
            <w:r>
              <w:rPr>
                <w:rFonts w:ascii="宋体"/>
                <w:sz w:val="18"/>
              </w:rPr>
              <w:t>-0.05%</w:t>
            </w: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80"/>
              <w:jc w:val="right"/>
              <w:rPr>
                <w:rFonts w:ascii="宋体" w:hAnsi="宋体" w:cs="宋体" w:eastAsia="宋体" w:hint="default"/>
                <w:sz w:val="18"/>
                <w:szCs w:val="18"/>
              </w:rPr>
            </w:pPr>
            <w:r>
              <w:rPr>
                <w:rFonts w:ascii="宋体"/>
                <w:sz w:val="18"/>
              </w:rPr>
              <w:t>96,745,428.04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2.30%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2" w:right="0"/>
              <w:jc w:val="left"/>
              <w:rPr>
                <w:rFonts w:ascii="宋体" w:hAnsi="宋体" w:cs="宋体" w:eastAsia="宋体" w:hint="default"/>
                <w:sz w:val="18"/>
                <w:szCs w:val="18"/>
              </w:rPr>
            </w:pPr>
            <w:r>
              <w:rPr>
                <w:rFonts w:ascii="宋体"/>
                <w:sz w:val="18"/>
              </w:rPr>
              <w:t>130,086,889.17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4.58%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7" w:right="0"/>
              <w:jc w:val="left"/>
              <w:rPr>
                <w:rFonts w:ascii="宋体" w:hAnsi="宋体" w:cs="宋体" w:eastAsia="宋体" w:hint="default"/>
                <w:sz w:val="18"/>
                <w:szCs w:val="18"/>
              </w:rPr>
            </w:pPr>
            <w:r>
              <w:rPr>
                <w:rFonts w:ascii="宋体"/>
                <w:sz w:val="18"/>
              </w:rPr>
              <w:t>-2.28%</w:t>
            </w: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458,824,541.23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2" w:right="0"/>
              <w:jc w:val="left"/>
              <w:rPr>
                <w:rFonts w:ascii="宋体" w:hAnsi="宋体" w:cs="宋体" w:eastAsia="宋体" w:hint="default"/>
                <w:sz w:val="18"/>
                <w:szCs w:val="18"/>
              </w:rPr>
            </w:pPr>
            <w:r>
              <w:rPr>
                <w:rFonts w:ascii="宋体"/>
                <w:sz w:val="18"/>
              </w:rPr>
              <w:t>577,618,770.68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20.31%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7" w:right="0"/>
              <w:jc w:val="left"/>
              <w:rPr>
                <w:rFonts w:ascii="宋体" w:hAnsi="宋体" w:cs="宋体" w:eastAsia="宋体" w:hint="default"/>
                <w:sz w:val="18"/>
                <w:szCs w:val="18"/>
              </w:rPr>
            </w:pPr>
            <w:r>
              <w:rPr>
                <w:rFonts w:ascii="宋体"/>
                <w:sz w:val="18"/>
              </w:rPr>
              <w:t>-9.39%</w:t>
            </w: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37"/>
              <w:jc w:val="right"/>
              <w:rPr>
                <w:rFonts w:ascii="宋体" w:hAnsi="宋体" w:cs="宋体" w:eastAsia="宋体" w:hint="default"/>
                <w:sz w:val="18"/>
                <w:szCs w:val="18"/>
              </w:rPr>
            </w:pPr>
            <w:r>
              <w:rPr>
                <w:rFonts w:ascii="宋体"/>
                <w:sz w:val="18"/>
              </w:rPr>
              <w:t>114,058,618.60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2.71%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7" w:right="0"/>
              <w:jc w:val="left"/>
              <w:rPr>
                <w:rFonts w:ascii="宋体" w:hAnsi="宋体" w:cs="宋体" w:eastAsia="宋体" w:hint="default"/>
                <w:sz w:val="18"/>
                <w:szCs w:val="18"/>
              </w:rPr>
            </w:pPr>
            <w:r>
              <w:rPr>
                <w:rFonts w:ascii="宋体"/>
                <w:sz w:val="18"/>
              </w:rPr>
              <w:t>24,124,842.60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0.85%</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3" w:right="0"/>
              <w:jc w:val="left"/>
              <w:rPr>
                <w:rFonts w:ascii="宋体" w:hAnsi="宋体" w:cs="宋体" w:eastAsia="宋体" w:hint="default"/>
                <w:sz w:val="18"/>
                <w:szCs w:val="18"/>
              </w:rPr>
            </w:pPr>
            <w:r>
              <w:rPr>
                <w:rFonts w:ascii="宋体"/>
                <w:sz w:val="18"/>
              </w:rPr>
              <w:t>1.86%</w:t>
            </w:r>
          </w:p>
        </w:tc>
        <w:tc>
          <w:tcPr>
            <w:tcW w:w="1352"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4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sz w:val="18"/>
              </w:rPr>
              <w:t>762,100,191.70</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18"/>
                <w:szCs w:val="18"/>
              </w:rPr>
            </w:pPr>
            <w:r>
              <w:rPr>
                <w:rFonts w:ascii="宋体"/>
                <w:sz w:val="18"/>
              </w:rPr>
              <w:t>18.14%</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7" w:right="0"/>
              <w:jc w:val="left"/>
              <w:rPr>
                <w:rFonts w:ascii="宋体" w:hAnsi="宋体" w:cs="宋体" w:eastAsia="宋体" w:hint="default"/>
                <w:sz w:val="18"/>
                <w:szCs w:val="18"/>
              </w:rPr>
            </w:pPr>
            <w:r>
              <w:rPr>
                <w:rFonts w:ascii="宋体"/>
                <w:sz w:val="18"/>
              </w:rPr>
              <w:t>77,105,651.14</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sz w:val="18"/>
              </w:rPr>
              <w:t>2.71%</w:t>
            </w:r>
          </w:p>
        </w:tc>
        <w:tc>
          <w:tcPr>
            <w:tcW w:w="14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57" w:right="0"/>
              <w:jc w:val="left"/>
              <w:rPr>
                <w:rFonts w:ascii="宋体" w:hAnsi="宋体" w:cs="宋体" w:eastAsia="宋体" w:hint="default"/>
                <w:sz w:val="18"/>
                <w:szCs w:val="18"/>
              </w:rPr>
            </w:pPr>
            <w:r>
              <w:rPr>
                <w:rFonts w:ascii="宋体"/>
                <w:sz w:val="18"/>
              </w:rPr>
              <w:t>15.43%</w:t>
            </w:r>
          </w:p>
        </w:tc>
        <w:tc>
          <w:tcPr>
            <w:tcW w:w="1352" w:type="dxa"/>
            <w:vMerge w:val="restart"/>
            <w:tcBorders>
              <w:top w:val="single" w:sz="4" w:space="0" w:color="000000"/>
              <w:left w:val="single" w:sz="4" w:space="0" w:color="000000"/>
              <w:right w:val="single" w:sz="4" w:space="0" w:color="000000"/>
            </w:tcBorders>
          </w:tcPr>
          <w:p>
            <w:pPr>
              <w:pStyle w:val="TableParagraph"/>
              <w:spacing w:line="237" w:lineRule="auto" w:before="11"/>
              <w:ind w:left="22" w:right="59"/>
              <w:jc w:val="both"/>
              <w:rPr>
                <w:rFonts w:ascii="宋体" w:hAnsi="宋体" w:cs="宋体" w:eastAsia="宋体" w:hint="default"/>
                <w:sz w:val="18"/>
                <w:szCs w:val="18"/>
              </w:rPr>
            </w:pPr>
            <w:r>
              <w:rPr>
                <w:rFonts w:ascii="宋体" w:hAnsi="宋体" w:cs="宋体" w:eastAsia="宋体" w:hint="default"/>
                <w:sz w:val="18"/>
                <w:szCs w:val="18"/>
              </w:rPr>
              <w:t>主要系本期因非 同一控制下企业 合并，相应确认 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70,150.16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21" w:lineRule="exact"/>
              <w:ind w:left="22" w:right="0"/>
              <w:jc w:val="both"/>
              <w:rPr>
                <w:rFonts w:ascii="宋体" w:hAnsi="宋体" w:cs="宋体" w:eastAsia="宋体" w:hint="default"/>
                <w:sz w:val="18"/>
                <w:szCs w:val="18"/>
              </w:rPr>
            </w:pPr>
            <w:r>
              <w:rPr>
                <w:rFonts w:ascii="宋体" w:hAnsi="宋体" w:cs="宋体" w:eastAsia="宋体" w:hint="default"/>
                <w:sz w:val="18"/>
                <w:szCs w:val="18"/>
              </w:rPr>
              <w:t>元商誉所致</w:t>
            </w:r>
          </w:p>
        </w:tc>
      </w:tr>
      <w:tr>
        <w:trPr>
          <w:trHeight w:val="31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43" w:type="dxa"/>
            <w:vMerge/>
            <w:tcBorders>
              <w:left w:val="single" w:sz="9" w:space="0" w:color="D2D2D2"/>
              <w:right w:val="single" w:sz="4" w:space="0" w:color="000000"/>
            </w:tcBorders>
          </w:tcPr>
          <w:p>
            <w:pPr/>
          </w:p>
        </w:tc>
        <w:tc>
          <w:tcPr>
            <w:tcW w:w="903"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1466" w:type="dxa"/>
            <w:vMerge/>
            <w:tcBorders>
              <w:left w:val="single" w:sz="4" w:space="0" w:color="000000"/>
              <w:right w:val="single" w:sz="4" w:space="0" w:color="000000"/>
            </w:tcBorders>
          </w:tcPr>
          <w:p>
            <w:pPr/>
          </w:p>
        </w:tc>
        <w:tc>
          <w:tcPr>
            <w:tcW w:w="1352" w:type="dxa"/>
            <w:vMerge/>
            <w:tcBorders>
              <w:left w:val="single" w:sz="4" w:space="0" w:color="000000"/>
              <w:right w:val="single" w:sz="4" w:space="0" w:color="000000"/>
            </w:tcBorders>
          </w:tcPr>
          <w:p>
            <w:pPr/>
          </w:p>
        </w:tc>
      </w:tr>
      <w:tr>
        <w:trPr>
          <w:trHeight w:val="47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43" w:type="dxa"/>
            <w:vMerge/>
            <w:tcBorders>
              <w:left w:val="single" w:sz="9" w:space="0" w:color="D2D2D2"/>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c>
          <w:tcPr>
            <w:tcW w:w="135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40" w:lineRule="auto" w:before="35"/>
        <w:ind w:left="497" w:right="1777"/>
        <w:jc w:val="left"/>
        <w:rPr>
          <w:b w:val="0"/>
          <w:bCs w:val="0"/>
        </w:rPr>
      </w:pPr>
      <w:bookmarkStart w:name="2、负债项目重大变动情况" w:id="28"/>
      <w:bookmarkEnd w:id="28"/>
      <w:r>
        <w:rPr>
          <w:b w:val="0"/>
          <w:bCs w:val="0"/>
        </w:rPr>
      </w:r>
      <w:r>
        <w:rPr>
          <w:rFonts w:ascii="宋体" w:hAnsi="宋体" w:cs="宋体" w:eastAsia="宋体" w:hint="default"/>
        </w:rPr>
        <w:t>2</w:t>
      </w:r>
      <w:r>
        <w:rPr/>
        <w:t>、负债项目重大变动情况</w:t>
      </w:r>
      <w:r>
        <w:rPr>
          <w:b w:val="0"/>
          <w:bCs w:val="0"/>
        </w:rPr>
      </w:r>
    </w:p>
    <w:p>
      <w:pPr>
        <w:spacing w:line="240" w:lineRule="auto" w:before="11"/>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24"/>
          <w:szCs w:val="24"/>
        </w:rPr>
      </w:pPr>
    </w:p>
    <w:p>
      <w:pPr>
        <w:tabs>
          <w:tab w:pos="89" w:val="left" w:leader="none"/>
        </w:tabs>
        <w:spacing w:before="86"/>
        <w:ind w:left="0" w:right="2785" w:firstLine="0"/>
        <w:jc w:val="right"/>
        <w:rPr>
          <w:rFonts w:ascii="Times New Roman" w:hAnsi="Times New Roman" w:cs="Times New Roman" w:eastAsia="Times New Roman" w:hint="default"/>
          <w:sz w:val="18"/>
          <w:szCs w:val="18"/>
        </w:rPr>
      </w:pPr>
      <w:r>
        <w:rPr/>
        <w:pict>
          <v:shape style="position:absolute;margin-left:79.830002pt;margin-top:-12.757657pt;width:437.25pt;height:79.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391"/>
                    <w:gridCol w:w="1002"/>
                    <w:gridCol w:w="1560"/>
                    <w:gridCol w:w="970"/>
                    <w:gridCol w:w="1121"/>
                    <w:gridCol w:w="89"/>
                    <w:gridCol w:w="1226"/>
                  </w:tblGrid>
                  <w:tr>
                    <w:trPr>
                      <w:trHeight w:val="32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23"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80" w:right="45"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64" w:right="29" w:hanging="135"/>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宋体" w:hAnsi="宋体" w:cs="宋体" w:eastAsia="宋体" w:hint="default"/>
                            <w:sz w:val="18"/>
                            <w:szCs w:val="18"/>
                          </w:rPr>
                          <w:t>%</w:t>
                        </w:r>
                        <w:r>
                          <w:rPr>
                            <w:rFonts w:ascii="宋体" w:hAnsi="宋体" w:cs="宋体" w:eastAsia="宋体" w:hint="default"/>
                            <w:sz w:val="18"/>
                            <w:szCs w:val="18"/>
                          </w:rPr>
                          <w:t>）</w:t>
                        </w:r>
                      </w:p>
                    </w:tc>
                    <w:tc>
                      <w:tcPr>
                        <w:tcW w:w="1121" w:type="dxa"/>
                        <w:vMerge w:val="restart"/>
                        <w:tcBorders>
                          <w:top w:val="nil" w:sz="6" w:space="0" w:color="auto"/>
                          <w:left w:val="single" w:sz="23" w:space="0" w:color="D2D2D2"/>
                          <w:right w:val="single" w:sz="22" w:space="0" w:color="D2D2D2"/>
                        </w:tcBorders>
                      </w:tcPr>
                      <w:p>
                        <w:pPr>
                          <w:pStyle w:val="TableParagraph"/>
                          <w:spacing w:line="207" w:lineRule="exact"/>
                          <w:ind w:left="-1" w:right="-54"/>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比重增减（</w:t>
                        </w:r>
                        <w:r>
                          <w:rPr>
                            <w:rFonts w:ascii="宋体" w:hAnsi="宋体" w:cs="宋体" w:eastAsia="宋体" w:hint="default"/>
                            <w:spacing w:val="-8"/>
                            <w:sz w:val="18"/>
                            <w:szCs w:val="18"/>
                            <w:shd w:fill="D2D2D2" w:color="auto" w:val="clear"/>
                          </w:rPr>
                          <w:t>%</w:t>
                        </w:r>
                        <w:r>
                          <w:rPr>
                            <w:rFonts w:ascii="宋体" w:hAnsi="宋体" w:cs="宋体" w:eastAsia="宋体" w:hint="default"/>
                            <w:spacing w:val="-8"/>
                            <w:sz w:val="18"/>
                            <w:szCs w:val="18"/>
                            <w:shd w:fill="D2D2D2" w:color="auto" w:val="clear"/>
                          </w:rPr>
                          <w:t>）</w:t>
                        </w:r>
                        <w:r>
                          <w:rPr>
                            <w:rFonts w:ascii="宋体" w:hAnsi="宋体" w:cs="宋体" w:eastAsia="宋体" w:hint="default"/>
                            <w:spacing w:val="-8"/>
                            <w:sz w:val="18"/>
                            <w:szCs w:val="18"/>
                          </w:rPr>
                        </w:r>
                        <w:r>
                          <w:rPr>
                            <w:rFonts w:ascii="宋体" w:hAnsi="宋体" w:cs="宋体" w:eastAsia="宋体" w:hint="default"/>
                            <w:sz w:val="18"/>
                            <w:szCs w:val="18"/>
                          </w:rPr>
                        </w:r>
                      </w:p>
                    </w:tc>
                    <w:tc>
                      <w:tcPr>
                        <w:tcW w:w="89" w:type="dxa"/>
                        <w:vMerge w:val="restart"/>
                        <w:tcBorders>
                          <w:top w:val="nil" w:sz="6" w:space="0" w:color="auto"/>
                          <w:left w:val="single" w:sz="22" w:space="0" w:color="D2D2D2"/>
                          <w:right w:val="nil" w:sz="6" w:space="0" w:color="auto"/>
                        </w:tcBorders>
                      </w:tcPr>
                      <w:p>
                        <w:pPr/>
                      </w:p>
                    </w:tc>
                    <w:tc>
                      <w:tcPr>
                        <w:tcW w:w="1226" w:type="dxa"/>
                        <w:vMerge w:val="restart"/>
                        <w:tcBorders>
                          <w:top w:val="nil" w:sz="6" w:space="0" w:color="auto"/>
                          <w:left w:val="nil" w:sz="6" w:space="0" w:color="auto"/>
                          <w:right w:val="single" w:sz="10" w:space="0" w:color="D2D2D2"/>
                        </w:tcBorders>
                      </w:tcPr>
                      <w:p>
                        <w:pPr>
                          <w:pStyle w:val="TableParagraph"/>
                          <w:tabs>
                            <w:tab w:pos="1197" w:val="left" w:leader="none"/>
                          </w:tabs>
                          <w:spacing w:line="207" w:lineRule="exact"/>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重大变动说明</w:t>
                          <w:tab/>
                        </w:r>
                        <w:r>
                          <w:rPr>
                            <w:rFonts w:ascii="宋体" w:hAnsi="宋体" w:cs="宋体" w:eastAsia="宋体" w:hint="default"/>
                            <w:sz w:val="18"/>
                            <w:szCs w:val="18"/>
                          </w:rPr>
                        </w:r>
                      </w:p>
                    </w:tc>
                  </w:tr>
                  <w:tr>
                    <w:trPr>
                      <w:trHeight w:val="15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2"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0" w:type="dxa"/>
                        <w:vMerge/>
                        <w:tcBorders>
                          <w:left w:val="single" w:sz="4" w:space="0" w:color="000000"/>
                          <w:right w:val="single" w:sz="4" w:space="0" w:color="000000"/>
                        </w:tcBorders>
                        <w:shd w:val="clear" w:color="auto" w:fill="D2D2D2"/>
                      </w:tcPr>
                      <w:p>
                        <w:pPr/>
                      </w:p>
                    </w:tc>
                    <w:tc>
                      <w:tcPr>
                        <w:tcW w:w="1121" w:type="dxa"/>
                        <w:vMerge/>
                        <w:tcBorders>
                          <w:left w:val="single" w:sz="23" w:space="0" w:color="D2D2D2"/>
                          <w:bottom w:val="nil" w:sz="6" w:space="0" w:color="auto"/>
                          <w:right w:val="single" w:sz="22" w:space="0" w:color="D2D2D2"/>
                        </w:tcBorders>
                      </w:tcPr>
                      <w:p>
                        <w:pPr/>
                      </w:p>
                    </w:tc>
                    <w:tc>
                      <w:tcPr>
                        <w:tcW w:w="89" w:type="dxa"/>
                        <w:vMerge/>
                        <w:tcBorders>
                          <w:left w:val="single" w:sz="22" w:space="0" w:color="D2D2D2"/>
                          <w:bottom w:val="nil" w:sz="6" w:space="0" w:color="auto"/>
                          <w:right w:val="nil" w:sz="6" w:space="0" w:color="auto"/>
                        </w:tcBorders>
                      </w:tcPr>
                      <w:p>
                        <w:pPr/>
                      </w:p>
                    </w:tc>
                    <w:tc>
                      <w:tcPr>
                        <w:tcW w:w="1226" w:type="dxa"/>
                        <w:vMerge/>
                        <w:tcBorders>
                          <w:left w:val="nil" w:sz="6" w:space="0" w:color="auto"/>
                          <w:bottom w:val="nil" w:sz="6" w:space="0" w:color="auto"/>
                          <w:right w:val="single" w:sz="10" w:space="0" w:color="D2D2D2"/>
                        </w:tcBorders>
                      </w:tcPr>
                      <w:p>
                        <w:pPr/>
                      </w:p>
                    </w:tc>
                  </w:tr>
                  <w:tr>
                    <w:trPr>
                      <w:trHeight w:val="28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1"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1" w:type="dxa"/>
                        <w:tcBorders>
                          <w:top w:val="single" w:sz="47" w:space="0" w:color="D2D2D2"/>
                          <w:left w:val="single" w:sz="13" w:space="0" w:color="D2D2D2"/>
                          <w:bottom w:val="single" w:sz="4" w:space="0" w:color="000000"/>
                          <w:right w:val="single" w:sz="4" w:space="0" w:color="000000"/>
                        </w:tcBorders>
                      </w:tcPr>
                      <w:p>
                        <w:pPr>
                          <w:pStyle w:val="TableParagraph"/>
                          <w:spacing w:line="193" w:lineRule="exact"/>
                          <w:ind w:right="59"/>
                          <w:jc w:val="right"/>
                          <w:rPr>
                            <w:rFonts w:ascii="宋体" w:hAnsi="宋体" w:cs="宋体" w:eastAsia="宋体" w:hint="default"/>
                            <w:sz w:val="18"/>
                            <w:szCs w:val="18"/>
                          </w:rPr>
                        </w:pPr>
                        <w:r>
                          <w:rPr>
                            <w:rFonts w:ascii="宋体"/>
                            <w:sz w:val="18"/>
                          </w:rPr>
                          <w:t>414,116,792.07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9.86%</w:t>
                        </w:r>
                      </w:p>
                    </w:tc>
                    <w:tc>
                      <w:tcPr>
                        <w:tcW w:w="1560" w:type="dxa"/>
                        <w:tcBorders>
                          <w:top w:val="single" w:sz="47" w:space="0" w:color="D2D2D2"/>
                          <w:left w:val="single" w:sz="4" w:space="0" w:color="000000"/>
                          <w:bottom w:val="single" w:sz="4" w:space="0" w:color="000000"/>
                          <w:right w:val="single" w:sz="4" w:space="0" w:color="000000"/>
                        </w:tcBorders>
                      </w:tcPr>
                      <w:p>
                        <w:pPr>
                          <w:pStyle w:val="TableParagraph"/>
                          <w:spacing w:line="193" w:lineRule="exact"/>
                          <w:ind w:right="144"/>
                          <w:jc w:val="right"/>
                          <w:rPr>
                            <w:rFonts w:ascii="宋体" w:hAnsi="宋体" w:cs="宋体" w:eastAsia="宋体" w:hint="default"/>
                            <w:sz w:val="18"/>
                            <w:szCs w:val="18"/>
                          </w:rPr>
                        </w:pPr>
                        <w:r>
                          <w:rPr>
                            <w:rFonts w:ascii="宋体"/>
                            <w:sz w:val="18"/>
                          </w:rPr>
                          <w:t>434,794,798.99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0" w:right="0"/>
                          <w:jc w:val="left"/>
                          <w:rPr>
                            <w:rFonts w:ascii="宋体" w:hAnsi="宋体" w:cs="宋体" w:eastAsia="宋体" w:hint="default"/>
                            <w:sz w:val="18"/>
                            <w:szCs w:val="18"/>
                          </w:rPr>
                        </w:pPr>
                        <w:r>
                          <w:rPr>
                            <w:rFonts w:ascii="宋体"/>
                            <w:sz w:val="18"/>
                          </w:rPr>
                          <w:t>15.29%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4" w:right="0"/>
                          <w:jc w:val="left"/>
                          <w:rPr>
                            <w:rFonts w:ascii="宋体" w:hAnsi="宋体" w:cs="宋体" w:eastAsia="宋体" w:hint="default"/>
                            <w:sz w:val="18"/>
                            <w:szCs w:val="18"/>
                          </w:rPr>
                        </w:pPr>
                        <w:r>
                          <w:rPr>
                            <w:rFonts w:ascii="宋体"/>
                            <w:sz w:val="18"/>
                          </w:rPr>
                          <w:t>-5.43%</w:t>
                        </w:r>
                      </w:p>
                    </w:tc>
                    <w:tc>
                      <w:tcPr>
                        <w:tcW w:w="1315" w:type="dxa"/>
                        <w:gridSpan w:val="2"/>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2"/>
                          <w:ind w:right="59"/>
                          <w:jc w:val="right"/>
                          <w:rPr>
                            <w:rFonts w:ascii="宋体" w:hAnsi="宋体" w:cs="宋体" w:eastAsia="宋体" w:hint="default"/>
                            <w:sz w:val="18"/>
                            <w:szCs w:val="18"/>
                          </w:rPr>
                        </w:pPr>
                        <w:r>
                          <w:rPr>
                            <w:rFonts w:ascii="宋体"/>
                            <w:sz w:val="18"/>
                          </w:rPr>
                          <w:t>117,500,000.00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2.80%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4"/>
                          <w:jc w:val="right"/>
                          <w:rPr>
                            <w:rFonts w:ascii="宋体" w:hAnsi="宋体" w:cs="宋体" w:eastAsia="宋体" w:hint="default"/>
                            <w:sz w:val="18"/>
                            <w:szCs w:val="18"/>
                          </w:rPr>
                        </w:pPr>
                        <w:r>
                          <w:rPr>
                            <w:rFonts w:ascii="宋体"/>
                            <w:sz w:val="18"/>
                          </w:rPr>
                          <w:t>100,000,000.00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54" w:right="0"/>
                          <w:jc w:val="left"/>
                          <w:rPr>
                            <w:rFonts w:ascii="宋体" w:hAnsi="宋体" w:cs="宋体" w:eastAsia="宋体" w:hint="default"/>
                            <w:sz w:val="18"/>
                            <w:szCs w:val="18"/>
                          </w:rPr>
                        </w:pPr>
                        <w:r>
                          <w:rPr>
                            <w:rFonts w:ascii="宋体"/>
                            <w:sz w:val="18"/>
                          </w:rPr>
                          <w:t>3.52%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84" w:right="0"/>
                          <w:jc w:val="left"/>
                          <w:rPr>
                            <w:rFonts w:ascii="宋体" w:hAnsi="宋体" w:cs="宋体" w:eastAsia="宋体" w:hint="default"/>
                            <w:sz w:val="18"/>
                            <w:szCs w:val="18"/>
                          </w:rPr>
                        </w:pPr>
                        <w:r>
                          <w:rPr>
                            <w:rFonts w:ascii="宋体"/>
                            <w:sz w:val="18"/>
                          </w:rPr>
                          <w:t>-0.72%</w:t>
                        </w:r>
                      </w:p>
                    </w:tc>
                    <w:tc>
                      <w:tcPr>
                        <w:tcW w:w="1315" w:type="dxa"/>
                        <w:gridSpan w:val="2"/>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sz w:val="18"/>
        </w:rPr>
      </w:r>
      <w:r>
        <w:rPr>
          <w:rFonts w:ascii="Times New Roman"/>
          <w:sz w:val="18"/>
          <w:shd w:fill="D2D2D2" w:color="auto" w:val="clear"/>
        </w:rPr>
        <w:t> </w:t>
        <w:tab/>
      </w:r>
      <w:r>
        <w:rPr>
          <w:rFonts w:ascii="Times New Roman"/>
          <w:sz w:val="18"/>
        </w:rPr>
      </w:r>
    </w:p>
    <w:p>
      <w:pPr>
        <w:spacing w:after="0"/>
        <w:jc w:val="right"/>
        <w:rPr>
          <w:rFonts w:ascii="Times New Roman" w:hAnsi="Times New Roman" w:cs="Times New Roman" w:eastAsia="Times New Roman" w:hint="default"/>
          <w:sz w:val="18"/>
          <w:szCs w:val="18"/>
        </w:rPr>
        <w:sectPr>
          <w:pgSz w:w="11910" w:h="16840"/>
          <w:pgMar w:header="877" w:footer="938" w:top="1100" w:bottom="1120" w:left="1300" w:right="0"/>
        </w:sectPr>
      </w:pPr>
    </w:p>
    <w:p>
      <w:pPr>
        <w:spacing w:line="240" w:lineRule="auto" w:before="8"/>
        <w:rPr>
          <w:rFonts w:ascii="Times New Roman" w:hAnsi="Times New Roman" w:cs="Times New Roman" w:eastAsia="Times New Roman" w:hint="default"/>
          <w:sz w:val="21"/>
          <w:szCs w:val="21"/>
        </w:rPr>
      </w:pPr>
    </w:p>
    <w:p>
      <w:pPr>
        <w:pStyle w:val="Heading3"/>
        <w:spacing w:line="240" w:lineRule="auto" w:before="35"/>
        <w:ind w:left="918" w:right="0"/>
        <w:jc w:val="left"/>
        <w:rPr>
          <w:b w:val="0"/>
          <w:bCs w:val="0"/>
        </w:rPr>
      </w:pPr>
      <w:bookmarkStart w:name="3、以公允价值计量的资产和负债" w:id="29"/>
      <w:bookmarkEnd w:id="29"/>
      <w:r>
        <w:rPr>
          <w:b w:val="0"/>
          <w:bCs w:val="0"/>
        </w:rPr>
      </w:r>
      <w:r>
        <w:rPr>
          <w:rFonts w:ascii="宋体" w:hAnsi="宋体" w:cs="宋体" w:eastAsia="宋体" w:hint="default"/>
        </w:rPr>
        <w:t>3</w:t>
      </w:r>
      <w:r>
        <w:rPr/>
        <w:t>、以公允价值计量的资产和负债</w:t>
      </w:r>
      <w:r>
        <w:rPr>
          <w:b w:val="0"/>
          <w:bCs w:val="0"/>
        </w:rPr>
      </w:r>
    </w:p>
    <w:p>
      <w:pPr>
        <w:spacing w:line="240" w:lineRule="auto" w:before="11"/>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188"/>
        <w:gridCol w:w="1278"/>
        <w:gridCol w:w="1342"/>
        <w:gridCol w:w="1197"/>
        <w:gridCol w:w="1190"/>
        <w:gridCol w:w="1278"/>
        <w:gridCol w:w="1196"/>
        <w:gridCol w:w="1270"/>
      </w:tblGrid>
      <w:tr>
        <w:trPr>
          <w:trHeight w:val="121" w:hRule="exact"/>
        </w:trPr>
        <w:tc>
          <w:tcPr>
            <w:tcW w:w="1188" w:type="dxa"/>
            <w:vMerge w:val="restart"/>
            <w:tcBorders>
              <w:top w:val="single" w:sz="4" w:space="0" w:color="000000"/>
              <w:left w:val="single" w:sz="4" w:space="0" w:color="000000"/>
              <w:right w:val="single" w:sz="4" w:space="0" w:color="000000"/>
            </w:tcBorders>
            <w:shd w:val="clear" w:color="auto" w:fill="D2D2D2"/>
          </w:tcPr>
          <w:p>
            <w:pPr/>
          </w:p>
        </w:tc>
        <w:tc>
          <w:tcPr>
            <w:tcW w:w="1278" w:type="dxa"/>
            <w:vMerge w:val="restart"/>
            <w:tcBorders>
              <w:top w:val="single" w:sz="4" w:space="0" w:color="000000"/>
              <w:left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53" w:right="5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8"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70" w:type="dxa"/>
            <w:vMerge w:val="restart"/>
            <w:tcBorders>
              <w:top w:val="single" w:sz="4" w:space="0" w:color="000000"/>
              <w:left w:val="single" w:sz="4" w:space="0" w:color="000000"/>
              <w:right w:val="single" w:sz="4" w:space="0" w:color="000000"/>
            </w:tcBorders>
            <w:shd w:val="clear" w:color="auto" w:fill="D2D2D2"/>
          </w:tcPr>
          <w:p>
            <w:pPr/>
          </w:p>
        </w:tc>
      </w:tr>
      <w:tr>
        <w:trPr>
          <w:trHeight w:val="118" w:hRule="exact"/>
        </w:trPr>
        <w:tc>
          <w:tcPr>
            <w:tcW w:w="1188" w:type="dxa"/>
            <w:vMerge/>
            <w:tcBorders>
              <w:left w:val="single" w:sz="4" w:space="0" w:color="000000"/>
              <w:bottom w:val="nil" w:sz="6" w:space="0" w:color="auto"/>
              <w:right w:val="single" w:sz="4" w:space="0" w:color="000000"/>
            </w:tcBorders>
            <w:shd w:val="clear" w:color="auto" w:fill="D2D2D2"/>
          </w:tcPr>
          <w:p>
            <w:pPr/>
          </w:p>
        </w:tc>
        <w:tc>
          <w:tcPr>
            <w:tcW w:w="1278" w:type="dxa"/>
            <w:vMerge/>
            <w:tcBorders>
              <w:left w:val="single" w:sz="4" w:space="0" w:color="000000"/>
              <w:bottom w:val="nil" w:sz="6" w:space="0" w:color="auto"/>
              <w:right w:val="single" w:sz="4" w:space="0" w:color="000000"/>
            </w:tcBorders>
            <w:shd w:val="clear" w:color="auto" w:fill="D2D2D2"/>
          </w:tcPr>
          <w:p>
            <w:pPr/>
          </w:p>
        </w:tc>
        <w:tc>
          <w:tcPr>
            <w:tcW w:w="13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392" w:right="37"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197" w:type="dxa"/>
            <w:vMerge/>
            <w:tcBorders>
              <w:left w:val="single" w:sz="4" w:space="0" w:color="000000"/>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03" w:right="45"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78"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70" w:type="dxa"/>
            <w:vMerge/>
            <w:tcBorders>
              <w:left w:val="single" w:sz="4" w:space="0" w:color="000000"/>
              <w:bottom w:val="nil" w:sz="6" w:space="0" w:color="auto"/>
              <w:right w:val="single" w:sz="4" w:space="0" w:color="000000"/>
            </w:tcBorders>
            <w:shd w:val="clear" w:color="auto" w:fill="D2D2D2"/>
          </w:tcPr>
          <w:p>
            <w:pPr/>
          </w:p>
        </w:tc>
      </w:tr>
      <w:tr>
        <w:trPr>
          <w:trHeight w:val="314" w:hRule="exact"/>
        </w:trPr>
        <w:tc>
          <w:tcPr>
            <w:tcW w:w="1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2"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right w:val="single" w:sz="4" w:space="0" w:color="000000"/>
            </w:tcBorders>
            <w:shd w:val="clear" w:color="auto" w:fill="D2D2D2"/>
          </w:tcPr>
          <w:p>
            <w:pPr/>
          </w:p>
        </w:tc>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45" w:hRule="exact"/>
        </w:trPr>
        <w:tc>
          <w:tcPr>
            <w:tcW w:w="1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0"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75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497"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22"/>
              <w:ind w:left="11"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232" w:lineRule="exact" w:before="24"/>
              <w:ind w:left="11" w:right="84"/>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78"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6"/>
              <w:jc w:val="center"/>
              <w:rPr>
                <w:rFonts w:ascii="宋体" w:hAnsi="宋体" w:cs="宋体" w:eastAsia="宋体" w:hint="default"/>
                <w:sz w:val="18"/>
                <w:szCs w:val="18"/>
              </w:rPr>
            </w:pPr>
            <w:r>
              <w:rPr>
                <w:rFonts w:ascii="宋体"/>
                <w:sz w:val="18"/>
              </w:rPr>
              <w:t>18,517,087.00</w:t>
            </w:r>
          </w:p>
        </w:tc>
        <w:tc>
          <w:tcPr>
            <w:tcW w:w="1342"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4"/>
              <w:jc w:val="center"/>
              <w:rPr>
                <w:rFonts w:ascii="宋体" w:hAnsi="宋体" w:cs="宋体" w:eastAsia="宋体" w:hint="default"/>
                <w:sz w:val="18"/>
                <w:szCs w:val="18"/>
              </w:rPr>
            </w:pPr>
            <w:r>
              <w:rPr>
                <w:rFonts w:ascii="宋体"/>
                <w:sz w:val="18"/>
              </w:rPr>
              <w:t>-18,517,087.00</w:t>
            </w:r>
          </w:p>
        </w:tc>
        <w:tc>
          <w:tcPr>
            <w:tcW w:w="1197" w:type="dxa"/>
            <w:tcBorders>
              <w:top w:val="single" w:sz="9" w:space="0" w:color="D2D2D2"/>
              <w:left w:val="single" w:sz="4" w:space="0" w:color="000000"/>
              <w:bottom w:val="single" w:sz="4" w:space="0" w:color="000000"/>
              <w:right w:val="single" w:sz="4" w:space="0" w:color="000000"/>
            </w:tcBorders>
          </w:tcPr>
          <w:p>
            <w:pPr/>
          </w:p>
        </w:tc>
        <w:tc>
          <w:tcPr>
            <w:tcW w:w="1190" w:type="dxa"/>
            <w:tcBorders>
              <w:top w:val="single" w:sz="9" w:space="0" w:color="D2D2D2"/>
              <w:left w:val="single" w:sz="4" w:space="0" w:color="000000"/>
              <w:bottom w:val="single" w:sz="4" w:space="0" w:color="000000"/>
              <w:right w:val="single" w:sz="4" w:space="0" w:color="000000"/>
            </w:tcBorders>
          </w:tcPr>
          <w:p>
            <w:pPr/>
          </w:p>
        </w:tc>
        <w:tc>
          <w:tcPr>
            <w:tcW w:w="1278" w:type="dxa"/>
            <w:tcBorders>
              <w:top w:val="single" w:sz="9" w:space="0" w:color="D2D2D2"/>
              <w:left w:val="single" w:sz="4" w:space="0" w:color="000000"/>
              <w:bottom w:val="single" w:sz="4" w:space="0" w:color="000000"/>
              <w:right w:val="single" w:sz="4" w:space="0" w:color="000000"/>
            </w:tcBorders>
          </w:tcPr>
          <w:p>
            <w:pPr/>
          </w:p>
        </w:tc>
        <w:tc>
          <w:tcPr>
            <w:tcW w:w="1196" w:type="dxa"/>
            <w:tcBorders>
              <w:top w:val="single" w:sz="9" w:space="0" w:color="D2D2D2"/>
              <w:left w:val="single" w:sz="4" w:space="0" w:color="000000"/>
              <w:bottom w:val="single" w:sz="4" w:space="0" w:color="000000"/>
              <w:right w:val="single" w:sz="4" w:space="0" w:color="000000"/>
            </w:tcBorders>
          </w:tcPr>
          <w:p>
            <w:pPr/>
          </w:p>
        </w:tc>
        <w:tc>
          <w:tcPr>
            <w:tcW w:w="127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r>
      <w:tr>
        <w:trPr>
          <w:trHeight w:val="440"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78" w:type="dxa"/>
            <w:tcBorders>
              <w:top w:val="single" w:sz="4" w:space="0" w:color="000000"/>
              <w:left w:val="single" w:sz="13" w:space="0" w:color="D2D2D2"/>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40"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78" w:type="dxa"/>
            <w:tcBorders>
              <w:top w:val="single" w:sz="4" w:space="0" w:color="000000"/>
              <w:left w:val="single" w:sz="13" w:space="0" w:color="D2D2D2"/>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6"/>
              <w:jc w:val="center"/>
              <w:rPr>
                <w:rFonts w:ascii="宋体" w:hAnsi="宋体" w:cs="宋体" w:eastAsia="宋体" w:hint="default"/>
                <w:sz w:val="18"/>
                <w:szCs w:val="18"/>
              </w:rPr>
            </w:pPr>
            <w:r>
              <w:rPr>
                <w:rFonts w:ascii="宋体"/>
                <w:sz w:val="18"/>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-2,333,342.50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2,333,342.50</w:t>
            </w:r>
          </w:p>
        </w:tc>
      </w:tr>
    </w:tbl>
    <w:p>
      <w:pPr>
        <w:spacing w:line="240" w:lineRule="auto" w:before="8"/>
        <w:rPr>
          <w:rFonts w:ascii="宋体" w:hAnsi="宋体" w:cs="宋体" w:eastAsia="宋体" w:hint="default"/>
          <w:sz w:val="18"/>
          <w:szCs w:val="18"/>
        </w:rPr>
      </w:pPr>
    </w:p>
    <w:p>
      <w:pPr>
        <w:pStyle w:val="BodyText"/>
        <w:spacing w:line="240" w:lineRule="auto" w:before="35"/>
        <w:ind w:left="917" w:right="0"/>
        <w:jc w:val="left"/>
      </w:pPr>
      <w:r>
        <w:rPr/>
        <w:t>报告期内公司主要资产计量属性是否发生重大变化</w:t>
      </w:r>
    </w:p>
    <w:p>
      <w:pPr>
        <w:pStyle w:val="BodyText"/>
        <w:spacing w:line="240" w:lineRule="auto" w:before="172"/>
        <w:ind w:left="917" w:right="0"/>
        <w:jc w:val="left"/>
      </w:pPr>
      <w:r>
        <w:rPr/>
        <w:t>□ 是 √</w:t>
      </w:r>
      <w:r>
        <w:rPr>
          <w:spacing w:val="-1"/>
        </w:rPr>
        <w:t> </w:t>
      </w:r>
      <w:r>
        <w:rPr/>
        <w:t>否</w:t>
      </w:r>
    </w:p>
    <w:p>
      <w:pPr>
        <w:spacing w:line="240" w:lineRule="auto" w:before="0"/>
        <w:rPr>
          <w:rFonts w:ascii="宋体" w:hAnsi="宋体" w:cs="宋体" w:eastAsia="宋体" w:hint="default"/>
          <w:sz w:val="20"/>
          <w:szCs w:val="20"/>
        </w:rPr>
      </w:pPr>
    </w:p>
    <w:p>
      <w:pPr>
        <w:pStyle w:val="Heading2"/>
        <w:spacing w:line="240" w:lineRule="auto" w:before="167"/>
        <w:ind w:left="918" w:right="0"/>
        <w:jc w:val="left"/>
        <w:rPr>
          <w:b w:val="0"/>
          <w:bCs w:val="0"/>
        </w:rPr>
      </w:pPr>
      <w:bookmarkStart w:name="五、核心竞争力分析" w:id="30"/>
      <w:bookmarkEnd w:id="30"/>
      <w:r>
        <w:rPr>
          <w:b w:val="0"/>
          <w:bCs w:val="0"/>
        </w:rPr>
      </w:r>
      <w:r>
        <w:rPr/>
        <w:t>五、核心竞争力分析</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1338" w:right="6098"/>
        <w:jc w:val="left"/>
      </w:pPr>
      <w:r>
        <w:rPr/>
        <w:t>（一）公司机械制造业务的核心竞争力 </w:t>
      </w:r>
      <w:r>
        <w:rPr>
          <w:rFonts w:ascii="宋体" w:hAnsi="宋体" w:cs="宋体" w:eastAsia="宋体" w:hint="default"/>
        </w:rPr>
        <w:t>1</w:t>
      </w:r>
      <w:r>
        <w:rPr/>
        <w:t>、行业协同优势</w:t>
      </w:r>
    </w:p>
    <w:p>
      <w:pPr>
        <w:pStyle w:val="BodyText"/>
        <w:spacing w:line="357" w:lineRule="auto"/>
        <w:ind w:left="918" w:right="1706" w:firstLine="420"/>
        <w:jc w:val="both"/>
      </w:pPr>
      <w:r>
        <w:rPr/>
        <w:t>公司的业务领域跨越微型小型水泵、园林机械、清洗与植保机械、工业泵等多个行业， 形成了独特的行业协同优势，具体体现为：</w:t>
      </w:r>
    </w:p>
    <w:p>
      <w:pPr>
        <w:pStyle w:val="BodyText"/>
        <w:spacing w:line="357" w:lineRule="auto"/>
        <w:ind w:left="918" w:right="1792" w:firstLine="420"/>
        <w:jc w:val="both"/>
      </w:pPr>
      <w:r>
        <w:rPr>
          <w:spacing w:val="-3"/>
        </w:rPr>
        <w:t>第一，公司微型小型水泵、园林机械、清洗与植保机械产品具有相似的应用领域（如园</w:t>
      </w:r>
      <w:r>
        <w:rPr/>
        <w:t> </w:t>
      </w:r>
      <w:r>
        <w:rPr>
          <w:spacing w:val="-3"/>
        </w:rPr>
        <w:t>林绿化、园林浇灌、居民家庭庭院作业、家庭供排水等），在客户群体、营销网络方面部分</w:t>
      </w:r>
      <w:r>
        <w:rPr>
          <w:spacing w:val="-75"/>
        </w:rPr>
        <w:t> </w:t>
      </w:r>
      <w:r>
        <w:rPr>
          <w:spacing w:val="-75"/>
        </w:rPr>
      </w:r>
      <w:r>
        <w:rPr>
          <w:spacing w:val="-3"/>
        </w:rPr>
        <w:t>重叠，可共享公司的国际营销资源，使三类产品的销售相互促进，公司在获取市场信息、新</w:t>
      </w:r>
      <w:r>
        <w:rPr>
          <w:spacing w:val="-73"/>
        </w:rPr>
        <w:t> </w:t>
      </w:r>
      <w:r>
        <w:rPr>
          <w:spacing w:val="-73"/>
        </w:rPr>
      </w:r>
      <w:r>
        <w:rPr/>
        <w:t>产品市场开拓、客户关系维护等方面可有效降低费用支出；</w:t>
      </w:r>
    </w:p>
    <w:p>
      <w:pPr>
        <w:pStyle w:val="BodyText"/>
        <w:spacing w:line="357" w:lineRule="auto" w:before="31"/>
        <w:ind w:left="917" w:right="1792" w:firstLine="420"/>
        <w:jc w:val="both"/>
      </w:pPr>
      <w:r>
        <w:rPr>
          <w:spacing w:val="-3"/>
        </w:rPr>
        <w:t>第二，微型小型水泵、园林机械产品的核心技术工艺和装配工艺具有相似性，可共享公</w:t>
      </w:r>
      <w:r>
        <w:rPr/>
        <w:t> </w:t>
      </w:r>
      <w:r>
        <w:rPr>
          <w:spacing w:val="-3"/>
        </w:rPr>
        <w:t>司的技术、研发资源，一方面可降低公司的技术及研发费用支出，另一方面，两类产品在技</w:t>
      </w:r>
      <w:r>
        <w:rPr>
          <w:spacing w:val="-73"/>
        </w:rPr>
        <w:t> </w:t>
      </w:r>
      <w:r>
        <w:rPr>
          <w:spacing w:val="-73"/>
        </w:rPr>
      </w:r>
      <w:r>
        <w:rPr/>
        <w:t>术创新、技术改进方面相互促进，有助于公司加快新产品开发进度；</w:t>
      </w:r>
    </w:p>
    <w:p>
      <w:pPr>
        <w:pStyle w:val="BodyText"/>
        <w:spacing w:line="357" w:lineRule="auto"/>
        <w:ind w:left="917" w:right="1792" w:firstLine="420"/>
        <w:jc w:val="both"/>
      </w:pPr>
      <w:r>
        <w:rPr>
          <w:spacing w:val="-3"/>
        </w:rPr>
        <w:t>第三，微型小型水泵和园林机械产品具有相同的核心部件（电机），生产过程中使用的</w:t>
      </w:r>
      <w:r>
        <w:rPr/>
        <w:t> </w:t>
      </w:r>
      <w:r>
        <w:rPr>
          <w:spacing w:val="-3"/>
        </w:rPr>
        <w:t>大部分原材料相同，产品生产、装配过程具有相似性，有利于公司降低原材料采购成本，提</w:t>
      </w:r>
      <w:r>
        <w:rPr>
          <w:spacing w:val="-73"/>
        </w:rPr>
        <w:t> </w:t>
      </w:r>
      <w:r>
        <w:rPr>
          <w:spacing w:val="-73"/>
        </w:rPr>
      </w:r>
      <w:r>
        <w:rPr/>
        <w:t>高设备利用率；</w:t>
      </w:r>
    </w:p>
    <w:p>
      <w:pPr>
        <w:pStyle w:val="BodyText"/>
        <w:spacing w:line="357" w:lineRule="auto"/>
        <w:ind w:left="917" w:right="1792" w:firstLine="420"/>
        <w:jc w:val="both"/>
      </w:pPr>
      <w:r>
        <w:rPr>
          <w:spacing w:val="-3"/>
        </w:rPr>
        <w:t>第四，公司目前拥有湖南、无锡和大连三大工业泵生产基地，上述地区具备丰富的技术</w:t>
      </w:r>
      <w:r>
        <w:rPr/>
        <w:t> </w:t>
      </w:r>
      <w:r>
        <w:rPr>
          <w:spacing w:val="-3"/>
        </w:rPr>
        <w:t>和人才资源，并具备成熟的工业泵产品生产配套体系。公司从功能定位、业务分工、品牌建</w:t>
      </w:r>
      <w:r>
        <w:rPr>
          <w:spacing w:val="-73"/>
        </w:rPr>
        <w:t> </w:t>
      </w:r>
      <w:r>
        <w:rPr>
          <w:spacing w:val="-73"/>
        </w:rPr>
      </w:r>
      <w:r>
        <w:rPr>
          <w:spacing w:val="-3"/>
        </w:rPr>
        <w:t>设、人员分工等多方面逐步整合利欧股份与三大工业泵生产基地的生产资源、技术力量和销</w:t>
      </w:r>
    </w:p>
    <w:p>
      <w:pPr>
        <w:spacing w:after="0" w:line="357" w:lineRule="auto"/>
        <w:jc w:val="both"/>
        <w:sectPr>
          <w:pgSz w:w="11910" w:h="16840"/>
          <w:pgMar w:header="877" w:footer="938" w:top="1100" w:bottom="1120" w:left="88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1684"/>
        <w:jc w:val="left"/>
      </w:pPr>
      <w:r>
        <w:rPr>
          <w:spacing w:val="-3"/>
        </w:rPr>
        <w:t>售渠道，改善生产规划，提高产能，利用规模效应，降低采购、生产、营销成本，实现快速</w:t>
      </w:r>
      <w:r>
        <w:rPr>
          <w:spacing w:val="-78"/>
        </w:rPr>
        <w:t> </w:t>
      </w:r>
      <w:r>
        <w:rPr>
          <w:spacing w:val="-78"/>
        </w:rPr>
      </w:r>
      <w:r>
        <w:rPr/>
        <w:t>成长和协同效应。</w:t>
      </w:r>
    </w:p>
    <w:p>
      <w:pPr>
        <w:pStyle w:val="BodyText"/>
        <w:spacing w:line="357" w:lineRule="auto" w:before="33"/>
        <w:ind w:left="138" w:right="1688" w:firstLine="420"/>
        <w:jc w:val="left"/>
      </w:pPr>
      <w:r>
        <w:rPr/>
        <w:t>综上，公司同时经营微型小型水泵、园林机械、清洗与植保机械、工业泵四大类产品， 可根据市场需求的变化调整产品的产量，并相应调配公司的有关资源（产能、设备、技术、 </w:t>
      </w:r>
      <w:r>
        <w:rPr>
          <w:spacing w:val="-3"/>
        </w:rPr>
        <w:t>研发等），有利于公司提高资源利用效率，降低运营成本，达到盈利水平最大化，并规避了</w:t>
      </w:r>
      <w:r>
        <w:rPr>
          <w:spacing w:val="-79"/>
        </w:rPr>
        <w:t> </w:t>
      </w:r>
      <w:r>
        <w:rPr>
          <w:spacing w:val="-79"/>
        </w:rPr>
      </w:r>
      <w:r>
        <w:rPr/>
        <w:t>生产单一产品的经营风险。</w:t>
      </w:r>
    </w:p>
    <w:p>
      <w:pPr>
        <w:pStyle w:val="BodyText"/>
        <w:spacing w:line="355" w:lineRule="auto" w:before="31"/>
        <w:ind w:left="558" w:right="1688"/>
        <w:jc w:val="left"/>
      </w:pPr>
      <w:r>
        <w:rPr>
          <w:rFonts w:ascii="宋体" w:hAnsi="宋体" w:cs="宋体" w:eastAsia="宋体" w:hint="default"/>
        </w:rPr>
        <w:t>2</w:t>
      </w:r>
      <w:r>
        <w:rPr/>
        <w:t>、制造能力优势 公司的产品制造能力在微型小型水泵行业内处于领先地位，具体体现为以下三个方面：</w:t>
      </w:r>
    </w:p>
    <w:p>
      <w:pPr>
        <w:pStyle w:val="BodyText"/>
        <w:spacing w:line="357" w:lineRule="auto" w:before="32"/>
        <w:ind w:left="558" w:right="0"/>
        <w:jc w:val="left"/>
      </w:pPr>
      <w:r>
        <w:rPr/>
        <w:t>（</w:t>
      </w:r>
      <w:r>
        <w:rPr>
          <w:rFonts w:ascii="宋体" w:hAnsi="宋体" w:cs="宋体" w:eastAsia="宋体" w:hint="default"/>
        </w:rPr>
        <w:t>1</w:t>
      </w:r>
      <w:r>
        <w:rPr/>
        <w:t>）核心部件自制能力强 </w:t>
      </w:r>
      <w:r>
        <w:rPr>
          <w:spacing w:val="-3"/>
        </w:rPr>
        <w:t>电机是微型小型水泵和园林机械产品的核心部件，是影响整机产品质量和性能的最重要</w:t>
      </w:r>
    </w:p>
    <w:p>
      <w:pPr>
        <w:pStyle w:val="BodyText"/>
        <w:spacing w:line="357" w:lineRule="auto"/>
        <w:ind w:left="138" w:right="0"/>
        <w:jc w:val="left"/>
      </w:pPr>
      <w:r>
        <w:rPr>
          <w:spacing w:val="-3"/>
        </w:rPr>
        <w:t>因素。公司微型小型水泵和园林机械产品所用的电机全部自制，此外，公司还自行生产和加</w:t>
      </w:r>
      <w:r>
        <w:rPr>
          <w:spacing w:val="-74"/>
        </w:rPr>
        <w:t> </w:t>
      </w:r>
      <w:r>
        <w:rPr>
          <w:spacing w:val="-74"/>
        </w:rPr>
      </w:r>
      <w:r>
        <w:rPr/>
        <w:t>工其它重要的零部件。目前，公司产品的零部件自制率约</w:t>
      </w:r>
      <w:r>
        <w:rPr>
          <w:rFonts w:ascii="宋体" w:hAnsi="宋体" w:cs="宋体" w:eastAsia="宋体" w:hint="default"/>
        </w:rPr>
        <w:t>80</w:t>
      </w:r>
      <w:r>
        <w:rPr/>
        <w:t>％，在行业内处于较高水平。</w:t>
      </w:r>
    </w:p>
    <w:p>
      <w:pPr>
        <w:pStyle w:val="BodyText"/>
        <w:spacing w:line="357" w:lineRule="auto"/>
        <w:ind w:right="1792" w:firstLine="420"/>
        <w:jc w:val="both"/>
      </w:pPr>
      <w:r>
        <w:rPr>
          <w:spacing w:val="-3"/>
        </w:rPr>
        <w:t>相比同行业中很多厂商外购主要零部件进行组装的简单生产方式，公司的生产模式更能</w:t>
      </w:r>
      <w:r>
        <w:rPr/>
        <w:t> </w:t>
      </w:r>
      <w:r>
        <w:rPr>
          <w:spacing w:val="-3"/>
        </w:rPr>
        <w:t>保证产品质量的高性能和稳定性，集中体现了公司的整体技术水平，赢得了国际大客户的肯</w:t>
      </w:r>
      <w:r>
        <w:rPr>
          <w:spacing w:val="-75"/>
        </w:rPr>
        <w:t> </w:t>
      </w:r>
      <w:r>
        <w:rPr>
          <w:spacing w:val="-75"/>
        </w:rPr>
      </w:r>
      <w:r>
        <w:rPr>
          <w:spacing w:val="-3"/>
        </w:rPr>
        <w:t>定和信赖，体现了公司区别于组装型企业的差异化市场定位。另一方面，自制核心部件有利</w:t>
      </w:r>
      <w:r>
        <w:rPr>
          <w:spacing w:val="-72"/>
        </w:rPr>
        <w:t> </w:t>
      </w:r>
      <w:r>
        <w:rPr>
          <w:spacing w:val="-72"/>
        </w:rPr>
      </w:r>
      <w:r>
        <w:rPr/>
        <w:t>于公司降低产品生产成本，获取较高的利润率。</w:t>
      </w:r>
    </w:p>
    <w:p>
      <w:pPr>
        <w:pStyle w:val="BodyText"/>
        <w:spacing w:line="357" w:lineRule="auto" w:before="31"/>
        <w:ind w:left="558" w:right="1793"/>
        <w:jc w:val="left"/>
      </w:pPr>
      <w:r>
        <w:rPr/>
        <w:t>（</w:t>
      </w:r>
      <w:r>
        <w:rPr>
          <w:rFonts w:ascii="宋体" w:hAnsi="宋体" w:cs="宋体" w:eastAsia="宋体" w:hint="default"/>
        </w:rPr>
        <w:t>2</w:t>
      </w:r>
      <w:r>
        <w:rPr/>
        <w:t>）生产装备水平高 公司的生产装备水平在微型小型水泵和园林机械行业处于领先地位。</w:t>
      </w:r>
      <w:r>
        <w:rPr>
          <w:rFonts w:ascii="宋体" w:hAnsi="宋体" w:cs="宋体" w:eastAsia="宋体" w:hint="default"/>
        </w:rPr>
        <w:t>IPO</w:t>
      </w:r>
      <w:r>
        <w:rPr/>
        <w:t>募集资金到位</w:t>
      </w:r>
    </w:p>
    <w:p>
      <w:pPr>
        <w:pStyle w:val="BodyText"/>
        <w:spacing w:line="357" w:lineRule="auto" w:before="31"/>
        <w:ind w:left="138" w:right="1683"/>
        <w:jc w:val="left"/>
      </w:pPr>
      <w:r>
        <w:rPr>
          <w:spacing w:val="-3"/>
        </w:rPr>
        <w:t>以后，公司购置了大量生产设备，包括进口高速冲床、兰化炉、注塑机、数控车床、自动绕</w:t>
      </w:r>
      <w:r>
        <w:rPr>
          <w:spacing w:val="-75"/>
        </w:rPr>
        <w:t> </w:t>
      </w:r>
      <w:r>
        <w:rPr>
          <w:spacing w:val="-75"/>
        </w:rPr>
      </w:r>
      <w:r>
        <w:rPr>
          <w:spacing w:val="-5"/>
        </w:rPr>
        <w:t>线嵌线机、自动喷漆流水线以及先进装配流水线等。这些先进的生产设备除了用于产品装配，</w:t>
      </w:r>
      <w:r>
        <w:rPr>
          <w:spacing w:val="-92"/>
        </w:rPr>
        <w:t> </w:t>
      </w:r>
      <w:r>
        <w:rPr>
          <w:spacing w:val="-92"/>
        </w:rPr>
      </w:r>
      <w:r>
        <w:rPr/>
        <w:t>也用于制造、加工产品的重要配件，如电机的定转子、转轴、泵体、托架、塑料件等。</w:t>
      </w:r>
    </w:p>
    <w:p>
      <w:pPr>
        <w:pStyle w:val="BodyText"/>
        <w:spacing w:line="355" w:lineRule="auto"/>
        <w:ind w:left="138" w:right="0" w:firstLine="420"/>
        <w:jc w:val="left"/>
      </w:pPr>
      <w:r>
        <w:rPr>
          <w:spacing w:val="-3"/>
        </w:rPr>
        <w:t>上述先进生产设备的大量使用提高了产品生产的机械化、自动化水平，大大提高了生产</w:t>
      </w:r>
      <w:r>
        <w:rPr/>
        <w:t> 效率和产品质量的稳定性。</w:t>
      </w:r>
    </w:p>
    <w:p>
      <w:pPr>
        <w:pStyle w:val="BodyText"/>
        <w:spacing w:line="355" w:lineRule="auto" w:before="33"/>
        <w:ind w:left="558" w:right="1684"/>
        <w:jc w:val="left"/>
      </w:pPr>
      <w:r>
        <w:rPr/>
        <w:t>（</w:t>
      </w:r>
      <w:r>
        <w:rPr>
          <w:rFonts w:ascii="宋体" w:hAnsi="宋体" w:cs="宋体" w:eastAsia="宋体" w:hint="default"/>
        </w:rPr>
        <w:t>3</w:t>
      </w:r>
      <w:r>
        <w:rPr/>
        <w:t>）产品品种丰富 </w:t>
      </w:r>
      <w:r>
        <w:rPr>
          <w:spacing w:val="-3"/>
        </w:rPr>
        <w:t>与行业内大部分企业只集中生产几个产品品种不同，公司拥有丰富的产品线。丰富的产</w:t>
      </w:r>
    </w:p>
    <w:p>
      <w:pPr>
        <w:pStyle w:val="BodyText"/>
        <w:spacing w:line="357" w:lineRule="auto" w:before="33"/>
        <w:ind w:right="1689"/>
        <w:jc w:val="left"/>
      </w:pPr>
      <w:r>
        <w:rPr>
          <w:spacing w:val="-3"/>
        </w:rPr>
        <w:t>品线可以满足国际大客户“一站式”采购的需求，有利于公司赢得大订单。随着公司产品线</w:t>
      </w:r>
      <w:r>
        <w:rPr>
          <w:spacing w:val="-74"/>
        </w:rPr>
        <w:t> </w:t>
      </w:r>
      <w:r>
        <w:rPr>
          <w:spacing w:val="-74"/>
        </w:rPr>
      </w:r>
      <w:r>
        <w:rPr>
          <w:spacing w:val="-3"/>
        </w:rPr>
        <w:t>越来越丰富，公司的产品产量大幅增加。生产规模的扩大推动了采购规模扩大，批量生产和</w:t>
      </w:r>
      <w:r>
        <w:rPr>
          <w:spacing w:val="-72"/>
        </w:rPr>
        <w:t> </w:t>
      </w:r>
      <w:r>
        <w:rPr>
          <w:spacing w:val="-72"/>
        </w:rPr>
      </w:r>
      <w:r>
        <w:rPr/>
        <w:t>批量采购使公司获得了显著的规模经济优势，降低了产品采购成本和产品制造成本。同时， </w:t>
      </w:r>
      <w:r>
        <w:rPr>
          <w:spacing w:val="-3"/>
        </w:rPr>
        <w:t>生产规模的扩大使公司接纳大订单的能力大大增长，公司大客户数量持续增加，客户质量不</w:t>
      </w:r>
      <w:r>
        <w:rPr>
          <w:spacing w:val="-75"/>
        </w:rPr>
        <w:t> </w:t>
      </w:r>
      <w:r>
        <w:rPr>
          <w:spacing w:val="-75"/>
        </w:rPr>
      </w:r>
      <w:r>
        <w:rPr/>
        <w:t>断提升。</w:t>
      </w:r>
    </w:p>
    <w:p>
      <w:pPr>
        <w:pStyle w:val="BodyText"/>
        <w:spacing w:line="357" w:lineRule="auto" w:before="31"/>
        <w:ind w:left="558" w:right="1673"/>
        <w:jc w:val="left"/>
      </w:pPr>
      <w:r>
        <w:rPr>
          <w:rFonts w:ascii="宋体" w:hAnsi="宋体" w:cs="宋体" w:eastAsia="宋体" w:hint="default"/>
        </w:rPr>
        <w:t>3</w:t>
      </w:r>
      <w:r>
        <w:rPr/>
        <w:t>、国际营销能力强 </w:t>
      </w:r>
      <w:r>
        <w:rPr>
          <w:spacing w:val="-5"/>
        </w:rPr>
        <w:t>公司作为行业内最早开拓国际市场的企业之一，通过不断参加国际知名展会、走访客户、</w:t>
      </w:r>
    </w:p>
    <w:p>
      <w:pPr>
        <w:pStyle w:val="BodyText"/>
        <w:spacing w:line="355" w:lineRule="auto" w:before="31"/>
        <w:ind w:left="558" w:right="0" w:hanging="420"/>
        <w:jc w:val="left"/>
      </w:pPr>
      <w:r>
        <w:rPr/>
        <w:t>实地考察市场等方式，积累了丰富的国际销售经验和客户资源。 </w:t>
      </w:r>
      <w:r>
        <w:rPr>
          <w:spacing w:val="-3"/>
        </w:rPr>
        <w:t>目前，公司已在世界各主要销售市场建立了完善的营销网络，已和当地主流销售渠道建</w:t>
      </w:r>
    </w:p>
    <w:p>
      <w:pPr>
        <w:spacing w:after="0" w:line="355"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left="138" w:right="1792"/>
        <w:jc w:val="both"/>
      </w:pPr>
      <w:r>
        <w:rPr>
          <w:spacing w:val="-3"/>
        </w:rPr>
        <w:t>立了稳定的合作关系。公司客户中有行业内知名的制造商、当地主要经销商、国际知名连锁</w:t>
      </w:r>
      <w:r>
        <w:rPr>
          <w:spacing w:val="-72"/>
        </w:rPr>
        <w:t> </w:t>
      </w:r>
      <w:r>
        <w:rPr>
          <w:spacing w:val="-72"/>
        </w:rPr>
      </w:r>
      <w:r>
        <w:rPr>
          <w:spacing w:val="-3"/>
        </w:rPr>
        <w:t>超市，也有中小型进口商、零售商、制造商，还有国内主要出口贸易商，销售渠道丰富，客</w:t>
      </w:r>
      <w:r>
        <w:rPr>
          <w:spacing w:val="-75"/>
        </w:rPr>
        <w:t> </w:t>
      </w:r>
      <w:r>
        <w:rPr>
          <w:spacing w:val="-75"/>
        </w:rPr>
      </w:r>
      <w:r>
        <w:rPr/>
        <w:t>户层次多样，客户合作稳定。</w:t>
      </w:r>
    </w:p>
    <w:p>
      <w:pPr>
        <w:pStyle w:val="BodyText"/>
        <w:spacing w:line="357" w:lineRule="auto"/>
        <w:ind w:left="138" w:right="1795" w:firstLine="420"/>
        <w:jc w:val="both"/>
      </w:pPr>
      <w:r>
        <w:rPr>
          <w:spacing w:val="-3"/>
        </w:rPr>
        <w:t>经过多年的积累，公司在所在行业内已经树立了良好的企业形象和知名度，为推广公司</w:t>
      </w:r>
      <w:r>
        <w:rPr/>
        <w:t> 自主品牌奠定了坚实基础。</w:t>
      </w:r>
    </w:p>
    <w:p>
      <w:pPr>
        <w:pStyle w:val="BodyText"/>
        <w:spacing w:line="357" w:lineRule="auto"/>
        <w:ind w:left="557" w:right="0"/>
        <w:jc w:val="left"/>
      </w:pPr>
      <w:r>
        <w:rPr>
          <w:rFonts w:ascii="宋体" w:hAnsi="宋体" w:cs="宋体" w:eastAsia="宋体" w:hint="default"/>
        </w:rPr>
        <w:t>4</w:t>
      </w:r>
      <w:r>
        <w:rPr/>
        <w:t>、技术创新能力强，具有突出的研发优势 </w:t>
      </w:r>
      <w:r>
        <w:rPr>
          <w:spacing w:val="-3"/>
        </w:rPr>
        <w:t>公司自设立以来，一直坚持技术领先战略，在技术、研发环节持续投资，致力于形成核</w:t>
      </w:r>
    </w:p>
    <w:p>
      <w:pPr>
        <w:pStyle w:val="BodyText"/>
        <w:spacing w:line="355" w:lineRule="auto"/>
        <w:ind w:left="558" w:right="0" w:hanging="420"/>
        <w:jc w:val="left"/>
      </w:pPr>
      <w:r>
        <w:rPr/>
        <w:t>心竞争能力，以保持公司的长期竞争优势。 </w:t>
      </w:r>
      <w:r>
        <w:rPr>
          <w:spacing w:val="-3"/>
        </w:rPr>
        <w:t>公司组建了专业研发团队，负责水泵、园林机械、电机、清洗与植保机械产品的技术研</w:t>
      </w:r>
    </w:p>
    <w:p>
      <w:pPr>
        <w:pStyle w:val="BodyText"/>
        <w:spacing w:line="357" w:lineRule="auto" w:before="33"/>
        <w:ind w:right="1684"/>
        <w:jc w:val="left"/>
      </w:pPr>
      <w:r>
        <w:rPr>
          <w:spacing w:val="-3"/>
        </w:rPr>
        <w:t>发、结构设计、外形设计、产品测试和产品认证。经过多年的持续投入，公司已形成了完备</w:t>
      </w:r>
      <w:r>
        <w:rPr>
          <w:spacing w:val="-79"/>
        </w:rPr>
        <w:t> </w:t>
      </w:r>
      <w:r>
        <w:rPr>
          <w:spacing w:val="-79"/>
        </w:rPr>
      </w:r>
      <w:r>
        <w:rPr>
          <w:spacing w:val="-3"/>
        </w:rPr>
        <w:t>的产品开发体系，具备了较强的自主研发能力和工业设计能力，在行业内处于领先地位。根</w:t>
      </w:r>
      <w:r>
        <w:rPr>
          <w:spacing w:val="-72"/>
        </w:rPr>
        <w:t> </w:t>
      </w:r>
      <w:r>
        <w:rPr>
          <w:spacing w:val="-72"/>
        </w:rPr>
      </w:r>
      <w:r>
        <w:rPr/>
        <w:t>据国家发展和改革委员会、科学技术部、财政部、海关总署和国家税务总局联合发布</w:t>
      </w:r>
      <w:r>
        <w:rPr>
          <w:rFonts w:ascii="宋体" w:hAnsi="宋体" w:cs="宋体" w:eastAsia="宋体" w:hint="default"/>
        </w:rPr>
        <w:t>2011 </w:t>
      </w:r>
      <w:r>
        <w:rPr>
          <w:spacing w:val="-3"/>
        </w:rPr>
        <w:t>年第</w:t>
      </w:r>
      <w:r>
        <w:rPr>
          <w:rFonts w:ascii="宋体" w:hAnsi="宋体" w:cs="宋体" w:eastAsia="宋体" w:hint="default"/>
          <w:spacing w:val="-3"/>
        </w:rPr>
        <w:t>29</w:t>
      </w:r>
      <w:r>
        <w:rPr>
          <w:spacing w:val="-3"/>
        </w:rPr>
        <w:t>号公告，公司技术中心被认定为第十八批享受优惠政策的国家级企业（集团）技术中</w:t>
      </w:r>
      <w:r>
        <w:rPr>
          <w:spacing w:val="-71"/>
        </w:rPr>
        <w:t> </w:t>
      </w:r>
      <w:r>
        <w:rPr>
          <w:spacing w:val="-71"/>
        </w:rPr>
      </w:r>
      <w:r>
        <w:rPr/>
        <w:t>心。</w:t>
      </w:r>
    </w:p>
    <w:p>
      <w:pPr>
        <w:pStyle w:val="BodyText"/>
        <w:spacing w:line="357" w:lineRule="auto"/>
        <w:ind w:left="138" w:right="1793" w:firstLine="420"/>
        <w:jc w:val="both"/>
      </w:pPr>
      <w:r>
        <w:rPr>
          <w:spacing w:val="-3"/>
        </w:rPr>
        <w:t>公司始终坚持以国际市场需求为导向组织产品研发工作，对公司的国外客户而言，公司</w:t>
      </w:r>
      <w:r>
        <w:rPr/>
        <w:t> </w:t>
      </w:r>
      <w:r>
        <w:rPr>
          <w:spacing w:val="-3"/>
        </w:rPr>
        <w:t>熟悉国际产品标准、能快速响应客户需求并高效率地完成产品开发等多方面的优势极大地增</w:t>
      </w:r>
      <w:r>
        <w:rPr>
          <w:spacing w:val="-73"/>
        </w:rPr>
        <w:t> </w:t>
      </w:r>
      <w:r>
        <w:rPr>
          <w:spacing w:val="-73"/>
        </w:rPr>
      </w:r>
      <w:r>
        <w:rPr/>
        <w:t>强了公司的竞争力，对扩大产品销售、尤其是获取大客户订单发挥了至关重要的作用。</w:t>
      </w:r>
    </w:p>
    <w:p>
      <w:pPr>
        <w:pStyle w:val="BodyText"/>
        <w:spacing w:line="357" w:lineRule="auto"/>
        <w:ind w:left="558" w:right="1684"/>
        <w:jc w:val="left"/>
      </w:pPr>
      <w:r>
        <w:rPr>
          <w:rFonts w:ascii="宋体" w:hAnsi="宋体" w:cs="宋体" w:eastAsia="宋体" w:hint="default"/>
        </w:rPr>
        <w:t>5</w:t>
      </w:r>
      <w:r>
        <w:rPr/>
        <w:t>、管理优势 </w:t>
      </w:r>
      <w:r>
        <w:rPr>
          <w:spacing w:val="-3"/>
        </w:rPr>
        <w:t>公司在各经营层次上建立了稳定且经验丰富的管理团队。公司充分利用信息化手段，在</w:t>
      </w:r>
    </w:p>
    <w:p>
      <w:pPr>
        <w:pStyle w:val="BodyText"/>
        <w:spacing w:line="357" w:lineRule="auto"/>
        <w:ind w:left="138" w:right="1688"/>
        <w:jc w:val="left"/>
      </w:pPr>
      <w:r>
        <w:rPr/>
        <w:t>生产经营各环节深入推行精细化管理，在成本控制、产品质量管理方面处于行业领先水平。 </w:t>
      </w:r>
      <w:r>
        <w:rPr>
          <w:spacing w:val="-3"/>
        </w:rPr>
        <w:t>财务管理方面，公司通过对销售商运用完善的信用评估体系，实施动态的过程控制，使得应</w:t>
      </w:r>
      <w:r>
        <w:rPr>
          <w:spacing w:val="-72"/>
        </w:rPr>
        <w:t> </w:t>
      </w:r>
      <w:r>
        <w:rPr>
          <w:spacing w:val="-72"/>
        </w:rPr>
      </w:r>
      <w:r>
        <w:rPr/>
        <w:t>收账款质量较好，坏账损失率较低。</w:t>
      </w:r>
    </w:p>
    <w:p>
      <w:pPr>
        <w:pStyle w:val="BodyText"/>
        <w:spacing w:line="357" w:lineRule="auto"/>
        <w:ind w:left="558" w:right="1684"/>
        <w:jc w:val="left"/>
      </w:pPr>
      <w:r>
        <w:rPr>
          <w:rFonts w:ascii="宋体" w:hAnsi="宋体" w:cs="宋体" w:eastAsia="宋体" w:hint="default"/>
        </w:rPr>
        <w:t>6</w:t>
      </w:r>
      <w:r>
        <w:rPr/>
        <w:t>、性价比优势明显 </w:t>
      </w:r>
      <w:r>
        <w:rPr>
          <w:spacing w:val="-3"/>
        </w:rPr>
        <w:t>公司在采购、生产、产品销售等方面的规模经济优势以及公司运营的效率优势，有效地</w:t>
      </w:r>
    </w:p>
    <w:p>
      <w:pPr>
        <w:pStyle w:val="BodyText"/>
        <w:spacing w:line="357" w:lineRule="auto"/>
        <w:ind w:left="138" w:right="1683"/>
        <w:jc w:val="left"/>
      </w:pPr>
      <w:r>
        <w:rPr>
          <w:spacing w:val="-3"/>
        </w:rPr>
        <w:t>降低了公司的产品生产成本，增强了公司产品定价的灵活性。目前，公司生产的微型小型水</w:t>
      </w:r>
      <w:r>
        <w:rPr>
          <w:spacing w:val="-74"/>
        </w:rPr>
        <w:t> </w:t>
      </w:r>
      <w:r>
        <w:rPr>
          <w:spacing w:val="-74"/>
        </w:rPr>
      </w:r>
      <w:r>
        <w:rPr>
          <w:spacing w:val="-5"/>
        </w:rPr>
        <w:t>泵、园林机械、清洗与植保机械产品符合欧洲同类产品的质量标准，而价格较欧洲水平较低，</w:t>
      </w:r>
      <w:r>
        <w:rPr>
          <w:spacing w:val="-94"/>
        </w:rPr>
        <w:t> </w:t>
      </w:r>
      <w:r>
        <w:rPr>
          <w:spacing w:val="-94"/>
        </w:rPr>
      </w:r>
      <w:r>
        <w:rPr/>
        <w:t>具有较强的性价比优势。</w:t>
      </w:r>
    </w:p>
    <w:p>
      <w:pPr>
        <w:pStyle w:val="BodyText"/>
        <w:spacing w:line="355" w:lineRule="auto" w:before="31"/>
        <w:ind w:left="558" w:right="1688"/>
        <w:jc w:val="left"/>
      </w:pPr>
      <w:r>
        <w:rPr/>
        <w:t>（二）公司在互联网业务的核心竞争力： 公司数字营销业务已覆盖营销策略、创意、执行、媒体投放、监测、评估、优化提升、</w:t>
      </w:r>
    </w:p>
    <w:p>
      <w:pPr>
        <w:pStyle w:val="BodyText"/>
        <w:spacing w:line="357" w:lineRule="auto" w:before="32"/>
        <w:ind w:left="138" w:right="0"/>
        <w:jc w:val="left"/>
      </w:pPr>
      <w:r>
        <w:rPr>
          <w:spacing w:val="-3"/>
        </w:rPr>
        <w:t>社会化营销等完整的数字营销服务，实现全产业链布局，公司数字营销业务的整体竞争力大</w:t>
      </w:r>
      <w:r>
        <w:rPr>
          <w:spacing w:val="-75"/>
        </w:rPr>
        <w:t> </w:t>
      </w:r>
      <w:r>
        <w:rPr>
          <w:spacing w:val="-75"/>
        </w:rPr>
      </w:r>
      <w:r>
        <w:rPr/>
        <w:t>大增强。</w:t>
      </w:r>
      <w:r>
        <w:rPr>
          <w:rFonts w:ascii="宋体" w:hAnsi="宋体" w:cs="宋体" w:eastAsia="宋体" w:hint="default"/>
        </w:rPr>
        <w:t>3</w:t>
      </w:r>
      <w:r>
        <w:rPr/>
        <w:t>家数字营销公司各自的核心竞争力如下：</w:t>
      </w:r>
    </w:p>
    <w:p>
      <w:pPr>
        <w:pStyle w:val="BodyText"/>
        <w:spacing w:line="240" w:lineRule="auto"/>
        <w:ind w:left="557" w:right="0"/>
        <w:jc w:val="left"/>
      </w:pPr>
      <w:r>
        <w:rPr>
          <w:rFonts w:ascii="宋体" w:hAnsi="宋体" w:cs="宋体" w:eastAsia="宋体" w:hint="default"/>
        </w:rPr>
        <w:t>1</w:t>
      </w:r>
      <w:r>
        <w:rPr/>
        <w:t>、上海漫酷的核心竞争力</w:t>
      </w:r>
    </w:p>
    <w:p>
      <w:pPr>
        <w:pStyle w:val="BodyText"/>
        <w:spacing w:line="355" w:lineRule="auto" w:before="134"/>
        <w:ind w:right="1793" w:firstLine="420"/>
        <w:jc w:val="both"/>
      </w:pPr>
      <w:r>
        <w:rPr/>
        <w:t>上海漫酷广告有限公司主要以其全资子公司</w:t>
      </w:r>
      <w:r>
        <w:rPr>
          <w:rFonts w:ascii="宋体" w:hAnsi="宋体" w:cs="宋体" w:eastAsia="宋体" w:hint="default"/>
        </w:rPr>
        <w:t>Media</w:t>
      </w:r>
      <w:r>
        <w:rPr>
          <w:rFonts w:ascii="宋体" w:hAnsi="宋体" w:cs="宋体" w:eastAsia="宋体" w:hint="default"/>
          <w:spacing w:val="-46"/>
        </w:rPr>
        <w:t> </w:t>
      </w:r>
      <w:r>
        <w:rPr>
          <w:rFonts w:ascii="宋体" w:hAnsi="宋体" w:cs="宋体" w:eastAsia="宋体" w:hint="default"/>
        </w:rPr>
        <w:t>V</w:t>
      </w:r>
      <w:r>
        <w:rPr/>
        <w:t>为平台开展业务。</w:t>
      </w:r>
      <w:r>
        <w:rPr>
          <w:rFonts w:ascii="宋体" w:hAnsi="宋体" w:cs="宋体" w:eastAsia="宋体" w:hint="default"/>
        </w:rPr>
        <w:t>Media</w:t>
      </w:r>
      <w:r>
        <w:rPr>
          <w:rFonts w:ascii="宋体" w:hAnsi="宋体" w:cs="宋体" w:eastAsia="宋体" w:hint="default"/>
          <w:spacing w:val="-46"/>
        </w:rPr>
        <w:t> </w:t>
      </w:r>
      <w:r>
        <w:rPr>
          <w:rFonts w:ascii="宋体" w:hAnsi="宋体" w:cs="宋体" w:eastAsia="宋体" w:hint="default"/>
        </w:rPr>
        <w:t>V</w:t>
      </w:r>
      <w:r>
        <w:rPr/>
        <w:t>是国内领 </w:t>
      </w:r>
      <w:r>
        <w:rPr>
          <w:spacing w:val="-3"/>
        </w:rPr>
        <w:t>先的数字营销公司，专注于面向数字媒体（互联网、移动互联网、智能电视）提供整合营销</w:t>
      </w:r>
    </w:p>
    <w:p>
      <w:pPr>
        <w:spacing w:after="0" w:line="355"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240" w:lineRule="auto" w:before="35"/>
        <w:ind w:left="138" w:right="0"/>
        <w:jc w:val="both"/>
      </w:pPr>
      <w:r>
        <w:rPr/>
        <w:t>服务。</w:t>
      </w:r>
    </w:p>
    <w:p>
      <w:pPr>
        <w:pStyle w:val="BodyText"/>
        <w:spacing w:line="357" w:lineRule="auto" w:before="133"/>
        <w:ind w:right="1792" w:firstLine="420"/>
        <w:jc w:val="both"/>
      </w:pPr>
      <w:r>
        <w:rPr>
          <w:rFonts w:ascii="宋体" w:hAnsi="宋体" w:cs="宋体" w:eastAsia="宋体" w:hint="default"/>
        </w:rPr>
        <w:t>Media</w:t>
      </w:r>
      <w:r>
        <w:rPr>
          <w:rFonts w:ascii="宋体" w:hAnsi="宋体" w:cs="宋体" w:eastAsia="宋体" w:hint="default"/>
          <w:spacing w:val="-46"/>
        </w:rPr>
        <w:t> </w:t>
      </w:r>
      <w:r>
        <w:rPr>
          <w:rFonts w:ascii="宋体" w:hAnsi="宋体" w:cs="宋体" w:eastAsia="宋体" w:hint="default"/>
        </w:rPr>
        <w:t>V</w:t>
      </w:r>
      <w:r>
        <w:rPr/>
        <w:t>数据库平台的数据来源主要有三类，一类是</w:t>
      </w:r>
      <w:r>
        <w:rPr>
          <w:rFonts w:ascii="宋体" w:hAnsi="宋体" w:cs="宋体" w:eastAsia="宋体" w:hint="default"/>
        </w:rPr>
        <w:t>Media</w:t>
      </w:r>
      <w:r>
        <w:rPr>
          <w:rFonts w:ascii="宋体" w:hAnsi="宋体" w:cs="宋体" w:eastAsia="宋体" w:hint="default"/>
          <w:spacing w:val="-46"/>
        </w:rPr>
        <w:t> </w:t>
      </w:r>
      <w:r>
        <w:rPr>
          <w:rFonts w:ascii="宋体" w:hAnsi="宋体" w:cs="宋体" w:eastAsia="宋体" w:hint="default"/>
        </w:rPr>
        <w:t>V</w:t>
      </w:r>
      <w:r>
        <w:rPr/>
        <w:t>的自有数据库，该数据库目 </w:t>
      </w:r>
      <w:r>
        <w:rPr>
          <w:spacing w:val="-3"/>
        </w:rPr>
        <w:t>前已拥有超过</w:t>
      </w:r>
      <w:r>
        <w:rPr>
          <w:rFonts w:ascii="宋体" w:hAnsi="宋体" w:cs="宋体" w:eastAsia="宋体" w:hint="default"/>
          <w:spacing w:val="-3"/>
        </w:rPr>
        <w:t>7</w:t>
      </w:r>
      <w:r>
        <w:rPr>
          <w:spacing w:val="-3"/>
        </w:rPr>
        <w:t>亿的</w:t>
      </w:r>
      <w:r>
        <w:rPr>
          <w:rFonts w:ascii="宋体" w:hAnsi="宋体" w:cs="宋体" w:eastAsia="宋体" w:hint="default"/>
          <w:spacing w:val="-3"/>
        </w:rPr>
        <w:t>cookie</w:t>
      </w:r>
      <w:r>
        <w:rPr>
          <w:spacing w:val="-3"/>
        </w:rPr>
        <w:t>，并根据其属性分成</w:t>
      </w:r>
      <w:r>
        <w:rPr>
          <w:rFonts w:ascii="宋体" w:hAnsi="宋体" w:cs="宋体" w:eastAsia="宋体" w:hint="default"/>
          <w:spacing w:val="-3"/>
        </w:rPr>
        <w:t>28</w:t>
      </w:r>
      <w:r>
        <w:rPr>
          <w:spacing w:val="-3"/>
        </w:rPr>
        <w:t>个兴趣大类、超过</w:t>
      </w:r>
      <w:r>
        <w:rPr>
          <w:rFonts w:ascii="宋体" w:hAnsi="宋体" w:cs="宋体" w:eastAsia="宋体" w:hint="default"/>
          <w:spacing w:val="-3"/>
        </w:rPr>
        <w:t>500</w:t>
      </w:r>
      <w:r>
        <w:rPr>
          <w:spacing w:val="-3"/>
        </w:rPr>
        <w:t>个兴趣小类；第二类</w:t>
      </w:r>
      <w:r>
        <w:rPr>
          <w:spacing w:val="-61"/>
        </w:rPr>
        <w:t> </w:t>
      </w:r>
      <w:r>
        <w:rPr>
          <w:spacing w:val="-61"/>
        </w:rPr>
      </w:r>
      <w:r>
        <w:rPr>
          <w:spacing w:val="-3"/>
        </w:rPr>
        <w:t>是通过电信运营商、媒体、社交数据提供商获得的第三方用户数据；第三类是对接客户的官</w:t>
      </w:r>
      <w:r>
        <w:rPr>
          <w:spacing w:val="-72"/>
        </w:rPr>
        <w:t> </w:t>
      </w:r>
      <w:r>
        <w:rPr>
          <w:spacing w:val="-72"/>
        </w:rPr>
      </w:r>
      <w:r>
        <w:rPr/>
        <w:t>网、活动网页和电商平台等获得的用户数据。</w:t>
      </w:r>
      <w:r>
        <w:rPr>
          <w:rFonts w:ascii="宋体" w:hAnsi="宋体" w:cs="宋体" w:eastAsia="宋体" w:hint="default"/>
        </w:rPr>
        <w:t>Media</w:t>
      </w:r>
      <w:r>
        <w:rPr>
          <w:rFonts w:ascii="宋体" w:hAnsi="宋体" w:cs="宋体" w:eastAsia="宋体" w:hint="default"/>
          <w:spacing w:val="-2"/>
        </w:rPr>
        <w:t> </w:t>
      </w:r>
      <w:r>
        <w:rPr>
          <w:rFonts w:ascii="宋体" w:hAnsi="宋体" w:cs="宋体" w:eastAsia="宋体" w:hint="default"/>
        </w:rPr>
        <w:t>V</w:t>
      </w:r>
      <w:r>
        <w:rPr/>
        <w:t>基于拥有的大数据资源，依靠先进的 数据分析、处理与计算技术，帮助客户充分挖掘数据价值，进行针对性极强的再营销。</w:t>
      </w:r>
    </w:p>
    <w:p>
      <w:pPr>
        <w:pStyle w:val="BodyText"/>
        <w:spacing w:line="355" w:lineRule="auto" w:before="31"/>
        <w:ind w:right="1684" w:firstLine="420"/>
        <w:jc w:val="left"/>
      </w:pP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拥有丰富的媒介资源，与国内主流网络媒体（各大门户网站、视频网站、垂直 </w:t>
      </w:r>
      <w:r>
        <w:rPr>
          <w:spacing w:val="-5"/>
        </w:rPr>
        <w:t>媒体等）均建立了战略合作关系，广告投放量快速增长，保证了客户网络媒体投资的低成本、</w:t>
      </w:r>
      <w:r>
        <w:rPr>
          <w:spacing w:val="-94"/>
        </w:rPr>
        <w:t> </w:t>
      </w:r>
      <w:r>
        <w:rPr>
          <w:spacing w:val="-94"/>
        </w:rPr>
      </w:r>
      <w:r>
        <w:rPr/>
        <w:t>高回报和实效性。</w:t>
      </w:r>
    </w:p>
    <w:p>
      <w:pPr>
        <w:pStyle w:val="BodyText"/>
        <w:spacing w:line="357" w:lineRule="auto" w:before="33"/>
        <w:ind w:left="138" w:right="1669" w:firstLine="420"/>
        <w:jc w:val="left"/>
      </w:pPr>
      <w:r>
        <w:rPr>
          <w:rFonts w:ascii="宋体" w:hAnsi="宋体" w:cs="宋体" w:eastAsia="宋体" w:hint="default"/>
        </w:rPr>
        <w:t>Media</w:t>
      </w:r>
      <w:r>
        <w:rPr>
          <w:rFonts w:ascii="宋体" w:hAnsi="宋体" w:cs="宋体" w:eastAsia="宋体" w:hint="default"/>
          <w:spacing w:val="-86"/>
        </w:rPr>
        <w:t> </w:t>
      </w:r>
      <w:r>
        <w:rPr>
          <w:rFonts w:ascii="宋体" w:hAnsi="宋体" w:cs="宋体" w:eastAsia="宋体" w:hint="default"/>
        </w:rPr>
        <w:t>V</w:t>
      </w:r>
      <w:r>
        <w:rPr/>
        <w:t>的核心技术团队由来自谷歌、微软、好耶等行业优秀公司的资深专家领衔组建， </w:t>
      </w:r>
      <w:r>
        <w:rPr>
          <w:spacing w:val="-3"/>
        </w:rPr>
        <w:t>聚集了互联网技术、广告营销、互动创意等业务领域的各类技术人才，研究方向涵盖了软件</w:t>
      </w:r>
      <w:r>
        <w:rPr>
          <w:spacing w:val="-72"/>
        </w:rPr>
        <w:t> </w:t>
      </w:r>
      <w:r>
        <w:rPr>
          <w:spacing w:val="-72"/>
        </w:rPr>
      </w:r>
      <w:r>
        <w:rPr>
          <w:spacing w:val="-3"/>
        </w:rPr>
        <w:t>工程、通信协议、并行计算、机器学习、数据库及数据挖掘等技术领域，在互联网广告投放</w:t>
      </w:r>
      <w:r>
        <w:rPr>
          <w:spacing w:val="-79"/>
        </w:rPr>
        <w:t> </w:t>
      </w:r>
      <w:r>
        <w:rPr>
          <w:spacing w:val="-79"/>
        </w:rPr>
      </w:r>
      <w:r>
        <w:rPr>
          <w:spacing w:val="-5"/>
        </w:rPr>
        <w:t>技术、效果监测、数据处理及动态优化、网页检测及网络访问行为分析、目标受众精细分类、</w:t>
      </w:r>
      <w:r>
        <w:rPr>
          <w:spacing w:val="-95"/>
        </w:rPr>
        <w:t> </w:t>
      </w:r>
      <w:r>
        <w:rPr>
          <w:spacing w:val="-95"/>
        </w:rPr>
      </w:r>
      <w:r>
        <w:rPr/>
        <w:t>智能匹配广告等方面有着丰富的开发经验和领先的技术成果。目前，</w:t>
      </w: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建立了面对客 户开发的高效精准的广告投放及优化系统、面对网站媒体开发的广告资源管理及投放系统、 </w:t>
      </w:r>
      <w:r>
        <w:rPr>
          <w:spacing w:val="-3"/>
        </w:rPr>
        <w:t>聚品广告平台（整合的全媒体效果优化工作平台）、聚优搜索营销平台（全景式的顾客行为</w:t>
      </w:r>
      <w:r>
        <w:rPr>
          <w:spacing w:val="-75"/>
        </w:rPr>
        <w:t> </w:t>
      </w:r>
      <w:r>
        <w:rPr>
          <w:spacing w:val="-75"/>
        </w:rPr>
      </w:r>
      <w:r>
        <w:rPr/>
        <w:t>及商业智能云分析平台）。</w:t>
      </w: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的技术和创新能力为客户降低了广告投放成本，提升了 广告投放效果。</w:t>
      </w:r>
    </w:p>
    <w:p>
      <w:pPr>
        <w:pStyle w:val="BodyText"/>
        <w:spacing w:line="357" w:lineRule="auto" w:before="31"/>
        <w:ind w:right="1693" w:firstLine="420"/>
        <w:jc w:val="left"/>
      </w:pPr>
      <w:r>
        <w:rPr/>
        <w:t>自公司成立以来，</w:t>
      </w: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专注于电商、汽车、消费品等业务领域，积累了丰富的客户 资源，并快速向其他行业发展。目前，</w:t>
      </w: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是中国最大的电商整合营销服务机构，中国 前</w:t>
      </w:r>
      <w:r>
        <w:rPr>
          <w:rFonts w:ascii="宋体" w:hAnsi="宋体" w:cs="宋体" w:eastAsia="宋体" w:hint="default"/>
        </w:rPr>
        <w:t>50</w:t>
      </w:r>
      <w:r>
        <w:rPr/>
        <w:t>大电商网站中，超过</w:t>
      </w:r>
      <w:r>
        <w:rPr>
          <w:rFonts w:ascii="宋体" w:hAnsi="宋体" w:cs="宋体" w:eastAsia="宋体" w:hint="default"/>
        </w:rPr>
        <w:t>70%</w:t>
      </w:r>
      <w:r>
        <w:rPr/>
        <w:t>都是</w:t>
      </w:r>
      <w:r>
        <w:rPr>
          <w:rFonts w:ascii="宋体" w:hAnsi="宋体" w:cs="宋体" w:eastAsia="宋体" w:hint="default"/>
        </w:rPr>
        <w:t>Media</w:t>
      </w:r>
      <w:r>
        <w:rPr>
          <w:rFonts w:ascii="宋体" w:hAnsi="宋体" w:cs="宋体" w:eastAsia="宋体" w:hint="default"/>
          <w:spacing w:val="-5"/>
        </w:rPr>
        <w:t> </w:t>
      </w:r>
      <w:r>
        <w:rPr>
          <w:rFonts w:ascii="宋体" w:hAnsi="宋体" w:cs="宋体" w:eastAsia="宋体" w:hint="default"/>
        </w:rPr>
        <w:t>V</w:t>
      </w:r>
      <w:r>
        <w:rPr/>
        <w:t>的客户，包括国内知名的大型电商，如京东商城、 易讯、</w:t>
      </w:r>
      <w:r>
        <w:rPr>
          <w:rFonts w:ascii="宋体" w:hAnsi="宋体" w:cs="宋体" w:eastAsia="宋体" w:hint="default"/>
        </w:rPr>
        <w:t>1</w:t>
      </w:r>
      <w:r>
        <w:rPr/>
        <w:t>号店、唯品会等。除在电商领域取得的业绩外，</w:t>
      </w:r>
      <w:r>
        <w:rPr>
          <w:rFonts w:ascii="宋体" w:hAnsi="宋体" w:cs="宋体" w:eastAsia="宋体" w:hint="default"/>
        </w:rPr>
        <w:t>Media</w:t>
      </w:r>
      <w:r>
        <w:rPr>
          <w:rFonts w:ascii="宋体" w:hAnsi="宋体" w:cs="宋体" w:eastAsia="宋体" w:hint="default"/>
          <w:spacing w:val="-67"/>
        </w:rPr>
        <w:t> </w:t>
      </w:r>
      <w:r>
        <w:rPr>
          <w:rFonts w:ascii="宋体" w:hAnsi="宋体" w:cs="宋体" w:eastAsia="宋体" w:hint="default"/>
        </w:rPr>
        <w:t>V</w:t>
      </w:r>
      <w:r>
        <w:rPr/>
        <w:t>近几年也在汽车行业取得高 </w:t>
      </w:r>
      <w:r>
        <w:rPr>
          <w:spacing w:val="-3"/>
        </w:rPr>
        <w:t>速增长，已成为国内最知名的汽车网络营销机构之一，东风柳汽、北京现代、海马汽车、比</w:t>
      </w:r>
      <w:r>
        <w:rPr>
          <w:spacing w:val="-78"/>
        </w:rPr>
        <w:t> </w:t>
      </w:r>
      <w:r>
        <w:rPr>
          <w:spacing w:val="-78"/>
        </w:rPr>
      </w:r>
      <w:r>
        <w:rPr/>
        <w:t>亚迪等均为</w:t>
      </w:r>
      <w:r>
        <w:rPr>
          <w:rFonts w:ascii="宋体" w:hAnsi="宋体" w:cs="宋体" w:eastAsia="宋体" w:hint="default"/>
        </w:rPr>
        <w:t>Media V</w:t>
      </w:r>
      <w:r>
        <w:rPr/>
        <w:t>的客户。另外，</w:t>
      </w:r>
      <w:r>
        <w:rPr>
          <w:rFonts w:ascii="宋体" w:hAnsi="宋体" w:cs="宋体" w:eastAsia="宋体" w:hint="default"/>
        </w:rPr>
        <w:t>Media</w:t>
      </w:r>
      <w:r>
        <w:rPr>
          <w:rFonts w:ascii="宋体" w:hAnsi="宋体" w:cs="宋体" w:eastAsia="宋体" w:hint="default"/>
          <w:spacing w:val="-4"/>
        </w:rPr>
        <w:t> </w:t>
      </w:r>
      <w:r>
        <w:rPr>
          <w:rFonts w:ascii="宋体" w:hAnsi="宋体" w:cs="宋体" w:eastAsia="宋体" w:hint="default"/>
        </w:rPr>
        <w:t>V</w:t>
      </w:r>
      <w:r>
        <w:rPr/>
        <w:t>在品牌客户效果营销领域也取得了长足的发展， </w:t>
      </w:r>
      <w:r>
        <w:rPr>
          <w:spacing w:val="-3"/>
        </w:rPr>
        <w:t>成功地帮助品牌客户管理其效果营销预算，在快消品、家电、金融保险等领域均积累了相当</w:t>
      </w:r>
      <w:r>
        <w:rPr>
          <w:spacing w:val="-72"/>
        </w:rPr>
        <w:t> </w:t>
      </w:r>
      <w:r>
        <w:rPr>
          <w:spacing w:val="-72"/>
        </w:rPr>
      </w:r>
      <w:r>
        <w:rPr/>
        <w:t>数量的客户，包括雅培、红星美凯龙、</w:t>
      </w:r>
      <w:r>
        <w:rPr>
          <w:rFonts w:ascii="宋体" w:hAnsi="宋体" w:cs="宋体" w:eastAsia="宋体" w:hint="default"/>
        </w:rPr>
        <w:t>THE NORTH</w:t>
      </w:r>
      <w:r>
        <w:rPr>
          <w:rFonts w:ascii="宋体" w:hAnsi="宋体" w:cs="宋体" w:eastAsia="宋体" w:hint="default"/>
          <w:spacing w:val="-2"/>
        </w:rPr>
        <w:t> </w:t>
      </w:r>
      <w:r>
        <w:rPr>
          <w:rFonts w:ascii="宋体" w:hAnsi="宋体" w:cs="宋体" w:eastAsia="宋体" w:hint="default"/>
        </w:rPr>
        <w:t>FACE</w:t>
      </w:r>
      <w:r>
        <w:rPr/>
        <w:t>、西门子、海信、中国平安等。</w:t>
      </w:r>
    </w:p>
    <w:p>
      <w:pPr>
        <w:pStyle w:val="BodyText"/>
        <w:spacing w:line="357" w:lineRule="auto"/>
        <w:ind w:left="558" w:right="0"/>
        <w:jc w:val="left"/>
      </w:pPr>
      <w:r>
        <w:rPr>
          <w:rFonts w:ascii="宋体" w:hAnsi="宋体" w:cs="宋体" w:eastAsia="宋体" w:hint="default"/>
        </w:rPr>
        <w:t>2</w:t>
      </w:r>
      <w:r>
        <w:rPr/>
        <w:t>、上海氩氪的核心竞争力 </w:t>
      </w:r>
      <w:r>
        <w:rPr>
          <w:spacing w:val="-3"/>
        </w:rPr>
        <w:t>上海氩氪主要为客户提供个性化的数字营销服务，在服饰、时尚、汽车、快消等领域积</w:t>
      </w:r>
    </w:p>
    <w:p>
      <w:pPr>
        <w:pStyle w:val="BodyText"/>
        <w:spacing w:line="357" w:lineRule="auto"/>
        <w:ind w:left="138" w:right="1792"/>
        <w:jc w:val="both"/>
      </w:pPr>
      <w:r>
        <w:rPr>
          <w:spacing w:val="-3"/>
        </w:rPr>
        <w:t>累了丰富的数字营销经验，与各个行业的高端品牌建立了良好的长期合作关系。近年来，上</w:t>
      </w:r>
      <w:r>
        <w:rPr>
          <w:spacing w:val="-72"/>
        </w:rPr>
        <w:t> </w:t>
      </w:r>
      <w:r>
        <w:rPr>
          <w:spacing w:val="-72"/>
        </w:rPr>
      </w:r>
      <w:r>
        <w:rPr>
          <w:spacing w:val="-3"/>
        </w:rPr>
        <w:t>海氩氪凭借出色的业务团队、优秀的营销创意和良好的客户口碑，在行业中屡获殊荣，其策</w:t>
      </w:r>
      <w:r>
        <w:rPr>
          <w:spacing w:val="-72"/>
        </w:rPr>
        <w:t> </w:t>
      </w:r>
      <w:r>
        <w:rPr>
          <w:spacing w:val="-72"/>
        </w:rPr>
      </w:r>
      <w:r>
        <w:rPr/>
        <w:t>划的许多成功营销案例已成为行业内的经典之作。</w:t>
      </w:r>
    </w:p>
    <w:p>
      <w:pPr>
        <w:pStyle w:val="BodyText"/>
        <w:spacing w:line="357" w:lineRule="auto"/>
        <w:ind w:left="558" w:right="0"/>
        <w:jc w:val="left"/>
      </w:pPr>
      <w:r>
        <w:rPr>
          <w:rFonts w:ascii="宋体" w:hAnsi="宋体" w:cs="宋体" w:eastAsia="宋体" w:hint="default"/>
        </w:rPr>
        <w:t>3</w:t>
      </w:r>
      <w:r>
        <w:rPr/>
        <w:t>、琥珀传播的核心竞争力 </w:t>
      </w:r>
      <w:r>
        <w:rPr>
          <w:spacing w:val="-3"/>
        </w:rPr>
        <w:t>琥珀传播秉承“互动创造实效”的企业理念，利用自身数字整合营销的优势以及对消费</w:t>
      </w:r>
    </w:p>
    <w:p>
      <w:pPr>
        <w:pStyle w:val="BodyText"/>
        <w:spacing w:line="240" w:lineRule="auto"/>
        <w:ind w:left="138" w:right="0"/>
        <w:jc w:val="both"/>
      </w:pPr>
      <w:r>
        <w:rPr>
          <w:spacing w:val="-3"/>
        </w:rPr>
        <w:t>者的敏锐洞察，不断为客户提供清晰有效的策略咨询；同时，通过不断优化服务流程、人才</w:t>
      </w:r>
    </w:p>
    <w:p>
      <w:pPr>
        <w:spacing w:after="0" w:line="240"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817" w:right="1684"/>
        <w:jc w:val="left"/>
      </w:pPr>
      <w:r>
        <w:rPr>
          <w:spacing w:val="-5"/>
        </w:rPr>
        <w:t>引进、员工培训等措施，不断提升项目的服务质量和服务水平，获得了众多客户的一致好评，</w:t>
      </w:r>
      <w:r>
        <w:rPr>
          <w:spacing w:val="-95"/>
        </w:rPr>
        <w:t> </w:t>
      </w:r>
      <w:r>
        <w:rPr>
          <w:spacing w:val="-95"/>
        </w:rPr>
      </w:r>
      <w:r>
        <w:rPr/>
        <w:t>并与其建立了长期深入的合作关系，业务规模不断发展扩大，在行业中屡创佳绩。</w:t>
      </w:r>
    </w:p>
    <w:p>
      <w:pPr>
        <w:spacing w:line="240" w:lineRule="auto" w:before="1"/>
        <w:rPr>
          <w:rFonts w:ascii="宋体" w:hAnsi="宋体" w:cs="宋体" w:eastAsia="宋体" w:hint="default"/>
          <w:sz w:val="25"/>
          <w:szCs w:val="25"/>
        </w:rPr>
      </w:pPr>
    </w:p>
    <w:p>
      <w:pPr>
        <w:pStyle w:val="Heading2"/>
        <w:spacing w:line="240" w:lineRule="auto"/>
        <w:ind w:left="817" w:right="1684"/>
        <w:jc w:val="left"/>
        <w:rPr>
          <w:b w:val="0"/>
          <w:bCs w:val="0"/>
        </w:rPr>
      </w:pPr>
      <w:bookmarkStart w:name="六、投资状况分析" w:id="31"/>
      <w:bookmarkEnd w:id="31"/>
      <w:r>
        <w:rPr>
          <w:b w:val="0"/>
          <w:bCs w:val="0"/>
        </w:rPr>
      </w:r>
      <w:r>
        <w:rPr/>
        <w:t>六、投资状况分析</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817" w:right="1684"/>
        <w:jc w:val="left"/>
        <w:rPr>
          <w:b w:val="0"/>
          <w:bCs w:val="0"/>
        </w:rPr>
      </w:pPr>
      <w:bookmarkStart w:name="1、对外股权投资情况" w:id="32"/>
      <w:bookmarkEnd w:id="32"/>
      <w:r>
        <w:rPr>
          <w:b w:val="0"/>
          <w:bCs w:val="0"/>
        </w:rPr>
      </w:r>
      <w:r>
        <w:rPr>
          <w:rFonts w:ascii="宋体" w:hAnsi="宋体" w:cs="宋体" w:eastAsia="宋体" w:hint="default"/>
        </w:rPr>
        <w:t>1</w:t>
      </w:r>
      <w:r>
        <w:rPr/>
        <w:t>、对外股权投资情况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817" w:right="1684"/>
        <w:jc w:val="left"/>
        <w:rPr>
          <w:b w:val="0"/>
          <w:bCs w:val="0"/>
        </w:rPr>
      </w:pPr>
      <w:bookmarkStart w:name="（1）对外投资情况" w:id="33"/>
      <w:bookmarkEnd w:id="33"/>
      <w:r>
        <w:rPr>
          <w:b w:val="0"/>
          <w:bCs w:val="0"/>
        </w:rPr>
      </w:r>
      <w:r>
        <w:rPr/>
        <w:t>（</w:t>
      </w:r>
      <w:r>
        <w:rPr>
          <w:rFonts w:ascii="宋体" w:hAnsi="宋体" w:cs="宋体" w:eastAsia="宋体" w:hint="default"/>
        </w:rPr>
        <w:t>1</w:t>
      </w:r>
      <w:r>
        <w:rPr/>
        <w:t>）对外投资情况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684" w:type="dxa"/>
        <w:tblLayout w:type="fixed"/>
        <w:tblCellMar>
          <w:top w:w="0" w:type="dxa"/>
          <w:left w:w="0" w:type="dxa"/>
          <w:bottom w:w="0" w:type="dxa"/>
          <w:right w:w="0" w:type="dxa"/>
        </w:tblCellMar>
        <w:tblLook w:val="01E0"/>
      </w:tblPr>
      <w:tblGrid>
        <w:gridCol w:w="3264"/>
        <w:gridCol w:w="3929"/>
        <w:gridCol w:w="1375"/>
      </w:tblGrid>
      <w:tr>
        <w:trPr>
          <w:trHeight w:val="324" w:hRule="exact"/>
        </w:trPr>
        <w:tc>
          <w:tcPr>
            <w:tcW w:w="8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23" w:hRule="exact"/>
        </w:trPr>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9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年投资额（元）</w:t>
            </w:r>
          </w:p>
        </w:tc>
        <w:tc>
          <w:tcPr>
            <w:tcW w:w="3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年投资额（元）</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2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96" w:right="0"/>
              <w:jc w:val="left"/>
              <w:rPr>
                <w:rFonts w:ascii="宋体" w:hAnsi="宋体" w:cs="宋体" w:eastAsia="宋体" w:hint="default"/>
                <w:sz w:val="18"/>
                <w:szCs w:val="18"/>
              </w:rPr>
            </w:pPr>
            <w:r>
              <w:rPr>
                <w:rFonts w:ascii="宋体"/>
                <w:sz w:val="18"/>
              </w:rPr>
              <w:t>772,003,530.00</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42,668,861.20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1709.29%</w:t>
            </w:r>
          </w:p>
        </w:tc>
      </w:tr>
      <w:tr>
        <w:trPr>
          <w:trHeight w:val="323" w:hRule="exact"/>
        </w:trPr>
        <w:tc>
          <w:tcPr>
            <w:tcW w:w="8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90" w:hRule="exact"/>
        </w:trPr>
        <w:tc>
          <w:tcPr>
            <w:tcW w:w="3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51" w:right="53"/>
              <w:jc w:val="center"/>
              <w:rPr>
                <w:rFonts w:ascii="宋体" w:hAnsi="宋体" w:cs="宋体" w:eastAsia="宋体" w:hint="default"/>
                <w:sz w:val="18"/>
                <w:szCs w:val="18"/>
              </w:rPr>
            </w:pPr>
            <w:r>
              <w:rPr>
                <w:rFonts w:ascii="宋体" w:hAnsi="宋体" w:cs="宋体" w:eastAsia="宋体" w:hint="default"/>
                <w:sz w:val="18"/>
                <w:szCs w:val="18"/>
              </w:rPr>
              <w:t>上市公司占被投 资公司权益比例</w:t>
            </w:r>
          </w:p>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2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85%</w:t>
            </w:r>
          </w:p>
        </w:tc>
      </w:tr>
      <w:tr>
        <w:trPr>
          <w:trHeight w:val="32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r>
      <w:tr>
        <w:trPr>
          <w:trHeight w:val="32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r>
      <w:tr>
        <w:trPr>
          <w:trHeight w:val="32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r>
      <w:tr>
        <w:trPr>
          <w:trHeight w:val="32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利欧中东公司</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销售业务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w:t>
            </w:r>
          </w:p>
        </w:tc>
      </w:tr>
      <w:tr>
        <w:trPr>
          <w:trHeight w:val="324"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进出口业务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b/>
          <w:bCs/>
          <w:sz w:val="17"/>
          <w:szCs w:val="17"/>
        </w:rPr>
      </w:pPr>
    </w:p>
    <w:p>
      <w:pPr>
        <w:pStyle w:val="Heading3"/>
        <w:spacing w:line="240" w:lineRule="auto" w:before="35"/>
        <w:ind w:left="818" w:right="1684"/>
        <w:jc w:val="left"/>
        <w:rPr>
          <w:b w:val="0"/>
          <w:bCs w:val="0"/>
        </w:rPr>
      </w:pPr>
      <w:bookmarkStart w:name="（2）持有金融企业股权情况" w:id="34"/>
      <w:bookmarkEnd w:id="34"/>
      <w:r>
        <w:rPr>
          <w:b w:val="0"/>
          <w:bCs w:val="0"/>
        </w:rPr>
      </w:r>
      <w:r>
        <w:rPr/>
        <w:t>（</w:t>
      </w:r>
      <w:r>
        <w:rPr>
          <w:rFonts w:ascii="宋体" w:hAnsi="宋体" w:cs="宋体" w:eastAsia="宋体" w:hint="default"/>
        </w:rPr>
        <w:t>2</w:t>
      </w:r>
      <w:r>
        <w:rPr/>
        <w:t>）持有金融企业股权情况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81"/>
        <w:gridCol w:w="881"/>
        <w:gridCol w:w="870"/>
        <w:gridCol w:w="870"/>
        <w:gridCol w:w="868"/>
        <w:gridCol w:w="868"/>
        <w:gridCol w:w="869"/>
        <w:gridCol w:w="868"/>
        <w:gridCol w:w="1020"/>
        <w:gridCol w:w="868"/>
        <w:gridCol w:w="857"/>
      </w:tblGrid>
      <w:tr>
        <w:trPr>
          <w:trHeight w:val="556"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公司类别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1" w:right="-32"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1" w:right="-33"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23" w:firstLine="44"/>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宋体" w:hAnsi="宋体" w:cs="宋体" w:eastAsia="宋体"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34"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3" w:right="23" w:firstLine="44"/>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宋体" w:hAnsi="宋体" w:cs="宋体" w:eastAsia="宋体" w:hint="default"/>
                <w:sz w:val="18"/>
                <w:szCs w:val="18"/>
              </w:rPr>
              <w:t>%</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right="1"/>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79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6"/>
              <w:jc w:val="both"/>
              <w:rPr>
                <w:rFonts w:ascii="宋体" w:hAnsi="宋体" w:cs="宋体" w:eastAsia="宋体" w:hint="default"/>
                <w:sz w:val="18"/>
                <w:szCs w:val="18"/>
              </w:rPr>
            </w:pPr>
            <w:r>
              <w:rPr>
                <w:rFonts w:ascii="宋体" w:hAnsi="宋体" w:cs="宋体" w:eastAsia="宋体" w:hint="default"/>
                <w:sz w:val="18"/>
                <w:szCs w:val="18"/>
              </w:rPr>
              <w:t>浙江温岭 农村合作 银行</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商业银行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1,000,000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0.33%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0.33%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sz w:val="18"/>
              </w:rPr>
              <w:t>1,000,000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677,600.00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11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79"/>
              <w:jc w:val="center"/>
              <w:rPr>
                <w:rFonts w:ascii="宋体" w:hAnsi="宋体" w:cs="宋体" w:eastAsia="宋体" w:hint="default"/>
                <w:sz w:val="18"/>
                <w:szCs w:val="18"/>
              </w:rPr>
            </w:pPr>
            <w:r>
              <w:rPr>
                <w:rFonts w:ascii="宋体" w:hAnsi="宋体" w:cs="宋体" w:eastAsia="宋体" w:hint="default"/>
                <w:sz w:val="18"/>
                <w:szCs w:val="18"/>
              </w:rPr>
              <w:t>资金投入</w:t>
            </w:r>
          </w:p>
        </w:tc>
      </w:tr>
      <w:tr>
        <w:trPr>
          <w:trHeight w:val="324" w:hRule="exact"/>
        </w:trPr>
        <w:tc>
          <w:tcPr>
            <w:tcW w:w="17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1,000,000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86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right="14"/>
              <w:jc w:val="right"/>
              <w:rPr>
                <w:rFonts w:ascii="宋体" w:hAnsi="宋体" w:cs="宋体" w:eastAsia="宋体" w:hint="default"/>
                <w:sz w:val="18"/>
                <w:szCs w:val="18"/>
              </w:rPr>
            </w:pPr>
            <w:r>
              <w:rPr>
                <w:rFonts w:ascii="宋体"/>
                <w:sz w:val="18"/>
              </w:rPr>
              <w:t>1,000,000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sz w:val="18"/>
              </w:rPr>
              <w:t>1,000,000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 w:right="0"/>
              <w:jc w:val="center"/>
              <w:rPr>
                <w:rFonts w:ascii="宋体" w:hAnsi="宋体" w:cs="宋体" w:eastAsia="宋体" w:hint="default"/>
                <w:sz w:val="18"/>
                <w:szCs w:val="18"/>
              </w:rPr>
            </w:pPr>
            <w:r>
              <w:rPr>
                <w:rFonts w:ascii="宋体"/>
                <w:sz w:val="18"/>
              </w:rPr>
              <w:t>677,600.00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b/>
          <w:bCs/>
          <w:sz w:val="17"/>
          <w:szCs w:val="17"/>
        </w:rPr>
      </w:pPr>
    </w:p>
    <w:p>
      <w:pPr>
        <w:pStyle w:val="Heading3"/>
        <w:spacing w:line="240" w:lineRule="auto" w:before="35"/>
        <w:ind w:left="818" w:right="1684"/>
        <w:jc w:val="left"/>
        <w:rPr>
          <w:b w:val="0"/>
          <w:bCs w:val="0"/>
        </w:rPr>
      </w:pPr>
      <w:bookmarkStart w:name="2、募集资金使用情况" w:id="35"/>
      <w:bookmarkEnd w:id="35"/>
      <w:r>
        <w:rPr>
          <w:b w:val="0"/>
          <w:bCs w:val="0"/>
        </w:rPr>
      </w:r>
      <w:r>
        <w:rPr>
          <w:rFonts w:ascii="宋体" w:hAnsi="宋体" w:cs="宋体" w:eastAsia="宋体" w:hint="default"/>
        </w:rPr>
        <w:t>2</w:t>
      </w:r>
      <w:r>
        <w:rPr/>
        <w:t>、募集资金使用情况</w:t>
      </w:r>
      <w:r>
        <w:rPr>
          <w:b w:val="0"/>
          <w:bCs w:val="0"/>
        </w:rPr>
      </w:r>
    </w:p>
    <w:p>
      <w:pPr>
        <w:spacing w:line="240" w:lineRule="auto" w:before="11"/>
        <w:rPr>
          <w:rFonts w:ascii="宋体" w:hAnsi="宋体" w:cs="宋体" w:eastAsia="宋体" w:hint="default"/>
          <w:b/>
          <w:bCs/>
          <w:sz w:val="22"/>
          <w:szCs w:val="22"/>
        </w:rPr>
      </w:pPr>
    </w:p>
    <w:p>
      <w:pPr>
        <w:pStyle w:val="Heading3"/>
        <w:spacing w:line="240" w:lineRule="auto"/>
        <w:ind w:left="818" w:right="1684"/>
        <w:jc w:val="left"/>
        <w:rPr>
          <w:b w:val="0"/>
          <w:bCs w:val="0"/>
        </w:rPr>
      </w:pPr>
      <w:bookmarkStart w:name="（1）募集资金总体使用情况" w:id="36"/>
      <w:bookmarkEnd w:id="36"/>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11"/>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96" w:type="dxa"/>
        <w:tblLayout w:type="fixed"/>
        <w:tblCellMar>
          <w:top w:w="0" w:type="dxa"/>
          <w:left w:w="0" w:type="dxa"/>
          <w:bottom w:w="0" w:type="dxa"/>
          <w:right w:w="0" w:type="dxa"/>
        </w:tblCellMar>
        <w:tblLook w:val="01E0"/>
      </w:tblPr>
      <w:tblGrid>
        <w:gridCol w:w="4077"/>
        <w:gridCol w:w="5480"/>
      </w:tblGrid>
      <w:tr>
        <w:trPr>
          <w:trHeight w:val="32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募集资金总额【注】</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54,348.44</w:t>
            </w:r>
          </w:p>
        </w:tc>
      </w:tr>
      <w:tr>
        <w:trPr>
          <w:trHeight w:val="32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31,548.44</w:t>
            </w:r>
          </w:p>
        </w:tc>
      </w:tr>
      <w:tr>
        <w:trPr>
          <w:trHeight w:val="32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54,348.44</w:t>
            </w:r>
          </w:p>
        </w:tc>
      </w:tr>
      <w:tr>
        <w:trPr>
          <w:trHeight w:val="324"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r>
        <w:trPr>
          <w:trHeight w:val="32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r>
      <w:tr>
        <w:trPr>
          <w:trHeight w:val="329"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宋体" w:hAnsi="宋体" w:cs="宋体" w:eastAsia="宋体" w:hint="default"/>
                <w:sz w:val="18"/>
                <w:szCs w:val="18"/>
              </w:rPr>
              <w:t>%</w:t>
            </w:r>
            <w:r>
              <w:rPr>
                <w:rFonts w:ascii="宋体" w:hAnsi="宋体" w:cs="宋体" w:eastAsia="宋体" w:hint="default"/>
                <w:sz w:val="18"/>
                <w:szCs w:val="18"/>
              </w:rPr>
              <w:t>）</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r>
        <w:trPr>
          <w:trHeight w:val="31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3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71" w:right="0"/>
              <w:jc w:val="left"/>
              <w:rPr>
                <w:rFonts w:ascii="宋体" w:hAnsi="宋体" w:cs="宋体" w:eastAsia="宋体" w:hint="default"/>
                <w:sz w:val="18"/>
                <w:szCs w:val="18"/>
              </w:rPr>
            </w:pPr>
            <w:r>
              <w:rPr>
                <w:rFonts w:ascii="宋体" w:hAnsi="宋体" w:cs="宋体" w:eastAsia="宋体" w:hint="default"/>
                <w:spacing w:val="-1"/>
                <w:sz w:val="18"/>
                <w:szCs w:val="18"/>
              </w:rPr>
              <w:t>（一）非公开发行股票募集资金情况：经中国证券监督管理委员会《关于核准利欧集团股份有限公司非公开发行股票</w:t>
            </w:r>
          </w:p>
        </w:tc>
      </w:tr>
    </w:tbl>
    <w:p>
      <w:pPr>
        <w:spacing w:after="0" w:line="240" w:lineRule="auto"/>
        <w:jc w:val="left"/>
        <w:rPr>
          <w:rFonts w:ascii="宋体" w:hAnsi="宋体" w:cs="宋体" w:eastAsia="宋体" w:hint="default"/>
          <w:sz w:val="18"/>
          <w:szCs w:val="18"/>
        </w:rPr>
        <w:sectPr>
          <w:pgSz w:w="11910" w:h="16840"/>
          <w:pgMar w:header="877" w:footer="938" w:top="1100" w:bottom="1120" w:left="980" w:right="0"/>
        </w:sectPr>
      </w:pPr>
    </w:p>
    <w:p>
      <w:pPr>
        <w:spacing w:line="240" w:lineRule="auto" w:before="7"/>
        <w:rPr>
          <w:rFonts w:ascii="宋体" w:hAnsi="宋体" w:cs="宋体" w:eastAsia="宋体" w:hint="default"/>
          <w:sz w:val="19"/>
          <w:szCs w:val="19"/>
        </w:rPr>
      </w:pPr>
    </w:p>
    <w:p>
      <w:pPr>
        <w:spacing w:line="285" w:lineRule="auto" w:before="44"/>
        <w:ind w:left="597" w:right="1101" w:firstLine="0"/>
        <w:jc w:val="left"/>
        <w:rPr>
          <w:rFonts w:ascii="宋体" w:hAnsi="宋体" w:cs="宋体" w:eastAsia="宋体" w:hint="default"/>
          <w:sz w:val="18"/>
          <w:szCs w:val="18"/>
        </w:rPr>
      </w:pPr>
      <w:r>
        <w:rPr/>
        <w:pict>
          <v:group style="position:absolute;margin-left:58.259998pt;margin-top:2.991721pt;width:478.95pt;height:355.7pt;mso-position-horizontal-relative:page;mso-position-vertical-relative:paragraph;z-index:-907264" coordorigin="1165,60" coordsize="9579,7114">
            <v:group style="position:absolute;left:1175;top:69;width:9560;height:2" coordorigin="1175,69" coordsize="9560,2">
              <v:shape style="position:absolute;left:1175;top:69;width:9560;height:2" coordorigin="1175,69" coordsize="9560,0" path="m1175,69l10734,69e" filled="false" stroked="true" strokeweight=".48pt" strokecolor="#000000">
                <v:path arrowok="t"/>
              </v:shape>
            </v:group>
            <v:group style="position:absolute;left:1170;top:65;width:2;height:7104" coordorigin="1170,65" coordsize="2,7104">
              <v:shape style="position:absolute;left:1170;top:65;width:2;height:7104" coordorigin="1170,65" coordsize="0,7104" path="m1170,65l1170,7168e" filled="false" stroked="true" strokeweight=".48pt" strokecolor="#000000">
                <v:path arrowok="t"/>
              </v:shape>
            </v:group>
            <v:group style="position:absolute;left:1175;top:7163;width:9560;height:2" coordorigin="1175,7163" coordsize="9560,2">
              <v:shape style="position:absolute;left:1175;top:7163;width:9560;height:2" coordorigin="1175,7163" coordsize="9560,0" path="m1175,7163l10734,7163e" filled="false" stroked="true" strokeweight=".48pt" strokecolor="#000000">
                <v:path arrowok="t"/>
              </v:shape>
            </v:group>
            <v:group style="position:absolute;left:10739;top:65;width:2;height:7104" coordorigin="10739,65" coordsize="2,7104">
              <v:shape style="position:absolute;left:10739;top:65;width:2;height:7104" coordorigin="10739,65" coordsize="0,7104" path="m10739,65l10739,7168e" filled="false" stroked="true" strokeweight=".48pt" strokecolor="#000000">
                <v:path arrowok="t"/>
              </v:shape>
            </v:group>
            <w10:wrap type="none"/>
          </v:group>
        </w:pict>
      </w:r>
      <w:r>
        <w:rPr>
          <w:rFonts w:ascii="宋体" w:hAnsi="宋体" w:cs="宋体" w:eastAsia="宋体" w:hint="default"/>
          <w:spacing w:val="-6"/>
          <w:sz w:val="18"/>
          <w:szCs w:val="18"/>
        </w:rPr>
        <w:t>的批复》（证监许可〔</w:t>
      </w:r>
      <w:r>
        <w:rPr>
          <w:rFonts w:ascii="宋体" w:hAnsi="宋体" w:cs="宋体" w:eastAsia="宋体" w:hint="default"/>
          <w:spacing w:val="-6"/>
          <w:sz w:val="18"/>
          <w:szCs w:val="18"/>
        </w:rPr>
        <w:t>2013</w:t>
      </w:r>
      <w:r>
        <w:rPr>
          <w:rFonts w:ascii="宋体" w:hAnsi="宋体" w:cs="宋体" w:eastAsia="宋体" w:hint="default"/>
          <w:spacing w:val="-6"/>
          <w:sz w:val="18"/>
          <w:szCs w:val="18"/>
        </w:rPr>
        <w:t>〕</w:t>
      </w:r>
      <w:r>
        <w:rPr>
          <w:rFonts w:ascii="宋体" w:hAnsi="宋体" w:cs="宋体" w:eastAsia="宋体" w:hint="default"/>
          <w:spacing w:val="-6"/>
          <w:sz w:val="18"/>
          <w:szCs w:val="18"/>
        </w:rPr>
        <w:t>1133</w:t>
      </w:r>
      <w:r>
        <w:rPr>
          <w:rFonts w:ascii="宋体" w:hAnsi="宋体" w:cs="宋体" w:eastAsia="宋体" w:hint="default"/>
          <w:spacing w:val="-30"/>
          <w:sz w:val="18"/>
          <w:szCs w:val="18"/>
        </w:rPr>
        <w:t> </w:t>
      </w:r>
      <w:r>
        <w:rPr>
          <w:rFonts w:ascii="宋体" w:hAnsi="宋体" w:cs="宋体" w:eastAsia="宋体" w:hint="default"/>
          <w:spacing w:val="-2"/>
          <w:sz w:val="18"/>
          <w:szCs w:val="18"/>
        </w:rPr>
        <w:t>号）核准，本公司采用非公开发行方式，向王相荣、王壮利、王洪仁、梁小恩、林夏满、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金纬资本（山南）一期合伙企业（有限合伙）、中国水务投资有限公司和西安海联房屋建设开发有限公司发行人民币普通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股（</w:t>
      </w:r>
      <w:r>
        <w:rPr>
          <w:rFonts w:ascii="宋体" w:hAnsi="宋体" w:cs="宋体" w:eastAsia="宋体" w:hint="default"/>
          <w:spacing w:val="-4"/>
          <w:sz w:val="18"/>
          <w:szCs w:val="18"/>
        </w:rPr>
        <w:t>A</w:t>
      </w:r>
      <w:r>
        <w:rPr>
          <w:rFonts w:ascii="宋体" w:hAnsi="宋体" w:cs="宋体" w:eastAsia="宋体" w:hint="default"/>
          <w:spacing w:val="-50"/>
          <w:sz w:val="18"/>
          <w:szCs w:val="18"/>
        </w:rPr>
        <w:t> </w:t>
      </w:r>
      <w:r>
        <w:rPr>
          <w:rFonts w:ascii="宋体" w:hAnsi="宋体" w:cs="宋体" w:eastAsia="宋体" w:hint="default"/>
          <w:spacing w:val="-4"/>
          <w:sz w:val="18"/>
          <w:szCs w:val="18"/>
        </w:rPr>
        <w:t>股）股票</w:t>
      </w:r>
      <w:r>
        <w:rPr>
          <w:rFonts w:ascii="宋体" w:hAnsi="宋体" w:cs="宋体" w:eastAsia="宋体" w:hint="default"/>
          <w:spacing w:val="-50"/>
          <w:sz w:val="18"/>
          <w:szCs w:val="18"/>
        </w:rPr>
        <w:t> </w:t>
      </w:r>
      <w:r>
        <w:rPr>
          <w:rFonts w:ascii="宋体" w:hAnsi="宋体" w:cs="宋体" w:eastAsia="宋体" w:hint="default"/>
          <w:sz w:val="18"/>
          <w:szCs w:val="18"/>
        </w:rPr>
        <w:t>55,944,035</w:t>
      </w:r>
      <w:r>
        <w:rPr>
          <w:rFonts w:ascii="宋体" w:hAnsi="宋体" w:cs="宋体" w:eastAsia="宋体" w:hint="default"/>
          <w:spacing w:val="-49"/>
          <w:sz w:val="18"/>
          <w:szCs w:val="18"/>
        </w:rPr>
        <w:t> </w:t>
      </w:r>
      <w:r>
        <w:rPr>
          <w:rFonts w:ascii="宋体" w:hAnsi="宋体" w:cs="宋体" w:eastAsia="宋体" w:hint="default"/>
          <w:sz w:val="18"/>
          <w:szCs w:val="18"/>
        </w:rPr>
        <w:t>股，发行价为每股人民币</w:t>
      </w:r>
      <w:r>
        <w:rPr>
          <w:rFonts w:ascii="宋体" w:hAnsi="宋体" w:cs="宋体" w:eastAsia="宋体" w:hint="default"/>
          <w:spacing w:val="-50"/>
          <w:sz w:val="18"/>
          <w:szCs w:val="18"/>
        </w:rPr>
        <w:t> </w:t>
      </w:r>
      <w:r>
        <w:rPr>
          <w:rFonts w:ascii="宋体" w:hAnsi="宋体" w:cs="宋体" w:eastAsia="宋体" w:hint="default"/>
          <w:sz w:val="18"/>
          <w:szCs w:val="18"/>
        </w:rPr>
        <w:t>7.62</w:t>
      </w:r>
      <w:r>
        <w:rPr>
          <w:rFonts w:ascii="宋体" w:hAnsi="宋体" w:cs="宋体" w:eastAsia="宋体" w:hint="default"/>
          <w:spacing w:val="-50"/>
          <w:sz w:val="18"/>
          <w:szCs w:val="18"/>
        </w:rPr>
        <w:t> </w:t>
      </w:r>
      <w:r>
        <w:rPr>
          <w:rFonts w:ascii="宋体" w:hAnsi="宋体" w:cs="宋体" w:eastAsia="宋体" w:hint="default"/>
          <w:sz w:val="18"/>
          <w:szCs w:val="18"/>
        </w:rPr>
        <w:t>元，共计募集资金</w:t>
      </w:r>
      <w:r>
        <w:rPr>
          <w:rFonts w:ascii="宋体" w:hAnsi="宋体" w:cs="宋体" w:eastAsia="宋体" w:hint="default"/>
          <w:spacing w:val="-50"/>
          <w:sz w:val="18"/>
          <w:szCs w:val="18"/>
        </w:rPr>
        <w:t> </w:t>
      </w:r>
      <w:r>
        <w:rPr>
          <w:rFonts w:ascii="宋体" w:hAnsi="宋体" w:cs="宋体" w:eastAsia="宋体" w:hint="default"/>
          <w:sz w:val="18"/>
          <w:szCs w:val="18"/>
        </w:rPr>
        <w:t>426,293,546.70</w:t>
      </w:r>
      <w:r>
        <w:rPr>
          <w:rFonts w:ascii="宋体" w:hAnsi="宋体" w:cs="宋体" w:eastAsia="宋体" w:hint="default"/>
          <w:spacing w:val="-50"/>
          <w:sz w:val="18"/>
          <w:szCs w:val="18"/>
        </w:rPr>
        <w:t> </w:t>
      </w:r>
      <w:r>
        <w:rPr>
          <w:rFonts w:ascii="宋体" w:hAnsi="宋体" w:cs="宋体" w:eastAsia="宋体" w:hint="default"/>
          <w:spacing w:val="-2"/>
          <w:sz w:val="18"/>
          <w:szCs w:val="18"/>
        </w:rPr>
        <w:t>元，扣除承销保荐费用、律</w:t>
      </w:r>
    </w:p>
    <w:p>
      <w:pPr>
        <w:spacing w:line="285" w:lineRule="auto" w:before="11"/>
        <w:ind w:left="597" w:right="1193" w:firstLine="0"/>
        <w:jc w:val="both"/>
        <w:rPr>
          <w:rFonts w:ascii="宋体" w:hAnsi="宋体" w:cs="宋体" w:eastAsia="宋体" w:hint="default"/>
          <w:sz w:val="18"/>
          <w:szCs w:val="18"/>
        </w:rPr>
      </w:pPr>
      <w:r>
        <w:rPr>
          <w:rFonts w:ascii="宋体" w:hAnsi="宋体" w:cs="宋体" w:eastAsia="宋体" w:hint="default"/>
          <w:sz w:val="18"/>
          <w:szCs w:val="18"/>
        </w:rPr>
        <w:t>师费、审计费和法定信息披露等发行费用合计</w:t>
      </w:r>
      <w:r>
        <w:rPr>
          <w:rFonts w:ascii="宋体" w:hAnsi="宋体" w:cs="宋体" w:eastAsia="宋体" w:hint="default"/>
          <w:spacing w:val="-40"/>
          <w:sz w:val="18"/>
          <w:szCs w:val="18"/>
        </w:rPr>
        <w:t> </w:t>
      </w:r>
      <w:r>
        <w:rPr>
          <w:rFonts w:ascii="宋体" w:hAnsi="宋体" w:cs="宋体" w:eastAsia="宋体" w:hint="default"/>
          <w:sz w:val="18"/>
          <w:szCs w:val="18"/>
        </w:rPr>
        <w:t>23,121,981.76 </w:t>
      </w:r>
      <w:r>
        <w:rPr>
          <w:rFonts w:ascii="宋体" w:hAnsi="宋体" w:cs="宋体" w:eastAsia="宋体" w:hint="default"/>
          <w:sz w:val="18"/>
          <w:szCs w:val="18"/>
        </w:rPr>
        <w:t>元后，公司本次募集资金净额为</w:t>
      </w:r>
      <w:r>
        <w:rPr>
          <w:rFonts w:ascii="宋体" w:hAnsi="宋体" w:cs="宋体" w:eastAsia="宋体" w:hint="default"/>
          <w:spacing w:val="-40"/>
          <w:sz w:val="18"/>
          <w:szCs w:val="18"/>
        </w:rPr>
        <w:t> </w:t>
      </w:r>
      <w:r>
        <w:rPr>
          <w:rFonts w:ascii="宋体" w:hAnsi="宋体" w:cs="宋体" w:eastAsia="宋体" w:hint="default"/>
          <w:sz w:val="18"/>
          <w:szCs w:val="18"/>
        </w:rPr>
        <w:t>403,171,564.94</w:t>
      </w:r>
      <w:r>
        <w:rPr>
          <w:rFonts w:ascii="宋体" w:hAnsi="宋体" w:cs="宋体" w:eastAsia="宋体" w:hint="default"/>
          <w:spacing w:val="-40"/>
          <w:sz w:val="18"/>
          <w:szCs w:val="18"/>
        </w:rPr>
        <w:t> </w:t>
      </w:r>
      <w:r>
        <w:rPr>
          <w:rFonts w:ascii="宋体" w:hAnsi="宋体" w:cs="宋体" w:eastAsia="宋体" w:hint="default"/>
          <w:sz w:val="18"/>
          <w:szCs w:val="18"/>
        </w:rPr>
        <w:t>元。上述 </w:t>
      </w:r>
      <w:r>
        <w:rPr>
          <w:rFonts w:ascii="宋体" w:hAnsi="宋体" w:cs="宋体" w:eastAsia="宋体" w:hint="default"/>
          <w:spacing w:val="-5"/>
          <w:sz w:val="18"/>
          <w:szCs w:val="18"/>
        </w:rPr>
        <w:t>募集资金到位情况业经天健会计师事务所（特殊普通合伙）验证，并由其出具《验资报告》（天健验〔</w:t>
      </w:r>
      <w:r>
        <w:rPr>
          <w:rFonts w:ascii="宋体" w:hAnsi="宋体" w:cs="宋体" w:eastAsia="宋体" w:hint="default"/>
          <w:spacing w:val="-5"/>
          <w:sz w:val="18"/>
          <w:szCs w:val="18"/>
        </w:rPr>
        <w:t>2013</w:t>
      </w:r>
      <w:r>
        <w:rPr>
          <w:rFonts w:ascii="宋体" w:hAnsi="宋体" w:cs="宋体" w:eastAsia="宋体" w:hint="default"/>
          <w:spacing w:val="-5"/>
          <w:sz w:val="18"/>
          <w:szCs w:val="18"/>
        </w:rPr>
        <w:t>〕</w:t>
      </w:r>
      <w:r>
        <w:rPr>
          <w:rFonts w:ascii="宋体" w:hAnsi="宋体" w:cs="宋体" w:eastAsia="宋体" w:hint="default"/>
          <w:spacing w:val="-5"/>
          <w:sz w:val="18"/>
          <w:szCs w:val="18"/>
        </w:rPr>
        <w:t>395</w:t>
      </w:r>
      <w:r>
        <w:rPr>
          <w:rFonts w:ascii="宋体" w:hAnsi="宋体" w:cs="宋体" w:eastAsia="宋体" w:hint="default"/>
          <w:spacing w:val="-23"/>
          <w:sz w:val="18"/>
          <w:szCs w:val="18"/>
        </w:rPr>
        <w:t> </w:t>
      </w:r>
      <w:r>
        <w:rPr>
          <w:rFonts w:ascii="宋体" w:hAnsi="宋体" w:cs="宋体" w:eastAsia="宋体" w:hint="default"/>
          <w:spacing w:val="-16"/>
          <w:sz w:val="18"/>
          <w:szCs w:val="18"/>
        </w:rPr>
        <w:t>号）。</w:t>
      </w:r>
      <w:r>
        <w:rPr>
          <w:rFonts w:ascii="宋体" w:hAnsi="宋体" w:cs="宋体" w:eastAsia="宋体" w:hint="default"/>
          <w:spacing w:val="-16"/>
          <w:sz w:val="18"/>
          <w:szCs w:val="18"/>
        </w:rPr>
        <w:t>2013</w:t>
      </w:r>
      <w:r>
        <w:rPr>
          <w:rFonts w:ascii="宋体" w:hAnsi="宋体" w:cs="宋体" w:eastAsia="宋体" w:hint="default"/>
          <w:spacing w:val="-8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12</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宋体" w:hAnsi="宋体" w:cs="宋体" w:eastAsia="宋体" w:hint="default"/>
          <w:sz w:val="18"/>
          <w:szCs w:val="18"/>
        </w:rPr>
        <w:t>31</w:t>
      </w:r>
      <w:r>
        <w:rPr>
          <w:rFonts w:ascii="宋体" w:hAnsi="宋体" w:cs="宋体" w:eastAsia="宋体" w:hint="default"/>
          <w:spacing w:val="-35"/>
          <w:sz w:val="18"/>
          <w:szCs w:val="18"/>
        </w:rPr>
        <w:t> </w:t>
      </w:r>
      <w:r>
        <w:rPr>
          <w:rFonts w:ascii="宋体" w:hAnsi="宋体" w:cs="宋体" w:eastAsia="宋体" w:hint="default"/>
          <w:sz w:val="18"/>
          <w:szCs w:val="18"/>
        </w:rPr>
        <w:t>日，公司非公开发行的</w:t>
      </w:r>
      <w:r>
        <w:rPr>
          <w:rFonts w:ascii="宋体" w:hAnsi="宋体" w:cs="宋体" w:eastAsia="宋体" w:hint="default"/>
          <w:spacing w:val="-35"/>
          <w:sz w:val="18"/>
          <w:szCs w:val="18"/>
        </w:rPr>
        <w:t> </w:t>
      </w:r>
      <w:r>
        <w:rPr>
          <w:rFonts w:ascii="宋体" w:hAnsi="宋体" w:cs="宋体" w:eastAsia="宋体" w:hint="default"/>
          <w:sz w:val="18"/>
          <w:szCs w:val="18"/>
        </w:rPr>
        <w:t>55,944,035</w:t>
      </w:r>
      <w:r>
        <w:rPr>
          <w:rFonts w:ascii="宋体" w:hAnsi="宋体" w:cs="宋体" w:eastAsia="宋体" w:hint="default"/>
          <w:spacing w:val="-35"/>
          <w:sz w:val="18"/>
          <w:szCs w:val="18"/>
        </w:rPr>
        <w:t> </w:t>
      </w:r>
      <w:r>
        <w:rPr>
          <w:rFonts w:ascii="宋体" w:hAnsi="宋体" w:cs="宋体" w:eastAsia="宋体" w:hint="default"/>
          <w:sz w:val="18"/>
          <w:szCs w:val="18"/>
        </w:rPr>
        <w:t>股新增股份已在中国证券登记结算有限责任公司深圳分公司办妥登记存管</w:t>
      </w:r>
    </w:p>
    <w:p>
      <w:pPr>
        <w:spacing w:before="10"/>
        <w:ind w:left="597" w:right="0" w:firstLine="0"/>
        <w:jc w:val="both"/>
        <w:rPr>
          <w:rFonts w:ascii="宋体" w:hAnsi="宋体" w:cs="宋体" w:eastAsia="宋体" w:hint="default"/>
          <w:sz w:val="18"/>
          <w:szCs w:val="18"/>
        </w:rPr>
      </w:pPr>
      <w:r>
        <w:rPr>
          <w:rFonts w:ascii="宋体" w:hAnsi="宋体" w:cs="宋体" w:eastAsia="宋体" w:hint="default"/>
          <w:sz w:val="18"/>
          <w:szCs w:val="18"/>
        </w:rPr>
        <w:t>手续。并于</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41"/>
          <w:sz w:val="18"/>
          <w:szCs w:val="18"/>
        </w:rPr>
        <w:t> </w:t>
      </w:r>
      <w:r>
        <w:rPr>
          <w:rFonts w:ascii="宋体" w:hAnsi="宋体" w:cs="宋体" w:eastAsia="宋体" w:hint="default"/>
          <w:sz w:val="18"/>
          <w:szCs w:val="18"/>
        </w:rPr>
        <w:t>日在深圳证券交易所上市交易。截止</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30</w:t>
      </w:r>
      <w:r>
        <w:rPr>
          <w:rFonts w:ascii="宋体" w:hAnsi="宋体" w:cs="宋体" w:eastAsia="宋体" w:hint="default"/>
          <w:spacing w:val="-41"/>
          <w:sz w:val="18"/>
          <w:szCs w:val="18"/>
        </w:rPr>
        <w:t> </w:t>
      </w:r>
      <w:r>
        <w:rPr>
          <w:rFonts w:ascii="宋体" w:hAnsi="宋体" w:cs="宋体" w:eastAsia="宋体" w:hint="default"/>
          <w:sz w:val="18"/>
          <w:szCs w:val="18"/>
        </w:rPr>
        <w:t>日，本次非公开发行股票募集的资金已按</w:t>
      </w:r>
    </w:p>
    <w:p>
      <w:pPr>
        <w:spacing w:line="285" w:lineRule="auto" w:before="44"/>
        <w:ind w:left="597" w:right="1194" w:firstLine="0"/>
        <w:jc w:val="both"/>
        <w:rPr>
          <w:rFonts w:ascii="宋体" w:hAnsi="宋体" w:cs="宋体" w:eastAsia="宋体" w:hint="default"/>
          <w:sz w:val="18"/>
          <w:szCs w:val="18"/>
        </w:rPr>
      </w:pPr>
      <w:r>
        <w:rPr>
          <w:rFonts w:ascii="宋体" w:hAnsi="宋体" w:cs="宋体" w:eastAsia="宋体" w:hint="default"/>
          <w:sz w:val="18"/>
          <w:szCs w:val="18"/>
        </w:rPr>
        <w:t>规定全部用于偿还银行贷款项目和补充流动资金项目</w:t>
      </w:r>
      <w:r>
        <w:rPr>
          <w:rFonts w:ascii="宋体" w:hAnsi="宋体" w:cs="宋体" w:eastAsia="宋体" w:hint="default"/>
          <w:sz w:val="18"/>
          <w:szCs w:val="18"/>
        </w:rPr>
        <w:t>(</w:t>
      </w:r>
      <w:r>
        <w:rPr>
          <w:rFonts w:ascii="宋体" w:hAnsi="宋体" w:cs="宋体" w:eastAsia="宋体" w:hint="default"/>
          <w:sz w:val="18"/>
          <w:szCs w:val="18"/>
        </w:rPr>
        <w:t>包括补充子公司流动资金项目</w:t>
      </w:r>
      <w:r>
        <w:rPr>
          <w:rFonts w:ascii="宋体" w:hAnsi="宋体" w:cs="宋体" w:eastAsia="宋体" w:hint="default"/>
          <w:sz w:val="18"/>
          <w:szCs w:val="18"/>
        </w:rPr>
        <w:t>)</w:t>
      </w:r>
      <w:r>
        <w:rPr>
          <w:rFonts w:ascii="宋体" w:hAnsi="宋体" w:cs="宋体" w:eastAsia="宋体" w:hint="default"/>
          <w:sz w:val="18"/>
          <w:szCs w:val="18"/>
        </w:rPr>
        <w:t>。本公司已于</w:t>
      </w:r>
      <w:r>
        <w:rPr>
          <w:rFonts w:ascii="宋体" w:hAnsi="宋体" w:cs="宋体" w:eastAsia="宋体" w:hint="default"/>
          <w:spacing w:val="-30"/>
          <w:sz w:val="18"/>
          <w:szCs w:val="18"/>
        </w:rPr>
        <w:t> </w:t>
      </w:r>
      <w:r>
        <w:rPr>
          <w:rFonts w:ascii="宋体" w:hAnsi="宋体" w:cs="宋体" w:eastAsia="宋体" w:hint="default"/>
          <w:sz w:val="18"/>
          <w:szCs w:val="18"/>
        </w:rPr>
        <w:t>2014</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4</w:t>
      </w:r>
      <w:r>
        <w:rPr>
          <w:rFonts w:ascii="宋体" w:hAnsi="宋体" w:cs="宋体" w:eastAsia="宋体"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4</w:t>
      </w:r>
      <w:r>
        <w:rPr>
          <w:rFonts w:ascii="宋体" w:hAnsi="宋体" w:cs="宋体" w:eastAsia="宋体" w:hint="default"/>
          <w:spacing w:val="-29"/>
          <w:sz w:val="18"/>
          <w:szCs w:val="18"/>
        </w:rPr>
        <w:t> </w:t>
      </w:r>
      <w:r>
        <w:rPr>
          <w:rFonts w:ascii="宋体" w:hAnsi="宋体" w:cs="宋体" w:eastAsia="宋体" w:hint="default"/>
          <w:sz w:val="18"/>
          <w:szCs w:val="18"/>
        </w:rPr>
        <w:t>日将</w:t>
      </w:r>
      <w:r>
        <w:rPr>
          <w:rFonts w:ascii="宋体" w:hAnsi="宋体" w:cs="宋体" w:eastAsia="宋体" w:hint="default"/>
          <w:spacing w:val="-30"/>
          <w:sz w:val="18"/>
          <w:szCs w:val="18"/>
        </w:rPr>
        <w:t> </w:t>
      </w:r>
      <w:r>
        <w:rPr>
          <w:rFonts w:ascii="宋体" w:hAnsi="宋体" w:cs="宋体" w:eastAsia="宋体" w:hint="default"/>
          <w:sz w:val="18"/>
          <w:szCs w:val="18"/>
        </w:rPr>
        <w:t>5 </w:t>
      </w:r>
      <w:r>
        <w:rPr>
          <w:rFonts w:ascii="宋体" w:hAnsi="宋体" w:cs="宋体" w:eastAsia="宋体" w:hint="default"/>
          <w:sz w:val="18"/>
          <w:szCs w:val="18"/>
        </w:rPr>
        <w:t>个募集资金专项账户进行注销，并办妥了账户注销手续。</w:t>
      </w:r>
    </w:p>
    <w:p>
      <w:pPr>
        <w:spacing w:line="285" w:lineRule="auto" w:before="50"/>
        <w:ind w:left="597" w:right="1101" w:firstLine="360"/>
        <w:jc w:val="left"/>
        <w:rPr>
          <w:rFonts w:ascii="宋体" w:hAnsi="宋体" w:cs="宋体" w:eastAsia="宋体" w:hint="default"/>
          <w:sz w:val="18"/>
          <w:szCs w:val="18"/>
        </w:rPr>
      </w:pPr>
      <w:r>
        <w:rPr>
          <w:rFonts w:ascii="宋体" w:hAnsi="宋体" w:cs="宋体" w:eastAsia="宋体" w:hint="default"/>
          <w:sz w:val="18"/>
          <w:szCs w:val="18"/>
        </w:rPr>
        <w:t>（二）发行股份及支付现金购买资产并募集配套资金情况：经中国证券监督管理委员会《关于核准利欧集团股份有限 公司向詹佳等发行股份购买资产并募集配套资金的批复》</w:t>
      </w:r>
      <w:r>
        <w:rPr>
          <w:rFonts w:ascii="宋体" w:hAnsi="宋体" w:cs="宋体" w:eastAsia="宋体" w:hint="default"/>
          <w:sz w:val="18"/>
          <w:szCs w:val="18"/>
        </w:rPr>
        <w:t>(</w:t>
      </w:r>
      <w:r>
        <w:rPr>
          <w:rFonts w:ascii="宋体" w:hAnsi="宋体" w:cs="宋体" w:eastAsia="宋体" w:hint="default"/>
          <w:sz w:val="18"/>
          <w:szCs w:val="18"/>
        </w:rPr>
        <w:t>证监许可〔</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1227</w:t>
      </w:r>
      <w:r>
        <w:rPr>
          <w:rFonts w:ascii="宋体" w:hAnsi="宋体" w:cs="宋体" w:eastAsia="宋体" w:hint="default"/>
          <w:spacing w:val="-69"/>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核准，本公司以发行股份及支付现金 购买资产并募集配套资金的方式向上海氩氪广告有限公司原股东詹嘉、李翔、张璐、李劼，以及银色琥珀文化传播</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 </w:t>
      </w:r>
      <w:r>
        <w:rPr>
          <w:rFonts w:ascii="宋体" w:hAnsi="宋体" w:cs="宋体" w:eastAsia="宋体" w:hint="default"/>
          <w:sz w:val="18"/>
          <w:szCs w:val="18"/>
        </w:rPr>
        <w:t>有限公司原股东刘阳、王英杰、孙唯一、田斌定向增发人民币普通股</w:t>
      </w:r>
      <w:r>
        <w:rPr>
          <w:rFonts w:ascii="宋体" w:hAnsi="宋体" w:cs="宋体" w:eastAsia="宋体" w:hint="default"/>
          <w:sz w:val="18"/>
          <w:szCs w:val="18"/>
        </w:rPr>
        <w:t>(A</w:t>
      </w:r>
      <w:r>
        <w:rPr>
          <w:rFonts w:ascii="宋体" w:hAnsi="宋体" w:cs="宋体" w:eastAsia="宋体" w:hint="default"/>
          <w:spacing w:val="-51"/>
          <w:sz w:val="18"/>
          <w:szCs w:val="18"/>
        </w:rPr>
        <w:t> </w:t>
      </w:r>
      <w:r>
        <w:rPr>
          <w:rFonts w:ascii="宋体" w:hAnsi="宋体" w:cs="宋体" w:eastAsia="宋体" w:hint="default"/>
          <w:sz w:val="18"/>
          <w:szCs w:val="18"/>
        </w:rPr>
        <w:t>股</w:t>
      </w:r>
      <w:r>
        <w:rPr>
          <w:rFonts w:ascii="宋体" w:hAnsi="宋体" w:cs="宋体" w:eastAsia="宋体" w:hint="default"/>
          <w:sz w:val="18"/>
          <w:szCs w:val="18"/>
        </w:rPr>
        <w:t>)11,213,079</w:t>
      </w:r>
      <w:r>
        <w:rPr>
          <w:rFonts w:ascii="宋体" w:hAnsi="宋体" w:cs="宋体" w:eastAsia="宋体" w:hint="default"/>
          <w:spacing w:val="-51"/>
          <w:sz w:val="18"/>
          <w:szCs w:val="18"/>
        </w:rPr>
        <w:t> </w:t>
      </w:r>
      <w:r>
        <w:rPr>
          <w:rFonts w:ascii="宋体" w:hAnsi="宋体" w:cs="宋体" w:eastAsia="宋体" w:hint="default"/>
          <w:sz w:val="18"/>
          <w:szCs w:val="18"/>
        </w:rPr>
        <w:t>股，每股发行价格</w:t>
      </w:r>
      <w:r>
        <w:rPr>
          <w:rFonts w:ascii="宋体" w:hAnsi="宋体" w:cs="宋体" w:eastAsia="宋体" w:hint="default"/>
          <w:spacing w:val="-51"/>
          <w:sz w:val="18"/>
          <w:szCs w:val="18"/>
        </w:rPr>
        <w:t> </w:t>
      </w:r>
      <w:r>
        <w:rPr>
          <w:rFonts w:ascii="宋体" w:hAnsi="宋体" w:cs="宋体" w:eastAsia="宋体" w:hint="default"/>
          <w:sz w:val="18"/>
          <w:szCs w:val="18"/>
        </w:rPr>
        <w:t>18.77</w:t>
      </w:r>
      <w:r>
        <w:rPr>
          <w:rFonts w:ascii="宋体" w:hAnsi="宋体" w:cs="宋体" w:eastAsia="宋体" w:hint="default"/>
          <w:spacing w:val="-51"/>
          <w:sz w:val="18"/>
          <w:szCs w:val="18"/>
        </w:rPr>
        <w:t> </w:t>
      </w:r>
      <w:r>
        <w:rPr>
          <w:rFonts w:ascii="宋体" w:hAnsi="宋体" w:cs="宋体" w:eastAsia="宋体" w:hint="default"/>
          <w:sz w:val="18"/>
          <w:szCs w:val="18"/>
        </w:rPr>
        <w:t>元，分别 收购其所持上海氩氪和银色琥珀</w:t>
      </w:r>
      <w:r>
        <w:rPr>
          <w:rFonts w:ascii="宋体" w:hAnsi="宋体" w:cs="宋体" w:eastAsia="宋体" w:hint="default"/>
          <w:spacing w:val="-42"/>
          <w:sz w:val="18"/>
          <w:szCs w:val="18"/>
        </w:rPr>
        <w:t> </w:t>
      </w:r>
      <w:r>
        <w:rPr>
          <w:rFonts w:ascii="宋体" w:hAnsi="宋体" w:cs="宋体" w:eastAsia="宋体" w:hint="default"/>
          <w:sz w:val="18"/>
          <w:szCs w:val="18"/>
        </w:rPr>
        <w:t>50%</w:t>
      </w:r>
      <w:r>
        <w:rPr>
          <w:rFonts w:ascii="宋体" w:hAnsi="宋体" w:cs="宋体" w:eastAsia="宋体" w:hint="default"/>
          <w:sz w:val="18"/>
          <w:szCs w:val="18"/>
        </w:rPr>
        <w:t>的股权。同时公司分别以现金</w:t>
      </w:r>
      <w:r>
        <w:rPr>
          <w:rFonts w:ascii="宋体" w:hAnsi="宋体" w:cs="宋体" w:eastAsia="宋体" w:hint="default"/>
          <w:spacing w:val="-42"/>
          <w:sz w:val="18"/>
          <w:szCs w:val="18"/>
        </w:rPr>
        <w:t> </w:t>
      </w:r>
      <w:r>
        <w:rPr>
          <w:rFonts w:ascii="宋体" w:hAnsi="宋体" w:cs="宋体" w:eastAsia="宋体" w:hint="default"/>
          <w:sz w:val="18"/>
          <w:szCs w:val="18"/>
        </w:rPr>
        <w:t>11,296.95</w:t>
      </w:r>
      <w:r>
        <w:rPr>
          <w:rFonts w:ascii="宋体" w:hAnsi="宋体" w:cs="宋体" w:eastAsia="宋体" w:hint="default"/>
          <w:spacing w:val="-42"/>
          <w:sz w:val="18"/>
          <w:szCs w:val="18"/>
        </w:rPr>
        <w:t> </w:t>
      </w:r>
      <w:r>
        <w:rPr>
          <w:rFonts w:ascii="宋体" w:hAnsi="宋体" w:cs="宋体" w:eastAsia="宋体" w:hint="default"/>
          <w:sz w:val="18"/>
          <w:szCs w:val="18"/>
        </w:rPr>
        <w:t>万元和</w:t>
      </w:r>
      <w:r>
        <w:rPr>
          <w:rFonts w:ascii="宋体" w:hAnsi="宋体" w:cs="宋体" w:eastAsia="宋体" w:hint="default"/>
          <w:spacing w:val="-42"/>
          <w:sz w:val="18"/>
          <w:szCs w:val="18"/>
        </w:rPr>
        <w:t> </w:t>
      </w:r>
      <w:r>
        <w:rPr>
          <w:rFonts w:ascii="宋体" w:hAnsi="宋体" w:cs="宋体" w:eastAsia="宋体" w:hint="default"/>
          <w:sz w:val="18"/>
          <w:szCs w:val="18"/>
        </w:rPr>
        <w:t>9,750</w:t>
      </w:r>
      <w:r>
        <w:rPr>
          <w:rFonts w:ascii="宋体" w:hAnsi="宋体" w:cs="宋体" w:eastAsia="宋体" w:hint="default"/>
          <w:spacing w:val="-42"/>
          <w:sz w:val="18"/>
          <w:szCs w:val="18"/>
        </w:rPr>
        <w:t> </w:t>
      </w:r>
      <w:r>
        <w:rPr>
          <w:rFonts w:ascii="宋体" w:hAnsi="宋体" w:cs="宋体" w:eastAsia="宋体" w:hint="default"/>
          <w:sz w:val="18"/>
          <w:szCs w:val="18"/>
        </w:rPr>
        <w:t>万元为对价收购上海氩氪和琥 珀传播原股东所持上海氩氪和琥珀传播</w:t>
      </w:r>
      <w:r>
        <w:rPr>
          <w:rFonts w:ascii="宋体" w:hAnsi="宋体" w:cs="宋体" w:eastAsia="宋体" w:hint="default"/>
          <w:spacing w:val="-28"/>
          <w:sz w:val="18"/>
          <w:szCs w:val="18"/>
        </w:rPr>
        <w:t> </w:t>
      </w:r>
      <w:r>
        <w:rPr>
          <w:rFonts w:ascii="宋体" w:hAnsi="宋体" w:cs="宋体" w:eastAsia="宋体" w:hint="default"/>
          <w:sz w:val="18"/>
          <w:szCs w:val="18"/>
        </w:rPr>
        <w:t>50%</w:t>
      </w:r>
      <w:r>
        <w:rPr>
          <w:rFonts w:ascii="宋体" w:hAnsi="宋体" w:cs="宋体" w:eastAsia="宋体" w:hint="default"/>
          <w:sz w:val="18"/>
          <w:szCs w:val="18"/>
        </w:rPr>
        <w:t>的股权；另外，公司向自然人郑晓东、段永玲、郭海三名特定投资者定向增发 人民币普通股</w:t>
      </w:r>
      <w:r>
        <w:rPr>
          <w:rFonts w:ascii="宋体" w:hAnsi="宋体" w:cs="宋体" w:eastAsia="宋体" w:hint="default"/>
          <w:sz w:val="18"/>
          <w:szCs w:val="18"/>
        </w:rPr>
        <w:t>(A</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7,475,380</w:t>
      </w:r>
      <w:r>
        <w:rPr>
          <w:rFonts w:ascii="宋体" w:hAnsi="宋体" w:cs="宋体" w:eastAsia="宋体" w:hint="default"/>
          <w:spacing w:val="-45"/>
          <w:sz w:val="18"/>
          <w:szCs w:val="18"/>
        </w:rPr>
        <w:t> </w:t>
      </w:r>
      <w:r>
        <w:rPr>
          <w:rFonts w:ascii="宋体" w:hAnsi="宋体" w:cs="宋体" w:eastAsia="宋体" w:hint="default"/>
          <w:sz w:val="18"/>
          <w:szCs w:val="18"/>
        </w:rPr>
        <w:t>股，每股发行价格</w:t>
      </w:r>
      <w:r>
        <w:rPr>
          <w:rFonts w:ascii="宋体" w:hAnsi="宋体" w:cs="宋体" w:eastAsia="宋体" w:hint="default"/>
          <w:spacing w:val="-44"/>
          <w:sz w:val="18"/>
          <w:szCs w:val="18"/>
        </w:rPr>
        <w:t> </w:t>
      </w:r>
      <w:r>
        <w:rPr>
          <w:rFonts w:ascii="宋体" w:hAnsi="宋体" w:cs="宋体" w:eastAsia="宋体" w:hint="default"/>
          <w:sz w:val="18"/>
          <w:szCs w:val="18"/>
        </w:rPr>
        <w:t>18.77</w:t>
      </w:r>
      <w:r>
        <w:rPr>
          <w:rFonts w:ascii="宋体" w:hAnsi="宋体" w:cs="宋体" w:eastAsia="宋体" w:hint="default"/>
          <w:spacing w:val="-45"/>
          <w:sz w:val="18"/>
          <w:szCs w:val="18"/>
        </w:rPr>
        <w:t> </w:t>
      </w:r>
      <w:r>
        <w:rPr>
          <w:rFonts w:ascii="宋体" w:hAnsi="宋体" w:cs="宋体" w:eastAsia="宋体" w:hint="default"/>
          <w:sz w:val="18"/>
          <w:szCs w:val="18"/>
        </w:rPr>
        <w:t>元，募集配套资金</w:t>
      </w:r>
      <w:r>
        <w:rPr>
          <w:rFonts w:ascii="宋体" w:hAnsi="宋体" w:cs="宋体" w:eastAsia="宋体" w:hint="default"/>
          <w:spacing w:val="-45"/>
          <w:sz w:val="18"/>
          <w:szCs w:val="18"/>
        </w:rPr>
        <w:t> </w:t>
      </w:r>
      <w:r>
        <w:rPr>
          <w:rFonts w:ascii="宋体" w:hAnsi="宋体" w:cs="宋体" w:eastAsia="宋体" w:hint="default"/>
          <w:sz w:val="18"/>
          <w:szCs w:val="18"/>
        </w:rPr>
        <w:t>140,312,882.60</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日，上 海氩氪、琥珀传播上述股东以其所持有的上海氩氪、琥珀传播</w:t>
      </w:r>
      <w:r>
        <w:rPr>
          <w:rFonts w:ascii="宋体" w:hAnsi="宋体" w:cs="宋体" w:eastAsia="宋体" w:hint="default"/>
          <w:spacing w:val="-53"/>
          <w:sz w:val="18"/>
          <w:szCs w:val="18"/>
        </w:rPr>
        <w:t> </w:t>
      </w:r>
      <w:r>
        <w:rPr>
          <w:rFonts w:ascii="宋体" w:hAnsi="宋体" w:cs="宋体" w:eastAsia="宋体" w:hint="default"/>
          <w:sz w:val="18"/>
          <w:szCs w:val="18"/>
        </w:rPr>
        <w:t>50%</w:t>
      </w:r>
      <w:r>
        <w:rPr>
          <w:rFonts w:ascii="宋体" w:hAnsi="宋体" w:cs="宋体" w:eastAsia="宋体" w:hint="default"/>
          <w:sz w:val="18"/>
          <w:szCs w:val="18"/>
        </w:rPr>
        <w:t>股权作价</w:t>
      </w:r>
      <w:r>
        <w:rPr>
          <w:rFonts w:ascii="宋体" w:hAnsi="宋体" w:cs="宋体" w:eastAsia="宋体" w:hint="default"/>
          <w:spacing w:val="-53"/>
          <w:sz w:val="18"/>
          <w:szCs w:val="18"/>
        </w:rPr>
        <w:t> </w:t>
      </w:r>
      <w:r>
        <w:rPr>
          <w:rFonts w:ascii="宋体" w:hAnsi="宋体" w:cs="宋体" w:eastAsia="宋体" w:hint="default"/>
          <w:sz w:val="18"/>
          <w:szCs w:val="18"/>
        </w:rPr>
        <w:t>210,469,492.83</w:t>
      </w:r>
      <w:r>
        <w:rPr>
          <w:rFonts w:ascii="宋体" w:hAnsi="宋体" w:cs="宋体" w:eastAsia="宋体" w:hint="default"/>
          <w:spacing w:val="-53"/>
          <w:sz w:val="18"/>
          <w:szCs w:val="18"/>
        </w:rPr>
        <w:t> </w:t>
      </w:r>
      <w:r>
        <w:rPr>
          <w:rFonts w:ascii="宋体" w:hAnsi="宋体" w:cs="宋体" w:eastAsia="宋体" w:hint="default"/>
          <w:spacing w:val="-3"/>
          <w:sz w:val="18"/>
          <w:szCs w:val="18"/>
        </w:rPr>
        <w:t>元及郑晓东、段永玲、郭海投</w:t>
      </w:r>
      <w:r>
        <w:rPr>
          <w:rFonts w:ascii="宋体" w:hAnsi="宋体" w:cs="宋体" w:eastAsia="宋体" w:hint="default"/>
          <w:sz w:val="18"/>
          <w:szCs w:val="18"/>
        </w:rPr>
        <w:t> 入的货币资金人民币</w:t>
      </w:r>
      <w:r>
        <w:rPr>
          <w:rFonts w:ascii="宋体" w:hAnsi="宋体" w:cs="宋体" w:eastAsia="宋体" w:hint="default"/>
          <w:spacing w:val="-46"/>
          <w:sz w:val="18"/>
          <w:szCs w:val="18"/>
        </w:rPr>
        <w:t> </w:t>
      </w:r>
      <w:r>
        <w:rPr>
          <w:rFonts w:ascii="宋体" w:hAnsi="宋体" w:cs="宋体" w:eastAsia="宋体" w:hint="default"/>
          <w:sz w:val="18"/>
          <w:szCs w:val="18"/>
        </w:rPr>
        <w:t>140,312,882.60</w:t>
      </w:r>
      <w:r>
        <w:rPr>
          <w:rFonts w:ascii="宋体" w:hAnsi="宋体" w:cs="宋体" w:eastAsia="宋体" w:hint="default"/>
          <w:spacing w:val="-46"/>
          <w:sz w:val="18"/>
          <w:szCs w:val="18"/>
        </w:rPr>
        <w:t> </w:t>
      </w:r>
      <w:r>
        <w:rPr>
          <w:rFonts w:ascii="宋体" w:hAnsi="宋体" w:cs="宋体" w:eastAsia="宋体" w:hint="default"/>
          <w:sz w:val="18"/>
          <w:szCs w:val="18"/>
        </w:rPr>
        <w:t>元，合计认购本公司定向增发人民币普通股</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 18,688,459</w:t>
      </w:r>
      <w:r>
        <w:rPr>
          <w:rFonts w:ascii="宋体" w:hAnsi="宋体" w:cs="宋体" w:eastAsia="宋体" w:hint="default"/>
          <w:spacing w:val="-46"/>
          <w:sz w:val="18"/>
          <w:szCs w:val="18"/>
        </w:rPr>
        <w:t> </w:t>
      </w:r>
      <w:r>
        <w:rPr>
          <w:rFonts w:ascii="宋体" w:hAnsi="宋体" w:cs="宋体" w:eastAsia="宋体" w:hint="default"/>
          <w:sz w:val="18"/>
          <w:szCs w:val="18"/>
        </w:rPr>
        <w:t>股。上述上海氩氪、 </w:t>
      </w:r>
      <w:r>
        <w:rPr>
          <w:rFonts w:ascii="宋体" w:hAnsi="宋体" w:cs="宋体" w:eastAsia="宋体" w:hint="default"/>
          <w:spacing w:val="-3"/>
          <w:sz w:val="18"/>
          <w:szCs w:val="18"/>
        </w:rPr>
        <w:t>琥珀传播股权已按照法定方式转让给本公司；同日，主承销商中国民族证券有限责任公司已将特定投资者郑晓东、段永玲、</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郭海投入的募集配套资金</w:t>
      </w:r>
      <w:r>
        <w:rPr>
          <w:rFonts w:ascii="宋体" w:hAnsi="宋体" w:cs="宋体" w:eastAsia="宋体" w:hint="default"/>
          <w:spacing w:val="-24"/>
          <w:sz w:val="18"/>
          <w:szCs w:val="18"/>
        </w:rPr>
        <w:t> </w:t>
      </w:r>
      <w:r>
        <w:rPr>
          <w:rFonts w:ascii="宋体" w:hAnsi="宋体" w:cs="宋体" w:eastAsia="宋体" w:hint="default"/>
          <w:sz w:val="18"/>
          <w:szCs w:val="18"/>
        </w:rPr>
        <w:t>140,312,882.60</w:t>
      </w:r>
      <w:r>
        <w:rPr>
          <w:rFonts w:ascii="宋体" w:hAnsi="宋体" w:cs="宋体" w:eastAsia="宋体" w:hint="default"/>
          <w:spacing w:val="-24"/>
          <w:sz w:val="18"/>
          <w:szCs w:val="18"/>
        </w:rPr>
        <w:t> </w:t>
      </w:r>
      <w:r>
        <w:rPr>
          <w:rFonts w:ascii="宋体" w:hAnsi="宋体" w:cs="宋体" w:eastAsia="宋体" w:hint="default"/>
          <w:sz w:val="18"/>
          <w:szCs w:val="18"/>
        </w:rPr>
        <w:t>元，坐扣财务顾问费</w:t>
      </w:r>
      <w:r>
        <w:rPr>
          <w:rFonts w:ascii="宋体" w:hAnsi="宋体" w:cs="宋体" w:eastAsia="宋体" w:hint="default"/>
          <w:spacing w:val="-24"/>
          <w:sz w:val="18"/>
          <w:szCs w:val="18"/>
        </w:rPr>
        <w:t> </w:t>
      </w:r>
      <w:r>
        <w:rPr>
          <w:rFonts w:ascii="宋体" w:hAnsi="宋体" w:cs="宋体" w:eastAsia="宋体" w:hint="default"/>
          <w:sz w:val="18"/>
          <w:szCs w:val="18"/>
        </w:rPr>
        <w:t>12,000,000.00 </w:t>
      </w:r>
      <w:r>
        <w:rPr>
          <w:rFonts w:ascii="宋体" w:hAnsi="宋体" w:cs="宋体" w:eastAsia="宋体" w:hint="default"/>
          <w:sz w:val="18"/>
          <w:szCs w:val="18"/>
        </w:rPr>
        <w:t>元后的募集金额</w:t>
      </w:r>
      <w:r>
        <w:rPr>
          <w:rFonts w:ascii="宋体" w:hAnsi="宋体" w:cs="宋体" w:eastAsia="宋体" w:hint="default"/>
          <w:spacing w:val="-24"/>
          <w:sz w:val="18"/>
          <w:szCs w:val="18"/>
        </w:rPr>
        <w:t> </w:t>
      </w:r>
      <w:r>
        <w:rPr>
          <w:rFonts w:ascii="宋体" w:hAnsi="宋体" w:cs="宋体" w:eastAsia="宋体" w:hint="default"/>
          <w:sz w:val="18"/>
          <w:szCs w:val="18"/>
        </w:rPr>
        <w:t>128,312,882.60</w:t>
      </w:r>
      <w:r>
        <w:rPr>
          <w:rFonts w:ascii="宋体" w:hAnsi="宋体" w:cs="宋体" w:eastAsia="宋体" w:hint="default"/>
          <w:spacing w:val="-24"/>
          <w:sz w:val="18"/>
          <w:szCs w:val="18"/>
        </w:rPr>
        <w:t> </w:t>
      </w:r>
      <w:r>
        <w:rPr>
          <w:rFonts w:ascii="宋体" w:hAnsi="宋体" w:cs="宋体" w:eastAsia="宋体" w:hint="default"/>
          <w:sz w:val="18"/>
          <w:szCs w:val="18"/>
        </w:rPr>
        <w:t>元，于</w:t>
      </w:r>
    </w:p>
    <w:p>
      <w:pPr>
        <w:spacing w:before="10"/>
        <w:ind w:left="597" w:right="0" w:firstLine="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17"/>
          <w:sz w:val="18"/>
          <w:szCs w:val="18"/>
        </w:rPr>
        <w:t> </w:t>
      </w:r>
      <w:r>
        <w:rPr>
          <w:rFonts w:ascii="宋体" w:hAnsi="宋体" w:cs="宋体" w:eastAsia="宋体" w:hint="default"/>
          <w:sz w:val="18"/>
          <w:szCs w:val="18"/>
        </w:rPr>
        <w:t>12</w:t>
      </w:r>
      <w:r>
        <w:rPr>
          <w:rFonts w:ascii="宋体" w:hAnsi="宋体" w:cs="宋体" w:eastAsia="宋体"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17"/>
          <w:sz w:val="18"/>
          <w:szCs w:val="18"/>
        </w:rPr>
        <w:t> </w:t>
      </w:r>
      <w:r>
        <w:rPr>
          <w:rFonts w:ascii="宋体" w:hAnsi="宋体" w:cs="宋体" w:eastAsia="宋体" w:hint="default"/>
          <w:sz w:val="18"/>
          <w:szCs w:val="18"/>
        </w:rPr>
        <w:t>19</w:t>
      </w:r>
      <w:r>
        <w:rPr>
          <w:rFonts w:ascii="宋体" w:hAnsi="宋体" w:cs="宋体" w:eastAsia="宋体" w:hint="default"/>
          <w:spacing w:val="-54"/>
          <w:sz w:val="18"/>
          <w:szCs w:val="18"/>
        </w:rPr>
        <w:t> </w:t>
      </w:r>
      <w:r>
        <w:rPr>
          <w:rFonts w:ascii="宋体" w:hAnsi="宋体" w:cs="宋体" w:eastAsia="宋体" w:hint="default"/>
          <w:sz w:val="18"/>
          <w:szCs w:val="18"/>
        </w:rPr>
        <w:t>日汇入本公司募集资金监管账户。另扣除承销费、审计费、法定信息披露等其他发行费用</w:t>
      </w:r>
      <w:r>
        <w:rPr>
          <w:rFonts w:ascii="宋体" w:hAnsi="宋体" w:cs="宋体" w:eastAsia="宋体" w:hint="default"/>
          <w:spacing w:val="-54"/>
          <w:sz w:val="18"/>
          <w:szCs w:val="18"/>
        </w:rPr>
        <w:t> </w:t>
      </w:r>
      <w:r>
        <w:rPr>
          <w:rFonts w:ascii="宋体" w:hAnsi="宋体" w:cs="宋体" w:eastAsia="宋体" w:hint="default"/>
          <w:sz w:val="18"/>
          <w:szCs w:val="18"/>
        </w:rPr>
        <w:t>6,216,801.49</w:t>
      </w:r>
    </w:p>
    <w:p>
      <w:pPr>
        <w:spacing w:line="285" w:lineRule="auto" w:before="45"/>
        <w:ind w:left="597" w:right="1193" w:firstLine="0"/>
        <w:jc w:val="both"/>
        <w:rPr>
          <w:rFonts w:ascii="宋体" w:hAnsi="宋体" w:cs="宋体" w:eastAsia="宋体" w:hint="default"/>
          <w:sz w:val="18"/>
          <w:szCs w:val="18"/>
        </w:rPr>
      </w:pPr>
      <w:r>
        <w:rPr>
          <w:rFonts w:ascii="宋体" w:hAnsi="宋体" w:cs="宋体" w:eastAsia="宋体" w:hint="default"/>
          <w:sz w:val="18"/>
          <w:szCs w:val="18"/>
        </w:rPr>
        <w:t>元后，公司本次合计募集配套资金净额 </w:t>
      </w:r>
      <w:r>
        <w:rPr>
          <w:rFonts w:ascii="宋体" w:hAnsi="宋体" w:cs="宋体" w:eastAsia="宋体" w:hint="default"/>
          <w:sz w:val="18"/>
          <w:szCs w:val="18"/>
        </w:rPr>
        <w:t>122,096,081.11</w:t>
      </w:r>
      <w:r>
        <w:rPr>
          <w:rFonts w:ascii="宋体" w:hAnsi="宋体" w:cs="宋体" w:eastAsia="宋体" w:hint="default"/>
          <w:spacing w:val="-28"/>
          <w:sz w:val="18"/>
          <w:szCs w:val="18"/>
        </w:rPr>
        <w:t> </w:t>
      </w:r>
      <w:r>
        <w:rPr>
          <w:rFonts w:ascii="宋体" w:hAnsi="宋体" w:cs="宋体" w:eastAsia="宋体" w:hint="default"/>
          <w:sz w:val="18"/>
          <w:szCs w:val="18"/>
        </w:rPr>
        <w:t>元。上述发行股份及支付现金购买资产并募集配套资金到位情况 业经天健会计师事务所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w:t>
      </w:r>
      <w:r>
        <w:rPr>
          <w:rFonts w:ascii="宋体" w:hAnsi="宋体" w:cs="宋体" w:eastAsia="宋体" w:hint="default"/>
          <w:sz w:val="18"/>
          <w:szCs w:val="18"/>
        </w:rPr>
        <w:t>审验，并由其出具《验资报告》</w:t>
      </w:r>
      <w:r>
        <w:rPr>
          <w:rFonts w:ascii="宋体" w:hAnsi="宋体" w:cs="宋体" w:eastAsia="宋体" w:hint="default"/>
          <w:sz w:val="18"/>
          <w:szCs w:val="18"/>
        </w:rPr>
        <w:t>(</w:t>
      </w:r>
      <w:r>
        <w:rPr>
          <w:rFonts w:ascii="宋体" w:hAnsi="宋体" w:cs="宋体" w:eastAsia="宋体" w:hint="default"/>
          <w:sz w:val="18"/>
          <w:szCs w:val="18"/>
        </w:rPr>
        <w:t>天健验〔</w:t>
      </w:r>
      <w:r>
        <w:rPr>
          <w:rFonts w:ascii="宋体" w:hAnsi="宋体" w:cs="宋体" w:eastAsia="宋体" w:hint="default"/>
          <w:sz w:val="18"/>
          <w:szCs w:val="18"/>
        </w:rPr>
        <w:t>2014</w:t>
      </w:r>
      <w:r>
        <w:rPr>
          <w:rFonts w:ascii="宋体" w:hAnsi="宋体" w:cs="宋体" w:eastAsia="宋体" w:hint="default"/>
          <w:sz w:val="18"/>
          <w:szCs w:val="18"/>
        </w:rPr>
        <w:t>〕</w:t>
      </w:r>
      <w:r>
        <w:rPr>
          <w:rFonts w:ascii="宋体" w:hAnsi="宋体" w:cs="宋体" w:eastAsia="宋体" w:hint="default"/>
          <w:sz w:val="18"/>
          <w:szCs w:val="18"/>
        </w:rPr>
        <w:t>275</w:t>
      </w:r>
      <w:r>
        <w:rPr>
          <w:rFonts w:ascii="宋体" w:hAnsi="宋体" w:cs="宋体" w:eastAsia="宋体" w:hint="default"/>
          <w:spacing w:val="-51"/>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23</w:t>
      </w:r>
      <w:r>
        <w:rPr>
          <w:rFonts w:ascii="宋体" w:hAnsi="宋体" w:cs="宋体" w:eastAsia="宋体" w:hint="default"/>
          <w:spacing w:val="-51"/>
          <w:sz w:val="18"/>
          <w:szCs w:val="18"/>
        </w:rPr>
        <w:t> </w:t>
      </w:r>
      <w:r>
        <w:rPr>
          <w:rFonts w:ascii="宋体" w:hAnsi="宋体" w:cs="宋体" w:eastAsia="宋体" w:hint="default"/>
          <w:sz w:val="18"/>
          <w:szCs w:val="18"/>
        </w:rPr>
        <w:t>日，公 司向上海氩氪、琥珀传播原股东和向三名特定投资者非公开发行的 </w:t>
      </w:r>
      <w:r>
        <w:rPr>
          <w:rFonts w:ascii="宋体" w:hAnsi="宋体" w:cs="宋体" w:eastAsia="宋体" w:hint="default"/>
          <w:sz w:val="18"/>
          <w:szCs w:val="18"/>
        </w:rPr>
        <w:t>18,688,459</w:t>
      </w:r>
      <w:r>
        <w:rPr>
          <w:rFonts w:ascii="宋体" w:hAnsi="宋体" w:cs="宋体" w:eastAsia="宋体" w:hint="default"/>
          <w:spacing w:val="-29"/>
          <w:sz w:val="18"/>
          <w:szCs w:val="18"/>
        </w:rPr>
        <w:t> </w:t>
      </w:r>
      <w:r>
        <w:rPr>
          <w:rFonts w:ascii="宋体" w:hAnsi="宋体" w:cs="宋体" w:eastAsia="宋体" w:hint="default"/>
          <w:sz w:val="18"/>
          <w:szCs w:val="18"/>
        </w:rPr>
        <w:t>股新增股份已在中国证券登记结算有限责</w:t>
      </w:r>
    </w:p>
    <w:p>
      <w:pPr>
        <w:spacing w:before="10"/>
        <w:ind w:left="597" w:right="0" w:firstLine="0"/>
        <w:jc w:val="both"/>
        <w:rPr>
          <w:rFonts w:ascii="宋体" w:hAnsi="宋体" w:cs="宋体" w:eastAsia="宋体" w:hint="default"/>
          <w:sz w:val="18"/>
          <w:szCs w:val="18"/>
        </w:rPr>
      </w:pPr>
      <w:r>
        <w:rPr>
          <w:rFonts w:ascii="宋体" w:hAnsi="宋体" w:cs="宋体" w:eastAsia="宋体" w:hint="default"/>
          <w:sz w:val="18"/>
          <w:szCs w:val="18"/>
        </w:rPr>
        <w:t>任公司深圳分公司办妥登记存管手续，并于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日在深圳证券交易所上市。</w:t>
      </w:r>
    </w:p>
    <w:p>
      <w:pPr>
        <w:spacing w:line="240" w:lineRule="auto" w:before="2"/>
        <w:rPr>
          <w:rFonts w:ascii="宋体" w:hAnsi="宋体" w:cs="宋体" w:eastAsia="宋体" w:hint="default"/>
          <w:sz w:val="27"/>
          <w:szCs w:val="27"/>
        </w:rPr>
      </w:pPr>
    </w:p>
    <w:p>
      <w:pPr>
        <w:pStyle w:val="BodyText"/>
        <w:spacing w:line="357" w:lineRule="auto" w:before="35"/>
        <w:ind w:left="1197" w:right="1793"/>
        <w:jc w:val="both"/>
      </w:pPr>
      <w:bookmarkStart w:name="【注】：募集资金总额包含2013年非公开发行股票项目募集资金净额和2014年发行" w:id="37"/>
      <w:bookmarkEnd w:id="37"/>
      <w:r>
        <w:rPr/>
      </w:r>
      <w:r>
        <w:rPr>
          <w:spacing w:val="-8"/>
        </w:rPr>
        <w:t>【注】：募集资金总额包含</w:t>
      </w:r>
      <w:r>
        <w:rPr>
          <w:spacing w:val="-53"/>
        </w:rPr>
        <w:t> </w:t>
      </w:r>
      <w:r>
        <w:rPr>
          <w:rFonts w:ascii="宋体" w:hAnsi="宋体" w:cs="宋体" w:eastAsia="宋体" w:hint="default"/>
        </w:rPr>
        <w:t>2013</w:t>
      </w:r>
      <w:r>
        <w:rPr>
          <w:rFonts w:ascii="宋体" w:hAnsi="宋体" w:cs="宋体" w:eastAsia="宋体" w:hint="default"/>
          <w:spacing w:val="-53"/>
        </w:rPr>
        <w:t> </w:t>
      </w:r>
      <w:r>
        <w:rPr/>
        <w:t>年非公开发行股票项目募集资金净额和</w:t>
      </w:r>
      <w:r>
        <w:rPr>
          <w:spacing w:val="-52"/>
        </w:rPr>
        <w:t> </w:t>
      </w:r>
      <w:r>
        <w:rPr>
          <w:rFonts w:ascii="宋体" w:hAnsi="宋体" w:cs="宋体" w:eastAsia="宋体" w:hint="default"/>
        </w:rPr>
        <w:t>2014</w:t>
      </w:r>
      <w:r>
        <w:rPr>
          <w:rFonts w:ascii="宋体" w:hAnsi="宋体" w:cs="宋体" w:eastAsia="宋体" w:hint="default"/>
          <w:spacing w:val="-53"/>
        </w:rPr>
        <w:t> </w:t>
      </w:r>
      <w:r>
        <w:rPr/>
        <w:t>年发行股份及 </w:t>
      </w:r>
      <w:r>
        <w:rPr>
          <w:spacing w:val="-3"/>
        </w:rPr>
        <w:t>支付现金购买资产并募集配套资金项目募集配套资金金额，不包含募集资金产生的银行存款</w:t>
      </w:r>
      <w:r>
        <w:rPr>
          <w:spacing w:val="-73"/>
        </w:rPr>
        <w:t> </w:t>
      </w:r>
      <w:r>
        <w:rPr>
          <w:spacing w:val="-73"/>
        </w:rPr>
      </w:r>
      <w:r>
        <w:rPr/>
        <w:t>利息。更详细的内容见公司《</w:t>
      </w:r>
      <w:r>
        <w:rPr>
          <w:rFonts w:ascii="宋体" w:hAnsi="宋体" w:cs="宋体" w:eastAsia="宋体" w:hint="default"/>
        </w:rPr>
        <w:t>2014</w:t>
      </w:r>
      <w:r>
        <w:rPr>
          <w:rFonts w:ascii="宋体" w:hAnsi="宋体" w:cs="宋体" w:eastAsia="宋体" w:hint="default"/>
          <w:spacing w:val="-52"/>
        </w:rPr>
        <w:t> </w:t>
      </w:r>
      <w:r>
        <w:rPr/>
        <w:t>年度募集资金年度存放与使用情况的专项报告》。</w:t>
      </w:r>
    </w:p>
    <w:p>
      <w:pPr>
        <w:spacing w:line="240" w:lineRule="auto" w:before="3"/>
        <w:rPr>
          <w:rFonts w:ascii="宋体" w:hAnsi="宋体" w:cs="宋体" w:eastAsia="宋体" w:hint="default"/>
          <w:sz w:val="25"/>
          <w:szCs w:val="25"/>
        </w:rPr>
      </w:pPr>
    </w:p>
    <w:p>
      <w:pPr>
        <w:pStyle w:val="Heading3"/>
        <w:spacing w:line="240" w:lineRule="auto"/>
        <w:ind w:left="1197" w:right="0"/>
        <w:jc w:val="both"/>
        <w:rPr>
          <w:b w:val="0"/>
          <w:bCs w:val="0"/>
        </w:rPr>
      </w:pPr>
      <w:bookmarkStart w:name="（2）募集资金承诺项目情况" w:id="38"/>
      <w:bookmarkEnd w:id="38"/>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spacing w:before="0"/>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766"/>
        <w:gridCol w:w="779"/>
        <w:gridCol w:w="1012"/>
        <w:gridCol w:w="1008"/>
        <w:gridCol w:w="1007"/>
        <w:gridCol w:w="1012"/>
        <w:gridCol w:w="776"/>
        <w:gridCol w:w="777"/>
        <w:gridCol w:w="788"/>
        <w:gridCol w:w="776"/>
        <w:gridCol w:w="780"/>
      </w:tblGrid>
      <w:tr>
        <w:trPr>
          <w:trHeight w:val="1024"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9" w:right="65"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6"/>
              <w:ind w:left="27"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 w:right="48"/>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3" w:right="48"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auto" w:before="139"/>
              <w:ind w:left="47" w:right="5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5"/>
              <w:ind w:left="20"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10"/>
              <w:ind w:left="146" w:right="0"/>
              <w:jc w:val="left"/>
              <w:rPr>
                <w:rFonts w:ascii="Times New Roman" w:hAnsi="Times New Roman" w:cs="Times New Roman" w:eastAsia="Times New Roman" w:hint="default"/>
                <w:sz w:val="18"/>
                <w:szCs w:val="18"/>
              </w:rPr>
            </w:pPr>
            <w:r>
              <w:rPr>
                <w:rFonts w:ascii="Times New Roman"/>
                <w:sz w:val="18"/>
              </w:rPr>
              <w:t>(2)/(1)</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4" w:right="20" w:hanging="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28" w:right="28"/>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3" w:hRule="exact"/>
        </w:trPr>
        <w:tc>
          <w:tcPr>
            <w:tcW w:w="1048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324"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10,000.00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10,000.00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sz w:val="18"/>
              </w:rPr>
              <w:t>10,000.00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100%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sz w:val="18"/>
              </w:rPr>
              <w:t>30,317.156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30,317.156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7"/>
              <w:jc w:val="right"/>
              <w:rPr>
                <w:rFonts w:ascii="宋体" w:hAnsi="宋体" w:cs="宋体" w:eastAsia="宋体" w:hint="default"/>
                <w:sz w:val="18"/>
                <w:szCs w:val="18"/>
              </w:rPr>
            </w:pPr>
            <w:r>
              <w:rPr>
                <w:rFonts w:ascii="宋体"/>
                <w:sz w:val="18"/>
              </w:rPr>
              <w:t>17,517.156</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 w:right="0"/>
              <w:jc w:val="left"/>
              <w:rPr>
                <w:rFonts w:ascii="宋体" w:hAnsi="宋体" w:cs="宋体" w:eastAsia="宋体" w:hint="default"/>
                <w:sz w:val="18"/>
                <w:szCs w:val="18"/>
              </w:rPr>
            </w:pPr>
            <w:r>
              <w:rPr>
                <w:rFonts w:ascii="宋体"/>
                <w:sz w:val="18"/>
              </w:rPr>
              <w:t>30,317.156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sz w:val="18"/>
              </w:rPr>
              <w:t>100%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1"/>
              <w:jc w:val="both"/>
              <w:rPr>
                <w:rFonts w:ascii="宋体" w:hAnsi="宋体" w:cs="宋体" w:eastAsia="宋体" w:hint="default"/>
                <w:sz w:val="18"/>
                <w:szCs w:val="18"/>
              </w:rPr>
            </w:pPr>
            <w:r>
              <w:rPr>
                <w:rFonts w:ascii="宋体" w:hAnsi="宋体" w:cs="宋体" w:eastAsia="宋体" w:hint="default"/>
                <w:sz w:val="18"/>
                <w:szCs w:val="18"/>
              </w:rPr>
              <w:t>支付交易中的现金对 价及本次交易税费等 相关费用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z w:val="18"/>
              </w:rPr>
              <w:t>14,031.288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0"/>
              <w:jc w:val="center"/>
              <w:rPr>
                <w:rFonts w:ascii="宋体" w:hAnsi="宋体" w:cs="宋体" w:eastAsia="宋体" w:hint="default"/>
                <w:sz w:val="18"/>
                <w:szCs w:val="18"/>
              </w:rPr>
            </w:pPr>
            <w:r>
              <w:rPr>
                <w:rFonts w:ascii="宋体"/>
                <w:sz w:val="18"/>
              </w:rPr>
              <w:t>14,031.288</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18"/>
                <w:szCs w:val="18"/>
              </w:rPr>
            </w:pPr>
            <w:r>
              <w:rPr>
                <w:rFonts w:ascii="宋体"/>
                <w:sz w:val="18"/>
              </w:rPr>
              <w:t>14,031.288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sz w:val="18"/>
              </w:rPr>
              <w:t>14,031.288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100%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sz w:val="18"/>
              </w:rPr>
              <w:t>--</w:t>
            </w:r>
          </w:p>
        </w:tc>
        <w:tc>
          <w:tcPr>
            <w:tcW w:w="10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92"/>
              <w:jc w:val="right"/>
              <w:rPr>
                <w:rFonts w:ascii="宋体" w:hAnsi="宋体" w:cs="宋体" w:eastAsia="宋体" w:hint="default"/>
                <w:sz w:val="18"/>
                <w:szCs w:val="18"/>
              </w:rPr>
            </w:pPr>
            <w:r>
              <w:rPr>
                <w:rFonts w:ascii="宋体"/>
                <w:sz w:val="18"/>
              </w:rPr>
              <w:t>54,348.44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54,348.44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1"/>
              <w:jc w:val="right"/>
              <w:rPr>
                <w:rFonts w:ascii="宋体" w:hAnsi="宋体" w:cs="宋体" w:eastAsia="宋体" w:hint="default"/>
                <w:sz w:val="18"/>
                <w:szCs w:val="18"/>
              </w:rPr>
            </w:pPr>
            <w:r>
              <w:rPr>
                <w:rFonts w:ascii="宋体"/>
                <w:sz w:val="18"/>
              </w:rPr>
              <w:t>31,548.44</w:t>
            </w:r>
          </w:p>
        </w:tc>
        <w:tc>
          <w:tcPr>
            <w:tcW w:w="101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1"/>
              <w:ind w:left="93" w:right="0"/>
              <w:jc w:val="left"/>
              <w:rPr>
                <w:rFonts w:ascii="宋体" w:hAnsi="宋体" w:cs="宋体" w:eastAsia="宋体" w:hint="default"/>
                <w:sz w:val="18"/>
                <w:szCs w:val="18"/>
              </w:rPr>
            </w:pPr>
            <w:r>
              <w:rPr>
                <w:rFonts w:ascii="宋体"/>
                <w:sz w:val="18"/>
              </w:rPr>
              <w:t>54,348.44</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
              <w:jc w:val="center"/>
              <w:rPr>
                <w:rFonts w:ascii="宋体" w:hAnsi="宋体" w:cs="宋体" w:eastAsia="宋体" w:hint="default"/>
                <w:sz w:val="18"/>
                <w:szCs w:val="18"/>
              </w:rPr>
            </w:pPr>
            <w:r>
              <w:rPr>
                <w:rFonts w:ascii="宋体"/>
                <w:sz w:val="18"/>
              </w:rPr>
              <w:t>--</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4"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048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3"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sz w:val="18"/>
              </w:rPr>
              <w:t>--</w:t>
            </w:r>
          </w:p>
        </w:tc>
        <w:tc>
          <w:tcPr>
            <w:tcW w:w="10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54,348.44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54,348.44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31,548.44</w:t>
            </w:r>
          </w:p>
        </w:tc>
        <w:tc>
          <w:tcPr>
            <w:tcW w:w="101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93" w:right="0"/>
              <w:jc w:val="left"/>
              <w:rPr>
                <w:rFonts w:ascii="宋体" w:hAnsi="宋体" w:cs="宋体" w:eastAsia="宋体" w:hint="default"/>
                <w:sz w:val="18"/>
                <w:szCs w:val="18"/>
              </w:rPr>
            </w:pPr>
            <w:r>
              <w:rPr>
                <w:rFonts w:ascii="宋体"/>
                <w:sz w:val="18"/>
              </w:rPr>
              <w:t>54,348.44</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sz w:val="18"/>
              </w:rPr>
              <w:t>--</w:t>
            </w:r>
          </w:p>
        </w:tc>
        <w:tc>
          <w:tcPr>
            <w:tcW w:w="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4"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8714" w:type="dxa"/>
            <w:gridSpan w:val="10"/>
            <w:tcBorders>
              <w:top w:val="single" w:sz="5" w:space="0" w:color="D2D2D2"/>
              <w:left w:val="single" w:sz="13" w:space="0" w:color="D2D2D2"/>
              <w:bottom w:val="single" w:sz="4" w:space="0" w:color="000000"/>
              <w:right w:val="single" w:sz="4" w:space="0" w:color="000000"/>
            </w:tcBorders>
          </w:tcPr>
          <w:p>
            <w:pPr>
              <w:pStyle w:val="TableParagraph"/>
              <w:spacing w:line="240" w:lineRule="auto" w:before="10"/>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38" w:top="1100" w:bottom="1120" w:left="6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770"/>
        <w:gridCol w:w="8710"/>
      </w:tblGrid>
      <w:tr>
        <w:trPr>
          <w:trHeight w:val="51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6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1770" w:type="dxa"/>
            <w:vMerge/>
            <w:tcBorders>
              <w:left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6" w:hRule="exact"/>
        </w:trPr>
        <w:tc>
          <w:tcPr>
            <w:tcW w:w="1770" w:type="dxa"/>
            <w:vMerge/>
            <w:tcBorders>
              <w:left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66"/>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1"/>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71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38" w:top="1100" w:bottom="1120" w:left="600" w:right="0"/>
        </w:sectPr>
      </w:pPr>
    </w:p>
    <w:p>
      <w:pPr>
        <w:spacing w:before="15"/>
        <w:ind w:left="0" w:right="1436" w:firstLine="0"/>
        <w:jc w:val="righ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86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5"/>
        <w:ind w:left="900" w:right="0"/>
        <w:jc w:val="left"/>
        <w:rPr>
          <w:b w:val="0"/>
          <w:bCs w:val="0"/>
        </w:rPr>
      </w:pPr>
      <w:bookmarkStart w:name="3、主要子公司、参股公司分析" w:id="39"/>
      <w:bookmarkEnd w:id="39"/>
      <w:r>
        <w:rPr>
          <w:b w:val="0"/>
          <w:bCs w:val="0"/>
        </w:rPr>
      </w:r>
      <w:r>
        <w:rPr>
          <w:rFonts w:ascii="宋体" w:hAnsi="宋体" w:cs="宋体" w:eastAsia="宋体" w:hint="default"/>
        </w:rPr>
        <w:t>3</w:t>
      </w:r>
      <w:r>
        <w:rPr/>
        <w:t>、主要子公司、参股公司分析</w:t>
      </w:r>
      <w:r>
        <w:rPr>
          <w:b w:val="0"/>
          <w:bCs w:val="0"/>
        </w:rPr>
      </w:r>
    </w:p>
    <w:p>
      <w:pPr>
        <w:spacing w:line="240" w:lineRule="auto" w:before="2"/>
        <w:rPr>
          <w:rFonts w:ascii="宋体" w:hAnsi="宋体" w:cs="宋体" w:eastAsia="宋体" w:hint="default"/>
          <w:b/>
          <w:bCs/>
          <w:sz w:val="23"/>
          <w:szCs w:val="23"/>
        </w:rPr>
      </w:pPr>
    </w:p>
    <w:p>
      <w:pPr>
        <w:spacing w:before="0"/>
        <w:ind w:left="900"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3296"/>
        <w:gridCol w:w="1076"/>
        <w:gridCol w:w="942"/>
        <w:gridCol w:w="1818"/>
        <w:gridCol w:w="990"/>
        <w:gridCol w:w="1586"/>
        <w:gridCol w:w="1543"/>
        <w:gridCol w:w="1552"/>
        <w:gridCol w:w="1341"/>
        <w:gridCol w:w="1381"/>
      </w:tblGrid>
      <w:tr>
        <w:trPr>
          <w:trHeight w:val="55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7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3"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19" w:right="129" w:hanging="90"/>
              <w:jc w:val="left"/>
              <w:rPr>
                <w:rFonts w:ascii="宋体" w:hAnsi="宋体" w:cs="宋体" w:eastAsia="宋体" w:hint="default"/>
                <w:sz w:val="18"/>
                <w:szCs w:val="18"/>
              </w:rPr>
            </w:pPr>
            <w:r>
              <w:rPr>
                <w:rFonts w:ascii="宋体" w:hAnsi="宋体" w:cs="宋体" w:eastAsia="宋体" w:hint="default"/>
                <w:sz w:val="18"/>
                <w:szCs w:val="18"/>
              </w:rPr>
              <w:t>注册资本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4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6"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1"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24"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6"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农机具、泵及配件</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9"/>
              <w:jc w:val="right"/>
              <w:rPr>
                <w:rFonts w:ascii="宋体" w:hAnsi="宋体" w:cs="宋体" w:eastAsia="宋体" w:hint="default"/>
                <w:sz w:val="18"/>
                <w:szCs w:val="18"/>
              </w:rPr>
            </w:pPr>
            <w:r>
              <w:rPr>
                <w:rFonts w:ascii="宋体"/>
                <w:sz w:val="18"/>
              </w:rPr>
              <w:t>RMB5,369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2" w:right="0"/>
              <w:jc w:val="left"/>
              <w:rPr>
                <w:rFonts w:ascii="宋体" w:hAnsi="宋体" w:cs="宋体" w:eastAsia="宋体" w:hint="default"/>
                <w:sz w:val="18"/>
                <w:szCs w:val="18"/>
              </w:rPr>
            </w:pPr>
            <w:r>
              <w:rPr>
                <w:rFonts w:ascii="宋体"/>
                <w:sz w:val="18"/>
              </w:rPr>
              <w:t>192,885,580.75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123,398,694.44</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164,356,242.85</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17,247,733.66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15,447,650.75</w:t>
            </w: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4"/>
              <w:jc w:val="right"/>
              <w:rPr>
                <w:rFonts w:ascii="宋体" w:hAnsi="宋体" w:cs="宋体" w:eastAsia="宋体" w:hint="default"/>
                <w:sz w:val="18"/>
                <w:szCs w:val="18"/>
              </w:rPr>
            </w:pPr>
            <w:r>
              <w:rPr>
                <w:rFonts w:ascii="宋体"/>
                <w:sz w:val="18"/>
              </w:rPr>
              <w:t>RMB12,000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sz w:val="18"/>
              </w:rPr>
              <w:t>379,382,380.40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47,722,530.49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172,534,233.22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-16,288,752.84</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-15,594,071.56</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4"/>
              <w:jc w:val="right"/>
              <w:rPr>
                <w:rFonts w:ascii="宋体" w:hAnsi="宋体" w:cs="宋体" w:eastAsia="宋体" w:hint="default"/>
                <w:sz w:val="18"/>
                <w:szCs w:val="18"/>
              </w:rPr>
            </w:pPr>
            <w:r>
              <w:rPr>
                <w:rFonts w:ascii="宋体"/>
                <w:sz w:val="18"/>
              </w:rPr>
              <w:t>RMB10,800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2" w:right="0"/>
              <w:jc w:val="left"/>
              <w:rPr>
                <w:rFonts w:ascii="宋体" w:hAnsi="宋体" w:cs="宋体" w:eastAsia="宋体" w:hint="default"/>
                <w:sz w:val="18"/>
                <w:szCs w:val="18"/>
              </w:rPr>
            </w:pPr>
            <w:r>
              <w:rPr>
                <w:rFonts w:ascii="宋体"/>
                <w:sz w:val="18"/>
              </w:rPr>
              <w:t>350,446,963.98</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202,009,483.99</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250,019,341.77</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-18,408,535.33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-16,606,975.31</w:t>
            </w: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9"/>
              <w:jc w:val="right"/>
              <w:rPr>
                <w:rFonts w:ascii="宋体" w:hAnsi="宋体" w:cs="宋体" w:eastAsia="宋体" w:hint="default"/>
                <w:sz w:val="18"/>
                <w:szCs w:val="18"/>
              </w:rPr>
            </w:pPr>
            <w:r>
              <w:rPr>
                <w:rFonts w:ascii="宋体"/>
                <w:sz w:val="18"/>
              </w:rPr>
              <w:t>RMB5,100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sz w:val="18"/>
              </w:rPr>
              <w:t>174,355,482.33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-3,788,591.63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52,109,274.77</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-38,522,507.75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-36,732,322.57</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9"/>
              <w:jc w:val="right"/>
              <w:rPr>
                <w:rFonts w:ascii="宋体" w:hAnsi="宋体" w:cs="宋体" w:eastAsia="宋体" w:hint="default"/>
                <w:sz w:val="18"/>
                <w:szCs w:val="18"/>
              </w:rPr>
            </w:pPr>
            <w:r>
              <w:rPr>
                <w:rFonts w:ascii="宋体"/>
                <w:sz w:val="18"/>
              </w:rPr>
              <w:t>RMB5,000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2" w:right="0"/>
              <w:jc w:val="left"/>
              <w:rPr>
                <w:rFonts w:ascii="宋体" w:hAnsi="宋体" w:cs="宋体" w:eastAsia="宋体" w:hint="default"/>
                <w:sz w:val="18"/>
                <w:szCs w:val="18"/>
              </w:rPr>
            </w:pPr>
            <w:r>
              <w:rPr>
                <w:rFonts w:ascii="宋体"/>
                <w:sz w:val="18"/>
              </w:rPr>
              <w:t>189,489,732.70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102,941,498.15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127,500,091.68</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92,846,068.76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92,621,584.38</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4"/>
              <w:jc w:val="right"/>
              <w:rPr>
                <w:rFonts w:ascii="宋体" w:hAnsi="宋体" w:cs="宋体" w:eastAsia="宋体" w:hint="default"/>
                <w:sz w:val="18"/>
                <w:szCs w:val="18"/>
              </w:rPr>
            </w:pPr>
            <w:r>
              <w:rPr>
                <w:rFonts w:ascii="宋体"/>
                <w:sz w:val="18"/>
              </w:rPr>
              <w:t>RMB20,000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2" w:right="0"/>
              <w:jc w:val="left"/>
              <w:rPr>
                <w:rFonts w:ascii="宋体" w:hAnsi="宋体" w:cs="宋体" w:eastAsia="宋体" w:hint="default"/>
                <w:sz w:val="18"/>
                <w:szCs w:val="18"/>
              </w:rPr>
            </w:pPr>
            <w:r>
              <w:rPr>
                <w:rFonts w:ascii="宋体"/>
                <w:sz w:val="18"/>
              </w:rPr>
              <w:t>264,802,005.24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248,718,862.02</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47,296,398.69</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34,498,651.85</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22,996,862.20</w:t>
            </w: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数字媒介代理服务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 w:right="0"/>
              <w:jc w:val="left"/>
              <w:rPr>
                <w:rFonts w:ascii="宋体" w:hAnsi="宋体" w:cs="宋体" w:eastAsia="宋体" w:hint="default"/>
                <w:sz w:val="18"/>
                <w:szCs w:val="18"/>
              </w:rPr>
            </w:pPr>
            <w:r>
              <w:rPr>
                <w:rFonts w:ascii="宋体"/>
                <w:sz w:val="18"/>
              </w:rPr>
              <w:t>RMB100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sz w:val="18"/>
              </w:rPr>
              <w:t>840,929,050.42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66,479,372.67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1,167,071,451.32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64,722,363.86</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50,253,154.69</w:t>
            </w:r>
          </w:p>
        </w:tc>
      </w:tr>
    </w:tbl>
    <w:p>
      <w:pPr>
        <w:spacing w:before="10"/>
        <w:ind w:left="90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、上述各参控股公司以其各自的审计报告的数据列示。</w:t>
      </w:r>
    </w:p>
    <w:p>
      <w:pPr>
        <w:spacing w:before="155"/>
        <w:ind w:left="1529"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、上海漫酷广告有限公司数据为</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日资产负债表及</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月利润表的数据。</w:t>
      </w:r>
    </w:p>
    <w:p>
      <w:pPr>
        <w:pStyle w:val="BodyText"/>
        <w:spacing w:line="240" w:lineRule="auto" w:before="149"/>
        <w:ind w:left="900" w:right="0"/>
        <w:jc w:val="left"/>
      </w:pPr>
      <w:r>
        <w:rPr/>
        <w:t>报告期内取得和处置子公司的情况</w:t>
      </w:r>
    </w:p>
    <w:p>
      <w:pPr>
        <w:pStyle w:val="BodyText"/>
        <w:spacing w:line="240" w:lineRule="auto" w:before="174"/>
        <w:ind w:left="900" w:right="0"/>
        <w:jc w:val="left"/>
      </w:pPr>
      <w:r>
        <w:rPr/>
        <w:t>√ 适用 □</w:t>
      </w:r>
      <w:r>
        <w:rPr>
          <w:spacing w:val="-2"/>
        </w:rPr>
        <w:t> </w:t>
      </w:r>
      <w:r>
        <w:rPr/>
        <w:t>不适用</w:t>
      </w:r>
    </w:p>
    <w:p>
      <w:pPr>
        <w:spacing w:line="240" w:lineRule="auto" w:before="11"/>
        <w:rPr>
          <w:rFonts w:ascii="宋体" w:hAnsi="宋体" w:cs="宋体" w:eastAsia="宋体" w:hint="default"/>
          <w:sz w:val="15"/>
          <w:szCs w:val="15"/>
        </w:rPr>
      </w:pPr>
    </w:p>
    <w:tbl>
      <w:tblPr>
        <w:tblW w:w="0" w:type="auto"/>
        <w:jc w:val="left"/>
        <w:tblInd w:w="1282" w:type="dxa"/>
        <w:tblLayout w:type="fixed"/>
        <w:tblCellMar>
          <w:top w:w="0" w:type="dxa"/>
          <w:left w:w="0" w:type="dxa"/>
          <w:bottom w:w="0" w:type="dxa"/>
          <w:right w:w="0" w:type="dxa"/>
        </w:tblCellMar>
        <w:tblLook w:val="01E0"/>
      </w:tblPr>
      <w:tblGrid>
        <w:gridCol w:w="3296"/>
        <w:gridCol w:w="4917"/>
        <w:gridCol w:w="2756"/>
        <w:gridCol w:w="2216"/>
      </w:tblGrid>
      <w:tr>
        <w:trPr>
          <w:trHeight w:val="32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92"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实现转型升级，增加新的利润增长点</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增加经营业绩</w:t>
            </w: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实现转型升级，增加新的利润增长点</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增加经营业绩</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实现转型升级，增加新的利润增长点</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增加经营业绩</w:t>
            </w:r>
          </w:p>
        </w:tc>
      </w:tr>
      <w:tr>
        <w:trPr>
          <w:trHeight w:val="32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利欧中东公司</w:t>
            </w:r>
          </w:p>
        </w:tc>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开拓新的销售渠道</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增加销售收入</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开拓新的销售渠道</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增加销售收入</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4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扩充业务</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增加新的业务种类</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0"/>
        <w:ind w:left="7770" w:right="8307" w:firstLine="0"/>
        <w:jc w:val="center"/>
        <w:rPr>
          <w:rFonts w:ascii="Times New Roman" w:hAnsi="Times New Roman" w:cs="Times New Roman" w:eastAsia="Times New Roman" w:hint="default"/>
          <w:sz w:val="18"/>
          <w:szCs w:val="18"/>
        </w:rPr>
      </w:pPr>
      <w:r>
        <w:rPr/>
        <w:pict>
          <v:shape style="position:absolute;margin-left:774.419983pt;margin-top:19.582344pt;width:67.5pt;height:38.5pt;mso-position-horizontal-relative:page;mso-position-vertical-relative:paragraph;z-index:1216" type="#_x0000_t75" stroked="false">
            <v:imagedata r:id="rId15" o:title=""/>
          </v:shape>
        </w:pict>
      </w:r>
      <w:r>
        <w:rPr>
          <w:rFonts w:ascii="Times New Roman"/>
          <w:sz w:val="18"/>
        </w:rPr>
        <w:t>25</w:t>
      </w:r>
    </w:p>
    <w:p>
      <w:pPr>
        <w:spacing w:after="0"/>
        <w:jc w:val="center"/>
        <w:rPr>
          <w:rFonts w:ascii="Times New Roman" w:hAnsi="Times New Roman" w:cs="Times New Roman" w:eastAsia="Times New Roman" w:hint="default"/>
          <w:sz w:val="18"/>
          <w:szCs w:val="18"/>
        </w:rPr>
        <w:sectPr>
          <w:headerReference w:type="default" r:id="rId13"/>
          <w:footerReference w:type="default" r:id="rId14"/>
          <w:pgSz w:w="16840" w:h="11910" w:orient="landscape"/>
          <w:pgMar w:header="0" w:footer="0" w:top="800" w:bottom="0" w:left="540" w:right="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before="26"/>
        <w:ind w:left="138" w:right="0"/>
        <w:jc w:val="both"/>
        <w:rPr>
          <w:b w:val="0"/>
          <w:bCs w:val="0"/>
        </w:rPr>
      </w:pPr>
      <w:bookmarkStart w:name="七、公司未来发展的展望" w:id="40"/>
      <w:bookmarkEnd w:id="40"/>
      <w:r>
        <w:rPr>
          <w:b w:val="0"/>
          <w:bCs w:val="0"/>
        </w:rPr>
      </w:r>
      <w:r>
        <w:rPr/>
        <w:t>七、公司未来发展的展望</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558" w:right="7778"/>
        <w:jc w:val="left"/>
      </w:pPr>
      <w:r>
        <w:rPr/>
        <w:t>（一）行业发展趋势 </w:t>
      </w:r>
      <w:r>
        <w:rPr>
          <w:rFonts w:ascii="宋体" w:hAnsi="宋体" w:cs="宋体" w:eastAsia="宋体" w:hint="default"/>
        </w:rPr>
        <w:t>1</w:t>
      </w:r>
      <w:r>
        <w:rPr/>
        <w:t>、微型小型水泵</w:t>
      </w:r>
    </w:p>
    <w:p>
      <w:pPr>
        <w:pStyle w:val="BodyText"/>
        <w:spacing w:line="357" w:lineRule="auto"/>
        <w:ind w:left="138" w:right="1792" w:firstLine="420"/>
        <w:jc w:val="both"/>
      </w:pPr>
      <w:r>
        <w:rPr>
          <w:spacing w:val="-3"/>
        </w:rPr>
        <w:t>未来一段时间，由于全球对未被污染水资源的巨大需求、亚太地区的人口增长、城市化</w:t>
      </w:r>
      <w:r>
        <w:rPr/>
        <w:t> </w:t>
      </w:r>
      <w:r>
        <w:rPr>
          <w:spacing w:val="-3"/>
        </w:rPr>
        <w:t>进程的快速推进等因素影响，小型水泵的市场需求将继续保持增长，其中，亚太地区和拉丁</w:t>
      </w:r>
      <w:r>
        <w:rPr>
          <w:spacing w:val="-72"/>
        </w:rPr>
        <w:t> </w:t>
      </w:r>
      <w:r>
        <w:rPr>
          <w:spacing w:val="-72"/>
        </w:rPr>
      </w:r>
      <w:r>
        <w:rPr/>
        <w:t>美洲将是需求增长强劲的地区。</w:t>
      </w:r>
    </w:p>
    <w:p>
      <w:pPr>
        <w:pStyle w:val="BodyText"/>
        <w:spacing w:line="355" w:lineRule="auto" w:before="31"/>
        <w:ind w:left="138" w:right="1792" w:firstLine="420"/>
        <w:jc w:val="both"/>
      </w:pPr>
      <w:r>
        <w:rPr>
          <w:spacing w:val="-3"/>
        </w:rPr>
        <w:t>“十二五”期间，随着国家落实振兴装备制造业、提升自主创新能力的一系列举措，中</w:t>
      </w:r>
      <w:r>
        <w:rPr/>
        <w:t> </w:t>
      </w:r>
      <w:r>
        <w:rPr>
          <w:spacing w:val="-3"/>
        </w:rPr>
        <w:t>国小型水泵将进入新一轮的发展期。国内城市化进程的持续推进、农田水利建设的大力开展</w:t>
      </w:r>
      <w:r>
        <w:rPr>
          <w:spacing w:val="-75"/>
        </w:rPr>
        <w:t> </w:t>
      </w:r>
      <w:r>
        <w:rPr>
          <w:spacing w:val="-75"/>
        </w:rPr>
      </w:r>
      <w:r>
        <w:rPr/>
        <w:t>都为中国微型小型水泵提供了广阔的市场空间。</w:t>
      </w:r>
    </w:p>
    <w:p>
      <w:pPr>
        <w:pStyle w:val="BodyText"/>
        <w:spacing w:line="355" w:lineRule="auto" w:before="33"/>
        <w:ind w:left="558" w:right="1684"/>
        <w:jc w:val="left"/>
      </w:pPr>
      <w:r>
        <w:rPr>
          <w:rFonts w:ascii="宋体" w:hAnsi="宋体" w:cs="宋体" w:eastAsia="宋体" w:hint="default"/>
        </w:rPr>
        <w:t>2</w:t>
      </w:r>
      <w:r>
        <w:rPr/>
        <w:t>、园林机械 </w:t>
      </w:r>
      <w:r>
        <w:rPr>
          <w:spacing w:val="-3"/>
        </w:rPr>
        <w:t>由于投资成本、运营成本太高，欧美发达国家的园林机械制造商纷纷将生产能力向中国</w:t>
      </w:r>
    </w:p>
    <w:p>
      <w:pPr>
        <w:pStyle w:val="BodyText"/>
        <w:spacing w:line="357" w:lineRule="auto" w:before="33"/>
        <w:ind w:left="138" w:right="1792"/>
        <w:jc w:val="both"/>
      </w:pPr>
      <w:r>
        <w:rPr>
          <w:spacing w:val="-3"/>
        </w:rPr>
        <w:t>转移，或在中国建立合资企业，或与我国的生产商进行</w:t>
      </w:r>
      <w:r>
        <w:rPr>
          <w:rFonts w:ascii="宋体" w:hAnsi="宋体" w:cs="宋体" w:eastAsia="宋体" w:hint="default"/>
          <w:spacing w:val="-3"/>
        </w:rPr>
        <w:t>ODM</w:t>
      </w:r>
      <w:r>
        <w:rPr>
          <w:spacing w:val="-3"/>
        </w:rPr>
        <w:t>、</w:t>
      </w:r>
      <w:r>
        <w:rPr>
          <w:rFonts w:ascii="宋体" w:hAnsi="宋体" w:cs="宋体" w:eastAsia="宋体" w:hint="default"/>
          <w:spacing w:val="-3"/>
        </w:rPr>
        <w:t>OEM</w:t>
      </w:r>
      <w:r>
        <w:rPr>
          <w:spacing w:val="-3"/>
        </w:rPr>
        <w:t>等多种形式的合作。在这种</w:t>
      </w:r>
      <w:r>
        <w:rPr>
          <w:spacing w:val="-67"/>
        </w:rPr>
        <w:t> </w:t>
      </w:r>
      <w:r>
        <w:rPr>
          <w:spacing w:val="-67"/>
        </w:rPr>
      </w:r>
      <w:r>
        <w:rPr>
          <w:spacing w:val="-3"/>
        </w:rPr>
        <w:t>背景下，我国的园林机械制造商面临着巨大的发展机遇。一方面，国际制造能力转移为国内</w:t>
      </w:r>
      <w:r>
        <w:rPr>
          <w:spacing w:val="-72"/>
        </w:rPr>
        <w:t> </w:t>
      </w:r>
      <w:r>
        <w:rPr>
          <w:spacing w:val="-72"/>
        </w:rPr>
      </w:r>
      <w:r>
        <w:rPr>
          <w:spacing w:val="-3"/>
        </w:rPr>
        <w:t>企业创造了巨大的市场空间；另一方面，国内企业通过与国外制造商的合资合作，可以快速</w:t>
      </w:r>
      <w:r>
        <w:rPr>
          <w:spacing w:val="-72"/>
        </w:rPr>
        <w:t> </w:t>
      </w:r>
      <w:r>
        <w:rPr>
          <w:spacing w:val="-72"/>
        </w:rPr>
      </w:r>
      <w:r>
        <w:rPr/>
        <w:t>提升自身的技术水平和管理能力，为形成核心竞争能力打下基础。</w:t>
      </w:r>
    </w:p>
    <w:p>
      <w:pPr>
        <w:pStyle w:val="BodyText"/>
        <w:spacing w:line="357" w:lineRule="auto"/>
        <w:ind w:right="1793" w:firstLine="420"/>
        <w:jc w:val="both"/>
      </w:pPr>
      <w:r>
        <w:rPr>
          <w:spacing w:val="-3"/>
        </w:rPr>
        <w:t>经过多年的技术引进和消化吸收，国内园林机械制造商的整体技术水平、生产装备水平</w:t>
      </w:r>
      <w:r>
        <w:rPr/>
        <w:t> </w:t>
      </w:r>
      <w:r>
        <w:rPr>
          <w:spacing w:val="-3"/>
        </w:rPr>
        <w:t>得到了明显提升。部分优势企业已掌握了产品生产过程中的核心技术，具备了自主研发和技</w:t>
      </w:r>
      <w:r>
        <w:rPr>
          <w:spacing w:val="-75"/>
        </w:rPr>
        <w:t> </w:t>
      </w:r>
      <w:r>
        <w:rPr>
          <w:spacing w:val="-75"/>
        </w:rPr>
      </w:r>
      <w:r>
        <w:rPr>
          <w:spacing w:val="-3"/>
        </w:rPr>
        <w:t>术创新能力，经营模式逐渐从单纯的</w:t>
      </w:r>
      <w:r>
        <w:rPr>
          <w:rFonts w:ascii="宋体" w:hAnsi="宋体" w:cs="宋体" w:eastAsia="宋体" w:hint="default"/>
          <w:spacing w:val="-3"/>
        </w:rPr>
        <w:t>OEM</w:t>
      </w:r>
      <w:r>
        <w:rPr>
          <w:spacing w:val="-3"/>
        </w:rPr>
        <w:t>转向</w:t>
      </w:r>
      <w:r>
        <w:rPr>
          <w:rFonts w:ascii="宋体" w:hAnsi="宋体" w:cs="宋体" w:eastAsia="宋体" w:hint="default"/>
          <w:spacing w:val="-3"/>
        </w:rPr>
        <w:t>ODM</w:t>
      </w:r>
      <w:r>
        <w:rPr>
          <w:spacing w:val="-3"/>
        </w:rPr>
        <w:t>，产品档次及附加值不断提高，盈利能力不</w:t>
      </w:r>
      <w:r>
        <w:rPr>
          <w:spacing w:val="-67"/>
        </w:rPr>
        <w:t> </w:t>
      </w:r>
      <w:r>
        <w:rPr>
          <w:spacing w:val="-67"/>
        </w:rPr>
      </w:r>
      <w:r>
        <w:rPr/>
        <w:t>断增强。以此为基础，部分企业开始尝试并逐渐扩大</w:t>
      </w:r>
      <w:r>
        <w:rPr>
          <w:rFonts w:ascii="宋体" w:hAnsi="宋体" w:cs="宋体" w:eastAsia="宋体" w:hint="default"/>
        </w:rPr>
        <w:t>OBM</w:t>
      </w:r>
      <w:r>
        <w:rPr/>
        <w:t>方式（自主品牌经营模式），推广 自主品牌，可持续发展能力不断增强。</w:t>
      </w:r>
    </w:p>
    <w:p>
      <w:pPr>
        <w:pStyle w:val="BodyText"/>
        <w:spacing w:line="240" w:lineRule="auto" w:before="31"/>
        <w:ind w:left="557" w:right="0"/>
        <w:jc w:val="left"/>
      </w:pPr>
      <w:r>
        <w:rPr>
          <w:rFonts w:ascii="宋体" w:hAnsi="宋体" w:cs="宋体" w:eastAsia="宋体" w:hint="default"/>
        </w:rPr>
        <w:t>3</w:t>
      </w:r>
      <w:r>
        <w:rPr/>
        <w:t>、清洗和植保机械</w:t>
      </w:r>
    </w:p>
    <w:p>
      <w:pPr>
        <w:pStyle w:val="BodyText"/>
        <w:spacing w:line="357" w:lineRule="auto" w:before="133"/>
        <w:ind w:left="138" w:right="1795" w:firstLine="420"/>
        <w:jc w:val="both"/>
      </w:pPr>
      <w:r>
        <w:rPr>
          <w:rFonts w:ascii="宋体" w:hAnsi="宋体" w:cs="宋体" w:eastAsia="宋体" w:hint="default"/>
        </w:rPr>
        <w:t>1</w:t>
      </w:r>
      <w:r>
        <w:rPr/>
        <w:t>）未来几年，受美国次贷危机余震与欧洲债务危机影响，欧美国家清洗机市场的增长 </w:t>
      </w:r>
      <w:r>
        <w:rPr>
          <w:spacing w:val="-3"/>
        </w:rPr>
        <w:t>速度预计将有所放缓。但在亚洲与拉美新兴国家相对较快的市场增速带动下，全球清洗机预</w:t>
      </w:r>
      <w:r>
        <w:rPr>
          <w:spacing w:val="-75"/>
        </w:rPr>
        <w:t> </w:t>
      </w:r>
      <w:r>
        <w:rPr>
          <w:spacing w:val="-75"/>
        </w:rPr>
      </w:r>
      <w:r>
        <w:rPr/>
        <w:t>计将能保持</w:t>
      </w:r>
      <w:r>
        <w:rPr>
          <w:rFonts w:ascii="宋体" w:hAnsi="宋体" w:cs="宋体" w:eastAsia="宋体" w:hint="default"/>
        </w:rPr>
        <w:t>3%</w:t>
      </w:r>
      <w:r>
        <w:rPr/>
        <w:t>左右的年复合增长速度。</w:t>
      </w:r>
    </w:p>
    <w:p>
      <w:pPr>
        <w:pStyle w:val="BodyText"/>
        <w:spacing w:line="357" w:lineRule="auto"/>
        <w:ind w:right="0" w:firstLine="420"/>
        <w:jc w:val="left"/>
      </w:pPr>
      <w:r>
        <w:rPr/>
        <w:t>自</w:t>
      </w:r>
      <w:r>
        <w:rPr>
          <w:rFonts w:ascii="宋体" w:hAnsi="宋体" w:cs="宋体" w:eastAsia="宋体" w:hint="default"/>
        </w:rPr>
        <w:t>2003</w:t>
      </w:r>
      <w:r>
        <w:rPr/>
        <w:t>年以来，中国清洗设备市场以年均</w:t>
      </w:r>
      <w:r>
        <w:rPr>
          <w:rFonts w:ascii="宋体" w:hAnsi="宋体" w:cs="宋体" w:eastAsia="宋体" w:hint="default"/>
        </w:rPr>
        <w:t>20%</w:t>
      </w:r>
      <w:r>
        <w:rPr/>
        <w:t>以上的速度高速增长。一方面是国内需求 的不断扩大。包括对淘汰</w:t>
      </w:r>
      <w:r>
        <w:rPr>
          <w:rFonts w:ascii="宋体" w:hAnsi="宋体" w:cs="宋体" w:eastAsia="宋体" w:hint="default"/>
        </w:rPr>
        <w:t>ODS</w:t>
      </w:r>
      <w:r>
        <w:rPr/>
        <w:t>（</w:t>
      </w:r>
      <w:r>
        <w:rPr>
          <w:rFonts w:ascii="宋体" w:hAnsi="宋体" w:cs="宋体" w:eastAsia="宋体" w:hint="default"/>
        </w:rPr>
        <w:t>Ozone Depleting</w:t>
      </w:r>
      <w:r>
        <w:rPr>
          <w:rFonts w:ascii="宋体" w:hAnsi="宋体" w:cs="宋体" w:eastAsia="宋体" w:hint="default"/>
          <w:spacing w:val="-2"/>
        </w:rPr>
        <w:t> </w:t>
      </w:r>
      <w:r>
        <w:rPr>
          <w:rFonts w:ascii="宋体" w:hAnsi="宋体" w:cs="宋体" w:eastAsia="宋体" w:hint="default"/>
        </w:rPr>
        <w:t>Substances</w:t>
      </w:r>
      <w:r>
        <w:rPr/>
        <w:t>，消耗臭氧层物质）和实施 </w:t>
      </w:r>
      <w:r>
        <w:rPr>
          <w:rFonts w:ascii="宋体" w:hAnsi="宋体" w:cs="宋体" w:eastAsia="宋体" w:hint="default"/>
          <w:spacing w:val="-3"/>
        </w:rPr>
        <w:t>ISO14000</w:t>
      </w:r>
      <w:r>
        <w:rPr>
          <w:spacing w:val="-3"/>
        </w:rPr>
        <w:t>体系出现的替代设备需求，以及大量的新建和扩建工厂采购新的清洗设备；另一方</w:t>
      </w:r>
      <w:r>
        <w:rPr>
          <w:spacing w:val="-64"/>
        </w:rPr>
        <w:t> </w:t>
      </w:r>
      <w:r>
        <w:rPr>
          <w:spacing w:val="-64"/>
        </w:rPr>
      </w:r>
      <w:r>
        <w:rPr>
          <w:spacing w:val="-3"/>
        </w:rPr>
        <w:t>面，随着我国清洗设备生产厂家技术水平和设备质量的迅速提高，价格优势更加明显。外资</w:t>
      </w:r>
      <w:r>
        <w:rPr>
          <w:spacing w:val="-72"/>
        </w:rPr>
        <w:t> </w:t>
      </w:r>
      <w:r>
        <w:rPr>
          <w:spacing w:val="-72"/>
        </w:rPr>
      </w:r>
      <w:r>
        <w:rPr/>
        <w:t>企业开始大量采购国产清洗设备，大批质优价廉的中国制造清洗设备出口国外。</w:t>
      </w:r>
    </w:p>
    <w:p>
      <w:pPr>
        <w:pStyle w:val="BodyText"/>
        <w:spacing w:line="357" w:lineRule="auto"/>
        <w:ind w:right="1793" w:firstLine="420"/>
        <w:jc w:val="both"/>
      </w:pPr>
      <w:r>
        <w:rPr>
          <w:rFonts w:ascii="宋体" w:hAnsi="宋体" w:cs="宋体" w:eastAsia="宋体" w:hint="default"/>
        </w:rPr>
        <w:t>2</w:t>
      </w:r>
      <w:r>
        <w:rPr/>
        <w:t>）农作物病虫草害防治对农业的增产、丰收起着至关重要的保障作用，农作物施药保 </w:t>
      </w:r>
      <w:r>
        <w:rPr>
          <w:spacing w:val="-3"/>
        </w:rPr>
        <w:t>护是农业生产必不可少的环节之一，改革开放</w:t>
      </w:r>
      <w:r>
        <w:rPr>
          <w:rFonts w:ascii="宋体" w:hAnsi="宋体" w:cs="宋体" w:eastAsia="宋体" w:hint="default"/>
          <w:spacing w:val="-3"/>
        </w:rPr>
        <w:t>30</w:t>
      </w:r>
      <w:r>
        <w:rPr>
          <w:spacing w:val="-3"/>
        </w:rPr>
        <w:t>年来农业的快速发展为我国植保机械产业的</w:t>
      </w:r>
      <w:r>
        <w:rPr>
          <w:spacing w:val="-71"/>
        </w:rPr>
        <w:t> </w:t>
      </w:r>
      <w:r>
        <w:rPr/>
        <w:t>发展提供了广阔的发展空间。</w:t>
      </w:r>
    </w:p>
    <w:p>
      <w:pPr>
        <w:pStyle w:val="BodyText"/>
        <w:spacing w:line="355" w:lineRule="auto" w:before="31"/>
        <w:ind w:left="138" w:right="1670" w:firstLine="420"/>
        <w:jc w:val="left"/>
        <w:rPr>
          <w:rFonts w:ascii="宋体" w:hAnsi="宋体" w:cs="宋体" w:eastAsia="宋体" w:hint="default"/>
        </w:rPr>
      </w:pPr>
      <w:r>
        <w:rPr/>
        <w:t>但是</w:t>
      </w:r>
      <w:r>
        <w:rPr>
          <w:spacing w:val="-96"/>
        </w:rPr>
        <w:t>，</w:t>
      </w:r>
      <w:r>
        <w:rPr/>
        <w:t>相比农业其它行业</w:t>
      </w:r>
      <w:r>
        <w:rPr>
          <w:spacing w:val="-96"/>
        </w:rPr>
        <w:t>，</w:t>
      </w:r>
      <w:r>
        <w:rPr/>
        <w:t>植物保护方面从机械化水平到专业化程度都落后于其它行业，</w:t>
      </w:r>
      <w:r>
        <w:rPr/>
        <w:t> 与农业大规模生产经营的发达国家相比</w:t>
      </w:r>
      <w:r>
        <w:rPr>
          <w:spacing w:val="-96"/>
        </w:rPr>
        <w:t>，</w:t>
      </w:r>
      <w:r>
        <w:rPr/>
        <w:t>差距更大</w:t>
      </w:r>
      <w:r>
        <w:rPr>
          <w:spacing w:val="-96"/>
        </w:rPr>
        <w:t>。</w:t>
      </w:r>
      <w:r>
        <w:rPr>
          <w:rFonts w:ascii="宋体" w:hAnsi="宋体" w:cs="宋体" w:eastAsia="宋体" w:hint="default"/>
        </w:rPr>
        <w:t>200</w:t>
      </w:r>
      <w:r>
        <w:rPr>
          <w:rFonts w:ascii="宋体" w:hAnsi="宋体" w:cs="宋体" w:eastAsia="宋体" w:hint="default"/>
          <w:spacing w:val="1"/>
        </w:rPr>
        <w:t>9</w:t>
      </w:r>
      <w:r>
        <w:rPr/>
        <w:t>年</w:t>
      </w:r>
      <w:r>
        <w:rPr>
          <w:spacing w:val="-2"/>
        </w:rPr>
        <w:t>全</w:t>
      </w:r>
      <w:r>
        <w:rPr/>
        <w:t>国机械化植保耕地面积为</w:t>
      </w:r>
      <w:r>
        <w:rPr>
          <w:rFonts w:ascii="宋体" w:hAnsi="宋体" w:cs="宋体" w:eastAsia="宋体" w:hint="default"/>
        </w:rPr>
        <w:t>532.4</w:t>
      </w:r>
    </w:p>
    <w:p>
      <w:pPr>
        <w:spacing w:after="0" w:line="355" w:lineRule="auto"/>
        <w:jc w:val="left"/>
        <w:rPr>
          <w:rFonts w:ascii="宋体" w:hAnsi="宋体" w:cs="宋体" w:eastAsia="宋体" w:hint="default"/>
        </w:rPr>
        <w:sectPr>
          <w:footerReference w:type="default" r:id="rId16"/>
          <w:pgSz w:w="11910" w:h="16840"/>
          <w:pgMar w:footer="938" w:header="0" w:top="1100" w:bottom="1120" w:left="1660" w:right="0"/>
          <w:pgNumType w:start="26"/>
        </w:sectPr>
      </w:pPr>
    </w:p>
    <w:p>
      <w:pPr>
        <w:spacing w:line="240" w:lineRule="auto" w:before="2"/>
        <w:rPr>
          <w:rFonts w:ascii="宋体" w:hAnsi="宋体" w:cs="宋体" w:eastAsia="宋体" w:hint="default"/>
          <w:sz w:val="19"/>
          <w:szCs w:val="19"/>
        </w:rPr>
      </w:pPr>
    </w:p>
    <w:p>
      <w:pPr>
        <w:pStyle w:val="BodyText"/>
        <w:spacing w:line="357" w:lineRule="auto" w:before="35"/>
        <w:ind w:right="0"/>
        <w:jc w:val="left"/>
      </w:pPr>
      <w:r>
        <w:rPr>
          <w:spacing w:val="-5"/>
        </w:rPr>
        <w:t>万公顷，仅占全国耕地总面积的</w:t>
      </w:r>
      <w:r>
        <w:rPr>
          <w:rFonts w:ascii="宋体" w:hAnsi="宋体" w:cs="宋体" w:eastAsia="宋体" w:hint="default"/>
          <w:spacing w:val="-5"/>
        </w:rPr>
        <w:t>36.7%</w:t>
      </w:r>
      <w:r>
        <w:rPr>
          <w:spacing w:val="-5"/>
        </w:rPr>
        <w:t>，低于全国农业耕种收综合机械化水平</w:t>
      </w:r>
      <w:r>
        <w:rPr>
          <w:rFonts w:ascii="宋体" w:hAnsi="宋体" w:cs="宋体" w:eastAsia="宋体" w:hint="default"/>
          <w:spacing w:val="-5"/>
        </w:rPr>
        <w:t>49.13%</w:t>
      </w:r>
      <w:r>
        <w:rPr>
          <w:spacing w:val="-5"/>
        </w:rPr>
        <w:t>。据</w:t>
      </w:r>
      <w:r>
        <w:rPr>
          <w:rFonts w:ascii="宋体" w:hAnsi="宋体" w:cs="宋体" w:eastAsia="宋体" w:hint="default"/>
          <w:spacing w:val="-5"/>
        </w:rPr>
        <w:t>2010</w:t>
      </w:r>
      <w:r>
        <w:rPr>
          <w:rFonts w:ascii="宋体" w:hAnsi="宋体" w:cs="宋体" w:eastAsia="宋体" w:hint="default"/>
          <w:spacing w:val="-61"/>
        </w:rPr>
        <w:t> </w:t>
      </w:r>
      <w:r>
        <w:rPr>
          <w:rFonts w:ascii="宋体" w:hAnsi="宋体" w:cs="宋体" w:eastAsia="宋体" w:hint="default"/>
          <w:spacing w:val="-61"/>
        </w:rPr>
      </w:r>
      <w:r>
        <w:rPr/>
        <w:t>年</w:t>
      </w:r>
      <w:r>
        <w:rPr>
          <w:rFonts w:ascii="宋体" w:hAnsi="宋体" w:cs="宋体" w:eastAsia="宋体" w:hint="default"/>
        </w:rPr>
        <w:t>7</w:t>
      </w:r>
      <w:r>
        <w:rPr/>
        <w:t>月国务院发布的《关于促进农业机械化和农机工业又好又快发展的意见》，到</w:t>
      </w:r>
      <w:r>
        <w:rPr>
          <w:rFonts w:ascii="宋体" w:hAnsi="宋体" w:cs="宋体" w:eastAsia="宋体" w:hint="default"/>
        </w:rPr>
        <w:t>2015</w:t>
      </w:r>
      <w:r>
        <w:rPr/>
        <w:t>年全 国主要农作物耕种收综合机械化水平要达到</w:t>
      </w:r>
      <w:r>
        <w:rPr>
          <w:rFonts w:ascii="宋体" w:hAnsi="宋体" w:cs="宋体" w:eastAsia="宋体" w:hint="default"/>
        </w:rPr>
        <w:t>55%</w:t>
      </w:r>
      <w:r>
        <w:rPr/>
        <w:t>以上，到</w:t>
      </w:r>
      <w:r>
        <w:rPr>
          <w:rFonts w:ascii="宋体" w:hAnsi="宋体" w:cs="宋体" w:eastAsia="宋体" w:hint="default"/>
        </w:rPr>
        <w:t>2020</w:t>
      </w:r>
      <w:r>
        <w:rPr/>
        <w:t>年主要农作物耕种收综合机械 </w:t>
      </w:r>
      <w:r>
        <w:rPr>
          <w:spacing w:val="-5"/>
        </w:rPr>
        <w:t>化水平要达到</w:t>
      </w:r>
      <w:r>
        <w:rPr>
          <w:rFonts w:ascii="宋体" w:hAnsi="宋体" w:cs="宋体" w:eastAsia="宋体" w:hint="default"/>
          <w:spacing w:val="-5"/>
        </w:rPr>
        <w:t>65%</w:t>
      </w:r>
      <w:r>
        <w:rPr>
          <w:spacing w:val="-5"/>
        </w:rPr>
        <w:t>以上。依据这一目标，到</w:t>
      </w:r>
      <w:r>
        <w:rPr>
          <w:rFonts w:ascii="宋体" w:hAnsi="宋体" w:cs="宋体" w:eastAsia="宋体" w:hint="default"/>
          <w:spacing w:val="-5"/>
        </w:rPr>
        <w:t>2020</w:t>
      </w:r>
      <w:r>
        <w:rPr>
          <w:spacing w:val="-5"/>
        </w:rPr>
        <w:t>年，我国机械化植保面积将超过</w:t>
      </w:r>
      <w:r>
        <w:rPr>
          <w:rFonts w:ascii="宋体" w:hAnsi="宋体" w:cs="宋体" w:eastAsia="宋体" w:hint="default"/>
          <w:spacing w:val="-5"/>
        </w:rPr>
        <w:t>9,800</w:t>
      </w:r>
      <w:r>
        <w:rPr>
          <w:spacing w:val="-5"/>
        </w:rPr>
        <w:t>万公顷，</w:t>
      </w:r>
      <w:r>
        <w:rPr>
          <w:spacing w:val="-67"/>
        </w:rPr>
        <w:t> </w:t>
      </w:r>
      <w:r>
        <w:rPr>
          <w:spacing w:val="-67"/>
        </w:rPr>
      </w:r>
      <w:r>
        <w:rPr/>
        <w:t>植保机械总需求量将达到</w:t>
      </w:r>
      <w:r>
        <w:rPr>
          <w:rFonts w:ascii="宋体" w:hAnsi="宋体" w:cs="宋体" w:eastAsia="宋体" w:hint="default"/>
        </w:rPr>
        <w:t>11,400</w:t>
      </w:r>
      <w:r>
        <w:rPr/>
        <w:t>万台，其中机动植保机械部分会出现快速增长。</w:t>
      </w:r>
    </w:p>
    <w:p>
      <w:pPr>
        <w:pStyle w:val="BodyText"/>
        <w:spacing w:line="357" w:lineRule="auto"/>
        <w:ind w:right="1689" w:firstLine="420"/>
        <w:jc w:val="left"/>
      </w:pPr>
      <w:r>
        <w:rPr>
          <w:spacing w:val="-3"/>
        </w:rPr>
        <w:t>目前，国内清洗与植保机械企业以自主创新结合引进国外先进技术为手段，在技术上取</w:t>
      </w:r>
      <w:r>
        <w:rPr/>
        <w:t> 得了长足的进步，同时产品人性化、自动化程度不断提升，产品的安全环保指标不断改善。 随着清洗与植保机械行业的不断发展，开发高科技含量和高附加值的清洗与植保机械产品、 加大行业技术创新力度将成为我国清洗与植保机械行业的技术发展方向。</w:t>
      </w:r>
    </w:p>
    <w:p>
      <w:pPr>
        <w:pStyle w:val="BodyText"/>
        <w:spacing w:line="355" w:lineRule="auto" w:before="31"/>
        <w:ind w:left="557" w:right="1684"/>
        <w:jc w:val="left"/>
      </w:pPr>
      <w:r>
        <w:rPr>
          <w:rFonts w:ascii="宋体" w:hAnsi="宋体" w:cs="宋体" w:eastAsia="宋体" w:hint="default"/>
        </w:rPr>
        <w:t>4</w:t>
      </w:r>
      <w:r>
        <w:rPr/>
        <w:t>、工业泵 </w:t>
      </w:r>
      <w:r>
        <w:rPr>
          <w:spacing w:val="-3"/>
        </w:rPr>
        <w:t>近年来，得益于国家扩大公共设施投资以及刺激内需的政策，水利水务、电力、钢铁冶</w:t>
      </w:r>
    </w:p>
    <w:p>
      <w:pPr>
        <w:pStyle w:val="BodyText"/>
        <w:spacing w:line="357" w:lineRule="auto" w:before="33"/>
        <w:ind w:right="1684"/>
        <w:jc w:val="left"/>
      </w:pPr>
      <w:r>
        <w:rPr>
          <w:spacing w:val="-3"/>
        </w:rPr>
        <w:t>金、石化、矿业等国民经济主要部门和城市基础设施建设需求持续增长，工业泵产品的产值</w:t>
      </w:r>
      <w:r>
        <w:rPr>
          <w:spacing w:val="-74"/>
        </w:rPr>
        <w:t> </w:t>
      </w:r>
      <w:r>
        <w:rPr>
          <w:spacing w:val="-74"/>
        </w:rPr>
      </w:r>
      <w:r>
        <w:rPr/>
        <w:t>和销售额也保持了持续增长的势头。随着对国外技术的引进和消化以及自主创新能力的加 </w:t>
      </w:r>
      <w:r>
        <w:rPr>
          <w:spacing w:val="-3"/>
        </w:rPr>
        <w:t>强，国内工业用泵行业在技术上取得了长足的发展，已经逐步缩小了与国外先进制造技术的</w:t>
      </w:r>
      <w:r>
        <w:rPr>
          <w:spacing w:val="-75"/>
        </w:rPr>
        <w:t> </w:t>
      </w:r>
      <w:r>
        <w:rPr>
          <w:spacing w:val="-75"/>
        </w:rPr>
      </w:r>
      <w:r>
        <w:rPr/>
        <w:t>差距。</w:t>
      </w:r>
    </w:p>
    <w:p>
      <w:pPr>
        <w:pStyle w:val="BodyText"/>
        <w:spacing w:line="357" w:lineRule="auto"/>
        <w:ind w:right="1792" w:firstLine="420"/>
        <w:jc w:val="both"/>
      </w:pPr>
      <w:r>
        <w:rPr>
          <w:spacing w:val="-3"/>
        </w:rPr>
        <w:t>从“十五”到“十一五”，全国水利建设投资翻番，而在“十二五”期间，预计中国水</w:t>
      </w:r>
      <w:r>
        <w:rPr/>
        <w:t> </w:t>
      </w:r>
      <w:r>
        <w:rPr>
          <w:spacing w:val="-3"/>
        </w:rPr>
        <w:t>利建设总投资规模约</w:t>
      </w:r>
      <w:r>
        <w:rPr>
          <w:rFonts w:ascii="宋体" w:hAnsi="宋体" w:cs="宋体" w:eastAsia="宋体" w:hint="default"/>
          <w:spacing w:val="-3"/>
        </w:rPr>
        <w:t>2</w:t>
      </w:r>
      <w:r>
        <w:rPr>
          <w:spacing w:val="-3"/>
        </w:rPr>
        <w:t>万亿元人民币，其中中央投资</w:t>
      </w:r>
      <w:r>
        <w:rPr>
          <w:rFonts w:ascii="宋体" w:hAnsi="宋体" w:cs="宋体" w:eastAsia="宋体" w:hint="default"/>
          <w:spacing w:val="-3"/>
        </w:rPr>
        <w:t>1</w:t>
      </w:r>
      <w:r>
        <w:rPr>
          <w:spacing w:val="-3"/>
        </w:rPr>
        <w:t>万亿元左右；同时，“十二五”期间多</w:t>
      </w:r>
      <w:r>
        <w:rPr>
          <w:spacing w:val="-78"/>
        </w:rPr>
        <w:t> </w:t>
      </w:r>
      <w:r>
        <w:rPr>
          <w:spacing w:val="-78"/>
        </w:rPr>
      </w:r>
      <w:r>
        <w:rPr>
          <w:spacing w:val="-3"/>
        </w:rPr>
        <w:t>个省份的水利发展规划投资都达到“十一五”期间的</w:t>
      </w:r>
      <w:r>
        <w:rPr>
          <w:rFonts w:ascii="宋体" w:hAnsi="宋体" w:cs="宋体" w:eastAsia="宋体" w:hint="default"/>
          <w:spacing w:val="-3"/>
        </w:rPr>
        <w:t>2-3</w:t>
      </w:r>
      <w:r>
        <w:rPr>
          <w:spacing w:val="-3"/>
        </w:rPr>
        <w:t>倍，有些省份甚至超过</w:t>
      </w:r>
      <w:r>
        <w:rPr>
          <w:rFonts w:ascii="宋体" w:hAnsi="宋体" w:cs="宋体" w:eastAsia="宋体" w:hint="default"/>
          <w:spacing w:val="-3"/>
        </w:rPr>
        <w:t>4</w:t>
      </w:r>
      <w:r>
        <w:rPr>
          <w:spacing w:val="-3"/>
        </w:rPr>
        <w:t>倍。“十二</w:t>
      </w:r>
      <w:r>
        <w:rPr>
          <w:spacing w:val="-72"/>
        </w:rPr>
        <w:t> </w:t>
      </w:r>
      <w:r>
        <w:rPr>
          <w:spacing w:val="-72"/>
        </w:rPr>
      </w:r>
      <w:r>
        <w:rPr>
          <w:spacing w:val="-5"/>
        </w:rPr>
        <w:t>五”期间，水利基础设施领域需求大型立式及潜水污水泵等环保用泵每年的需求量在</w:t>
      </w:r>
      <w:r>
        <w:rPr>
          <w:rFonts w:ascii="宋体" w:hAnsi="宋体" w:cs="宋体" w:eastAsia="宋体" w:hint="default"/>
          <w:spacing w:val="-5"/>
        </w:rPr>
        <w:t>2</w:t>
      </w:r>
      <w:r>
        <w:rPr>
          <w:spacing w:val="-5"/>
        </w:rPr>
        <w:t>万</w:t>
      </w:r>
      <w:r>
        <w:rPr>
          <w:rFonts w:ascii="宋体" w:hAnsi="宋体" w:cs="宋体" w:eastAsia="宋体" w:hint="default"/>
          <w:spacing w:val="-5"/>
        </w:rPr>
        <w:t>~2.5</w:t>
      </w:r>
      <w:r>
        <w:rPr>
          <w:rFonts w:ascii="宋体" w:hAnsi="宋体" w:cs="宋体" w:eastAsia="宋体" w:hint="default"/>
          <w:spacing w:val="-84"/>
        </w:rPr>
        <w:t> </w:t>
      </w:r>
      <w:r>
        <w:rPr>
          <w:spacing w:val="-3"/>
        </w:rPr>
        <w:t>万台左右，大型轴流泵、混流泵、双吸泵等自来水工程用泵，用于河道、港口的大型挖泥船</w:t>
      </w:r>
      <w:r>
        <w:rPr>
          <w:spacing w:val="-77"/>
        </w:rPr>
        <w:t> </w:t>
      </w:r>
      <w:r>
        <w:rPr>
          <w:spacing w:val="-77"/>
        </w:rPr>
      </w:r>
      <w:r>
        <w:rPr/>
        <w:t>用泵，总需求量在</w:t>
      </w:r>
      <w:r>
        <w:rPr>
          <w:rFonts w:ascii="宋体" w:hAnsi="宋体" w:cs="宋体" w:eastAsia="宋体" w:hint="default"/>
        </w:rPr>
        <w:t>2</w:t>
      </w:r>
      <w:r>
        <w:rPr/>
        <w:t>万</w:t>
      </w:r>
      <w:r>
        <w:rPr>
          <w:rFonts w:ascii="宋体" w:hAnsi="宋体" w:cs="宋体" w:eastAsia="宋体" w:hint="default"/>
        </w:rPr>
        <w:t>-2.5</w:t>
      </w:r>
      <w:r>
        <w:rPr/>
        <w:t>万台左右。</w:t>
      </w:r>
    </w:p>
    <w:p>
      <w:pPr>
        <w:pStyle w:val="BodyText"/>
        <w:spacing w:line="240" w:lineRule="auto"/>
        <w:ind w:left="557" w:right="0"/>
        <w:jc w:val="left"/>
      </w:pPr>
      <w:r>
        <w:rPr>
          <w:rFonts w:ascii="宋体" w:hAnsi="宋体" w:cs="宋体" w:eastAsia="宋体" w:hint="default"/>
        </w:rPr>
        <w:t>5</w:t>
      </w:r>
      <w:r>
        <w:rPr/>
        <w:t>、数字营销</w:t>
      </w:r>
    </w:p>
    <w:p>
      <w:pPr>
        <w:pStyle w:val="BodyText"/>
        <w:spacing w:line="357" w:lineRule="auto" w:before="133"/>
        <w:ind w:left="557" w:right="0"/>
        <w:jc w:val="left"/>
      </w:pPr>
      <w:r>
        <w:rPr/>
        <w:t>（</w:t>
      </w:r>
      <w:r>
        <w:rPr>
          <w:rFonts w:ascii="宋体" w:hAnsi="宋体" w:cs="宋体" w:eastAsia="宋体" w:hint="default"/>
        </w:rPr>
        <w:t>1</w:t>
      </w:r>
      <w:r>
        <w:rPr/>
        <w:t>）中国数字营销市场整体状况和发展趋势 </w:t>
      </w:r>
      <w:r>
        <w:rPr>
          <w:spacing w:val="-3"/>
        </w:rPr>
        <w:t>目前中国数字营销市场正在经历高速发展阶段，相关数据显示，过去三年的市场增长率</w:t>
      </w:r>
    </w:p>
    <w:p>
      <w:pPr>
        <w:pStyle w:val="BodyText"/>
        <w:spacing w:line="357" w:lineRule="auto"/>
        <w:ind w:left="557" w:right="1794" w:hanging="420"/>
        <w:jc w:val="left"/>
      </w:pPr>
      <w:r>
        <w:rPr/>
        <w:t>均在</w:t>
      </w:r>
      <w:r>
        <w:rPr>
          <w:rFonts w:ascii="宋体" w:hAnsi="宋体" w:cs="宋体" w:eastAsia="宋体" w:hint="default"/>
        </w:rPr>
        <w:t>40%</w:t>
      </w:r>
      <w:r>
        <w:rPr/>
        <w:t>以上，与此同时，数字营销向移动端发展的趋势较为明显。 </w:t>
      </w:r>
      <w:r>
        <w:rPr>
          <w:rFonts w:ascii="宋体" w:hAnsi="宋体" w:cs="宋体" w:eastAsia="宋体" w:hint="default"/>
        </w:rPr>
        <w:t>2013</w:t>
      </w:r>
      <w:r>
        <w:rPr/>
        <w:t>年，国内数字营销市场规模达到</w:t>
      </w:r>
      <w:r>
        <w:rPr>
          <w:rFonts w:ascii="宋体" w:hAnsi="宋体" w:cs="宋体" w:eastAsia="宋体" w:hint="default"/>
        </w:rPr>
        <w:t>1100</w:t>
      </w:r>
      <w:r>
        <w:rPr/>
        <w:t>亿元，同比增长</w:t>
      </w:r>
      <w:r>
        <w:rPr>
          <w:rFonts w:ascii="宋体" w:hAnsi="宋体" w:cs="宋体" w:eastAsia="宋体" w:hint="default"/>
        </w:rPr>
        <w:t>46.1%</w:t>
      </w:r>
      <w:r>
        <w:rPr/>
        <w:t>，与</w:t>
      </w:r>
      <w:r>
        <w:rPr>
          <w:rFonts w:ascii="宋体" w:hAnsi="宋体" w:cs="宋体" w:eastAsia="宋体" w:hint="default"/>
        </w:rPr>
        <w:t>2012</w:t>
      </w:r>
      <w:r>
        <w:rPr/>
        <w:t>年保持相当的</w:t>
      </w:r>
    </w:p>
    <w:p>
      <w:pPr>
        <w:pStyle w:val="BodyText"/>
        <w:spacing w:line="357" w:lineRule="auto"/>
        <w:ind w:left="138" w:right="0"/>
        <w:jc w:val="left"/>
      </w:pPr>
      <w:r>
        <w:rPr>
          <w:spacing w:val="-3"/>
        </w:rPr>
        <w:t>增长速度，整体保持平稳增长。国内数字营销市场规模在突破千亿大关之后，随着市场成熟</w:t>
      </w:r>
      <w:r>
        <w:rPr>
          <w:spacing w:val="-72"/>
        </w:rPr>
        <w:t> </w:t>
      </w:r>
      <w:r>
        <w:rPr>
          <w:spacing w:val="-72"/>
        </w:rPr>
      </w:r>
      <w:r>
        <w:rPr/>
        <w:t>度的不断提高，将在未来几年将放缓增速，稳步发展。</w:t>
      </w:r>
    </w:p>
    <w:p>
      <w:pPr>
        <w:spacing w:after="0" w:line="357" w:lineRule="auto"/>
        <w:jc w:val="left"/>
        <w:sectPr>
          <w:pgSz w:w="11910" w:h="16840"/>
          <w:pgMar w:header="0" w:footer="938" w:top="1100" w:bottom="1120" w:left="16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4396" w:lineRule="exact"/>
        <w:ind w:left="241"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987298" cy="2791968"/>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4987298" cy="2791968"/>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1"/>
        <w:rPr>
          <w:rFonts w:ascii="宋体" w:hAnsi="宋体" w:cs="宋体" w:eastAsia="宋体" w:hint="default"/>
          <w:sz w:val="14"/>
          <w:szCs w:val="14"/>
        </w:rPr>
      </w:pPr>
    </w:p>
    <w:p>
      <w:pPr>
        <w:pStyle w:val="BodyText"/>
        <w:spacing w:line="273" w:lineRule="auto" w:before="35"/>
        <w:ind w:right="1793" w:firstLine="6423"/>
        <w:jc w:val="right"/>
      </w:pPr>
      <w:r>
        <w:rPr/>
        <w:t>数据来源：艾瑞咨询 </w:t>
      </w:r>
      <w:r>
        <w:rPr>
          <w:rFonts w:ascii="宋体" w:hAnsi="宋体" w:cs="宋体" w:eastAsia="宋体" w:hint="default"/>
          <w:spacing w:val="-1"/>
        </w:rPr>
        <w:t>2013</w:t>
      </w:r>
      <w:r>
        <w:rPr>
          <w:spacing w:val="-1"/>
        </w:rPr>
        <w:t>年移动数字营销市场规模突破</w:t>
      </w:r>
      <w:r>
        <w:rPr>
          <w:rFonts w:ascii="宋体" w:hAnsi="宋体" w:cs="宋体" w:eastAsia="宋体" w:hint="default"/>
          <w:spacing w:val="-1"/>
        </w:rPr>
        <w:t>150</w:t>
      </w:r>
      <w:r>
        <w:rPr>
          <w:spacing w:val="-1"/>
        </w:rPr>
        <w:t>亿元，同比增幅达</w:t>
      </w:r>
      <w:r>
        <w:rPr>
          <w:rFonts w:ascii="宋体" w:hAnsi="宋体" w:cs="宋体" w:eastAsia="宋体" w:hint="default"/>
          <w:spacing w:val="-1"/>
        </w:rPr>
        <w:t>105%</w:t>
      </w:r>
      <w:r>
        <w:rPr>
          <w:spacing w:val="-1"/>
        </w:rPr>
        <w:t>，发展迅猛。移动数字营</w:t>
      </w:r>
    </w:p>
    <w:p>
      <w:pPr>
        <w:pStyle w:val="BodyText"/>
        <w:spacing w:line="355" w:lineRule="auto" w:before="105"/>
        <w:ind w:right="0"/>
        <w:jc w:val="left"/>
      </w:pPr>
      <w:r>
        <w:rPr>
          <w:spacing w:val="-3"/>
        </w:rPr>
        <w:t>销的整体市场增速远远高于数字营销市场的整体增速。智能终端设备的普及、用户数量的不</w:t>
      </w:r>
      <w:r>
        <w:rPr>
          <w:spacing w:val="-75"/>
        </w:rPr>
        <w:t> </w:t>
      </w:r>
      <w:r>
        <w:rPr>
          <w:spacing w:val="-75"/>
        </w:rPr>
      </w:r>
      <w:r>
        <w:rPr/>
        <w:t>断攀升以及移动数字营销实施平台的不断涌现是促进移动数字营销市场规模不断发展的动 力所在，同时移动营销的高速发展也带动了社会化营销的高速发展。</w:t>
      </w:r>
    </w:p>
    <w:p>
      <w:pPr>
        <w:spacing w:line="240" w:lineRule="auto" w:before="3"/>
        <w:rPr>
          <w:rFonts w:ascii="宋体" w:hAnsi="宋体" w:cs="宋体" w:eastAsia="宋体" w:hint="default"/>
          <w:sz w:val="23"/>
          <w:szCs w:val="23"/>
        </w:rPr>
      </w:pPr>
    </w:p>
    <w:p>
      <w:pPr>
        <w:spacing w:line="4214" w:lineRule="exact"/>
        <w:ind w:left="263"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978364" cy="267614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4978364" cy="2676144"/>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4"/>
        <w:rPr>
          <w:rFonts w:ascii="宋体" w:hAnsi="宋体" w:cs="宋体" w:eastAsia="宋体" w:hint="default"/>
          <w:sz w:val="14"/>
          <w:szCs w:val="14"/>
        </w:rPr>
      </w:pPr>
    </w:p>
    <w:p>
      <w:pPr>
        <w:pStyle w:val="BodyText"/>
        <w:spacing w:line="273" w:lineRule="auto" w:before="35"/>
        <w:ind w:left="557" w:right="1776" w:firstLine="6003"/>
        <w:jc w:val="left"/>
      </w:pPr>
      <w:r>
        <w:rPr/>
        <w:t>数据来源：艾瑞咨询 根据上图，</w:t>
      </w:r>
      <w:r>
        <w:rPr>
          <w:rFonts w:ascii="宋体" w:hAnsi="宋体" w:cs="宋体" w:eastAsia="宋体" w:hint="default"/>
        </w:rPr>
        <w:t>2013</w:t>
      </w:r>
      <w:r>
        <w:rPr/>
        <w:t>年，移动营销市场规模为</w:t>
      </w:r>
      <w:r>
        <w:rPr>
          <w:rFonts w:ascii="宋体" w:hAnsi="宋体" w:cs="宋体" w:eastAsia="宋体" w:hint="default"/>
        </w:rPr>
        <w:t>155.2</w:t>
      </w:r>
      <w:r>
        <w:rPr/>
        <w:t>亿，预计到</w:t>
      </w:r>
      <w:r>
        <w:rPr>
          <w:rFonts w:ascii="宋体" w:hAnsi="宋体" w:cs="宋体" w:eastAsia="宋体" w:hint="default"/>
        </w:rPr>
        <w:t>2017</w:t>
      </w:r>
      <w:r>
        <w:rPr/>
        <w:t>年达到</w:t>
      </w:r>
      <w:r>
        <w:rPr>
          <w:rFonts w:ascii="宋体" w:hAnsi="宋体" w:cs="宋体" w:eastAsia="宋体" w:hint="default"/>
        </w:rPr>
        <w:t>1276.9</w:t>
      </w:r>
      <w:r>
        <w:rPr/>
        <w:t>亿，</w:t>
      </w:r>
    </w:p>
    <w:p>
      <w:pPr>
        <w:pStyle w:val="BodyText"/>
        <w:spacing w:line="357" w:lineRule="auto" w:before="103"/>
        <w:ind w:left="138" w:right="1793"/>
        <w:jc w:val="both"/>
      </w:pPr>
      <w:r>
        <w:rPr>
          <w:rFonts w:ascii="宋体" w:hAnsi="宋体" w:cs="宋体" w:eastAsia="宋体" w:hint="default"/>
        </w:rPr>
        <w:t>2014-2017</w:t>
      </w:r>
      <w:r>
        <w:rPr/>
        <w:t>年复合增长率为</w:t>
      </w:r>
      <w:r>
        <w:rPr>
          <w:rFonts w:ascii="宋体" w:hAnsi="宋体" w:cs="宋体" w:eastAsia="宋体" w:hint="default"/>
        </w:rPr>
        <w:t>69.4%</w:t>
      </w:r>
      <w:r>
        <w:rPr/>
        <w:t>，远高于数字营销市场规模相应的复合增长率</w:t>
      </w:r>
      <w:r>
        <w:rPr>
          <w:rFonts w:ascii="宋体" w:hAnsi="宋体" w:cs="宋体" w:eastAsia="宋体" w:hint="default"/>
        </w:rPr>
        <w:t>26.9%</w:t>
      </w:r>
      <w:r>
        <w:rPr/>
        <w:t>。移动 </w:t>
      </w:r>
      <w:r>
        <w:rPr>
          <w:spacing w:val="-3"/>
        </w:rPr>
        <w:t>营销在整体数字化营销市场中的占比将持续增大，其中，移动营销在数字营销市场中占比将</w:t>
      </w:r>
      <w:r>
        <w:rPr>
          <w:spacing w:val="-74"/>
        </w:rPr>
        <w:t> </w:t>
      </w:r>
      <w:r>
        <w:rPr>
          <w:spacing w:val="-74"/>
        </w:rPr>
      </w:r>
      <w:r>
        <w:rPr/>
        <w:t>从</w:t>
      </w:r>
      <w:r>
        <w:rPr>
          <w:rFonts w:ascii="宋体" w:hAnsi="宋体" w:cs="宋体" w:eastAsia="宋体" w:hint="default"/>
        </w:rPr>
        <w:t>2013</w:t>
      </w:r>
      <w:r>
        <w:rPr/>
        <w:t>年的</w:t>
      </w:r>
      <w:r>
        <w:rPr>
          <w:rFonts w:ascii="宋体" w:hAnsi="宋体" w:cs="宋体" w:eastAsia="宋体" w:hint="default"/>
        </w:rPr>
        <w:t>12%</w:t>
      </w:r>
      <w:r>
        <w:rPr/>
        <w:t>提升至</w:t>
      </w:r>
      <w:r>
        <w:rPr>
          <w:rFonts w:ascii="宋体" w:hAnsi="宋体" w:cs="宋体" w:eastAsia="宋体" w:hint="default"/>
        </w:rPr>
        <w:t>2017</w:t>
      </w:r>
      <w:r>
        <w:rPr/>
        <w:t>年的</w:t>
      </w:r>
      <w:r>
        <w:rPr>
          <w:rFonts w:ascii="宋体" w:hAnsi="宋体" w:cs="宋体" w:eastAsia="宋体" w:hint="default"/>
        </w:rPr>
        <w:t>31%</w:t>
      </w:r>
      <w:r>
        <w:rPr/>
        <w:t>。数字化营销向移动端加速迁移的效应明显。</w:t>
      </w:r>
    </w:p>
    <w:p>
      <w:pPr>
        <w:pStyle w:val="BodyText"/>
        <w:spacing w:line="240" w:lineRule="auto" w:before="31"/>
        <w:ind w:left="557" w:right="0"/>
        <w:jc w:val="left"/>
      </w:pPr>
      <w:r>
        <w:rPr/>
        <w:t>（</w:t>
      </w:r>
      <w:r>
        <w:rPr>
          <w:rFonts w:ascii="宋体" w:hAnsi="宋体" w:cs="宋体" w:eastAsia="宋体" w:hint="default"/>
        </w:rPr>
        <w:t>2</w:t>
      </w:r>
      <w:r>
        <w:rPr/>
        <w:t>）各种形式的数字营销发展情况</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0" w:firstLine="420"/>
        <w:jc w:val="left"/>
      </w:pPr>
      <w:r>
        <w:rPr>
          <w:spacing w:val="-3"/>
        </w:rPr>
        <w:t>按照数字化营销不同的表现形式，可以分为垂直搜索营销、搜索关键字营销、品牌图形</w:t>
      </w:r>
      <w:r>
        <w:rPr/>
        <w:t> 营销、视频贴片营销、富媒体营销、固定文字链营销、电子邮件营销等。</w:t>
      </w:r>
    </w:p>
    <w:p>
      <w:pPr>
        <w:spacing w:line="240" w:lineRule="auto" w:before="3"/>
        <w:rPr>
          <w:rFonts w:ascii="宋体" w:hAnsi="宋体" w:cs="宋体" w:eastAsia="宋体" w:hint="default"/>
          <w:sz w:val="23"/>
          <w:szCs w:val="23"/>
        </w:rPr>
      </w:pPr>
    </w:p>
    <w:p>
      <w:pPr>
        <w:spacing w:line="4425" w:lineRule="exact"/>
        <w:ind w:left="251"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4985319" cy="281025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9" cstate="print"/>
                    <a:stretch>
                      <a:fillRect/>
                    </a:stretch>
                  </pic:blipFill>
                  <pic:spPr>
                    <a:xfrm>
                      <a:off x="0" y="0"/>
                      <a:ext cx="4985319" cy="281025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2"/>
        <w:rPr>
          <w:rFonts w:ascii="宋体" w:hAnsi="宋体" w:cs="宋体" w:eastAsia="宋体" w:hint="default"/>
          <w:sz w:val="11"/>
          <w:szCs w:val="11"/>
        </w:rPr>
      </w:pPr>
    </w:p>
    <w:p>
      <w:pPr>
        <w:pStyle w:val="BodyText"/>
        <w:spacing w:line="273" w:lineRule="auto" w:before="35"/>
        <w:ind w:left="557" w:right="1776" w:firstLine="6003"/>
        <w:jc w:val="left"/>
      </w:pPr>
      <w:r>
        <w:rPr/>
        <w:t>数据来源：艾瑞咨询 相关研究数据表明，</w:t>
      </w:r>
      <w:r>
        <w:rPr>
          <w:rFonts w:ascii="宋体" w:hAnsi="宋体" w:cs="宋体" w:eastAsia="宋体" w:hint="default"/>
        </w:rPr>
        <w:t>2013</w:t>
      </w:r>
      <w:r>
        <w:rPr/>
        <w:t>年，垂直搜索广告占数字化营销的比重达</w:t>
      </w:r>
      <w:r>
        <w:rPr>
          <w:rFonts w:ascii="宋体" w:hAnsi="宋体" w:cs="宋体" w:eastAsia="宋体" w:hint="default"/>
        </w:rPr>
        <w:t>28.9%</w:t>
      </w:r>
      <w:r>
        <w:rPr/>
        <w:t>，成为第一大</w:t>
      </w:r>
    </w:p>
    <w:p>
      <w:pPr>
        <w:pStyle w:val="BodyText"/>
        <w:spacing w:line="357" w:lineRule="auto" w:before="105"/>
        <w:ind w:left="138" w:right="0"/>
        <w:jc w:val="left"/>
      </w:pPr>
      <w:r>
        <w:rPr>
          <w:spacing w:val="-5"/>
        </w:rPr>
        <w:t>数字化营销形式。搜索关键字占比达</w:t>
      </w:r>
      <w:r>
        <w:rPr>
          <w:rFonts w:ascii="宋体" w:hAnsi="宋体" w:cs="宋体" w:eastAsia="宋体" w:hint="default"/>
          <w:spacing w:val="-5"/>
        </w:rPr>
        <w:t>26.5%</w:t>
      </w:r>
      <w:r>
        <w:rPr>
          <w:spacing w:val="-5"/>
        </w:rPr>
        <w:t>，较</w:t>
      </w:r>
      <w:r>
        <w:rPr>
          <w:rFonts w:ascii="宋体" w:hAnsi="宋体" w:cs="宋体" w:eastAsia="宋体" w:hint="default"/>
          <w:spacing w:val="-5"/>
        </w:rPr>
        <w:t>2012</w:t>
      </w:r>
      <w:r>
        <w:rPr>
          <w:spacing w:val="-5"/>
        </w:rPr>
        <w:t>年小幅下降。品牌图形营销占比为</w:t>
      </w:r>
      <w:r>
        <w:rPr>
          <w:rFonts w:ascii="宋体" w:hAnsi="宋体" w:cs="宋体" w:eastAsia="宋体" w:hint="default"/>
          <w:spacing w:val="-5"/>
        </w:rPr>
        <w:t>24.0%</w:t>
      </w:r>
      <w:r>
        <w:rPr>
          <w:spacing w:val="-5"/>
        </w:rPr>
        <w:t>，</w:t>
      </w:r>
      <w:r>
        <w:rPr>
          <w:spacing w:val="-61"/>
        </w:rPr>
        <w:t> </w:t>
      </w:r>
      <w:r>
        <w:rPr>
          <w:spacing w:val="-3"/>
        </w:rPr>
        <w:t>较</w:t>
      </w:r>
      <w:r>
        <w:rPr>
          <w:rFonts w:ascii="宋体" w:hAnsi="宋体" w:cs="宋体" w:eastAsia="宋体" w:hint="default"/>
          <w:spacing w:val="-3"/>
        </w:rPr>
        <w:t>2012</w:t>
      </w:r>
      <w:r>
        <w:rPr>
          <w:spacing w:val="-3"/>
        </w:rPr>
        <w:t>年下降明显。垂直搜索营销与视频贴片营销在未来几年将是主要的增长力量，搜索关</w:t>
      </w:r>
      <w:r>
        <w:rPr>
          <w:spacing w:val="-70"/>
        </w:rPr>
        <w:t> </w:t>
      </w:r>
      <w:r>
        <w:rPr>
          <w:spacing w:val="-70"/>
        </w:rPr>
      </w:r>
      <w:r>
        <w:rPr/>
        <w:t>键字营销和品牌图形营销占比则将进一步受到挤压。</w:t>
      </w:r>
    </w:p>
    <w:p>
      <w:pPr>
        <w:pStyle w:val="BodyText"/>
        <w:spacing w:line="355" w:lineRule="auto" w:before="31"/>
        <w:ind w:left="557" w:right="0"/>
        <w:jc w:val="left"/>
      </w:pPr>
      <w:r>
        <w:rPr/>
        <w:t>（</w:t>
      </w:r>
      <w:r>
        <w:rPr>
          <w:rFonts w:ascii="宋体" w:hAnsi="宋体" w:cs="宋体" w:eastAsia="宋体" w:hint="default"/>
        </w:rPr>
        <w:t>3</w:t>
      </w:r>
      <w:r>
        <w:rPr/>
        <w:t>）不同网络媒体市场发展情况 </w:t>
      </w:r>
      <w:r>
        <w:rPr>
          <w:spacing w:val="-3"/>
        </w:rPr>
        <w:t>数字化营销的投放媒体主要包括电商网站、搜索引擎、门户网站、独立视频网站、垂直</w:t>
      </w:r>
    </w:p>
    <w:p>
      <w:pPr>
        <w:pStyle w:val="BodyText"/>
        <w:spacing w:line="240" w:lineRule="auto" w:before="33"/>
        <w:ind w:right="0"/>
        <w:jc w:val="left"/>
      </w:pPr>
      <w:r>
        <w:rPr/>
        <w:t>行业网站、分类信息网站、独立网络社区等。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4396" w:lineRule="exact"/>
        <w:ind w:left="248"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947186" cy="2791968"/>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0" cstate="print"/>
                    <a:stretch>
                      <a:fillRect/>
                    </a:stretch>
                  </pic:blipFill>
                  <pic:spPr>
                    <a:xfrm>
                      <a:off x="0" y="0"/>
                      <a:ext cx="4947186" cy="2791968"/>
                    </a:xfrm>
                    <a:prstGeom prst="rect">
                      <a:avLst/>
                    </a:prstGeom>
                  </pic:spPr>
                </pic:pic>
              </a:graphicData>
            </a:graphic>
          </wp:inline>
        </w:drawing>
      </w:r>
      <w:r>
        <w:rPr>
          <w:rFonts w:ascii="宋体" w:hAnsi="宋体" w:cs="宋体" w:eastAsia="宋体" w:hint="default"/>
          <w:position w:val="-87"/>
          <w:sz w:val="20"/>
          <w:szCs w:val="20"/>
        </w:rPr>
      </w:r>
    </w:p>
    <w:p>
      <w:pPr>
        <w:spacing w:after="0" w:line="4396" w:lineRule="exact"/>
        <w:rPr>
          <w:rFonts w:ascii="宋体" w:hAnsi="宋体" w:cs="宋体" w:eastAsia="宋体" w:hint="default"/>
          <w:sz w:val="20"/>
          <w:szCs w:val="20"/>
        </w:rPr>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273" w:lineRule="auto" w:before="35"/>
        <w:ind w:right="1793" w:firstLine="6423"/>
        <w:jc w:val="right"/>
      </w:pPr>
      <w:r>
        <w:rPr/>
        <w:t>数据来源：艾瑞咨询 </w:t>
      </w:r>
      <w:r>
        <w:rPr>
          <w:spacing w:val="-1"/>
        </w:rPr>
        <w:t>相关研究数据表明，</w:t>
      </w:r>
      <w:r>
        <w:rPr>
          <w:rFonts w:ascii="宋体" w:hAnsi="宋体" w:cs="宋体" w:eastAsia="宋体" w:hint="default"/>
          <w:spacing w:val="-1"/>
        </w:rPr>
        <w:t>2013</w:t>
      </w:r>
      <w:r>
        <w:rPr>
          <w:spacing w:val="-1"/>
        </w:rPr>
        <w:t>年搜索引擎是市场份额最大的媒体形式，占比达</w:t>
      </w:r>
      <w:r>
        <w:rPr>
          <w:rFonts w:ascii="宋体" w:hAnsi="宋体" w:cs="宋体" w:eastAsia="宋体" w:hint="default"/>
          <w:spacing w:val="-1"/>
        </w:rPr>
        <w:t>31.4%</w:t>
      </w:r>
      <w:r>
        <w:rPr>
          <w:spacing w:val="-1"/>
        </w:rPr>
        <w:t>。电商</w:t>
      </w:r>
    </w:p>
    <w:p>
      <w:pPr>
        <w:pStyle w:val="BodyText"/>
        <w:spacing w:line="355" w:lineRule="auto" w:before="105"/>
        <w:ind w:right="1794"/>
        <w:jc w:val="left"/>
      </w:pPr>
      <w:r>
        <w:rPr/>
        <w:t>网站紧随其后，占比为</w:t>
      </w:r>
      <w:r>
        <w:rPr>
          <w:rFonts w:ascii="宋体" w:hAnsi="宋体" w:cs="宋体" w:eastAsia="宋体" w:hint="default"/>
        </w:rPr>
        <w:t>28.4%</w:t>
      </w:r>
      <w:r>
        <w:rPr/>
        <w:t>。预计到</w:t>
      </w:r>
      <w:r>
        <w:rPr>
          <w:rFonts w:ascii="宋体" w:hAnsi="宋体" w:cs="宋体" w:eastAsia="宋体" w:hint="default"/>
        </w:rPr>
        <w:t>2017</w:t>
      </w:r>
      <w:r>
        <w:rPr/>
        <w:t>年，电商网站将成为最大份额的媒体形式，占比 达</w:t>
      </w:r>
      <w:r>
        <w:rPr>
          <w:rFonts w:ascii="宋体" w:hAnsi="宋体" w:cs="宋体" w:eastAsia="宋体" w:hint="default"/>
        </w:rPr>
        <w:t>38.7%</w:t>
      </w:r>
      <w:r>
        <w:rPr/>
        <w:t>，成为最具营销潜力的网络媒体形式之一。</w:t>
      </w:r>
    </w:p>
    <w:p>
      <w:pPr>
        <w:pStyle w:val="BodyText"/>
        <w:spacing w:line="355" w:lineRule="auto" w:before="34"/>
        <w:ind w:left="557" w:right="1689"/>
        <w:jc w:val="left"/>
      </w:pPr>
      <w:r>
        <w:rPr/>
        <w:t>（</w:t>
      </w:r>
      <w:r>
        <w:rPr>
          <w:rFonts w:ascii="宋体" w:hAnsi="宋体" w:cs="宋体" w:eastAsia="宋体" w:hint="default"/>
        </w:rPr>
        <w:t>4</w:t>
      </w:r>
      <w:r>
        <w:rPr/>
        <w:t>）数字化营销行业核心媒体发展情况 数字化营销公司提供的数字化营销服务最终需要在数字营销实施平台上实现，近年来，</w:t>
      </w:r>
    </w:p>
    <w:p>
      <w:pPr>
        <w:pStyle w:val="BodyText"/>
        <w:spacing w:line="357" w:lineRule="auto" w:before="32"/>
        <w:ind w:right="1684"/>
        <w:jc w:val="left"/>
      </w:pPr>
      <w:r>
        <w:rPr>
          <w:spacing w:val="-5"/>
        </w:rPr>
        <w:t>互联网核心媒体的数字营销投放收入排名基本稳定，根据</w:t>
      </w:r>
      <w:r>
        <w:rPr>
          <w:rFonts w:ascii="宋体" w:hAnsi="宋体" w:cs="宋体" w:eastAsia="宋体" w:hint="default"/>
          <w:spacing w:val="-5"/>
        </w:rPr>
        <w:t>2013</w:t>
      </w:r>
      <w:r>
        <w:rPr>
          <w:spacing w:val="-5"/>
        </w:rPr>
        <w:t>年的相关营业收入排名，百度、</w:t>
      </w:r>
      <w:r>
        <w:rPr>
          <w:spacing w:val="-83"/>
        </w:rPr>
        <w:t> </w:t>
      </w:r>
      <w:r>
        <w:rPr>
          <w:spacing w:val="-83"/>
        </w:rPr>
      </w:r>
      <w:r>
        <w:rPr/>
        <w:t>淘宝作为第一梯队，收入遥遥领先，均超过</w:t>
      </w:r>
      <w:r>
        <w:rPr>
          <w:rFonts w:ascii="宋体" w:hAnsi="宋体" w:cs="宋体" w:eastAsia="宋体" w:hint="default"/>
        </w:rPr>
        <w:t>280</w:t>
      </w:r>
      <w:r>
        <w:rPr/>
        <w:t>亿元；谷歌中国、腾讯、搜狐、新浪、优酷 土豆、搜房和奇虎</w:t>
      </w:r>
      <w:r>
        <w:rPr>
          <w:rFonts w:ascii="宋体" w:hAnsi="宋体" w:cs="宋体" w:eastAsia="宋体" w:hint="default"/>
        </w:rPr>
        <w:t>360</w:t>
      </w:r>
      <w:r>
        <w:rPr/>
        <w:t>为第二梯队，数字营销投放收入在</w:t>
      </w:r>
      <w:r>
        <w:rPr>
          <w:rFonts w:ascii="宋体" w:hAnsi="宋体" w:cs="宋体" w:eastAsia="宋体" w:hint="default"/>
        </w:rPr>
        <w:t>20</w:t>
      </w:r>
      <w:r>
        <w:rPr/>
        <w:t>亿元以上。其余企业位列第三阵 营。</w:t>
      </w:r>
    </w:p>
    <w:p>
      <w:pPr>
        <w:spacing w:line="240" w:lineRule="auto" w:before="11"/>
        <w:rPr>
          <w:rFonts w:ascii="宋体" w:hAnsi="宋体" w:cs="宋体" w:eastAsia="宋体" w:hint="default"/>
          <w:sz w:val="22"/>
          <w:szCs w:val="22"/>
        </w:rPr>
      </w:pPr>
    </w:p>
    <w:p>
      <w:pPr>
        <w:spacing w:line="6652" w:lineRule="exact"/>
        <w:ind w:left="724" w:right="0" w:firstLine="0"/>
        <w:rPr>
          <w:rFonts w:ascii="宋体" w:hAnsi="宋体" w:cs="宋体" w:eastAsia="宋体" w:hint="default"/>
          <w:sz w:val="20"/>
          <w:szCs w:val="20"/>
        </w:rPr>
      </w:pPr>
      <w:r>
        <w:rPr>
          <w:rFonts w:ascii="宋体" w:hAnsi="宋体" w:cs="宋体" w:eastAsia="宋体" w:hint="default"/>
          <w:position w:val="-132"/>
          <w:sz w:val="20"/>
          <w:szCs w:val="20"/>
        </w:rPr>
        <w:drawing>
          <wp:inline distT="0" distB="0" distL="0" distR="0">
            <wp:extent cx="5098265" cy="4224528"/>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1" cstate="print"/>
                    <a:stretch>
                      <a:fillRect/>
                    </a:stretch>
                  </pic:blipFill>
                  <pic:spPr>
                    <a:xfrm>
                      <a:off x="0" y="0"/>
                      <a:ext cx="5098265" cy="4224528"/>
                    </a:xfrm>
                    <a:prstGeom prst="rect">
                      <a:avLst/>
                    </a:prstGeom>
                  </pic:spPr>
                </pic:pic>
              </a:graphicData>
            </a:graphic>
          </wp:inline>
        </w:drawing>
      </w:r>
      <w:r>
        <w:rPr>
          <w:rFonts w:ascii="宋体" w:hAnsi="宋体" w:cs="宋体" w:eastAsia="宋体" w:hint="default"/>
          <w:position w:val="-132"/>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357" w:lineRule="auto" w:before="35"/>
        <w:ind w:left="558" w:right="0"/>
        <w:jc w:val="left"/>
      </w:pPr>
      <w:r>
        <w:rPr/>
        <w:t>（二）公司未来发展规划 </w:t>
      </w:r>
      <w:r>
        <w:rPr>
          <w:spacing w:val="-3"/>
        </w:rPr>
        <w:t>未来，在保持机械制造业务稳步发展、适度增长的基础上，公司将全力向互联网产业转</w:t>
      </w:r>
    </w:p>
    <w:p>
      <w:pPr>
        <w:pStyle w:val="BodyText"/>
        <w:spacing w:line="357" w:lineRule="auto"/>
        <w:ind w:left="558" w:right="0" w:hanging="420"/>
        <w:jc w:val="left"/>
      </w:pPr>
      <w:r>
        <w:rPr/>
        <w:t>型，大力发展互联网相关业务。 </w:t>
      </w:r>
      <w:r>
        <w:rPr>
          <w:spacing w:val="-3"/>
        </w:rPr>
        <w:t>公司经审慎论证后认为，互联网行业代表了未来社会发展的方向，互联网经济的迅速崛</w:t>
      </w:r>
    </w:p>
    <w:p>
      <w:pPr>
        <w:pStyle w:val="BodyText"/>
        <w:spacing w:line="357" w:lineRule="auto"/>
        <w:ind w:left="138" w:right="1683"/>
        <w:jc w:val="left"/>
      </w:pPr>
      <w:r>
        <w:rPr>
          <w:spacing w:val="-3"/>
        </w:rPr>
        <w:t>起将为中国经济的增长提供新的强大动力。互联网革命作为工业革命后最重要的技术变革正</w:t>
      </w:r>
      <w:r>
        <w:rPr>
          <w:spacing w:val="-73"/>
        </w:rPr>
        <w:t> </w:t>
      </w:r>
      <w:r>
        <w:rPr>
          <w:spacing w:val="-73"/>
        </w:rPr>
      </w:r>
      <w:r>
        <w:rPr>
          <w:spacing w:val="-5"/>
        </w:rPr>
        <w:t>深刻影响经济社会的各个领域，影响着人们生活、工作、社交、娱乐等社会活动的方方面面。</w:t>
      </w:r>
    </w:p>
    <w:p>
      <w:pPr>
        <w:spacing w:after="0" w:line="357"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558" w:right="0" w:hanging="420"/>
        <w:jc w:val="left"/>
      </w:pPr>
      <w:r>
        <w:rPr/>
        <w:t>有鉴于此，公司决定将互联网相关产业作为公司未来业务发展和对外投资的重要方向。 </w:t>
      </w:r>
      <w:r>
        <w:rPr>
          <w:spacing w:val="-3"/>
        </w:rPr>
        <w:t>数字营销行业作为互联网行业的一个新兴子行业，正深刻地影响和改变着企业的营销活</w:t>
      </w:r>
    </w:p>
    <w:p>
      <w:pPr>
        <w:pStyle w:val="BodyText"/>
        <w:spacing w:line="357" w:lineRule="auto" w:before="33"/>
        <w:ind w:left="138" w:right="1684"/>
        <w:jc w:val="left"/>
      </w:pPr>
      <w:r>
        <w:rPr>
          <w:spacing w:val="-3"/>
        </w:rPr>
        <w:t>动和品牌传播方式，行业市场容量巨大，且处于高速成长的过程中。因此，公司选择数字营</w:t>
      </w:r>
      <w:r>
        <w:rPr>
          <w:spacing w:val="-73"/>
        </w:rPr>
        <w:t> </w:t>
      </w:r>
      <w:r>
        <w:rPr>
          <w:spacing w:val="-73"/>
        </w:rPr>
      </w:r>
      <w:r>
        <w:rPr>
          <w:spacing w:val="-3"/>
        </w:rPr>
        <w:t>销行业作为发展互联网业务的突破口。</w:t>
      </w:r>
      <w:r>
        <w:rPr>
          <w:rFonts w:ascii="宋体" w:hAnsi="宋体" w:cs="宋体" w:eastAsia="宋体" w:hint="default"/>
          <w:spacing w:val="-3"/>
        </w:rPr>
        <w:t>2014</w:t>
      </w:r>
      <w:r>
        <w:rPr>
          <w:spacing w:val="-3"/>
        </w:rPr>
        <w:t>年，公司先后收购了上海漫酷、上海氩氪、琥珀</w:t>
      </w:r>
      <w:r>
        <w:rPr>
          <w:spacing w:val="-69"/>
        </w:rPr>
        <w:t> </w:t>
      </w:r>
      <w:r>
        <w:rPr>
          <w:spacing w:val="-69"/>
        </w:rPr>
      </w:r>
      <w:r>
        <w:rPr>
          <w:spacing w:val="-3"/>
        </w:rPr>
        <w:t>传播</w:t>
      </w:r>
      <w:r>
        <w:rPr>
          <w:rFonts w:ascii="宋体" w:hAnsi="宋体" w:cs="宋体" w:eastAsia="宋体" w:hint="default"/>
          <w:spacing w:val="-3"/>
        </w:rPr>
        <w:t>3</w:t>
      </w:r>
      <w:r>
        <w:rPr>
          <w:spacing w:val="-3"/>
        </w:rPr>
        <w:t>家优秀的数字营销服务机构，初步完成了在数字媒介代理、创意策略、创意内容制作、</w:t>
      </w:r>
      <w:r>
        <w:rPr>
          <w:spacing w:val="-71"/>
        </w:rPr>
        <w:t> </w:t>
      </w:r>
      <w:r>
        <w:rPr>
          <w:spacing w:val="-71"/>
        </w:rPr>
      </w:r>
      <w:r>
        <w:rPr>
          <w:spacing w:val="-3"/>
        </w:rPr>
        <w:t>社会化营销等业务领域的布局，成为行业内首家有能力为客户提供一站式整合数字营销服务</w:t>
      </w:r>
      <w:r>
        <w:rPr>
          <w:spacing w:val="-73"/>
        </w:rPr>
        <w:t> </w:t>
      </w:r>
      <w:r>
        <w:rPr>
          <w:spacing w:val="-73"/>
        </w:rPr>
      </w:r>
      <w:r>
        <w:rPr/>
        <w:t>的数字传播集团。</w:t>
      </w:r>
    </w:p>
    <w:p>
      <w:pPr>
        <w:pStyle w:val="BodyText"/>
        <w:spacing w:line="357" w:lineRule="auto"/>
        <w:ind w:left="138" w:right="1683" w:firstLine="420"/>
        <w:jc w:val="left"/>
      </w:pPr>
      <w:r>
        <w:rPr/>
        <w:t>未来</w:t>
      </w:r>
      <w:r>
        <w:rPr>
          <w:rFonts w:ascii="宋体" w:hAnsi="宋体" w:cs="宋体" w:eastAsia="宋体" w:hint="default"/>
        </w:rPr>
        <w:t>2-3</w:t>
      </w:r>
      <w:r>
        <w:rPr/>
        <w:t>年，公司将以目前的业务结构为基础，沿着横向、纵向两个维度，进一步丰富 </w:t>
      </w:r>
      <w:r>
        <w:rPr>
          <w:spacing w:val="-5"/>
        </w:rPr>
        <w:t>公司的业务品类，不断扩展业务边界。所有与公司现有数字营销业务有协同效应的业务品类，</w:t>
      </w:r>
      <w:r>
        <w:rPr>
          <w:spacing w:val="-92"/>
        </w:rPr>
        <w:t> </w:t>
      </w:r>
      <w:r>
        <w:rPr>
          <w:spacing w:val="-92"/>
        </w:rPr>
      </w:r>
      <w:r>
        <w:rPr>
          <w:spacing w:val="-3"/>
        </w:rPr>
        <w:t>如移动营销、搜索优化、电商代运营、垂直营销、体育营销、影视剧植入、流量经营等，都</w:t>
      </w:r>
      <w:r>
        <w:rPr>
          <w:spacing w:val="-78"/>
        </w:rPr>
        <w:t> </w:t>
      </w:r>
      <w:r>
        <w:rPr>
          <w:spacing w:val="-78"/>
        </w:rPr>
      </w:r>
      <w:r>
        <w:rPr>
          <w:spacing w:val="-5"/>
        </w:rPr>
        <w:t>是公司重点考察的方向。公司将充分利用上市公司的资本平台，借助收购兼并手段，高效率、</w:t>
      </w:r>
      <w:r>
        <w:rPr>
          <w:spacing w:val="-94"/>
        </w:rPr>
        <w:t> </w:t>
      </w:r>
      <w:r>
        <w:rPr>
          <w:spacing w:val="-94"/>
        </w:rPr>
      </w:r>
      <w:r>
        <w:rPr/>
        <w:t>高质量地并购市场上的优质公司，在做大业务体量的同时不断提升技术能力和专业服务能 力，确保数字营销业务板块的整体市场竞争力不断提升，为公司业绩提升奠定坚实基础。</w:t>
      </w:r>
    </w:p>
    <w:p>
      <w:pPr>
        <w:pStyle w:val="BodyText"/>
        <w:spacing w:line="355" w:lineRule="auto" w:before="31"/>
        <w:ind w:left="558" w:right="0"/>
        <w:jc w:val="left"/>
      </w:pPr>
      <w:r>
        <w:rPr/>
        <w:t>（三）公司</w:t>
      </w:r>
      <w:r>
        <w:rPr>
          <w:rFonts w:ascii="宋体" w:hAnsi="宋体" w:cs="宋体" w:eastAsia="宋体" w:hint="default"/>
        </w:rPr>
        <w:t>2015</w:t>
      </w:r>
      <w:r>
        <w:rPr/>
        <w:t>年的经营计划 </w:t>
      </w:r>
      <w:r>
        <w:rPr>
          <w:spacing w:val="-3"/>
        </w:rPr>
        <w:t>按照公司制订的预算目标，基于公司目前的业务结构和资产规模，公司计划</w:t>
      </w:r>
      <w:r>
        <w:rPr>
          <w:rFonts w:ascii="宋体" w:hAnsi="宋体" w:cs="宋体" w:eastAsia="宋体" w:hint="default"/>
          <w:spacing w:val="-3"/>
        </w:rPr>
        <w:t>2015</w:t>
      </w:r>
      <w:r>
        <w:rPr>
          <w:spacing w:val="-3"/>
        </w:rPr>
        <w:t>年实现</w:t>
      </w:r>
    </w:p>
    <w:p>
      <w:pPr>
        <w:pStyle w:val="BodyText"/>
        <w:spacing w:line="357" w:lineRule="auto" w:before="32"/>
        <w:ind w:left="138" w:right="1683"/>
        <w:jc w:val="left"/>
      </w:pPr>
      <w:r>
        <w:rPr>
          <w:spacing w:val="-3"/>
        </w:rPr>
        <w:t>销售收入</w:t>
      </w:r>
      <w:r>
        <w:rPr>
          <w:rFonts w:ascii="宋体" w:hAnsi="宋体" w:cs="宋体" w:eastAsia="宋体" w:hint="default"/>
          <w:spacing w:val="-3"/>
        </w:rPr>
        <w:t>38</w:t>
      </w:r>
      <w:r>
        <w:rPr>
          <w:spacing w:val="-3"/>
        </w:rPr>
        <w:t>亿元。（上述经营目标并不代表公司对</w:t>
      </w:r>
      <w:r>
        <w:rPr>
          <w:rFonts w:ascii="宋体" w:hAnsi="宋体" w:cs="宋体" w:eastAsia="宋体" w:hint="default"/>
          <w:spacing w:val="-3"/>
        </w:rPr>
        <w:t>2015</w:t>
      </w:r>
      <w:r>
        <w:rPr>
          <w:spacing w:val="-3"/>
        </w:rPr>
        <w:t>年度的盈利预测，能否实现取决于市</w:t>
      </w:r>
      <w:r>
        <w:rPr>
          <w:spacing w:val="-67"/>
        </w:rPr>
        <w:t> </w:t>
      </w:r>
      <w:r>
        <w:rPr>
          <w:spacing w:val="-67"/>
        </w:rPr>
      </w:r>
      <w:r>
        <w:rPr>
          <w:spacing w:val="-5"/>
        </w:rPr>
        <w:t>场状况变化、经营团队的努力程度等多种因素，存在很大的不确定性，请投资者特别注意）。</w:t>
      </w:r>
    </w:p>
    <w:p>
      <w:pPr>
        <w:pStyle w:val="BodyText"/>
        <w:spacing w:line="240" w:lineRule="auto"/>
        <w:ind w:left="558" w:right="0"/>
        <w:jc w:val="left"/>
      </w:pPr>
      <w:r>
        <w:rPr>
          <w:rFonts w:ascii="宋体" w:hAnsi="宋体" w:cs="宋体" w:eastAsia="宋体" w:hint="default"/>
        </w:rPr>
        <w:t>2015</w:t>
      </w:r>
      <w:r>
        <w:rPr/>
        <w:t>年，公司将重点做好以下几个方面的工作：</w:t>
      </w:r>
    </w:p>
    <w:p>
      <w:pPr>
        <w:pStyle w:val="BodyText"/>
        <w:spacing w:line="357" w:lineRule="auto" w:before="134"/>
        <w:ind w:left="138" w:right="1792" w:firstLine="420"/>
        <w:jc w:val="both"/>
      </w:pPr>
      <w:r>
        <w:rPr>
          <w:rFonts w:ascii="宋体" w:hAnsi="宋体" w:cs="宋体" w:eastAsia="宋体" w:hint="default"/>
        </w:rPr>
        <w:t>1</w:t>
      </w:r>
      <w:r>
        <w:rPr/>
        <w:t>、数字营销业务方面，将继续推进和完善上海漫酷、上海氩氪和银色琥珀在业务上的 </w:t>
      </w:r>
      <w:r>
        <w:rPr>
          <w:spacing w:val="-3"/>
        </w:rPr>
        <w:t>协同与整合，在移动互联网加速普及的背景下，充分发挥三家公司在大数据精准营销技术和</w:t>
      </w:r>
      <w:r>
        <w:rPr>
          <w:spacing w:val="-75"/>
        </w:rPr>
        <w:t> </w:t>
      </w:r>
      <w:r>
        <w:rPr>
          <w:spacing w:val="-75"/>
        </w:rPr>
      </w:r>
      <w:r>
        <w:rPr>
          <w:spacing w:val="-3"/>
        </w:rPr>
        <w:t>策略创意内容方面的优势，完成从</w:t>
      </w:r>
      <w:r>
        <w:rPr>
          <w:rFonts w:ascii="宋体" w:hAnsi="宋体" w:cs="宋体" w:eastAsia="宋体" w:hint="default"/>
          <w:spacing w:val="-3"/>
        </w:rPr>
        <w:t>PC</w:t>
      </w:r>
      <w:r>
        <w:rPr>
          <w:spacing w:val="-3"/>
        </w:rPr>
        <w:t>端到移动端数字营销业务的全网渗透，扩大和增强利欧</w:t>
      </w:r>
      <w:r>
        <w:rPr>
          <w:spacing w:val="-73"/>
        </w:rPr>
        <w:t> </w:t>
      </w:r>
      <w:r>
        <w:rPr>
          <w:spacing w:val="-73"/>
        </w:rPr>
      </w:r>
      <w:r>
        <w:rPr>
          <w:spacing w:val="-3"/>
        </w:rPr>
        <w:t>数字网络在业内的影响力，三家公司力争在完成各自业绩承诺的基础上，在技术能力、专业</w:t>
      </w:r>
      <w:r>
        <w:rPr>
          <w:spacing w:val="-72"/>
        </w:rPr>
        <w:t> </w:t>
      </w:r>
      <w:r>
        <w:rPr>
          <w:spacing w:val="-72"/>
        </w:rPr>
      </w:r>
      <w:r>
        <w:rPr/>
        <w:t>服务能力、品牌竞争力、市场美誉度方面更上一层楼；</w:t>
      </w:r>
    </w:p>
    <w:p>
      <w:pPr>
        <w:pStyle w:val="BodyText"/>
        <w:spacing w:line="357" w:lineRule="auto" w:before="31"/>
        <w:ind w:right="1811" w:firstLine="420"/>
        <w:jc w:val="both"/>
      </w:pPr>
      <w:r>
        <w:rPr>
          <w:rFonts w:ascii="宋体" w:hAnsi="宋体" w:cs="宋体" w:eastAsia="宋体" w:hint="default"/>
        </w:rPr>
        <w:t>2</w:t>
      </w:r>
      <w:r>
        <w:rPr/>
        <w:t>、坚持外延式扩张的发展思路，借助收购兼并手段，高效率、高质量地并购数字营销 行业的优质公司，力争在</w:t>
      </w:r>
      <w:r>
        <w:rPr>
          <w:rFonts w:ascii="宋体" w:hAnsi="宋体" w:cs="宋体" w:eastAsia="宋体" w:hint="default"/>
        </w:rPr>
        <w:t>2015</w:t>
      </w:r>
      <w:r>
        <w:rPr/>
        <w:t>年完成对</w:t>
      </w:r>
      <w:r>
        <w:rPr>
          <w:rFonts w:ascii="宋体" w:hAnsi="宋体" w:cs="宋体" w:eastAsia="宋体" w:hint="default"/>
        </w:rPr>
        <w:t>2-3</w:t>
      </w:r>
      <w:r>
        <w:rPr/>
        <w:t>家标的公司的收购或参股投资，进一步做大业务 体量，明显提升数字营销板块的盈利能力；</w:t>
      </w:r>
    </w:p>
    <w:p>
      <w:pPr>
        <w:pStyle w:val="BodyText"/>
        <w:spacing w:line="240" w:lineRule="auto"/>
        <w:ind w:left="557" w:right="0"/>
        <w:jc w:val="left"/>
      </w:pPr>
      <w:r>
        <w:rPr>
          <w:rFonts w:ascii="宋体" w:hAnsi="宋体" w:cs="宋体" w:eastAsia="宋体" w:hint="default"/>
        </w:rPr>
        <w:t>3</w:t>
      </w:r>
      <w:r>
        <w:rPr/>
        <w:t>、机械制造业务方面的主要工作如下：</w:t>
      </w:r>
    </w:p>
    <w:p>
      <w:pPr>
        <w:pStyle w:val="BodyText"/>
        <w:spacing w:line="355" w:lineRule="auto" w:before="134"/>
        <w:ind w:left="138" w:right="1795" w:firstLine="420"/>
        <w:jc w:val="both"/>
      </w:pPr>
      <w:r>
        <w:rPr/>
        <w:t>（</w:t>
      </w:r>
      <w:r>
        <w:rPr>
          <w:rFonts w:ascii="宋体" w:hAnsi="宋体" w:cs="宋体" w:eastAsia="宋体" w:hint="default"/>
        </w:rPr>
        <w:t>1</w:t>
      </w:r>
      <w:r>
        <w:rPr/>
        <w:t>）在</w:t>
      </w:r>
      <w:r>
        <w:rPr>
          <w:rFonts w:ascii="宋体" w:hAnsi="宋体" w:cs="宋体" w:eastAsia="宋体" w:hint="default"/>
        </w:rPr>
        <w:t>2014</w:t>
      </w:r>
      <w:r>
        <w:rPr/>
        <w:t>年的基础上，继续改进与优化销售人员业绩考核、分配与激励体系，提高 </w:t>
      </w:r>
      <w:r>
        <w:rPr>
          <w:spacing w:val="-3"/>
        </w:rPr>
        <w:t>业务人员积极性；加强售后服务体系的整合与整体建设；推进电子商务及移动商务等销售渠</w:t>
      </w:r>
      <w:r>
        <w:rPr>
          <w:spacing w:val="-75"/>
        </w:rPr>
        <w:t> </w:t>
      </w:r>
      <w:r>
        <w:rPr>
          <w:spacing w:val="-75"/>
        </w:rPr>
      </w:r>
      <w:r>
        <w:rPr/>
        <w:t>道的建设。</w:t>
      </w:r>
    </w:p>
    <w:p>
      <w:pPr>
        <w:pStyle w:val="BodyText"/>
        <w:spacing w:line="357" w:lineRule="auto" w:before="33"/>
        <w:ind w:right="1791" w:firstLine="420"/>
        <w:jc w:val="both"/>
      </w:pPr>
      <w:r>
        <w:rPr/>
        <w:t>（</w:t>
      </w:r>
      <w:r>
        <w:rPr>
          <w:rFonts w:ascii="宋体" w:hAnsi="宋体" w:cs="宋体" w:eastAsia="宋体" w:hint="default"/>
        </w:rPr>
        <w:t>2</w:t>
      </w:r>
      <w:r>
        <w:rPr/>
        <w:t>）优化集团分权授权体系。</w:t>
      </w:r>
      <w:r>
        <w:rPr>
          <w:rFonts w:ascii="宋体" w:hAnsi="宋体" w:cs="宋体" w:eastAsia="宋体" w:hint="default"/>
        </w:rPr>
        <w:t>2015</w:t>
      </w:r>
      <w:r>
        <w:rPr/>
        <w:t>年，将推行简政放权政策，在人事权限、财务权限 </w:t>
      </w:r>
      <w:r>
        <w:rPr>
          <w:spacing w:val="-3"/>
        </w:rPr>
        <w:t>与业务权限方面进行合理下放；在梳理与优化业务流程的基础上，尽量减少审核、审批数量</w:t>
      </w:r>
      <w:r>
        <w:rPr>
          <w:spacing w:val="-72"/>
        </w:rPr>
        <w:t> </w:t>
      </w:r>
      <w:r>
        <w:rPr>
          <w:spacing w:val="-72"/>
        </w:rPr>
      </w:r>
      <w:r>
        <w:rPr/>
        <w:t>与环节。</w:t>
      </w:r>
    </w:p>
    <w:p>
      <w:pPr>
        <w:pStyle w:val="BodyText"/>
        <w:spacing w:line="240" w:lineRule="auto"/>
        <w:ind w:left="558" w:right="0"/>
        <w:jc w:val="left"/>
      </w:pPr>
      <w:r>
        <w:rPr/>
        <w:t>（</w:t>
      </w:r>
      <w:r>
        <w:rPr>
          <w:rFonts w:ascii="宋体" w:hAnsi="宋体" w:cs="宋体" w:eastAsia="宋体" w:hint="default"/>
        </w:rPr>
        <w:t>3</w:t>
      </w:r>
      <w:r>
        <w:rPr/>
        <w:t>）强化集团各级单位的预算管理</w:t>
      </w:r>
      <w:r>
        <w:rPr>
          <w:rFonts w:ascii="宋体" w:hAnsi="宋体" w:cs="宋体" w:eastAsia="宋体" w:hint="default"/>
        </w:rPr>
        <w:t>,</w:t>
      </w:r>
      <w:r>
        <w:rPr>
          <w:rFonts w:ascii="宋体" w:hAnsi="宋体" w:cs="宋体" w:eastAsia="宋体" w:hint="default"/>
          <w:spacing w:val="-4"/>
        </w:rPr>
        <w:t> </w:t>
      </w:r>
      <w:r>
        <w:rPr/>
        <w:t>统筹人力资源规划，做好人才引进与员工培训工</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240" w:lineRule="auto" w:before="35"/>
        <w:ind w:left="138" w:right="0"/>
        <w:jc w:val="left"/>
      </w:pPr>
      <w:r>
        <w:rPr/>
        <w:t>作。</w:t>
      </w:r>
    </w:p>
    <w:p>
      <w:pPr>
        <w:pStyle w:val="BodyText"/>
        <w:spacing w:line="357" w:lineRule="auto" w:before="133"/>
        <w:ind w:left="138" w:right="1688" w:firstLine="420"/>
        <w:jc w:val="left"/>
      </w:pPr>
      <w:r>
        <w:rPr/>
        <w:t>（</w:t>
      </w:r>
      <w:r>
        <w:rPr>
          <w:rFonts w:ascii="宋体" w:hAnsi="宋体" w:cs="宋体" w:eastAsia="宋体" w:hint="default"/>
        </w:rPr>
        <w:t>4</w:t>
      </w:r>
      <w:r>
        <w:rPr/>
        <w:t>）全力实现工业泵板块扭亏为盈，将“扭亏为盈”作为全员工作导向融入到日常运 营管理中，从人力资源、技术资源、制造资源、配套资源上深入发掘费用成本可节省项目， 制订有效实施措施，定期分析得失，强化绩效结果导向，实现人均产值大幅提升。</w:t>
      </w:r>
    </w:p>
    <w:p>
      <w:pPr>
        <w:pStyle w:val="BodyText"/>
        <w:spacing w:line="355" w:lineRule="auto" w:before="31"/>
        <w:ind w:left="138" w:right="1793" w:firstLine="420"/>
        <w:jc w:val="left"/>
      </w:pPr>
      <w:r>
        <w:rPr/>
        <w:t>（</w:t>
      </w:r>
      <w:r>
        <w:rPr>
          <w:rFonts w:ascii="宋体" w:hAnsi="宋体" w:cs="宋体" w:eastAsia="宋体" w:hint="default"/>
        </w:rPr>
        <w:t>5</w:t>
      </w:r>
      <w:r>
        <w:rPr/>
        <w:t>）统筹规划，围绕东海塘新厂区的搬迁，提前做好人员使用的配置计划和各项资源 的配置，稳定员工队伍，保证温岭基地生产经营稳定有序。</w:t>
      </w:r>
    </w:p>
    <w:p>
      <w:pPr>
        <w:pStyle w:val="BodyText"/>
        <w:spacing w:line="355" w:lineRule="auto" w:before="33"/>
        <w:ind w:left="558" w:right="4733"/>
        <w:jc w:val="left"/>
      </w:pPr>
      <w:r>
        <w:rPr/>
        <w:t>（四）公司</w:t>
      </w:r>
      <w:r>
        <w:rPr>
          <w:rFonts w:ascii="宋体" w:hAnsi="宋体" w:cs="宋体" w:eastAsia="宋体" w:hint="default"/>
        </w:rPr>
        <w:t>2015</w:t>
      </w:r>
      <w:r>
        <w:rPr/>
        <w:t>年度的资金需求和使用计划 </w:t>
      </w:r>
      <w:r>
        <w:rPr>
          <w:rFonts w:ascii="宋体" w:hAnsi="宋体" w:cs="宋体" w:eastAsia="宋体" w:hint="default"/>
        </w:rPr>
        <w:t>1</w:t>
      </w:r>
      <w:r>
        <w:rPr/>
        <w:t>、公司</w:t>
      </w:r>
      <w:r>
        <w:rPr>
          <w:rFonts w:ascii="宋体" w:hAnsi="宋体" w:cs="宋体" w:eastAsia="宋体" w:hint="default"/>
        </w:rPr>
        <w:t>2015</w:t>
      </w:r>
      <w:r>
        <w:rPr/>
        <w:t>年度的资金需求主要来自以下几个方面：</w:t>
      </w:r>
    </w:p>
    <w:p>
      <w:pPr>
        <w:pStyle w:val="BodyText"/>
        <w:spacing w:line="240" w:lineRule="auto" w:before="32"/>
        <w:ind w:left="557" w:right="0"/>
        <w:jc w:val="left"/>
      </w:pPr>
      <w:r>
        <w:rPr/>
        <w:t>（</w:t>
      </w:r>
      <w:r>
        <w:rPr>
          <w:rFonts w:ascii="宋体" w:hAnsi="宋体" w:cs="宋体" w:eastAsia="宋体" w:hint="default"/>
        </w:rPr>
        <w:t>1</w:t>
      </w:r>
      <w:r>
        <w:rPr/>
        <w:t>）维持和发展公司业务的日常运营资金需求；</w:t>
      </w:r>
    </w:p>
    <w:p>
      <w:pPr>
        <w:pStyle w:val="BodyText"/>
        <w:spacing w:line="240" w:lineRule="auto" w:before="134"/>
        <w:ind w:left="557" w:right="0"/>
        <w:jc w:val="left"/>
      </w:pPr>
      <w:r>
        <w:rPr/>
        <w:t>（</w:t>
      </w:r>
      <w:r>
        <w:rPr>
          <w:rFonts w:ascii="宋体" w:hAnsi="宋体" w:cs="宋体" w:eastAsia="宋体" w:hint="default"/>
        </w:rPr>
        <w:t>2</w:t>
      </w:r>
      <w:r>
        <w:rPr/>
        <w:t>）公司现有在建项目和新增项目的实施及固定资产的后续投入。</w:t>
      </w:r>
    </w:p>
    <w:p>
      <w:pPr>
        <w:pStyle w:val="BodyText"/>
        <w:spacing w:line="357" w:lineRule="auto" w:before="133"/>
        <w:ind w:left="557" w:right="5994"/>
        <w:jc w:val="left"/>
      </w:pPr>
      <w:r>
        <w:rPr/>
        <w:t>（</w:t>
      </w:r>
      <w:r>
        <w:rPr>
          <w:rFonts w:ascii="宋体" w:hAnsi="宋体" w:cs="宋体" w:eastAsia="宋体" w:hint="default"/>
        </w:rPr>
        <w:t>3</w:t>
      </w:r>
      <w:r>
        <w:rPr/>
        <w:t>）可能的并购项目产生的资金需求。 </w:t>
      </w:r>
      <w:r>
        <w:rPr>
          <w:rFonts w:ascii="宋体" w:hAnsi="宋体" w:cs="宋体" w:eastAsia="宋体" w:hint="default"/>
        </w:rPr>
        <w:t>2</w:t>
      </w:r>
      <w:r>
        <w:rPr/>
        <w:t>、公司将采取以下措施确保资金来源：</w:t>
      </w:r>
    </w:p>
    <w:p>
      <w:pPr>
        <w:pStyle w:val="BodyText"/>
        <w:spacing w:line="240" w:lineRule="auto"/>
        <w:ind w:left="557" w:right="0"/>
        <w:jc w:val="left"/>
      </w:pPr>
      <w:r>
        <w:rPr/>
        <w:t>（</w:t>
      </w:r>
      <w:r>
        <w:rPr>
          <w:rFonts w:ascii="宋体" w:hAnsi="宋体" w:cs="宋体" w:eastAsia="宋体" w:hint="default"/>
        </w:rPr>
        <w:t>1</w:t>
      </w:r>
      <w:r>
        <w:rPr/>
        <w:t>）加强应收账款管理，及时回收货款，提高应收账款周转率；</w:t>
      </w:r>
    </w:p>
    <w:p>
      <w:pPr>
        <w:pStyle w:val="BodyText"/>
        <w:spacing w:line="240" w:lineRule="auto" w:before="134"/>
        <w:ind w:left="558" w:right="0"/>
        <w:jc w:val="left"/>
      </w:pPr>
      <w:r>
        <w:rPr/>
        <w:t>（</w:t>
      </w:r>
      <w:r>
        <w:rPr>
          <w:rFonts w:ascii="宋体" w:hAnsi="宋体" w:cs="宋体" w:eastAsia="宋体" w:hint="default"/>
        </w:rPr>
        <w:t>2</w:t>
      </w:r>
      <w:r>
        <w:rPr/>
        <w:t>）加强存货管理，降低存货占用的资金，提高存货周转率；</w:t>
      </w:r>
    </w:p>
    <w:p>
      <w:pPr>
        <w:pStyle w:val="BodyText"/>
        <w:spacing w:line="240" w:lineRule="auto" w:before="133"/>
        <w:ind w:left="557" w:right="0"/>
        <w:jc w:val="left"/>
      </w:pPr>
      <w:r>
        <w:rPr/>
        <w:t>（</w:t>
      </w:r>
      <w:r>
        <w:rPr>
          <w:rFonts w:ascii="宋体" w:hAnsi="宋体" w:cs="宋体" w:eastAsia="宋体" w:hint="default"/>
        </w:rPr>
        <w:t>3</w:t>
      </w:r>
      <w:r>
        <w:rPr/>
        <w:t>）向金融机构申请授信，确保资金供应，满足公司发展需求；</w:t>
      </w:r>
    </w:p>
    <w:p>
      <w:pPr>
        <w:pStyle w:val="BodyText"/>
        <w:spacing w:line="357" w:lineRule="auto" w:before="133"/>
        <w:ind w:left="558" w:right="6728"/>
        <w:jc w:val="left"/>
      </w:pPr>
      <w:r>
        <w:rPr/>
        <w:t>（五）风险因素 公司面临的主要经营风险如下： </w:t>
      </w:r>
      <w:r>
        <w:rPr>
          <w:rFonts w:ascii="宋体" w:hAnsi="宋体" w:cs="宋体" w:eastAsia="宋体" w:hint="default"/>
        </w:rPr>
        <w:t>1</w:t>
      </w:r>
      <w:r>
        <w:rPr/>
        <w:t>、机械制造板块风险提示</w:t>
      </w:r>
    </w:p>
    <w:p>
      <w:pPr>
        <w:pStyle w:val="BodyText"/>
        <w:spacing w:line="355" w:lineRule="auto" w:before="31"/>
        <w:ind w:left="558" w:right="1684"/>
        <w:jc w:val="left"/>
      </w:pPr>
      <w:r>
        <w:rPr/>
        <w:t>（</w:t>
      </w:r>
      <w:r>
        <w:rPr>
          <w:rFonts w:ascii="宋体" w:hAnsi="宋体" w:cs="宋体" w:eastAsia="宋体" w:hint="default"/>
        </w:rPr>
        <w:t>1</w:t>
      </w:r>
      <w:r>
        <w:rPr/>
        <w:t>）市场波动风险 </w:t>
      </w:r>
      <w:r>
        <w:rPr>
          <w:spacing w:val="-3"/>
        </w:rPr>
        <w:t>公司产品以出口为主，</w:t>
      </w:r>
      <w:r>
        <w:rPr>
          <w:rFonts w:ascii="宋体" w:hAnsi="宋体" w:cs="宋体" w:eastAsia="宋体" w:hint="default"/>
          <w:spacing w:val="-3"/>
        </w:rPr>
        <w:t>2012</w:t>
      </w:r>
      <w:r>
        <w:rPr>
          <w:spacing w:val="-3"/>
        </w:rPr>
        <w:t>年、</w:t>
      </w:r>
      <w:r>
        <w:rPr>
          <w:rFonts w:ascii="宋体" w:hAnsi="宋体" w:cs="宋体" w:eastAsia="宋体" w:hint="default"/>
          <w:spacing w:val="-3"/>
        </w:rPr>
        <w:t>2013</w:t>
      </w:r>
      <w:r>
        <w:rPr>
          <w:spacing w:val="-3"/>
        </w:rPr>
        <w:t>年和</w:t>
      </w:r>
      <w:r>
        <w:rPr>
          <w:rFonts w:ascii="宋体" w:hAnsi="宋体" w:cs="宋体" w:eastAsia="宋体" w:hint="default"/>
          <w:spacing w:val="-3"/>
        </w:rPr>
        <w:t>2014</w:t>
      </w:r>
      <w:r>
        <w:rPr>
          <w:spacing w:val="-3"/>
        </w:rPr>
        <w:t>年，公司产品出口销售收入占公司当年机</w:t>
      </w:r>
    </w:p>
    <w:p>
      <w:pPr>
        <w:pStyle w:val="BodyText"/>
        <w:spacing w:line="355" w:lineRule="auto" w:before="33"/>
        <w:ind w:right="1684"/>
        <w:jc w:val="left"/>
      </w:pPr>
      <w:r>
        <w:rPr>
          <w:spacing w:val="-2"/>
        </w:rPr>
        <w:t>械制造板块主营业务收入的比例分别为：</w:t>
      </w:r>
      <w:r>
        <w:rPr>
          <w:rFonts w:ascii="宋体" w:hAnsi="宋体" w:cs="宋体" w:eastAsia="宋体" w:hint="default"/>
          <w:spacing w:val="-2"/>
        </w:rPr>
        <w:t>73.97%</w:t>
      </w:r>
      <w:r>
        <w:rPr>
          <w:spacing w:val="-2"/>
        </w:rPr>
        <w:t>、</w:t>
      </w:r>
      <w:r>
        <w:rPr>
          <w:rFonts w:ascii="宋体" w:hAnsi="宋体" w:cs="宋体" w:eastAsia="宋体" w:hint="default"/>
          <w:spacing w:val="-2"/>
        </w:rPr>
        <w:t>72.83%</w:t>
      </w:r>
      <w:r>
        <w:rPr>
          <w:spacing w:val="-2"/>
        </w:rPr>
        <w:t>和</w:t>
      </w:r>
      <w:r>
        <w:rPr>
          <w:rFonts w:ascii="宋体" w:hAnsi="宋体" w:cs="宋体" w:eastAsia="宋体" w:hint="default"/>
          <w:spacing w:val="-2"/>
        </w:rPr>
        <w:t>74.36%</w:t>
      </w:r>
      <w:r>
        <w:rPr>
          <w:spacing w:val="-2"/>
        </w:rPr>
        <w:t>。近年来，在国际市场开</w:t>
      </w:r>
      <w:r>
        <w:rPr>
          <w:spacing w:val="-98"/>
        </w:rPr>
        <w:t> </w:t>
      </w:r>
      <w:r>
        <w:rPr>
          <w:spacing w:val="-98"/>
        </w:rPr>
      </w:r>
      <w:r>
        <w:rPr>
          <w:spacing w:val="-5"/>
        </w:rPr>
        <w:t>拓过程中，公司依靠产品良好的性价比优势，与世界知名的微型小型水泵和园林机械制造商、</w:t>
      </w:r>
      <w:r>
        <w:rPr>
          <w:spacing w:val="-92"/>
        </w:rPr>
        <w:t> </w:t>
      </w:r>
      <w:r>
        <w:rPr>
          <w:spacing w:val="-92"/>
        </w:rPr>
      </w:r>
      <w:r>
        <w:rPr/>
        <w:t>经销商及国外连锁超市建立了稳定的合作关系。</w:t>
      </w:r>
    </w:p>
    <w:p>
      <w:pPr>
        <w:pStyle w:val="BodyText"/>
        <w:spacing w:line="357" w:lineRule="auto" w:before="33"/>
        <w:ind w:right="1792" w:firstLine="420"/>
        <w:jc w:val="both"/>
      </w:pPr>
      <w:r>
        <w:rPr>
          <w:spacing w:val="-3"/>
        </w:rPr>
        <w:t>目前，全球经济复苏依然缓慢，并且存在诸多不确定因素，可能影响公司产品出口收入</w:t>
      </w:r>
      <w:r>
        <w:rPr/>
        <w:t> </w:t>
      </w:r>
      <w:r>
        <w:rPr>
          <w:spacing w:val="-3"/>
        </w:rPr>
        <w:t>的稳定增长。如公司主要客户所在国的政治经济环境、贸易政策等发生重大变化，也将对公</w:t>
      </w:r>
      <w:r>
        <w:rPr>
          <w:spacing w:val="-72"/>
        </w:rPr>
        <w:t> </w:t>
      </w:r>
      <w:r>
        <w:rPr>
          <w:spacing w:val="-72"/>
        </w:rPr>
      </w:r>
      <w:r>
        <w:rPr/>
        <w:t>司的经营产生一定影响。因此，公司存在市场波动风险。</w:t>
      </w:r>
    </w:p>
    <w:p>
      <w:pPr>
        <w:pStyle w:val="BodyText"/>
        <w:spacing w:line="357" w:lineRule="auto"/>
        <w:ind w:left="558" w:right="1793"/>
        <w:jc w:val="left"/>
      </w:pPr>
      <w:r>
        <w:rPr/>
        <w:t>（</w:t>
      </w:r>
      <w:r>
        <w:rPr>
          <w:rFonts w:ascii="宋体" w:hAnsi="宋体" w:cs="宋体" w:eastAsia="宋体" w:hint="default"/>
        </w:rPr>
        <w:t>2</w:t>
      </w:r>
      <w:r>
        <w:rPr/>
        <w:t>）原材料价格波动风险 公司产品生产所用的主要原材料包括铜漆包线、铝锭、硅钢片、</w:t>
      </w:r>
      <w:r>
        <w:rPr>
          <w:rFonts w:ascii="宋体" w:hAnsi="宋体" w:cs="宋体" w:eastAsia="宋体" w:hint="default"/>
        </w:rPr>
        <w:t>PP</w:t>
      </w:r>
      <w:r>
        <w:rPr/>
        <w:t>及</w:t>
      </w:r>
      <w:r>
        <w:rPr>
          <w:rFonts w:ascii="宋体" w:hAnsi="宋体" w:cs="宋体" w:eastAsia="宋体" w:hint="default"/>
        </w:rPr>
        <w:t>ABS</w:t>
      </w:r>
      <w:r>
        <w:rPr/>
        <w:t>塑料、轴料、</w:t>
      </w:r>
    </w:p>
    <w:p>
      <w:pPr>
        <w:pStyle w:val="BodyText"/>
        <w:spacing w:line="357" w:lineRule="auto"/>
        <w:ind w:right="1795"/>
        <w:jc w:val="both"/>
      </w:pPr>
      <w:r>
        <w:rPr>
          <w:spacing w:val="-3"/>
        </w:rPr>
        <w:t>生铁和钢材等，材料成本占主营业务成本很大一部分。由于原材料成本在公司产品成本中所</w:t>
      </w:r>
      <w:r>
        <w:rPr>
          <w:spacing w:val="-75"/>
        </w:rPr>
        <w:t> </w:t>
      </w:r>
      <w:r>
        <w:rPr>
          <w:spacing w:val="-75"/>
        </w:rPr>
      </w:r>
      <w:r>
        <w:rPr>
          <w:spacing w:val="-3"/>
        </w:rPr>
        <w:t>占比重较大，因此原材料价格的波动将直接影响公司的营业成本，进而对公司的经营业绩带</w:t>
      </w:r>
      <w:r>
        <w:rPr>
          <w:spacing w:val="-75"/>
        </w:rPr>
        <w:t> </w:t>
      </w:r>
      <w:r>
        <w:rPr>
          <w:spacing w:val="-75"/>
        </w:rPr>
      </w:r>
      <w:r>
        <w:rPr/>
        <w:t>来影响。因此，公司存在主要原材料价格波动风险。</w:t>
      </w:r>
    </w:p>
    <w:p>
      <w:pPr>
        <w:pStyle w:val="BodyText"/>
        <w:spacing w:line="357" w:lineRule="auto"/>
        <w:ind w:left="558" w:right="8093"/>
        <w:jc w:val="left"/>
      </w:pPr>
      <w:r>
        <w:rPr/>
        <w:t>（</w:t>
      </w:r>
      <w:r>
        <w:rPr>
          <w:rFonts w:ascii="宋体" w:hAnsi="宋体" w:cs="宋体" w:eastAsia="宋体" w:hint="default"/>
        </w:rPr>
        <w:t>3</w:t>
      </w:r>
      <w:r>
        <w:rPr/>
        <w:t>）管理风险 </w:t>
      </w:r>
      <w:r>
        <w:rPr>
          <w:rFonts w:ascii="宋体" w:hAnsi="宋体" w:cs="宋体" w:eastAsia="宋体" w:hint="default"/>
        </w:rPr>
        <w:t>1</w:t>
      </w:r>
      <w:r>
        <w:rPr/>
        <w:t>）产业整合风险</w:t>
      </w:r>
    </w:p>
    <w:p>
      <w:pPr>
        <w:pStyle w:val="BodyText"/>
        <w:spacing w:line="240" w:lineRule="auto"/>
        <w:ind w:left="558" w:right="0"/>
        <w:jc w:val="left"/>
      </w:pPr>
      <w:r>
        <w:rPr>
          <w:rFonts w:ascii="宋体" w:hAnsi="宋体" w:cs="宋体" w:eastAsia="宋体" w:hint="default"/>
          <w:spacing w:val="-3"/>
        </w:rPr>
        <w:t>2007</w:t>
      </w:r>
      <w:r>
        <w:rPr>
          <w:spacing w:val="-3"/>
        </w:rPr>
        <w:t>年</w:t>
      </w:r>
      <w:r>
        <w:rPr>
          <w:rFonts w:ascii="宋体" w:hAnsi="宋体" w:cs="宋体" w:eastAsia="宋体" w:hint="default"/>
          <w:spacing w:val="-3"/>
        </w:rPr>
        <w:t>12</w:t>
      </w:r>
      <w:r>
        <w:rPr>
          <w:spacing w:val="-3"/>
        </w:rPr>
        <w:t>月，公司与大农机械合资设立大农实业，进入清洗与植保机械行业，这是公司</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right="1794"/>
        <w:jc w:val="both"/>
      </w:pPr>
      <w:r>
        <w:rPr>
          <w:spacing w:val="-3"/>
        </w:rPr>
        <w:t>首次进行行业整合；</w:t>
      </w:r>
      <w:r>
        <w:rPr>
          <w:rFonts w:ascii="宋体" w:hAnsi="宋体" w:cs="宋体" w:eastAsia="宋体" w:hint="default"/>
          <w:spacing w:val="-3"/>
        </w:rPr>
        <w:t>2010</w:t>
      </w:r>
      <w:r>
        <w:rPr>
          <w:spacing w:val="-3"/>
        </w:rPr>
        <w:t>年</w:t>
      </w:r>
      <w:r>
        <w:rPr>
          <w:rFonts w:ascii="宋体" w:hAnsi="宋体" w:cs="宋体" w:eastAsia="宋体" w:hint="default"/>
          <w:spacing w:val="-3"/>
        </w:rPr>
        <w:t>6</w:t>
      </w:r>
      <w:r>
        <w:rPr>
          <w:spacing w:val="-3"/>
        </w:rPr>
        <w:t>月，公司设立湖南利欧，此后，又于</w:t>
      </w:r>
      <w:r>
        <w:rPr>
          <w:rFonts w:ascii="宋体" w:hAnsi="宋体" w:cs="宋体" w:eastAsia="宋体" w:hint="default"/>
          <w:spacing w:val="-3"/>
        </w:rPr>
        <w:t>2012</w:t>
      </w:r>
      <w:r>
        <w:rPr>
          <w:spacing w:val="-3"/>
        </w:rPr>
        <w:t>年</w:t>
      </w:r>
      <w:r>
        <w:rPr>
          <w:rFonts w:ascii="宋体" w:hAnsi="宋体" w:cs="宋体" w:eastAsia="宋体" w:hint="default"/>
          <w:spacing w:val="-3"/>
        </w:rPr>
        <w:t>1</w:t>
      </w:r>
      <w:r>
        <w:rPr>
          <w:spacing w:val="-3"/>
        </w:rPr>
        <w:t>月初完成了对长沙</w:t>
      </w:r>
      <w:r>
        <w:rPr>
          <w:spacing w:val="-63"/>
        </w:rPr>
        <w:t> </w:t>
      </w:r>
      <w:r>
        <w:rPr/>
        <w:t>天鹅的收购，成功进入工业泵市场；</w:t>
      </w:r>
      <w:r>
        <w:rPr>
          <w:rFonts w:ascii="宋体" w:hAnsi="宋体" w:cs="宋体" w:eastAsia="宋体" w:hint="default"/>
        </w:rPr>
        <w:t>2012</w:t>
      </w:r>
      <w:r>
        <w:rPr/>
        <w:t>年</w:t>
      </w:r>
      <w:r>
        <w:rPr>
          <w:rFonts w:ascii="宋体" w:hAnsi="宋体" w:cs="宋体" w:eastAsia="宋体" w:hint="default"/>
        </w:rPr>
        <w:t>2</w:t>
      </w:r>
      <w:r>
        <w:rPr/>
        <w:t>月，公司又完成了对无锡锡泵和大连华能的收 购，此次收购进一步丰富了公司的工业泵产品线，增强了公司在工业泵市场的竞争力。</w:t>
      </w:r>
    </w:p>
    <w:p>
      <w:pPr>
        <w:pStyle w:val="BodyText"/>
        <w:spacing w:line="357" w:lineRule="auto"/>
        <w:ind w:right="1706" w:firstLine="420"/>
        <w:jc w:val="both"/>
      </w:pPr>
      <w:r>
        <w:rPr/>
        <w:t>公司根据业务发展需要，对各家子公司进行整合。由于公司和各家子公司在企业文化、 管理制度、业务模式等方面存在诸多不同，若整合过程不顺利，无法发挥预期的协同效应， 将对公司的经营业绩产生不利影响，损害股东的利益。因此，公司存在产业整合风险。</w:t>
      </w:r>
    </w:p>
    <w:p>
      <w:pPr>
        <w:pStyle w:val="BodyText"/>
        <w:spacing w:line="355" w:lineRule="auto" w:before="31"/>
        <w:ind w:left="557" w:right="1684"/>
        <w:jc w:val="left"/>
      </w:pPr>
      <w:r>
        <w:rPr>
          <w:rFonts w:ascii="宋体" w:hAnsi="宋体" w:cs="宋体" w:eastAsia="宋体" w:hint="default"/>
        </w:rPr>
        <w:t>2</w:t>
      </w:r>
      <w:r>
        <w:rPr/>
        <w:t>）人力资源风险 </w:t>
      </w:r>
      <w:r>
        <w:rPr>
          <w:spacing w:val="-3"/>
        </w:rPr>
        <w:t>近年来，国内许多地区都出现了“用工荒”现象，由于劳动力短缺导致用工成本持续上</w:t>
      </w:r>
    </w:p>
    <w:p>
      <w:pPr>
        <w:pStyle w:val="BodyText"/>
        <w:spacing w:line="357" w:lineRule="auto" w:before="32"/>
        <w:ind w:left="557" w:right="0" w:hanging="420"/>
        <w:jc w:val="left"/>
      </w:pPr>
      <w:r>
        <w:rPr/>
        <w:t>升，尤其在制造业发达地区（如广东、浙江、江苏等省份）较为明显。 </w:t>
      </w:r>
      <w:r>
        <w:rPr>
          <w:spacing w:val="-3"/>
        </w:rPr>
        <w:t>虽然公司通过优化产品结构、提高设备自动化程度、优化工艺流程、提高产品售价等措</w:t>
      </w:r>
    </w:p>
    <w:p>
      <w:pPr>
        <w:pStyle w:val="BodyText"/>
        <w:spacing w:line="357" w:lineRule="auto"/>
        <w:ind w:right="1792"/>
        <w:jc w:val="both"/>
      </w:pPr>
      <w:r>
        <w:rPr>
          <w:spacing w:val="-3"/>
        </w:rPr>
        <w:t>施，部分抵消了劳动力短缺和劳动力成本上升对公司的不利影响，但是如果劳动力短缺和劳</w:t>
      </w:r>
      <w:r>
        <w:rPr>
          <w:spacing w:val="-75"/>
        </w:rPr>
        <w:t> </w:t>
      </w:r>
      <w:r>
        <w:rPr>
          <w:spacing w:val="-75"/>
        </w:rPr>
      </w:r>
      <w:r>
        <w:rPr>
          <w:spacing w:val="-3"/>
        </w:rPr>
        <w:t>动力价格上涨的状况持续存在，将对公司进一步扩大经营规模形成较大制约。因此，公司存</w:t>
      </w:r>
      <w:r>
        <w:rPr>
          <w:spacing w:val="-72"/>
        </w:rPr>
        <w:t> </w:t>
      </w:r>
      <w:r>
        <w:rPr>
          <w:spacing w:val="-72"/>
        </w:rPr>
      </w:r>
      <w:r>
        <w:rPr/>
        <w:t>在人力资源风险。</w:t>
      </w:r>
    </w:p>
    <w:p>
      <w:pPr>
        <w:pStyle w:val="BodyText"/>
        <w:spacing w:line="355" w:lineRule="auto" w:before="31"/>
        <w:ind w:left="557" w:right="0"/>
        <w:jc w:val="left"/>
      </w:pPr>
      <w:r>
        <w:rPr/>
        <w:t>（</w:t>
      </w:r>
      <w:r>
        <w:rPr>
          <w:rFonts w:ascii="宋体" w:hAnsi="宋体" w:cs="宋体" w:eastAsia="宋体" w:hint="default"/>
        </w:rPr>
        <w:t>4</w:t>
      </w:r>
      <w:r>
        <w:rPr/>
        <w:t>）出口退税率变化导致公司业绩波动的风险 </w:t>
      </w:r>
      <w:r>
        <w:rPr>
          <w:spacing w:val="-3"/>
        </w:rPr>
        <w:t>目前，公司产品的出口退税率主要为</w:t>
      </w:r>
      <w:r>
        <w:rPr>
          <w:rFonts w:ascii="宋体" w:hAnsi="宋体" w:cs="宋体" w:eastAsia="宋体" w:hint="default"/>
          <w:spacing w:val="-3"/>
        </w:rPr>
        <w:t>5%</w:t>
      </w:r>
      <w:r>
        <w:rPr>
          <w:spacing w:val="-3"/>
        </w:rPr>
        <w:t>、</w:t>
      </w:r>
      <w:r>
        <w:rPr>
          <w:rFonts w:ascii="宋体" w:hAnsi="宋体" w:cs="宋体" w:eastAsia="宋体" w:hint="default"/>
          <w:spacing w:val="-3"/>
        </w:rPr>
        <w:t>9%</w:t>
      </w:r>
      <w:r>
        <w:rPr>
          <w:spacing w:val="-3"/>
        </w:rPr>
        <w:t>、</w:t>
      </w:r>
      <w:r>
        <w:rPr>
          <w:rFonts w:ascii="宋体" w:hAnsi="宋体" w:cs="宋体" w:eastAsia="宋体" w:hint="default"/>
          <w:spacing w:val="-3"/>
        </w:rPr>
        <w:t>13%</w:t>
      </w:r>
      <w:r>
        <w:rPr>
          <w:spacing w:val="-3"/>
        </w:rPr>
        <w:t>、</w:t>
      </w:r>
      <w:r>
        <w:rPr>
          <w:rFonts w:ascii="宋体" w:hAnsi="宋体" w:cs="宋体" w:eastAsia="宋体" w:hint="default"/>
          <w:spacing w:val="-3"/>
        </w:rPr>
        <w:t>15%</w:t>
      </w:r>
      <w:r>
        <w:rPr>
          <w:spacing w:val="-3"/>
        </w:rPr>
        <w:t>和</w:t>
      </w:r>
      <w:r>
        <w:rPr>
          <w:rFonts w:ascii="宋体" w:hAnsi="宋体" w:cs="宋体" w:eastAsia="宋体" w:hint="default"/>
          <w:spacing w:val="-3"/>
        </w:rPr>
        <w:t>17%</w:t>
      </w:r>
      <w:r>
        <w:rPr>
          <w:spacing w:val="-3"/>
        </w:rPr>
        <w:t>，出口货物实行“免、抵、</w:t>
      </w:r>
    </w:p>
    <w:p>
      <w:pPr>
        <w:pStyle w:val="BodyText"/>
        <w:spacing w:line="357" w:lineRule="auto" w:before="32"/>
        <w:ind w:right="1793"/>
        <w:jc w:val="both"/>
      </w:pPr>
      <w:r>
        <w:rPr>
          <w:spacing w:val="-3"/>
        </w:rPr>
        <w:t>退”税政策。国家出口退税率的上调，短期来看，有利于增强公司产品的出口竞争力，有助</w:t>
      </w:r>
      <w:r>
        <w:rPr>
          <w:spacing w:val="-76"/>
        </w:rPr>
        <w:t> </w:t>
      </w:r>
      <w:r>
        <w:rPr>
          <w:spacing w:val="-76"/>
        </w:rPr>
      </w:r>
      <w:r>
        <w:rPr/>
        <w:t>于公司进一步扩大出口销售，拓展国际市场，长期来看，有助于产业的转型升级。</w:t>
      </w:r>
    </w:p>
    <w:p>
      <w:pPr>
        <w:pStyle w:val="BodyText"/>
        <w:spacing w:line="357" w:lineRule="auto"/>
        <w:ind w:right="1792" w:firstLine="420"/>
        <w:jc w:val="both"/>
      </w:pPr>
      <w:r>
        <w:rPr>
          <w:spacing w:val="-3"/>
        </w:rPr>
        <w:t>但是，若未来出口退税率下调，将直接影响产品销售毛利率，对公司产品的出口竞争力</w:t>
      </w:r>
      <w:r>
        <w:rPr/>
        <w:t> 和经营业绩产生不利影响。</w:t>
      </w:r>
    </w:p>
    <w:p>
      <w:pPr>
        <w:pStyle w:val="BodyText"/>
        <w:spacing w:line="240" w:lineRule="auto"/>
        <w:ind w:left="558" w:right="0"/>
        <w:jc w:val="left"/>
      </w:pPr>
      <w:r>
        <w:rPr>
          <w:rFonts w:ascii="宋体" w:hAnsi="宋体" w:cs="宋体" w:eastAsia="宋体" w:hint="default"/>
        </w:rPr>
        <w:t>2</w:t>
      </w:r>
      <w:r>
        <w:rPr/>
        <w:t>、数字营销板块风险提示</w:t>
      </w:r>
    </w:p>
    <w:p>
      <w:pPr>
        <w:pStyle w:val="BodyText"/>
        <w:spacing w:line="355" w:lineRule="auto" w:before="134"/>
        <w:ind w:left="558" w:right="1688"/>
        <w:jc w:val="left"/>
      </w:pPr>
      <w:r>
        <w:rPr/>
        <w:t>（</w:t>
      </w:r>
      <w:r>
        <w:rPr>
          <w:rFonts w:ascii="宋体" w:hAnsi="宋体" w:cs="宋体" w:eastAsia="宋体" w:hint="default"/>
        </w:rPr>
        <w:t>1</w:t>
      </w:r>
      <w:r>
        <w:rPr/>
        <w:t>）整合风险 </w:t>
      </w:r>
      <w:r>
        <w:rPr>
          <w:rFonts w:ascii="宋体" w:hAnsi="宋体" w:cs="宋体" w:eastAsia="宋体" w:hint="default"/>
        </w:rPr>
        <w:t>2014</w:t>
      </w:r>
      <w:r>
        <w:rPr/>
        <w:t>年</w:t>
      </w:r>
      <w:r>
        <w:rPr>
          <w:rFonts w:ascii="宋体" w:hAnsi="宋体" w:cs="宋体" w:eastAsia="宋体" w:hint="default"/>
        </w:rPr>
        <w:t>4</w:t>
      </w:r>
      <w:r>
        <w:rPr/>
        <w:t>月，公司完成收购上海漫酷</w:t>
      </w:r>
      <w:r>
        <w:rPr>
          <w:rFonts w:ascii="宋体" w:hAnsi="宋体" w:cs="宋体" w:eastAsia="宋体" w:hint="default"/>
        </w:rPr>
        <w:t>85%</w:t>
      </w:r>
      <w:r>
        <w:rPr/>
        <w:t>的股权，公司进入数字营销领域。</w:t>
      </w:r>
      <w:r>
        <w:rPr>
          <w:rFonts w:ascii="宋体" w:hAnsi="宋体" w:cs="宋体" w:eastAsia="宋体" w:hint="default"/>
        </w:rPr>
        <w:t>2014</w:t>
      </w:r>
      <w:r>
        <w:rPr/>
        <w:t>年</w:t>
      </w:r>
      <w:r>
        <w:rPr>
          <w:rFonts w:ascii="宋体" w:hAnsi="宋体" w:cs="宋体" w:eastAsia="宋体" w:hint="default"/>
        </w:rPr>
        <w:t>12</w:t>
      </w:r>
      <w:r>
        <w:rPr/>
        <w:t>月，</w:t>
      </w:r>
    </w:p>
    <w:p>
      <w:pPr>
        <w:pStyle w:val="BodyText"/>
        <w:spacing w:line="357" w:lineRule="auto" w:before="32"/>
        <w:ind w:right="1792"/>
        <w:jc w:val="both"/>
      </w:pPr>
      <w:r>
        <w:rPr>
          <w:spacing w:val="-3"/>
        </w:rPr>
        <w:t>公司完成收购上海氩氪和琥珀传播</w:t>
      </w:r>
      <w:r>
        <w:rPr>
          <w:rFonts w:ascii="宋体" w:hAnsi="宋体" w:cs="宋体" w:eastAsia="宋体" w:hint="default"/>
          <w:spacing w:val="-3"/>
        </w:rPr>
        <w:t>100%</w:t>
      </w:r>
      <w:r>
        <w:rPr>
          <w:spacing w:val="-3"/>
        </w:rPr>
        <w:t>的股权。公司原有业务属于传统制造业，</w:t>
      </w:r>
      <w:r>
        <w:rPr>
          <w:rFonts w:ascii="宋体" w:hAnsi="宋体" w:cs="宋体" w:eastAsia="宋体" w:hint="default"/>
          <w:spacing w:val="-3"/>
        </w:rPr>
        <w:t>2014</w:t>
      </w:r>
      <w:r>
        <w:rPr>
          <w:spacing w:val="-3"/>
        </w:rPr>
        <w:t>年公司</w:t>
      </w:r>
      <w:r>
        <w:rPr>
          <w:spacing w:val="-65"/>
        </w:rPr>
        <w:t> </w:t>
      </w:r>
      <w:r>
        <w:rPr/>
        <w:t>收购的</w:t>
      </w:r>
      <w:r>
        <w:rPr>
          <w:rFonts w:ascii="宋体" w:hAnsi="宋体" w:cs="宋体" w:eastAsia="宋体" w:hint="default"/>
        </w:rPr>
        <w:t>3</w:t>
      </w:r>
      <w:r>
        <w:rPr/>
        <w:t>家公司属于互联网新兴行业，公司管理层在互联网业务领域的管理经验尚待加强。 </w:t>
      </w:r>
      <w:r>
        <w:rPr>
          <w:spacing w:val="-3"/>
        </w:rPr>
        <w:t>为发挥资产及业务之间的协同效应，提高公司竞争力，公司原有业务与新收购资产的相关业</w:t>
      </w:r>
      <w:r>
        <w:rPr>
          <w:spacing w:val="-75"/>
        </w:rPr>
        <w:t> </w:t>
      </w:r>
      <w:r>
        <w:rPr>
          <w:spacing w:val="-75"/>
        </w:rPr>
      </w:r>
      <w:r>
        <w:rPr>
          <w:spacing w:val="-3"/>
        </w:rPr>
        <w:t>务需进行一定程度的整合。公司在互联网企业经营管理、组织设置、团队磨合、内部控制和</w:t>
      </w:r>
      <w:r>
        <w:rPr>
          <w:spacing w:val="-73"/>
        </w:rPr>
        <w:t> </w:t>
      </w:r>
      <w:r>
        <w:rPr>
          <w:spacing w:val="-73"/>
        </w:rPr>
      </w:r>
      <w:r>
        <w:rPr/>
        <w:t>人才引进等方面存在一定的风险和挑战。</w:t>
      </w:r>
    </w:p>
    <w:p>
      <w:pPr>
        <w:pStyle w:val="BodyText"/>
        <w:spacing w:line="355" w:lineRule="auto" w:before="31"/>
        <w:ind w:left="558" w:right="1684"/>
        <w:jc w:val="left"/>
      </w:pPr>
      <w:r>
        <w:rPr/>
        <w:t>（</w:t>
      </w:r>
      <w:r>
        <w:rPr>
          <w:rFonts w:ascii="宋体" w:hAnsi="宋体" w:cs="宋体" w:eastAsia="宋体" w:hint="default"/>
        </w:rPr>
        <w:t>2</w:t>
      </w:r>
      <w:r>
        <w:rPr/>
        <w:t>）人才流失风险 </w:t>
      </w:r>
      <w:r>
        <w:rPr>
          <w:spacing w:val="-3"/>
        </w:rPr>
        <w:t>人力资源是数字营销公司的核心资源，是保持和提升公司竞争力的关键要素。数字营销</w:t>
      </w:r>
    </w:p>
    <w:p>
      <w:pPr>
        <w:pStyle w:val="BodyText"/>
        <w:spacing w:line="357" w:lineRule="auto" w:before="32"/>
        <w:ind w:left="138" w:right="1795"/>
        <w:jc w:val="both"/>
      </w:pPr>
      <w:r>
        <w:rPr>
          <w:spacing w:val="-3"/>
        </w:rPr>
        <w:t>公司管理团队及业务人员的稳定性，将直接影响公司数字营销业务的发展和业绩。若不能很</w:t>
      </w:r>
      <w:r>
        <w:rPr>
          <w:spacing w:val="-75"/>
        </w:rPr>
        <w:t> </w:t>
      </w:r>
      <w:r>
        <w:rPr>
          <w:spacing w:val="-75"/>
        </w:rPr>
      </w:r>
      <w:r>
        <w:rPr/>
        <w:t>好地控制人才流失的风险，则会对公司数字营销领域的经营和业务发展造成不利影响。</w:t>
      </w:r>
    </w:p>
    <w:p>
      <w:pPr>
        <w:pStyle w:val="BodyText"/>
        <w:spacing w:line="357" w:lineRule="auto"/>
        <w:ind w:left="138" w:right="1793" w:firstLine="420"/>
        <w:jc w:val="both"/>
      </w:pPr>
      <w:r>
        <w:rPr>
          <w:spacing w:val="-3"/>
        </w:rPr>
        <w:t>为避免核心团队成员流失造成不利影响，公司在股权收购合同中约定了一系列的的奖励</w:t>
      </w:r>
      <w:r>
        <w:rPr/>
        <w:t> 和惩罚措施，确保核心团队成员的稳定。</w:t>
      </w:r>
    </w:p>
    <w:p>
      <w:pPr>
        <w:pStyle w:val="BodyText"/>
        <w:spacing w:line="240" w:lineRule="auto"/>
        <w:ind w:left="558" w:right="0"/>
        <w:jc w:val="left"/>
      </w:pPr>
      <w:r>
        <w:rPr/>
        <w:t>（</w:t>
      </w:r>
      <w:r>
        <w:rPr>
          <w:rFonts w:ascii="宋体" w:hAnsi="宋体" w:cs="宋体" w:eastAsia="宋体" w:hint="default"/>
        </w:rPr>
        <w:t>3</w:t>
      </w:r>
      <w:r>
        <w:rPr/>
        <w:t>）公司客户集中的风险</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left="138" w:right="1792" w:firstLine="420"/>
        <w:jc w:val="both"/>
      </w:pPr>
      <w:r>
        <w:rPr>
          <w:spacing w:val="-3"/>
        </w:rPr>
        <w:t>上海漫酷、上海氩氪和琥珀传播的销售规模不断扩大，但客户集中度较高，存在对主要</w:t>
      </w:r>
      <w:r>
        <w:rPr/>
        <w:t> </w:t>
      </w:r>
      <w:r>
        <w:rPr>
          <w:spacing w:val="-3"/>
        </w:rPr>
        <w:t>客户依赖的风险。一方面，较高的客户集中度导致其对客户的议价能力较低；另一方面，若</w:t>
      </w:r>
      <w:r>
        <w:rPr>
          <w:spacing w:val="-73"/>
        </w:rPr>
        <w:t> </w:t>
      </w:r>
      <w:r>
        <w:rPr>
          <w:spacing w:val="-73"/>
        </w:rPr>
      </w:r>
      <w:r>
        <w:rPr>
          <w:spacing w:val="-3"/>
        </w:rPr>
        <w:t>主要客户流失，而又没有足够的新增客户补充，营业收入可能出现下滑，从而对净利润的实</w:t>
      </w:r>
      <w:r>
        <w:rPr>
          <w:spacing w:val="-72"/>
        </w:rPr>
        <w:t> </w:t>
      </w:r>
      <w:r>
        <w:rPr>
          <w:spacing w:val="-72"/>
        </w:rPr>
      </w:r>
      <w:r>
        <w:rPr/>
        <w:t>现造成不利影响。</w:t>
      </w:r>
    </w:p>
    <w:p>
      <w:pPr>
        <w:pStyle w:val="BodyText"/>
        <w:spacing w:line="355" w:lineRule="auto" w:before="31"/>
        <w:ind w:left="558" w:right="0"/>
        <w:jc w:val="left"/>
      </w:pPr>
      <w:r>
        <w:rPr/>
        <w:t>（</w:t>
      </w:r>
      <w:r>
        <w:rPr>
          <w:rFonts w:ascii="宋体" w:hAnsi="宋体" w:cs="宋体" w:eastAsia="宋体" w:hint="default"/>
        </w:rPr>
        <w:t>4</w:t>
      </w:r>
      <w:r>
        <w:rPr/>
        <w:t>）市场竞争加剧风险 </w:t>
      </w:r>
      <w:r>
        <w:rPr>
          <w:spacing w:val="-3"/>
        </w:rPr>
        <w:t>现阶段，我国数字营销领域基本处于完全竞争状态，行业内公司数量众多，市场竞争激</w:t>
      </w:r>
    </w:p>
    <w:p>
      <w:pPr>
        <w:pStyle w:val="BodyText"/>
        <w:spacing w:line="357" w:lineRule="auto" w:before="33"/>
        <w:ind w:left="138" w:right="1792"/>
        <w:jc w:val="both"/>
      </w:pPr>
      <w:r>
        <w:rPr>
          <w:spacing w:val="-3"/>
        </w:rPr>
        <w:t>烈。随着我国经济的快速稳定发展，企业品牌意识不断加强，我国数字营销行业步入上升周</w:t>
      </w:r>
      <w:r>
        <w:rPr>
          <w:spacing w:val="-72"/>
        </w:rPr>
        <w:t> </w:t>
      </w:r>
      <w:r>
        <w:rPr>
          <w:spacing w:val="-72"/>
        </w:rPr>
      </w:r>
      <w:r>
        <w:rPr>
          <w:spacing w:val="-3"/>
        </w:rPr>
        <w:t>期，各类数字营销公司纷纷抓住这一良好时机，不断提升自身的经营实力，力争维持较高的</w:t>
      </w:r>
      <w:r>
        <w:rPr>
          <w:spacing w:val="-72"/>
        </w:rPr>
        <w:t> </w:t>
      </w:r>
      <w:r>
        <w:rPr>
          <w:spacing w:val="-72"/>
        </w:rPr>
      </w:r>
      <w:r>
        <w:rPr>
          <w:spacing w:val="-3"/>
        </w:rPr>
        <w:t>市场份额。在日新月异不断升级的市场竞争态势中，尽管上海漫酷、上海氩氪和琥珀传播不</w:t>
      </w:r>
      <w:r>
        <w:rPr>
          <w:spacing w:val="-72"/>
        </w:rPr>
        <w:t> </w:t>
      </w:r>
      <w:r>
        <w:rPr>
          <w:spacing w:val="-72"/>
        </w:rPr>
      </w:r>
      <w:r>
        <w:rPr>
          <w:spacing w:val="-3"/>
        </w:rPr>
        <w:t>断提升自身业务水平和创新能力，以保持其经营业绩的稳定发展，但面对大量竞争对手，不</w:t>
      </w:r>
      <w:r>
        <w:rPr>
          <w:spacing w:val="-72"/>
        </w:rPr>
        <w:t> </w:t>
      </w:r>
      <w:r>
        <w:rPr>
          <w:spacing w:val="-72"/>
        </w:rPr>
      </w:r>
      <w:r>
        <w:rPr/>
        <w:t>排除上述</w:t>
      </w:r>
      <w:r>
        <w:rPr>
          <w:rFonts w:ascii="宋体" w:hAnsi="宋体" w:cs="宋体" w:eastAsia="宋体" w:hint="default"/>
        </w:rPr>
        <w:t>3</w:t>
      </w:r>
      <w:r>
        <w:rPr/>
        <w:t>家公司的业务、财务状况及经营业绩将会受到不利影响。</w:t>
      </w:r>
    </w:p>
    <w:p>
      <w:pPr>
        <w:pStyle w:val="BodyText"/>
        <w:spacing w:line="355" w:lineRule="auto" w:before="31"/>
        <w:ind w:left="558" w:right="1684"/>
        <w:jc w:val="left"/>
      </w:pPr>
      <w:r>
        <w:rPr/>
        <w:t>（</w:t>
      </w:r>
      <w:r>
        <w:rPr>
          <w:rFonts w:ascii="宋体" w:hAnsi="宋体" w:cs="宋体" w:eastAsia="宋体" w:hint="default"/>
        </w:rPr>
        <w:t>5</w:t>
      </w:r>
      <w:r>
        <w:rPr/>
        <w:t>）政策风险 </w:t>
      </w:r>
      <w:r>
        <w:rPr>
          <w:spacing w:val="-3"/>
        </w:rPr>
        <w:t>我国数字营销行业的主管部门是工业和信息化部以及国家工商行政管理总局等。数字营</w:t>
      </w:r>
    </w:p>
    <w:p>
      <w:pPr>
        <w:pStyle w:val="BodyText"/>
        <w:spacing w:line="357" w:lineRule="auto" w:before="33"/>
        <w:ind w:left="138" w:right="1792"/>
        <w:jc w:val="both"/>
      </w:pPr>
      <w:r>
        <w:rPr>
          <w:spacing w:val="-3"/>
        </w:rPr>
        <w:t>销行业属于互联网服务行业的新生分支，自诞生以来一直没有统一的行业规范和标准。随着</w:t>
      </w:r>
      <w:r>
        <w:rPr>
          <w:spacing w:val="-75"/>
        </w:rPr>
        <w:t> </w:t>
      </w:r>
      <w:r>
        <w:rPr>
          <w:spacing w:val="-75"/>
        </w:rPr>
      </w:r>
      <w:r>
        <w:rPr>
          <w:spacing w:val="-3"/>
        </w:rPr>
        <w:t>相关监管部门对数字营销行业持续增强的监管力度，数字营销行业的准入门槛可能会有所提</w:t>
      </w:r>
      <w:r>
        <w:rPr>
          <w:spacing w:val="-73"/>
        </w:rPr>
        <w:t> </w:t>
      </w:r>
      <w:r>
        <w:rPr>
          <w:spacing w:val="-73"/>
        </w:rPr>
      </w:r>
      <w:r>
        <w:rPr>
          <w:spacing w:val="-3"/>
        </w:rPr>
        <w:t>高，若上海漫酷、上海氩氪和琥珀传播在未来不能达到新政策的要求，则将对其持续经营产</w:t>
      </w:r>
      <w:r>
        <w:rPr>
          <w:spacing w:val="-72"/>
        </w:rPr>
        <w:t> </w:t>
      </w:r>
      <w:r>
        <w:rPr>
          <w:spacing w:val="-72"/>
        </w:rPr>
      </w:r>
      <w:r>
        <w:rPr/>
        <w:t>生不利影响。</w:t>
      </w:r>
    </w:p>
    <w:p>
      <w:pPr>
        <w:pStyle w:val="BodyText"/>
        <w:spacing w:line="357" w:lineRule="auto"/>
        <w:ind w:left="557" w:right="1794"/>
        <w:jc w:val="left"/>
        <w:rPr>
          <w:rFonts w:ascii="宋体" w:hAnsi="宋体" w:cs="宋体" w:eastAsia="宋体" w:hint="default"/>
        </w:rPr>
      </w:pPr>
      <w:r>
        <w:rPr/>
        <w:t>（</w:t>
      </w:r>
      <w:r>
        <w:rPr>
          <w:rFonts w:ascii="宋体" w:hAnsi="宋体" w:cs="宋体" w:eastAsia="宋体" w:hint="default"/>
        </w:rPr>
        <w:t>6</w:t>
      </w:r>
      <w:r>
        <w:rPr/>
        <w:t>）交易形成的商誉将影响公司未来业绩及财务指标风险 公司现金购买上海漫酷</w:t>
      </w:r>
      <w:r>
        <w:rPr>
          <w:rFonts w:ascii="宋体" w:hAnsi="宋体" w:cs="宋体" w:eastAsia="宋体" w:hint="default"/>
        </w:rPr>
        <w:t>85%</w:t>
      </w:r>
      <w:r>
        <w:rPr/>
        <w:t>股权以及发行股份及支付现金购买上海氩氪和琥珀传播</w:t>
      </w:r>
      <w:r>
        <w:rPr>
          <w:rFonts w:ascii="宋体" w:hAnsi="宋体" w:cs="宋体" w:eastAsia="宋体" w:hint="default"/>
        </w:rPr>
        <w:t>100%</w:t>
      </w:r>
    </w:p>
    <w:p>
      <w:pPr>
        <w:pStyle w:val="BodyText"/>
        <w:spacing w:line="357" w:lineRule="auto"/>
        <w:ind w:right="1792"/>
        <w:jc w:val="both"/>
      </w:pPr>
      <w:r>
        <w:rPr>
          <w:spacing w:val="-8"/>
        </w:rPr>
        <w:t>股权，形成非同一控制下企业合并，会在公司合并资产负债表形成较大金额的商誉。根据《企</w:t>
      </w:r>
      <w:r>
        <w:rPr>
          <w:spacing w:val="-77"/>
        </w:rPr>
        <w:t> </w:t>
      </w:r>
      <w:r>
        <w:rPr>
          <w:spacing w:val="-77"/>
        </w:rPr>
      </w:r>
      <w:r>
        <w:rPr>
          <w:spacing w:val="-3"/>
        </w:rPr>
        <w:t>业会计准则》规定，本次交易形成的商誉不作摊销处理，但需在未来每年年度终了做减值测</w:t>
      </w:r>
      <w:r>
        <w:rPr>
          <w:spacing w:val="-74"/>
        </w:rPr>
        <w:t> </w:t>
      </w:r>
      <w:r>
        <w:rPr>
          <w:spacing w:val="-74"/>
        </w:rPr>
      </w:r>
      <w:r>
        <w:rPr>
          <w:spacing w:val="-3"/>
        </w:rPr>
        <w:t>试。如果上海漫酷、上海氩氪和琥珀传播未来经营状况恶化，将有可能出现商誉减值，从而</w:t>
      </w:r>
      <w:r>
        <w:rPr>
          <w:spacing w:val="-73"/>
        </w:rPr>
        <w:t> </w:t>
      </w:r>
      <w:r>
        <w:rPr>
          <w:spacing w:val="-73"/>
        </w:rPr>
      </w:r>
      <w:r>
        <w:rPr/>
        <w:t>影响公司合并报表利润。</w:t>
      </w:r>
    </w:p>
    <w:p>
      <w:pPr>
        <w:spacing w:line="240" w:lineRule="auto" w:before="12"/>
        <w:rPr>
          <w:rFonts w:ascii="宋体" w:hAnsi="宋体" w:cs="宋体" w:eastAsia="宋体" w:hint="default"/>
          <w:sz w:val="24"/>
          <w:szCs w:val="24"/>
        </w:rPr>
      </w:pPr>
    </w:p>
    <w:p>
      <w:pPr>
        <w:pStyle w:val="Heading2"/>
        <w:spacing w:line="240" w:lineRule="auto"/>
        <w:ind w:left="138" w:right="0"/>
        <w:jc w:val="both"/>
        <w:rPr>
          <w:b w:val="0"/>
          <w:bCs w:val="0"/>
        </w:rPr>
      </w:pPr>
      <w:bookmarkStart w:name="八、董事会对会计师事务所本报告期“非标准审计报告”的说明" w:id="41"/>
      <w:bookmarkEnd w:id="41"/>
      <w:r>
        <w:rPr>
          <w:b w:val="0"/>
          <w:bCs w:val="0"/>
        </w:rPr>
      </w:r>
      <w:r>
        <w:rPr/>
        <w:t>八、董事会对会计师事务所本报告期“非标准审计报告”的说明</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right="0" w:firstLine="420"/>
        <w:jc w:val="left"/>
      </w:pPr>
      <w:r>
        <w:rPr/>
        <w:t>天健会计师事务所（特殊普通合伙）为本公司出具了标准无保留意见审计报告。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2"/>
        <w:spacing w:line="312" w:lineRule="exact"/>
        <w:ind w:left="137" w:right="1802"/>
        <w:jc w:val="both"/>
        <w:rPr>
          <w:b w:val="0"/>
          <w:bCs w:val="0"/>
        </w:rPr>
      </w:pPr>
      <w:bookmarkStart w:name="九、与上年度财务报告相比，会计政策、会计估计和核算方法发生变化的情况说明" w:id="42"/>
      <w:bookmarkEnd w:id="42"/>
      <w:r>
        <w:rPr>
          <w:b w:val="0"/>
          <w:bCs w:val="0"/>
        </w:rPr>
      </w:r>
      <w:r>
        <w:rPr>
          <w:spacing w:val="3"/>
        </w:rPr>
        <w:t>九、与上年度财务报告相比，会计政策、会计估计和核算方法发生变化的情况</w:t>
      </w:r>
      <w:r>
        <w:rPr>
          <w:w w:val="99"/>
        </w:rPr>
        <w:t> </w:t>
      </w:r>
      <w:r>
        <w:rPr/>
        <w:t>说明</w:t>
      </w:r>
      <w:r>
        <w:rPr>
          <w:b w:val="0"/>
          <w:bCs w:val="0"/>
        </w:rPr>
      </w:r>
    </w:p>
    <w:p>
      <w:pPr>
        <w:spacing w:line="240" w:lineRule="auto" w:before="1"/>
        <w:rPr>
          <w:rFonts w:ascii="宋体" w:hAnsi="宋体" w:cs="宋体" w:eastAsia="宋体" w:hint="default"/>
          <w:b/>
          <w:bCs/>
          <w:sz w:val="21"/>
          <w:szCs w:val="21"/>
        </w:rPr>
      </w:pPr>
    </w:p>
    <w:p>
      <w:pPr>
        <w:pStyle w:val="BodyText"/>
        <w:spacing w:line="240" w:lineRule="auto" w:before="0"/>
        <w:ind w:left="557" w:right="0"/>
        <w:jc w:val="left"/>
      </w:pPr>
      <w:r>
        <w:rPr/>
        <w:t>财政部自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日起修订了《企业会计准则第</w:t>
      </w:r>
      <w:r>
        <w:rPr>
          <w:spacing w:val="-52"/>
        </w:rPr>
        <w:t> </w:t>
      </w:r>
      <w:r>
        <w:rPr>
          <w:rFonts w:ascii="宋体" w:hAnsi="宋体" w:cs="宋体" w:eastAsia="宋体" w:hint="default"/>
        </w:rPr>
        <w:t>2</w:t>
      </w:r>
      <w:r>
        <w:rPr>
          <w:rFonts w:ascii="宋体" w:hAnsi="宋体" w:cs="宋体" w:eastAsia="宋体" w:hint="default"/>
          <w:spacing w:val="-52"/>
        </w:rPr>
        <w:t> </w:t>
      </w:r>
      <w:r>
        <w:rPr>
          <w:spacing w:val="-2"/>
        </w:rPr>
        <w:t>号</w:t>
      </w:r>
      <w:r>
        <w:rPr>
          <w:rFonts w:ascii="宋体" w:hAnsi="宋体" w:cs="宋体" w:eastAsia="宋体" w:hint="default"/>
          <w:spacing w:val="-1"/>
        </w:rPr>
        <w:t>-</w:t>
      </w:r>
      <w:r>
        <w:rPr/>
        <w:t>长期股权投资</w:t>
      </w:r>
      <w:r>
        <w:rPr>
          <w:spacing w:val="-105"/>
        </w:rPr>
        <w:t>》、</w:t>
      </w:r>
      <w:r>
        <w:rPr/>
        <w:t>《企</w:t>
      </w:r>
      <w:r>
        <w:rPr>
          <w:spacing w:val="-2"/>
        </w:rPr>
        <w:t>业</w:t>
      </w:r>
      <w:r>
        <w:rPr/>
        <w:t>会</w:t>
      </w:r>
    </w:p>
    <w:p>
      <w:pPr>
        <w:pStyle w:val="BodyText"/>
        <w:spacing w:line="240" w:lineRule="auto" w:before="133"/>
        <w:ind w:left="138" w:right="0"/>
        <w:jc w:val="both"/>
        <w:rPr>
          <w:rFonts w:ascii="宋体" w:hAnsi="宋体" w:cs="宋体" w:eastAsia="宋体" w:hint="default"/>
        </w:rPr>
      </w:pPr>
      <w:r>
        <w:rPr/>
        <w:t>计准则第</w:t>
      </w:r>
      <w:r>
        <w:rPr>
          <w:spacing w:val="-53"/>
        </w:rPr>
        <w:t> </w:t>
      </w:r>
      <w:r>
        <w:rPr>
          <w:rFonts w:ascii="宋体" w:hAnsi="宋体" w:cs="宋体" w:eastAsia="宋体" w:hint="default"/>
        </w:rPr>
        <w:t>9</w:t>
      </w:r>
      <w:r>
        <w:rPr>
          <w:rFonts w:ascii="宋体" w:hAnsi="宋体" w:cs="宋体" w:eastAsia="宋体" w:hint="default"/>
          <w:spacing w:val="-53"/>
        </w:rPr>
        <w:t> </w:t>
      </w:r>
      <w:r>
        <w:rPr/>
        <w:t>号</w:t>
      </w:r>
      <w:r>
        <w:rPr>
          <w:rFonts w:ascii="宋体" w:hAnsi="宋体" w:cs="宋体" w:eastAsia="宋体" w:hint="default"/>
        </w:rPr>
        <w:t>-</w:t>
      </w:r>
      <w:r>
        <w:rPr/>
        <w:t>职工薪</w:t>
      </w:r>
      <w:r>
        <w:rPr>
          <w:spacing w:val="-2"/>
        </w:rPr>
        <w:t>酬</w:t>
      </w:r>
      <w:r>
        <w:rPr>
          <w:spacing w:val="-105"/>
        </w:rPr>
        <w:t>》、</w:t>
      </w:r>
      <w:r>
        <w:rPr/>
        <w:t>《企业</w:t>
      </w:r>
      <w:r>
        <w:rPr>
          <w:spacing w:val="-2"/>
        </w:rPr>
        <w:t>会</w:t>
      </w:r>
      <w:r>
        <w:rPr/>
        <w:t>计准则第</w:t>
      </w:r>
      <w:r>
        <w:rPr>
          <w:spacing w:val="-52"/>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3"/>
        </w:rPr>
        <w:t> </w:t>
      </w:r>
      <w:r>
        <w:rPr/>
        <w:t>号</w:t>
      </w:r>
      <w:r>
        <w:rPr>
          <w:rFonts w:ascii="宋体" w:hAnsi="宋体" w:cs="宋体" w:eastAsia="宋体" w:hint="default"/>
        </w:rPr>
        <w:t>-</w:t>
      </w:r>
      <w:r>
        <w:rPr/>
        <w:t>财务报</w:t>
      </w:r>
      <w:r>
        <w:rPr>
          <w:spacing w:val="-2"/>
        </w:rPr>
        <w:t>表</w:t>
      </w:r>
      <w:r>
        <w:rPr/>
        <w:t>列报</w:t>
      </w:r>
      <w:r>
        <w:rPr>
          <w:spacing w:val="-105"/>
        </w:rPr>
        <w:t>》、</w:t>
      </w:r>
      <w:r>
        <w:rPr/>
        <w:t>《</w:t>
      </w:r>
      <w:r>
        <w:rPr>
          <w:spacing w:val="-2"/>
        </w:rPr>
        <w:t>企</w:t>
      </w:r>
      <w:r>
        <w:rPr/>
        <w:t>业会计准则第</w:t>
      </w:r>
      <w:r>
        <w:rPr>
          <w:spacing w:val="-52"/>
        </w:rPr>
        <w:t> </w:t>
      </w:r>
      <w:r>
        <w:rPr>
          <w:rFonts w:ascii="宋体" w:hAnsi="宋体" w:cs="宋体" w:eastAsia="宋体" w:hint="default"/>
        </w:rPr>
        <w:t>33</w:t>
      </w:r>
    </w:p>
    <w:p>
      <w:pPr>
        <w:pStyle w:val="BodyText"/>
        <w:spacing w:line="240" w:lineRule="auto" w:before="134"/>
        <w:ind w:left="138" w:right="0"/>
        <w:jc w:val="both"/>
      </w:pPr>
      <w:r>
        <w:rPr/>
        <w:t>号</w:t>
      </w:r>
      <w:r>
        <w:rPr>
          <w:rFonts w:ascii="宋体" w:hAnsi="宋体" w:cs="宋体" w:eastAsia="宋体" w:hint="default"/>
        </w:rPr>
        <w:t>-</w:t>
      </w:r>
      <w:r>
        <w:rPr/>
        <w:t>合并财</w:t>
      </w:r>
      <w:r>
        <w:rPr>
          <w:spacing w:val="-2"/>
        </w:rPr>
        <w:t>务</w:t>
      </w:r>
      <w:r>
        <w:rPr/>
        <w:t>报表</w:t>
      </w:r>
      <w:r>
        <w:rPr>
          <w:spacing w:val="-105"/>
        </w:rPr>
        <w:t>》</w:t>
      </w:r>
      <w:r>
        <w:rPr>
          <w:spacing w:val="-29"/>
        </w:rPr>
        <w:t>，</w:t>
      </w:r>
      <w:r>
        <w:rPr/>
        <w:t>以</w:t>
      </w:r>
      <w:r>
        <w:rPr>
          <w:spacing w:val="-2"/>
        </w:rPr>
        <w:t>及</w:t>
      </w:r>
      <w:r>
        <w:rPr/>
        <w:t>颁布</w:t>
      </w:r>
      <w:r>
        <w:rPr>
          <w:spacing w:val="-29"/>
        </w:rPr>
        <w:t>了</w:t>
      </w:r>
      <w:r>
        <w:rPr/>
        <w:t>《企业会计准则第</w:t>
      </w:r>
      <w:r>
        <w:rPr>
          <w:spacing w:val="-52"/>
        </w:rPr>
        <w:t> </w:t>
      </w:r>
      <w:r>
        <w:rPr>
          <w:rFonts w:ascii="宋体" w:hAnsi="宋体" w:cs="宋体" w:eastAsia="宋体" w:hint="default"/>
          <w:spacing w:val="-1"/>
        </w:rPr>
        <w:t>3</w:t>
      </w:r>
      <w:r>
        <w:rPr>
          <w:rFonts w:ascii="宋体" w:hAnsi="宋体" w:cs="宋体" w:eastAsia="宋体" w:hint="default"/>
        </w:rPr>
        <w:t>9</w:t>
      </w:r>
      <w:r>
        <w:rPr>
          <w:rFonts w:ascii="宋体" w:hAnsi="宋体" w:cs="宋体" w:eastAsia="宋体" w:hint="default"/>
          <w:spacing w:val="-52"/>
        </w:rPr>
        <w:t> </w:t>
      </w:r>
      <w:r>
        <w:rPr/>
        <w:t>号</w:t>
      </w:r>
      <w:r>
        <w:rPr>
          <w:rFonts w:ascii="宋体" w:hAnsi="宋体" w:cs="宋体" w:eastAsia="宋体" w:hint="default"/>
        </w:rPr>
        <w:t>-</w:t>
      </w:r>
      <w:r>
        <w:rPr>
          <w:spacing w:val="-2"/>
        </w:rPr>
        <w:t>公</w:t>
      </w:r>
      <w:r>
        <w:rPr/>
        <w:t>允价值计量</w:t>
      </w:r>
      <w:r>
        <w:rPr>
          <w:spacing w:val="-106"/>
        </w:rPr>
        <w:t>》</w:t>
      </w:r>
      <w:r>
        <w:rPr>
          <w:spacing w:val="-134"/>
        </w:rPr>
        <w:t>、</w:t>
      </w:r>
      <w:r>
        <w:rPr/>
        <w:t>《企业会</w:t>
      </w:r>
      <w:r>
        <w:rPr>
          <w:spacing w:val="-2"/>
        </w:rPr>
        <w:t>计</w:t>
      </w:r>
      <w:r>
        <w:rPr/>
        <w:t>准则第</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40</w:t>
      </w:r>
      <w:r>
        <w:rPr>
          <w:rFonts w:ascii="宋体" w:hAnsi="宋体" w:cs="宋体" w:eastAsia="宋体" w:hint="default"/>
          <w:spacing w:val="-52"/>
        </w:rPr>
        <w:t> </w:t>
      </w:r>
      <w:r>
        <w:rPr>
          <w:spacing w:val="-2"/>
        </w:rPr>
        <w:t>号</w:t>
      </w:r>
      <w:r>
        <w:rPr>
          <w:rFonts w:ascii="宋体" w:hAnsi="宋体" w:cs="宋体" w:eastAsia="宋体" w:hint="default"/>
        </w:rPr>
        <w:t>-</w:t>
      </w:r>
      <w:r>
        <w:rPr/>
        <w:t>合营</w:t>
      </w:r>
      <w:r>
        <w:rPr>
          <w:spacing w:val="-2"/>
        </w:rPr>
        <w:t>安</w:t>
      </w:r>
      <w:r>
        <w:rPr/>
        <w:t>排</w:t>
      </w:r>
      <w:r>
        <w:rPr>
          <w:spacing w:val="-105"/>
        </w:rPr>
        <w:t>》</w:t>
      </w:r>
      <w:r>
        <w:rPr>
          <w:spacing w:val="-134"/>
        </w:rPr>
        <w:t>、</w:t>
      </w:r>
      <w:r>
        <w:rPr/>
        <w:t>《企</w:t>
      </w:r>
      <w:r>
        <w:rPr>
          <w:spacing w:val="-2"/>
        </w:rPr>
        <w:t>业</w:t>
      </w:r>
      <w:r>
        <w:rPr/>
        <w:t>会计准则第</w:t>
      </w:r>
      <w:r>
        <w:rPr>
          <w:spacing w:val="-52"/>
        </w:rPr>
        <w:t> </w:t>
      </w:r>
      <w:r>
        <w:rPr>
          <w:rFonts w:ascii="宋体" w:hAnsi="宋体" w:cs="宋体" w:eastAsia="宋体" w:hint="default"/>
          <w:spacing w:val="-1"/>
        </w:rPr>
        <w:t>4</w:t>
      </w:r>
      <w:r>
        <w:rPr>
          <w:rFonts w:ascii="宋体" w:hAnsi="宋体" w:cs="宋体" w:eastAsia="宋体" w:hint="default"/>
        </w:rPr>
        <w:t>1</w:t>
      </w:r>
      <w:r>
        <w:rPr>
          <w:rFonts w:ascii="宋体" w:hAnsi="宋体" w:cs="宋体" w:eastAsia="宋体" w:hint="default"/>
          <w:spacing w:val="-52"/>
        </w:rPr>
        <w:t> </w:t>
      </w:r>
      <w:r>
        <w:rPr/>
        <w:t>号</w:t>
      </w:r>
      <w:r>
        <w:rPr>
          <w:rFonts w:ascii="宋体" w:hAnsi="宋体" w:cs="宋体" w:eastAsia="宋体" w:hint="default"/>
        </w:rPr>
        <w:t>-</w:t>
      </w:r>
      <w:r>
        <w:rPr/>
        <w:t>在其</w:t>
      </w:r>
      <w:r>
        <w:rPr>
          <w:spacing w:val="-2"/>
        </w:rPr>
        <w:t>他</w:t>
      </w:r>
      <w:r>
        <w:rPr/>
        <w:t>主体中权益的披露</w:t>
      </w:r>
      <w:r>
        <w:rPr>
          <w:spacing w:val="-29"/>
        </w:rPr>
        <w:t>》</w:t>
      </w:r>
      <w:r>
        <w:rPr/>
        <w:t>等具体准则</w:t>
      </w:r>
      <w:r>
        <w:rPr>
          <w:spacing w:val="-29"/>
        </w:rPr>
        <w:t>，</w:t>
      </w:r>
      <w:r>
        <w:rPr/>
        <w:t>自</w:t>
      </w:r>
      <w:r>
        <w:rPr>
          <w:spacing w:val="-52"/>
        </w:rPr>
        <w:t> </w:t>
      </w:r>
      <w:r>
        <w:rPr>
          <w:rFonts w:ascii="宋体" w:hAnsi="宋体" w:cs="宋体" w:eastAsia="宋体" w:hint="default"/>
        </w:rPr>
        <w:t>2014</w:t>
      </w:r>
    </w:p>
    <w:p>
      <w:pPr>
        <w:pStyle w:val="BodyText"/>
        <w:spacing w:line="240" w:lineRule="auto" w:before="133"/>
        <w:ind w:right="0"/>
        <w:jc w:val="both"/>
      </w:pP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日起在所有执行企业会计准则的企业范围内施行。</w:t>
      </w:r>
    </w:p>
    <w:p>
      <w:pPr>
        <w:spacing w:after="0" w:line="240" w:lineRule="auto"/>
        <w:jc w:val="both"/>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240" w:lineRule="auto" w:before="35"/>
        <w:ind w:left="1158" w:right="1689"/>
        <w:jc w:val="left"/>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t>日</w:t>
      </w:r>
      <w:r>
        <w:rPr>
          <w:spacing w:val="-12"/>
        </w:rPr>
        <w:t>，</w:t>
      </w:r>
      <w:r>
        <w:rPr/>
        <w:t>财</w:t>
      </w:r>
      <w:r>
        <w:rPr>
          <w:spacing w:val="-2"/>
        </w:rPr>
        <w:t>政</w:t>
      </w:r>
      <w:r>
        <w:rPr/>
        <w:t>部修订</w:t>
      </w:r>
      <w:r>
        <w:rPr>
          <w:spacing w:val="-12"/>
        </w:rPr>
        <w:t>了</w:t>
      </w:r>
      <w:r>
        <w:rPr/>
        <w:t>《企业会计准则第</w:t>
      </w:r>
      <w:r>
        <w:rPr>
          <w:spacing w:val="-52"/>
        </w:rPr>
        <w:t> </w:t>
      </w:r>
      <w:r>
        <w:rPr>
          <w:rFonts w:ascii="宋体" w:hAnsi="宋体" w:cs="宋体" w:eastAsia="宋体" w:hint="default"/>
          <w:spacing w:val="-1"/>
        </w:rPr>
        <w:t>3</w:t>
      </w:r>
      <w:r>
        <w:rPr>
          <w:rFonts w:ascii="宋体" w:hAnsi="宋体" w:cs="宋体" w:eastAsia="宋体" w:hint="default"/>
        </w:rPr>
        <w:t>7</w:t>
      </w:r>
      <w:r>
        <w:rPr>
          <w:rFonts w:ascii="宋体" w:hAnsi="宋体" w:cs="宋体" w:eastAsia="宋体" w:hint="default"/>
          <w:spacing w:val="-52"/>
        </w:rPr>
        <w:t> </w:t>
      </w:r>
      <w:r>
        <w:rPr/>
        <w:t>号</w:t>
      </w:r>
      <w:r>
        <w:rPr>
          <w:spacing w:val="-2"/>
        </w:rPr>
        <w:t>—</w:t>
      </w:r>
      <w:r>
        <w:rPr/>
        <w:t>金融工具列报</w:t>
      </w:r>
      <w:r>
        <w:rPr>
          <w:spacing w:val="-105"/>
        </w:rPr>
        <w:t>》</w:t>
      </w:r>
      <w:r>
        <w:rPr>
          <w:spacing w:val="-12"/>
        </w:rPr>
        <w:t>，</w:t>
      </w:r>
      <w:r>
        <w:rPr/>
        <w:t>要求执行</w:t>
      </w:r>
    </w:p>
    <w:p>
      <w:pPr>
        <w:pStyle w:val="BodyText"/>
        <w:spacing w:line="357" w:lineRule="auto" w:before="133"/>
        <w:ind w:left="738" w:right="1796"/>
        <w:jc w:val="left"/>
      </w:pPr>
      <w:r>
        <w:rPr/>
        <w:t>企业会计准则的企业在</w:t>
      </w:r>
      <w:r>
        <w:rPr>
          <w:spacing w:val="-54"/>
        </w:rPr>
        <w:t> </w:t>
      </w:r>
      <w:r>
        <w:rPr>
          <w:rFonts w:ascii="宋体" w:hAnsi="宋体" w:cs="宋体" w:eastAsia="宋体" w:hint="default"/>
        </w:rPr>
        <w:t>2014</w:t>
      </w:r>
      <w:r>
        <w:rPr>
          <w:rFonts w:ascii="宋体" w:hAnsi="宋体" w:cs="宋体" w:eastAsia="宋体" w:hint="default"/>
          <w:spacing w:val="-54"/>
        </w:rPr>
        <w:t> </w:t>
      </w:r>
      <w:r>
        <w:rPr/>
        <w:t>年度及以后期间的财务报告中按照该准则要求对金融工具进行 列报。</w:t>
      </w:r>
    </w:p>
    <w:p>
      <w:pPr>
        <w:pStyle w:val="BodyText"/>
        <w:spacing w:line="357" w:lineRule="auto"/>
        <w:ind w:left="738" w:right="1793" w:firstLine="420"/>
        <w:jc w:val="both"/>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2"/>
        </w:rPr>
        <w:t> </w:t>
      </w:r>
      <w:r>
        <w:rPr>
          <w:rFonts w:ascii="宋体" w:hAnsi="宋体" w:cs="宋体" w:eastAsia="宋体" w:hint="default"/>
        </w:rPr>
        <w:t>23</w:t>
      </w:r>
      <w:r>
        <w:rPr>
          <w:rFonts w:ascii="宋体" w:hAnsi="宋体" w:cs="宋体" w:eastAsia="宋体" w:hint="default"/>
          <w:spacing w:val="-60"/>
        </w:rPr>
        <w:t> </w:t>
      </w:r>
      <w:r>
        <w:rPr/>
        <w:t>日，财政部发布了《财政部关于修改〈企业会计准则—基本准则〉的决 </w:t>
      </w:r>
      <w:r>
        <w:rPr>
          <w:spacing w:val="-4"/>
        </w:rPr>
        <w:t>定》，要求所有执行企业会计准则的企业自公布之日起施行。</w:t>
      </w:r>
    </w:p>
    <w:p>
      <w:pPr>
        <w:pStyle w:val="BodyText"/>
        <w:spacing w:line="393" w:lineRule="auto"/>
        <w:ind w:left="1158" w:right="2528"/>
        <w:jc w:val="left"/>
      </w:pPr>
      <w:r>
        <w:rPr/>
        <w:t>根据前述规定，公司于以上文件规定的起始日开始执行上述企业会计准则。 除上述会计政策变更外，公司的会计政策、会计估计和核算方法未发生变化。</w:t>
      </w:r>
    </w:p>
    <w:p>
      <w:pPr>
        <w:spacing w:line="240" w:lineRule="auto" w:before="6"/>
        <w:rPr>
          <w:rFonts w:ascii="宋体" w:hAnsi="宋体" w:cs="宋体" w:eastAsia="宋体" w:hint="default"/>
          <w:sz w:val="22"/>
          <w:szCs w:val="22"/>
        </w:rPr>
      </w:pPr>
    </w:p>
    <w:p>
      <w:pPr>
        <w:pStyle w:val="Heading2"/>
        <w:spacing w:line="240" w:lineRule="auto"/>
        <w:ind w:left="737" w:right="1689"/>
        <w:jc w:val="left"/>
        <w:rPr>
          <w:b w:val="0"/>
          <w:bCs w:val="0"/>
        </w:rPr>
      </w:pPr>
      <w:bookmarkStart w:name="十、报告期内发生重大会计差错更正需追溯重述的情况说明" w:id="43"/>
      <w:bookmarkEnd w:id="43"/>
      <w:r>
        <w:rPr>
          <w:b w:val="0"/>
          <w:bCs w:val="0"/>
        </w:rPr>
      </w:r>
      <w:r>
        <w:rPr/>
        <w:t>十、报告期内发生重大会计差错更正需追溯重述的情况说明</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1158" w:right="1689"/>
        <w:jc w:val="left"/>
      </w:pPr>
      <w:r>
        <w:rPr/>
        <w:t>报告期内未发生重大会计差错。</w:t>
      </w:r>
    </w:p>
    <w:p>
      <w:pPr>
        <w:spacing w:line="240" w:lineRule="auto" w:before="0"/>
        <w:rPr>
          <w:rFonts w:ascii="宋体" w:hAnsi="宋体" w:cs="宋体" w:eastAsia="宋体" w:hint="default"/>
          <w:sz w:val="20"/>
          <w:szCs w:val="20"/>
        </w:rPr>
      </w:pPr>
    </w:p>
    <w:p>
      <w:pPr>
        <w:pStyle w:val="Heading2"/>
        <w:spacing w:line="240" w:lineRule="auto" w:before="167"/>
        <w:ind w:right="1689"/>
        <w:jc w:val="left"/>
        <w:rPr>
          <w:b w:val="0"/>
          <w:bCs w:val="0"/>
        </w:rPr>
      </w:pPr>
      <w:bookmarkStart w:name="十一、与上年度财务报告相比，合并报表范围发生变化的情况说明" w:id="44"/>
      <w:bookmarkEnd w:id="44"/>
      <w:r>
        <w:rPr>
          <w:b w:val="0"/>
          <w:bCs w:val="0"/>
        </w:rPr>
      </w:r>
      <w:r>
        <w:rPr/>
        <w:t>十一、与上年度财务报告相比，合并报表范围发生变化的情况说明</w:t>
      </w:r>
      <w:r>
        <w:rPr>
          <w:b w:val="0"/>
          <w:bCs w:val="0"/>
        </w:rPr>
      </w:r>
    </w:p>
    <w:p>
      <w:pPr>
        <w:spacing w:line="240" w:lineRule="auto" w:before="2"/>
        <w:rPr>
          <w:rFonts w:ascii="宋体" w:hAnsi="宋体" w:cs="宋体" w:eastAsia="宋体" w:hint="default"/>
          <w:b/>
          <w:bCs/>
          <w:sz w:val="23"/>
          <w:szCs w:val="23"/>
        </w:rPr>
      </w:pPr>
    </w:p>
    <w:p>
      <w:pPr>
        <w:pStyle w:val="BodyText"/>
        <w:spacing w:line="355" w:lineRule="auto" w:before="0"/>
        <w:ind w:left="738" w:right="1812" w:firstLine="420"/>
        <w:jc w:val="both"/>
      </w:pPr>
      <w:r>
        <w:rPr>
          <w:rFonts w:ascii="宋体" w:hAnsi="宋体" w:cs="宋体" w:eastAsia="宋体" w:hint="default"/>
        </w:rPr>
        <w:t>1</w:t>
      </w:r>
      <w:r>
        <w:rPr/>
        <w:t>、本报告期，公司完成收购上海漫酷广告有限公司、上海氩氪广告有限公司、银色琥 珀文化传播</w:t>
      </w:r>
      <w:r>
        <w:rPr>
          <w:rFonts w:ascii="宋体" w:hAnsi="宋体" w:cs="宋体" w:eastAsia="宋体" w:hint="default"/>
        </w:rPr>
        <w:t>(</w:t>
      </w:r>
      <w:r>
        <w:rPr/>
        <w:t>北京</w:t>
      </w:r>
      <w:r>
        <w:rPr>
          <w:rFonts w:ascii="宋体" w:hAnsi="宋体" w:cs="宋体" w:eastAsia="宋体" w:hint="default"/>
        </w:rPr>
        <w:t>)</w:t>
      </w:r>
      <w:r>
        <w:rPr/>
        <w:t>有限公司。故上述公司自购买日起，纳入合并财务报表范围。</w:t>
      </w:r>
    </w:p>
    <w:p>
      <w:pPr>
        <w:pStyle w:val="BodyText"/>
        <w:spacing w:line="357" w:lineRule="auto" w:before="73"/>
        <w:ind w:left="737" w:right="1793" w:firstLine="420"/>
        <w:jc w:val="both"/>
      </w:pPr>
      <w:r>
        <w:rPr>
          <w:rFonts w:ascii="宋体" w:hAnsi="宋体" w:cs="宋体" w:eastAsia="宋体" w:hint="default"/>
        </w:rPr>
        <w:t>2</w:t>
      </w:r>
      <w:r>
        <w:rPr/>
        <w:t>、本报告期，公司出资设立了利欧中东公司、上海聚嘉网络技术有限公司、温岭滨泰 </w:t>
      </w:r>
      <w:r>
        <w:rPr>
          <w:spacing w:val="-3"/>
        </w:rPr>
        <w:t>科进出口有限公司，公司控股子公司上海漫酷广告有限公司出资设立了上海漫酷网络技术有</w:t>
      </w:r>
      <w:r>
        <w:rPr>
          <w:spacing w:val="-73"/>
        </w:rPr>
        <w:t> </w:t>
      </w:r>
      <w:r>
        <w:rPr>
          <w:spacing w:val="-73"/>
        </w:rPr>
      </w:r>
      <w:r>
        <w:rPr/>
        <w:t>限公司，公司全资子公司银色琥珀文化传播</w:t>
      </w:r>
      <w:r>
        <w:rPr>
          <w:rFonts w:ascii="宋体" w:hAnsi="宋体" w:cs="宋体" w:eastAsia="宋体" w:hint="default"/>
        </w:rPr>
        <w:t>(</w:t>
      </w:r>
      <w:r>
        <w:rPr/>
        <w:t>北京</w:t>
      </w:r>
      <w:r>
        <w:rPr>
          <w:rFonts w:ascii="宋体" w:hAnsi="宋体" w:cs="宋体" w:eastAsia="宋体" w:hint="default"/>
        </w:rPr>
        <w:t>)</w:t>
      </w:r>
      <w:r>
        <w:rPr/>
        <w:t>有限公司出资设立了琥之珀文化传播</w:t>
      </w:r>
      <w:r>
        <w:rPr>
          <w:rFonts w:ascii="宋体" w:hAnsi="宋体" w:cs="宋体" w:eastAsia="宋体" w:hint="default"/>
        </w:rPr>
        <w:t>(</w:t>
      </w:r>
      <w:r>
        <w:rPr/>
        <w:t>上 海</w:t>
      </w:r>
      <w:r>
        <w:rPr>
          <w:rFonts w:ascii="宋体" w:hAnsi="宋体" w:cs="宋体" w:eastAsia="宋体" w:hint="default"/>
        </w:rPr>
        <w:t>)</w:t>
      </w:r>
      <w:r>
        <w:rPr/>
        <w:t>有限公司，并均在报告期内完成工商设立登记手续。故上述公司自成立之日起，纳入合 并财务报表范围。</w:t>
      </w:r>
    </w:p>
    <w:p>
      <w:pPr>
        <w:spacing w:line="240" w:lineRule="auto" w:before="11"/>
        <w:rPr>
          <w:rFonts w:ascii="宋体" w:hAnsi="宋体" w:cs="宋体" w:eastAsia="宋体" w:hint="default"/>
          <w:sz w:val="24"/>
          <w:szCs w:val="24"/>
        </w:rPr>
      </w:pPr>
    </w:p>
    <w:p>
      <w:pPr>
        <w:pStyle w:val="Heading2"/>
        <w:spacing w:line="240" w:lineRule="auto"/>
        <w:ind w:right="1689"/>
        <w:jc w:val="left"/>
        <w:rPr>
          <w:b w:val="0"/>
          <w:bCs w:val="0"/>
        </w:rPr>
      </w:pPr>
      <w:bookmarkStart w:name="十二、公司利润分配及分红派息情况" w:id="45"/>
      <w:bookmarkEnd w:id="45"/>
      <w:r>
        <w:rPr>
          <w:b w:val="0"/>
          <w:bCs w:val="0"/>
        </w:rPr>
      </w:r>
      <w:r>
        <w:rPr/>
        <w:t>十二、公司利润分配及分红派息情况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737" w:right="1689"/>
        <w:jc w:val="left"/>
      </w:pPr>
      <w:r>
        <w:rPr/>
        <w:t>报告期内利润分配政策特别是现金分红政策的制定、执行或调整情况</w:t>
      </w:r>
    </w:p>
    <w:p>
      <w:pPr>
        <w:pStyle w:val="BodyText"/>
        <w:spacing w:line="355" w:lineRule="auto" w:before="134"/>
        <w:ind w:left="738" w:right="2738"/>
        <w:jc w:val="left"/>
      </w:pPr>
      <w:r>
        <w:rPr/>
        <w:t>√ 适用 □</w:t>
      </w:r>
      <w:r>
        <w:rPr>
          <w:spacing w:val="-2"/>
        </w:rPr>
        <w:t> </w:t>
      </w:r>
      <w:r>
        <w:rPr/>
        <w:t>不适用</w:t>
      </w:r>
      <w:r>
        <w:rPr/>
        <w:t> 公司严格按照《公司章程》和《股东分红回报规划》的相关要求进行利润分配。</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4201"/>
        <w:gridCol w:w="5356"/>
      </w:tblGrid>
      <w:tr>
        <w:trPr>
          <w:trHeight w:val="31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9" w:hRule="exact"/>
        </w:trPr>
        <w:tc>
          <w:tcPr>
            <w:tcW w:w="4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5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5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5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5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3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 权益是否得到了充分保护：</w:t>
            </w:r>
          </w:p>
        </w:tc>
        <w:tc>
          <w:tcPr>
            <w:tcW w:w="5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4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3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 规、透明：</w:t>
            </w:r>
          </w:p>
        </w:tc>
        <w:tc>
          <w:tcPr>
            <w:tcW w:w="53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报告期内现金分红政策未进行调整和变更。</w:t>
            </w:r>
          </w:p>
        </w:tc>
      </w:tr>
    </w:tbl>
    <w:p>
      <w:pPr>
        <w:pStyle w:val="BodyText"/>
        <w:spacing w:line="240" w:lineRule="auto" w:before="86"/>
        <w:ind w:left="738" w:right="1689"/>
        <w:jc w:val="left"/>
      </w:pPr>
      <w:r>
        <w:rPr/>
        <w:t>公司近</w:t>
      </w:r>
      <w:r>
        <w:rPr>
          <w:spacing w:val="-54"/>
        </w:rPr>
        <w:t> </w:t>
      </w:r>
      <w:r>
        <w:rPr>
          <w:rFonts w:ascii="宋体" w:hAnsi="宋体" w:cs="宋体" w:eastAsia="宋体" w:hint="default"/>
        </w:rPr>
        <w:t>3</w:t>
      </w:r>
      <w:r>
        <w:rPr>
          <w:rFonts w:ascii="宋体" w:hAnsi="宋体" w:cs="宋体" w:eastAsia="宋体" w:hint="default"/>
          <w:spacing w:val="-53"/>
        </w:rPr>
        <w:t> </w:t>
      </w:r>
      <w:r>
        <w:rPr/>
        <w:t>年（含报告期）的利润分配预案或方案及资本公积金转增股本预案或方案情况</w:t>
      </w:r>
    </w:p>
    <w:p>
      <w:pPr>
        <w:spacing w:after="0" w:line="240" w:lineRule="auto"/>
        <w:jc w:val="left"/>
        <w:sectPr>
          <w:pgSz w:w="11910" w:h="16840"/>
          <w:pgMar w:header="0" w:footer="938" w:top="1100" w:bottom="1120" w:left="1060" w:right="0"/>
        </w:sectPr>
      </w:pPr>
    </w:p>
    <w:p>
      <w:pPr>
        <w:spacing w:line="240" w:lineRule="auto" w:before="2"/>
        <w:rPr>
          <w:rFonts w:ascii="宋体" w:hAnsi="宋体" w:cs="宋体" w:eastAsia="宋体" w:hint="default"/>
          <w:sz w:val="19"/>
          <w:szCs w:val="19"/>
        </w:rPr>
      </w:pPr>
    </w:p>
    <w:p>
      <w:pPr>
        <w:pStyle w:val="BodyText"/>
        <w:spacing w:line="357" w:lineRule="auto" w:before="35"/>
        <w:ind w:left="998" w:right="1789" w:firstLine="420"/>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5"/>
        </w:rPr>
        <w:t> </w:t>
      </w:r>
      <w:r>
        <w:rPr/>
        <w:t>年度利润分配预案为：以</w:t>
      </w:r>
      <w:r>
        <w:rPr>
          <w:spacing w:val="-54"/>
        </w:rPr>
        <w:t> </w:t>
      </w:r>
      <w:r>
        <w:rPr>
          <w:rFonts w:ascii="宋体" w:hAnsi="宋体" w:cs="宋体" w:eastAsia="宋体" w:hint="default"/>
        </w:rPr>
        <w:t>391,424,450</w:t>
      </w:r>
      <w:r>
        <w:rPr>
          <w:rFonts w:ascii="宋体" w:hAnsi="宋体" w:cs="宋体" w:eastAsia="宋体" w:hint="default"/>
          <w:spacing w:val="-54"/>
        </w:rPr>
        <w:t> </w:t>
      </w:r>
      <w:r>
        <w:rPr/>
        <w:t>股为基数，向股东每</w:t>
      </w:r>
      <w:r>
        <w:rPr>
          <w:spacing w:val="-54"/>
        </w:rPr>
        <w:t> </w:t>
      </w:r>
      <w:r>
        <w:rPr>
          <w:rFonts w:ascii="宋体" w:hAnsi="宋体" w:cs="宋体" w:eastAsia="宋体" w:hint="default"/>
        </w:rPr>
        <w:t>10</w:t>
      </w:r>
      <w:r>
        <w:rPr>
          <w:rFonts w:ascii="宋体" w:hAnsi="宋体" w:cs="宋体" w:eastAsia="宋体" w:hint="default"/>
          <w:spacing w:val="-54"/>
        </w:rPr>
        <w:t> </w:t>
      </w:r>
      <w:r>
        <w:rPr/>
        <w:t>股派发现金股 利</w:t>
      </w:r>
      <w:r>
        <w:rPr>
          <w:spacing w:val="-51"/>
        </w:rPr>
        <w:t> </w:t>
      </w:r>
      <w:r>
        <w:rPr>
          <w:rFonts w:ascii="宋体" w:hAnsi="宋体" w:cs="宋体" w:eastAsia="宋体" w:hint="default"/>
        </w:rPr>
        <w:t>0.5</w:t>
      </w:r>
      <w:r>
        <w:rPr>
          <w:rFonts w:ascii="宋体" w:hAnsi="宋体" w:cs="宋体" w:eastAsia="宋体" w:hint="default"/>
          <w:spacing w:val="-50"/>
        </w:rPr>
        <w:t> </w:t>
      </w:r>
      <w:r>
        <w:rPr>
          <w:spacing w:val="-33"/>
        </w:rPr>
        <w:t>元（含税），送红股</w:t>
      </w:r>
      <w:r>
        <w:rPr>
          <w:spacing w:val="-52"/>
        </w:rPr>
        <w:t> </w:t>
      </w:r>
      <w:r>
        <w:rPr>
          <w:rFonts w:ascii="宋体" w:hAnsi="宋体" w:cs="宋体" w:eastAsia="宋体" w:hint="default"/>
        </w:rPr>
        <w:t>0</w:t>
      </w:r>
      <w:r>
        <w:rPr>
          <w:rFonts w:ascii="宋体" w:hAnsi="宋体" w:cs="宋体" w:eastAsia="宋体" w:hint="default"/>
          <w:spacing w:val="-50"/>
        </w:rPr>
        <w:t> </w:t>
      </w:r>
      <w:r>
        <w:rPr>
          <w:spacing w:val="-17"/>
        </w:rPr>
        <w:t>股（含税），不以公积金转增股本。共分配现金股利</w:t>
      </w:r>
      <w:r>
        <w:rPr>
          <w:spacing w:val="-50"/>
        </w:rPr>
        <w:t> </w:t>
      </w:r>
      <w:r>
        <w:rPr>
          <w:rFonts w:ascii="宋体" w:hAnsi="宋体" w:cs="宋体" w:eastAsia="宋体" w:hint="default"/>
        </w:rPr>
        <w:t>19,571,222.50 </w:t>
      </w:r>
      <w:r>
        <w:rPr>
          <w:spacing w:val="-18"/>
        </w:rPr>
        <w:t>元（含税）。</w:t>
      </w:r>
    </w:p>
    <w:p>
      <w:pPr>
        <w:pStyle w:val="BodyText"/>
        <w:spacing w:line="240" w:lineRule="auto"/>
        <w:ind w:left="1418" w:right="0"/>
        <w:jc w:val="left"/>
      </w:pPr>
      <w:r>
        <w:rPr>
          <w:rFonts w:ascii="宋体" w:hAnsi="宋体" w:cs="宋体" w:eastAsia="宋体" w:hint="default"/>
        </w:rPr>
        <w:t>2</w:t>
      </w:r>
      <w:r>
        <w:rPr/>
        <w:t>、截至</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日，公司总股本为</w:t>
      </w:r>
      <w:r>
        <w:rPr>
          <w:spacing w:val="-53"/>
        </w:rPr>
        <w:t> </w:t>
      </w:r>
      <w:r>
        <w:rPr>
          <w:rFonts w:ascii="宋体" w:hAnsi="宋体" w:cs="宋体" w:eastAsia="宋体" w:hint="default"/>
        </w:rPr>
        <w:t>375,588,388</w:t>
      </w:r>
      <w:r>
        <w:rPr>
          <w:rFonts w:ascii="宋体" w:hAnsi="宋体" w:cs="宋体" w:eastAsia="宋体" w:hint="default"/>
          <w:spacing w:val="-53"/>
        </w:rPr>
        <w:t> </w:t>
      </w:r>
      <w:r>
        <w:rPr/>
        <w:t>股。因长沙天鹅</w:t>
      </w:r>
      <w:r>
        <w:rPr>
          <w:spacing w:val="-53"/>
        </w:rPr>
        <w:t> </w:t>
      </w:r>
      <w:r>
        <w:rPr>
          <w:rFonts w:ascii="宋体" w:hAnsi="宋体" w:cs="宋体" w:eastAsia="宋体" w:hint="default"/>
        </w:rPr>
        <w:t>2013</w:t>
      </w:r>
      <w:r>
        <w:rPr>
          <w:rFonts w:ascii="宋体" w:hAnsi="宋体" w:cs="宋体" w:eastAsia="宋体" w:hint="default"/>
          <w:spacing w:val="-54"/>
        </w:rPr>
        <w:t> </w:t>
      </w:r>
      <w:r>
        <w:rPr/>
        <w:t>年度经</w:t>
      </w:r>
    </w:p>
    <w:p>
      <w:pPr>
        <w:pStyle w:val="BodyText"/>
        <w:spacing w:line="240" w:lineRule="auto" w:before="134"/>
        <w:ind w:left="998" w:right="1789"/>
        <w:jc w:val="left"/>
      </w:pPr>
      <w:r>
        <w:rPr/>
        <w:t>营业绩未达盈利预测，长沙天鹅原股东需以其持有利欧股份的</w:t>
      </w:r>
      <w:r>
        <w:rPr>
          <w:spacing w:val="-53"/>
        </w:rPr>
        <w:t> </w:t>
      </w:r>
      <w:r>
        <w:rPr>
          <w:rFonts w:ascii="宋体" w:hAnsi="宋体" w:cs="宋体" w:eastAsia="宋体" w:hint="default"/>
        </w:rPr>
        <w:t>2,852,397</w:t>
      </w:r>
      <w:r>
        <w:rPr>
          <w:rFonts w:ascii="宋体" w:hAnsi="宋体" w:cs="宋体" w:eastAsia="宋体" w:hint="default"/>
          <w:spacing w:val="-53"/>
        </w:rPr>
        <w:t> </w:t>
      </w:r>
      <w:r>
        <w:rPr/>
        <w:t>股股份进行补偿</w:t>
      </w:r>
    </w:p>
    <w:p>
      <w:pPr>
        <w:pStyle w:val="BodyText"/>
        <w:spacing w:line="357" w:lineRule="auto" w:before="133"/>
        <w:ind w:left="998" w:right="1808"/>
        <w:jc w:val="left"/>
      </w:pPr>
      <w:r>
        <w:rPr>
          <w:spacing w:val="-3"/>
        </w:rPr>
        <w:t>（该部分股份不拥有表决权且不享有股利分配的权利），公司总股本扣除该部分股份后，实</w:t>
      </w:r>
      <w:r>
        <w:rPr>
          <w:spacing w:val="-92"/>
        </w:rPr>
        <w:t> </w:t>
      </w:r>
      <w:r>
        <w:rPr>
          <w:spacing w:val="-92"/>
        </w:rPr>
      </w:r>
      <w:r>
        <w:rPr/>
        <w:t>际可参与</w:t>
      </w:r>
      <w:r>
        <w:rPr>
          <w:spacing w:val="-54"/>
        </w:rPr>
        <w:t> </w:t>
      </w:r>
      <w:r>
        <w:rPr>
          <w:rFonts w:ascii="宋体" w:hAnsi="宋体" w:cs="宋体" w:eastAsia="宋体" w:hint="default"/>
        </w:rPr>
        <w:t>2013</w:t>
      </w:r>
      <w:r>
        <w:rPr>
          <w:rFonts w:ascii="宋体" w:hAnsi="宋体" w:cs="宋体" w:eastAsia="宋体" w:hint="default"/>
          <w:spacing w:val="-54"/>
        </w:rPr>
        <w:t> </w:t>
      </w:r>
      <w:r>
        <w:rPr/>
        <w:t>年度利润分配的股份数量为</w:t>
      </w:r>
      <w:r>
        <w:rPr>
          <w:spacing w:val="-53"/>
        </w:rPr>
        <w:t> </w:t>
      </w:r>
      <w:r>
        <w:rPr>
          <w:rFonts w:ascii="宋体" w:hAnsi="宋体" w:cs="宋体" w:eastAsia="宋体" w:hint="default"/>
        </w:rPr>
        <w:t>372,735,991</w:t>
      </w:r>
      <w:r>
        <w:rPr>
          <w:rFonts w:ascii="宋体" w:hAnsi="宋体" w:cs="宋体" w:eastAsia="宋体" w:hint="default"/>
          <w:spacing w:val="-53"/>
        </w:rPr>
        <w:t> </w:t>
      </w:r>
      <w:r>
        <w:rPr/>
        <w:t>股。</w:t>
      </w:r>
    </w:p>
    <w:p>
      <w:pPr>
        <w:pStyle w:val="BodyText"/>
        <w:spacing w:line="240" w:lineRule="auto"/>
        <w:ind w:left="1417" w:right="0"/>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1"/>
        </w:rPr>
        <w:t> </w:t>
      </w:r>
      <w:r>
        <w:rPr/>
        <w:t>年度</w:t>
      </w:r>
      <w:r>
        <w:rPr>
          <w:spacing w:val="-2"/>
        </w:rPr>
        <w:t>利</w:t>
      </w:r>
      <w:r>
        <w:rPr/>
        <w:t>润分配方案为</w:t>
      </w:r>
      <w:r>
        <w:rPr>
          <w:spacing w:val="-96"/>
        </w:rPr>
        <w:t>：</w:t>
      </w:r>
      <w:r>
        <w:rPr/>
        <w:t>以</w:t>
      </w:r>
      <w:r>
        <w:rPr>
          <w:spacing w:val="-52"/>
        </w:rPr>
        <w:t> </w:t>
      </w:r>
      <w:r>
        <w:rPr>
          <w:rFonts w:ascii="宋体" w:hAnsi="宋体" w:cs="宋体" w:eastAsia="宋体" w:hint="default"/>
        </w:rPr>
        <w:t>372,7</w:t>
      </w:r>
      <w:r>
        <w:rPr>
          <w:rFonts w:ascii="宋体" w:hAnsi="宋体" w:cs="宋体" w:eastAsia="宋体" w:hint="default"/>
          <w:spacing w:val="-2"/>
        </w:rPr>
        <w:t>3</w:t>
      </w:r>
      <w:r>
        <w:rPr>
          <w:rFonts w:ascii="宋体" w:hAnsi="宋体" w:cs="宋体" w:eastAsia="宋体" w:hint="default"/>
        </w:rPr>
        <w:t>5,991</w:t>
      </w:r>
      <w:r>
        <w:rPr>
          <w:rFonts w:ascii="宋体" w:hAnsi="宋体" w:cs="宋体" w:eastAsia="宋体" w:hint="default"/>
          <w:spacing w:val="-52"/>
        </w:rPr>
        <w:t> </w:t>
      </w:r>
      <w:r>
        <w:rPr/>
        <w:t>股为</w:t>
      </w:r>
      <w:r>
        <w:rPr>
          <w:spacing w:val="-2"/>
        </w:rPr>
        <w:t>基</w:t>
      </w:r>
      <w:r>
        <w:rPr/>
        <w:t>数</w:t>
      </w:r>
      <w:r>
        <w:rPr>
          <w:spacing w:val="-96"/>
        </w:rPr>
        <w:t>，</w:t>
      </w:r>
      <w:r>
        <w:rPr/>
        <w:t>向股东每</w:t>
      </w:r>
      <w:r>
        <w:rPr>
          <w:spacing w:val="-54"/>
        </w:rPr>
        <w:t> </w:t>
      </w:r>
      <w:r>
        <w:rPr>
          <w:rFonts w:ascii="宋体" w:hAnsi="宋体" w:cs="宋体" w:eastAsia="宋体" w:hint="default"/>
        </w:rPr>
        <w:t>10</w:t>
      </w:r>
      <w:r>
        <w:rPr>
          <w:rFonts w:ascii="宋体" w:hAnsi="宋体" w:cs="宋体" w:eastAsia="宋体" w:hint="default"/>
          <w:spacing w:val="-52"/>
        </w:rPr>
        <w:t> </w:t>
      </w:r>
      <w:r>
        <w:rPr/>
        <w:t>股派发</w:t>
      </w:r>
      <w:r>
        <w:rPr>
          <w:spacing w:val="-2"/>
        </w:rPr>
        <w:t>现</w:t>
      </w:r>
      <w:r>
        <w:rPr/>
        <w:t>金股利</w:t>
      </w:r>
      <w:r>
        <w:rPr>
          <w:spacing w:val="-53"/>
        </w:rPr>
        <w:t> </w:t>
      </w:r>
      <w:r>
        <w:rPr>
          <w:rFonts w:ascii="宋体" w:hAnsi="宋体" w:cs="宋体" w:eastAsia="宋体" w:hint="default"/>
        </w:rPr>
        <w:t>0.5</w:t>
      </w:r>
    </w:p>
    <w:p>
      <w:pPr>
        <w:pStyle w:val="BodyText"/>
        <w:spacing w:line="357" w:lineRule="auto" w:before="133"/>
        <w:ind w:left="997" w:right="1957"/>
        <w:jc w:val="left"/>
      </w:pPr>
      <w:r>
        <w:rPr/>
        <w:t>元（含税</w:t>
      </w:r>
      <w:r>
        <w:rPr>
          <w:spacing w:val="-105"/>
        </w:rPr>
        <w:t>）</w:t>
      </w:r>
      <w:r>
        <w:rPr>
          <w:spacing w:val="-2"/>
        </w:rPr>
        <w:t>，</w:t>
      </w:r>
      <w:r>
        <w:rPr/>
        <w:t>送红股</w:t>
      </w:r>
      <w:r>
        <w:rPr>
          <w:spacing w:val="-53"/>
        </w:rPr>
        <w:t> </w:t>
      </w:r>
      <w:r>
        <w:rPr>
          <w:rFonts w:ascii="宋体" w:hAnsi="宋体" w:cs="宋体" w:eastAsia="宋体" w:hint="default"/>
        </w:rPr>
        <w:t>0</w:t>
      </w:r>
      <w:r>
        <w:rPr>
          <w:rFonts w:ascii="宋体" w:hAnsi="宋体" w:cs="宋体" w:eastAsia="宋体" w:hint="default"/>
          <w:spacing w:val="-52"/>
        </w:rPr>
        <w:t> </w:t>
      </w:r>
      <w:r>
        <w:rPr>
          <w:spacing w:val="-2"/>
        </w:rPr>
        <w:t>股</w:t>
      </w:r>
      <w:r>
        <w:rPr/>
        <w:t>（含税</w:t>
      </w:r>
      <w:r>
        <w:rPr>
          <w:spacing w:val="-105"/>
        </w:rPr>
        <w:t>）</w:t>
      </w:r>
      <w:r>
        <w:rPr/>
        <w:t>，</w:t>
      </w:r>
      <w:r>
        <w:rPr>
          <w:spacing w:val="-2"/>
        </w:rPr>
        <w:t>不</w:t>
      </w:r>
      <w:r>
        <w:rPr/>
        <w:t>以公积金转增股本。共分配现金股利</w:t>
      </w:r>
      <w:r>
        <w:rPr>
          <w:spacing w:val="-52"/>
        </w:rPr>
        <w:t> </w:t>
      </w:r>
      <w:r>
        <w:rPr>
          <w:rFonts w:ascii="宋体" w:hAnsi="宋体" w:cs="宋体" w:eastAsia="宋体" w:hint="default"/>
        </w:rPr>
        <w:t>18,636,799.55 </w:t>
      </w:r>
      <w:r>
        <w:rPr/>
        <w:t>元（含税</w:t>
      </w:r>
      <w:r>
        <w:rPr>
          <w:spacing w:val="-105"/>
        </w:rPr>
        <w:t>）</w:t>
      </w:r>
      <w:r>
        <w:rPr/>
        <w:t>。</w:t>
      </w:r>
    </w:p>
    <w:p>
      <w:pPr>
        <w:pStyle w:val="BodyText"/>
        <w:spacing w:line="240" w:lineRule="auto"/>
        <w:ind w:left="1417" w:right="0"/>
        <w:jc w:val="left"/>
      </w:pPr>
      <w:r>
        <w:rPr>
          <w:rFonts w:ascii="宋体" w:hAnsi="宋体" w:cs="宋体" w:eastAsia="宋体" w:hint="default"/>
        </w:rPr>
        <w:t>3</w:t>
      </w:r>
      <w:r>
        <w:rPr/>
        <w:t>、截至</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日，公司总股本为</w:t>
      </w:r>
      <w:r>
        <w:rPr>
          <w:spacing w:val="-53"/>
        </w:rPr>
        <w:t> </w:t>
      </w:r>
      <w:r>
        <w:rPr>
          <w:rFonts w:ascii="宋体" w:hAnsi="宋体" w:cs="宋体" w:eastAsia="宋体" w:hint="default"/>
        </w:rPr>
        <w:t>319,644,353</w:t>
      </w:r>
      <w:r>
        <w:rPr>
          <w:rFonts w:ascii="宋体" w:hAnsi="宋体" w:cs="宋体" w:eastAsia="宋体" w:hint="default"/>
          <w:spacing w:val="-53"/>
        </w:rPr>
        <w:t> </w:t>
      </w:r>
      <w:r>
        <w:rPr/>
        <w:t>股。因长沙天鹅</w:t>
      </w:r>
      <w:r>
        <w:rPr>
          <w:spacing w:val="-53"/>
        </w:rPr>
        <w:t> </w:t>
      </w:r>
      <w:r>
        <w:rPr>
          <w:rFonts w:ascii="宋体" w:hAnsi="宋体" w:cs="宋体" w:eastAsia="宋体" w:hint="default"/>
        </w:rPr>
        <w:t>2012</w:t>
      </w:r>
      <w:r>
        <w:rPr>
          <w:rFonts w:ascii="宋体" w:hAnsi="宋体" w:cs="宋体" w:eastAsia="宋体" w:hint="default"/>
          <w:spacing w:val="-54"/>
        </w:rPr>
        <w:t> </w:t>
      </w:r>
      <w:r>
        <w:rPr/>
        <w:t>年度经</w:t>
      </w:r>
    </w:p>
    <w:p>
      <w:pPr>
        <w:pStyle w:val="BodyText"/>
        <w:spacing w:line="240" w:lineRule="auto" w:before="134"/>
        <w:ind w:left="998" w:right="1789"/>
        <w:jc w:val="left"/>
      </w:pPr>
      <w:r>
        <w:rPr/>
        <w:t>营业绩未达盈利预测，长沙天鹅原股东需以其持有利欧股份的</w:t>
      </w:r>
      <w:r>
        <w:rPr>
          <w:spacing w:val="-53"/>
        </w:rPr>
        <w:t> </w:t>
      </w:r>
      <w:r>
        <w:rPr>
          <w:rFonts w:ascii="宋体" w:hAnsi="宋体" w:cs="宋体" w:eastAsia="宋体" w:hint="default"/>
        </w:rPr>
        <w:t>2,380,510</w:t>
      </w:r>
      <w:r>
        <w:rPr>
          <w:rFonts w:ascii="宋体" w:hAnsi="宋体" w:cs="宋体" w:eastAsia="宋体" w:hint="default"/>
          <w:spacing w:val="-53"/>
        </w:rPr>
        <w:t> </w:t>
      </w:r>
      <w:r>
        <w:rPr/>
        <w:t>股股份进行补偿</w:t>
      </w:r>
    </w:p>
    <w:p>
      <w:pPr>
        <w:pStyle w:val="BodyText"/>
        <w:spacing w:line="357" w:lineRule="auto" w:before="133"/>
        <w:ind w:left="998" w:right="1808"/>
        <w:jc w:val="left"/>
      </w:pPr>
      <w:r>
        <w:rPr>
          <w:spacing w:val="-3"/>
        </w:rPr>
        <w:t>（该部分股份不拥有表决权且不享有股利分配的权利），公司总股本扣除该部分股份后，实</w:t>
      </w:r>
      <w:r>
        <w:rPr>
          <w:spacing w:val="-92"/>
        </w:rPr>
        <w:t> </w:t>
      </w:r>
      <w:r>
        <w:rPr>
          <w:spacing w:val="-92"/>
        </w:rPr>
      </w:r>
      <w:r>
        <w:rPr/>
        <w:t>际可参与</w:t>
      </w:r>
      <w:r>
        <w:rPr>
          <w:spacing w:val="-54"/>
        </w:rPr>
        <w:t> </w:t>
      </w:r>
      <w:r>
        <w:rPr>
          <w:rFonts w:ascii="宋体" w:hAnsi="宋体" w:cs="宋体" w:eastAsia="宋体" w:hint="default"/>
        </w:rPr>
        <w:t>2012</w:t>
      </w:r>
      <w:r>
        <w:rPr>
          <w:rFonts w:ascii="宋体" w:hAnsi="宋体" w:cs="宋体" w:eastAsia="宋体" w:hint="default"/>
          <w:spacing w:val="-54"/>
        </w:rPr>
        <w:t> </w:t>
      </w:r>
      <w:r>
        <w:rPr/>
        <w:t>年度利润分配的股份数量为</w:t>
      </w:r>
      <w:r>
        <w:rPr>
          <w:spacing w:val="-53"/>
        </w:rPr>
        <w:t> </w:t>
      </w:r>
      <w:r>
        <w:rPr>
          <w:rFonts w:ascii="宋体" w:hAnsi="宋体" w:cs="宋体" w:eastAsia="宋体" w:hint="default"/>
        </w:rPr>
        <w:t>317,263,843</w:t>
      </w:r>
      <w:r>
        <w:rPr>
          <w:rFonts w:ascii="宋体" w:hAnsi="宋体" w:cs="宋体" w:eastAsia="宋体" w:hint="default"/>
          <w:spacing w:val="-53"/>
        </w:rPr>
        <w:t> </w:t>
      </w:r>
      <w:r>
        <w:rPr/>
        <w:t>股。</w:t>
      </w:r>
    </w:p>
    <w:p>
      <w:pPr>
        <w:pStyle w:val="BodyText"/>
        <w:spacing w:line="240" w:lineRule="auto"/>
        <w:ind w:left="1417" w:right="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1"/>
        </w:rPr>
        <w:t> </w:t>
      </w:r>
      <w:r>
        <w:rPr/>
        <w:t>年度</w:t>
      </w:r>
      <w:r>
        <w:rPr>
          <w:spacing w:val="-2"/>
        </w:rPr>
        <w:t>利</w:t>
      </w:r>
      <w:r>
        <w:rPr/>
        <w:t>润分配方案为</w:t>
      </w:r>
      <w:r>
        <w:rPr>
          <w:spacing w:val="-96"/>
        </w:rPr>
        <w:t>：</w:t>
      </w:r>
      <w:r>
        <w:rPr/>
        <w:t>以</w:t>
      </w:r>
      <w:r>
        <w:rPr>
          <w:spacing w:val="-52"/>
        </w:rPr>
        <w:t> </w:t>
      </w:r>
      <w:r>
        <w:rPr>
          <w:rFonts w:ascii="宋体" w:hAnsi="宋体" w:cs="宋体" w:eastAsia="宋体" w:hint="default"/>
        </w:rPr>
        <w:t>317,2</w:t>
      </w:r>
      <w:r>
        <w:rPr>
          <w:rFonts w:ascii="宋体" w:hAnsi="宋体" w:cs="宋体" w:eastAsia="宋体" w:hint="default"/>
          <w:spacing w:val="-2"/>
        </w:rPr>
        <w:t>6</w:t>
      </w:r>
      <w:r>
        <w:rPr>
          <w:rFonts w:ascii="宋体" w:hAnsi="宋体" w:cs="宋体" w:eastAsia="宋体" w:hint="default"/>
        </w:rPr>
        <w:t>3,843</w:t>
      </w:r>
      <w:r>
        <w:rPr>
          <w:rFonts w:ascii="宋体" w:hAnsi="宋体" w:cs="宋体" w:eastAsia="宋体" w:hint="default"/>
          <w:spacing w:val="-52"/>
        </w:rPr>
        <w:t> </w:t>
      </w:r>
      <w:r>
        <w:rPr/>
        <w:t>股为</w:t>
      </w:r>
      <w:r>
        <w:rPr>
          <w:spacing w:val="-2"/>
        </w:rPr>
        <w:t>基</w:t>
      </w:r>
      <w:r>
        <w:rPr/>
        <w:t>数</w:t>
      </w:r>
      <w:r>
        <w:rPr>
          <w:spacing w:val="-96"/>
        </w:rPr>
        <w:t>，</w:t>
      </w:r>
      <w:r>
        <w:rPr/>
        <w:t>向股东每</w:t>
      </w:r>
      <w:r>
        <w:rPr>
          <w:spacing w:val="-54"/>
        </w:rPr>
        <w:t> </w:t>
      </w:r>
      <w:r>
        <w:rPr>
          <w:rFonts w:ascii="宋体" w:hAnsi="宋体" w:cs="宋体" w:eastAsia="宋体" w:hint="default"/>
        </w:rPr>
        <w:t>10</w:t>
      </w:r>
      <w:r>
        <w:rPr>
          <w:rFonts w:ascii="宋体" w:hAnsi="宋体" w:cs="宋体" w:eastAsia="宋体" w:hint="default"/>
          <w:spacing w:val="-52"/>
        </w:rPr>
        <w:t> </w:t>
      </w:r>
      <w:r>
        <w:rPr/>
        <w:t>股派发</w:t>
      </w:r>
      <w:r>
        <w:rPr>
          <w:spacing w:val="-2"/>
        </w:rPr>
        <w:t>现</w:t>
      </w:r>
      <w:r>
        <w:rPr/>
        <w:t>金股利</w:t>
      </w:r>
      <w:r>
        <w:rPr>
          <w:spacing w:val="-53"/>
        </w:rPr>
        <w:t> </w:t>
      </w:r>
      <w:r>
        <w:rPr>
          <w:rFonts w:ascii="宋体" w:hAnsi="宋体" w:cs="宋体" w:eastAsia="宋体" w:hint="default"/>
        </w:rPr>
        <w:t>0.3</w:t>
      </w:r>
    </w:p>
    <w:p>
      <w:pPr>
        <w:pStyle w:val="BodyText"/>
        <w:spacing w:line="240" w:lineRule="auto" w:before="133"/>
        <w:ind w:left="998" w:right="0"/>
        <w:jc w:val="left"/>
      </w:pPr>
      <w:r>
        <w:rPr/>
        <w:t>元（含税</w:t>
      </w:r>
      <w:r>
        <w:rPr>
          <w:spacing w:val="-105"/>
        </w:rPr>
        <w:t>）</w:t>
      </w:r>
      <w:r>
        <w:rPr>
          <w:spacing w:val="-2"/>
        </w:rPr>
        <w:t>，</w:t>
      </w:r>
      <w:r>
        <w:rPr/>
        <w:t>送红股</w:t>
      </w:r>
      <w:r>
        <w:rPr>
          <w:spacing w:val="-53"/>
        </w:rPr>
        <w:t> </w:t>
      </w:r>
      <w:r>
        <w:rPr>
          <w:rFonts w:ascii="宋体" w:hAnsi="宋体" w:cs="宋体" w:eastAsia="宋体" w:hint="default"/>
        </w:rPr>
        <w:t>0</w:t>
      </w:r>
      <w:r>
        <w:rPr>
          <w:rFonts w:ascii="宋体" w:hAnsi="宋体" w:cs="宋体" w:eastAsia="宋体" w:hint="default"/>
          <w:spacing w:val="-52"/>
        </w:rPr>
        <w:t> </w:t>
      </w:r>
      <w:r>
        <w:rPr>
          <w:spacing w:val="-2"/>
        </w:rPr>
        <w:t>股</w:t>
      </w:r>
      <w:r>
        <w:rPr/>
        <w:t>（含税</w:t>
      </w:r>
      <w:r>
        <w:rPr>
          <w:spacing w:val="-105"/>
        </w:rPr>
        <w:t>）</w:t>
      </w:r>
      <w:r>
        <w:rPr/>
        <w:t>，</w:t>
      </w:r>
      <w:r>
        <w:rPr>
          <w:spacing w:val="-2"/>
        </w:rPr>
        <w:t>不</w:t>
      </w:r>
      <w:r>
        <w:rPr/>
        <w:t>以公积金转增股本。共分配现金股利</w:t>
      </w:r>
      <w:r>
        <w:rPr>
          <w:spacing w:val="-52"/>
        </w:rPr>
        <w:t> </w:t>
      </w:r>
      <w:r>
        <w:rPr>
          <w:rFonts w:ascii="宋体" w:hAnsi="宋体" w:cs="宋体" w:eastAsia="宋体" w:hint="default"/>
        </w:rPr>
        <w:t>9,517,915.29</w:t>
      </w:r>
      <w:r>
        <w:rPr>
          <w:rFonts w:ascii="宋体" w:hAnsi="宋体" w:cs="宋体" w:eastAsia="宋体" w:hint="default"/>
          <w:spacing w:val="-53"/>
        </w:rPr>
        <w:t> </w:t>
      </w:r>
      <w:r>
        <w:rPr/>
        <w:t>元</w:t>
      </w:r>
    </w:p>
    <w:p>
      <w:pPr>
        <w:pStyle w:val="BodyText"/>
        <w:spacing w:line="240" w:lineRule="auto" w:before="134"/>
        <w:ind w:left="997" w:right="1789"/>
        <w:jc w:val="left"/>
      </w:pPr>
      <w:r>
        <w:rPr/>
        <w:t>（含税</w:t>
      </w:r>
      <w:r>
        <w:rPr>
          <w:spacing w:val="-105"/>
        </w:rPr>
        <w:t>）</w:t>
      </w:r>
      <w:r>
        <w:rPr/>
        <w:t>。</w:t>
      </w:r>
    </w:p>
    <w:p>
      <w:pPr>
        <w:spacing w:before="17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115"/>
        <w:gridCol w:w="2036"/>
        <w:gridCol w:w="2172"/>
        <w:gridCol w:w="1560"/>
        <w:gridCol w:w="1617"/>
        <w:gridCol w:w="1559"/>
      </w:tblGrid>
      <w:tr>
        <w:trPr>
          <w:trHeight w:val="161" w:hRule="exact"/>
        </w:trPr>
        <w:tc>
          <w:tcPr>
            <w:tcW w:w="1115" w:type="dxa"/>
            <w:vMerge w:val="restart"/>
            <w:tcBorders>
              <w:top w:val="single" w:sz="4" w:space="0" w:color="000000"/>
              <w:left w:val="single" w:sz="4" w:space="0" w:color="000000"/>
              <w:right w:val="single" w:sz="4" w:space="0" w:color="000000"/>
            </w:tcBorders>
            <w:shd w:val="clear" w:color="auto" w:fill="D2D2D2"/>
          </w:tcPr>
          <w:p>
            <w:pPr/>
          </w:p>
        </w:tc>
        <w:tc>
          <w:tcPr>
            <w:tcW w:w="2036" w:type="dxa"/>
            <w:vMerge w:val="restart"/>
            <w:tcBorders>
              <w:top w:val="single" w:sz="4" w:space="0" w:color="000000"/>
              <w:left w:val="single" w:sz="4" w:space="0" w:color="000000"/>
              <w:right w:val="single" w:sz="4" w:space="0" w:color="000000"/>
            </w:tcBorders>
            <w:shd w:val="clear" w:color="auto" w:fill="D2D2D2"/>
          </w:tcPr>
          <w:p>
            <w:pPr/>
          </w:p>
        </w:tc>
        <w:tc>
          <w:tcPr>
            <w:tcW w:w="21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1" w:right="-2" w:firstLine="31"/>
              <w:jc w:val="both"/>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r>
              <w:rPr>
                <w:rFonts w:ascii="宋体" w:hAnsi="宋体" w:cs="宋体" w:eastAsia="宋体" w:hint="default"/>
                <w:sz w:val="18"/>
                <w:szCs w:val="18"/>
              </w:rPr>
              <w:t>%</w:t>
            </w:r>
            <w:r>
              <w:rPr>
                <w:rFonts w:ascii="宋体" w:hAnsi="宋体" w:cs="宋体" w:eastAsia="宋体" w:hint="default"/>
                <w:sz w:val="18"/>
                <w:szCs w:val="18"/>
              </w:rPr>
              <w:t>）</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278" w:lineRule="auto" w:before="10"/>
              <w:ind w:left="81" w:right="83"/>
              <w:jc w:val="both"/>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78" w:lineRule="auto" w:before="10"/>
              <w:ind w:left="54" w:right="53"/>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18" w:hRule="exact"/>
        </w:trPr>
        <w:tc>
          <w:tcPr>
            <w:tcW w:w="1115" w:type="dxa"/>
            <w:vMerge/>
            <w:tcBorders>
              <w:left w:val="single" w:sz="4" w:space="0" w:color="000000"/>
              <w:bottom w:val="nil" w:sz="6" w:space="0" w:color="auto"/>
              <w:right w:val="single" w:sz="4" w:space="0" w:color="000000"/>
            </w:tcBorders>
            <w:shd w:val="clear" w:color="auto" w:fill="D2D2D2"/>
          </w:tcPr>
          <w:p>
            <w:pPr/>
          </w:p>
        </w:tc>
        <w:tc>
          <w:tcPr>
            <w:tcW w:w="2036" w:type="dxa"/>
            <w:vMerge/>
            <w:tcBorders>
              <w:left w:val="single" w:sz="4" w:space="0" w:color="000000"/>
              <w:bottom w:val="nil" w:sz="6" w:space="0" w:color="auto"/>
              <w:right w:val="single" w:sz="4" w:space="0" w:color="000000"/>
            </w:tcBorders>
            <w:shd w:val="clear" w:color="auto" w:fill="D2D2D2"/>
          </w:tcPr>
          <w:p>
            <w:pPr/>
          </w:p>
        </w:tc>
        <w:tc>
          <w:tcPr>
            <w:tcW w:w="21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88" w:right="93"/>
              <w:jc w:val="left"/>
              <w:rPr>
                <w:rFonts w:ascii="宋体" w:hAnsi="宋体" w:cs="宋体" w:eastAsia="宋体" w:hint="default"/>
                <w:sz w:val="18"/>
                <w:szCs w:val="18"/>
              </w:rPr>
            </w:pPr>
            <w:r>
              <w:rPr>
                <w:rFonts w:ascii="宋体" w:hAnsi="宋体" w:cs="宋体" w:eastAsia="宋体" w:hint="default"/>
                <w:sz w:val="18"/>
                <w:szCs w:val="18"/>
              </w:rPr>
              <w:t>分红年度合并报表中归属 于上市公司股东的净利润</w:t>
            </w:r>
          </w:p>
        </w:tc>
        <w:tc>
          <w:tcPr>
            <w:tcW w:w="1560"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r>
      <w:tr>
        <w:trPr>
          <w:trHeight w:val="313" w:hRule="exact"/>
        </w:trPr>
        <w:tc>
          <w:tcPr>
            <w:tcW w:w="11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9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0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17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r>
      <w:tr>
        <w:trPr>
          <w:trHeight w:val="116" w:hRule="exact"/>
        </w:trPr>
        <w:tc>
          <w:tcPr>
            <w:tcW w:w="1115" w:type="dxa"/>
            <w:vMerge w:val="restart"/>
            <w:tcBorders>
              <w:top w:val="nil" w:sz="6" w:space="0" w:color="auto"/>
              <w:left w:val="single" w:sz="4" w:space="0" w:color="000000"/>
              <w:right w:val="single" w:sz="4" w:space="0" w:color="000000"/>
            </w:tcBorders>
            <w:shd w:val="clear" w:color="auto" w:fill="D2D2D2"/>
          </w:tcPr>
          <w:p>
            <w:pPr/>
          </w:p>
        </w:tc>
        <w:tc>
          <w:tcPr>
            <w:tcW w:w="2036" w:type="dxa"/>
            <w:vMerge w:val="restart"/>
            <w:tcBorders>
              <w:top w:val="nil" w:sz="6" w:space="0" w:color="auto"/>
              <w:left w:val="single" w:sz="4" w:space="0" w:color="000000"/>
              <w:right w:val="single" w:sz="4" w:space="0" w:color="000000"/>
            </w:tcBorders>
            <w:shd w:val="clear" w:color="auto" w:fill="D2D2D2"/>
          </w:tcPr>
          <w:p>
            <w:pPr/>
          </w:p>
        </w:tc>
        <w:tc>
          <w:tcPr>
            <w:tcW w:w="2172"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r>
      <w:tr>
        <w:trPr>
          <w:trHeight w:val="162" w:hRule="exact"/>
        </w:trPr>
        <w:tc>
          <w:tcPr>
            <w:tcW w:w="1115" w:type="dxa"/>
            <w:vMerge/>
            <w:tcBorders>
              <w:left w:val="single" w:sz="4" w:space="0" w:color="000000"/>
              <w:bottom w:val="single" w:sz="4" w:space="0" w:color="000000"/>
              <w:right w:val="single" w:sz="4" w:space="0" w:color="000000"/>
            </w:tcBorders>
            <w:shd w:val="clear" w:color="auto" w:fill="D2D2D2"/>
          </w:tcPr>
          <w:p>
            <w:pPr/>
          </w:p>
        </w:tc>
        <w:tc>
          <w:tcPr>
            <w:tcW w:w="2036" w:type="dxa"/>
            <w:vMerge/>
            <w:tcBorders>
              <w:left w:val="single" w:sz="4" w:space="0" w:color="000000"/>
              <w:bottom w:val="single" w:sz="4" w:space="0" w:color="000000"/>
              <w:right w:val="single" w:sz="4" w:space="0" w:color="000000"/>
            </w:tcBorders>
            <w:shd w:val="clear" w:color="auto" w:fill="D2D2D2"/>
          </w:tcPr>
          <w:p>
            <w:pPr/>
          </w:p>
        </w:tc>
        <w:tc>
          <w:tcPr>
            <w:tcW w:w="21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19,571,222.50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179,916,115.75</w:t>
            </w:r>
          </w:p>
        </w:tc>
        <w:tc>
          <w:tcPr>
            <w:tcW w:w="1560" w:type="dxa"/>
            <w:tcBorders>
              <w:top w:val="single" w:sz="20" w:space="0" w:color="D2D2D2"/>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10.88%</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r>
        <w:trPr>
          <w:trHeight w:val="324"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18,636,799.55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55,990,125.47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33.29%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r>
      <w:tr>
        <w:trPr>
          <w:trHeight w:val="324" w:hRule="exact"/>
        </w:trPr>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9,517,915.29</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47,863,340.85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19.89%</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bl>
    <w:p>
      <w:pPr>
        <w:pStyle w:val="BodyText"/>
        <w:spacing w:line="240" w:lineRule="auto" w:before="86"/>
        <w:ind w:left="998" w:right="1789"/>
        <w:jc w:val="left"/>
      </w:pPr>
      <w:r>
        <w:rPr/>
        <w:t>公司报告期内盈利且母公司未分配利润为正但未提出现金红利分配预案</w:t>
      </w:r>
    </w:p>
    <w:p>
      <w:pPr>
        <w:pStyle w:val="BodyText"/>
        <w:spacing w:line="240" w:lineRule="auto" w:before="133"/>
        <w:ind w:left="997" w:right="1789"/>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67"/>
        <w:ind w:left="998" w:right="1789"/>
        <w:jc w:val="left"/>
        <w:rPr>
          <w:b w:val="0"/>
          <w:bCs w:val="0"/>
        </w:rPr>
      </w:pPr>
      <w:bookmarkStart w:name="十三、本报告期利润分配及资本公积金转增股本预案" w:id="46"/>
      <w:bookmarkEnd w:id="46"/>
      <w:r>
        <w:rPr>
          <w:b w:val="0"/>
          <w:bCs w:val="0"/>
        </w:rPr>
      </w:r>
      <w:r>
        <w:rPr/>
        <w:t>十三、本报告期利润分配及资本公积金转增股本预案</w:t>
      </w:r>
      <w:r>
        <w:rPr>
          <w:b w:val="0"/>
          <w:bCs w:val="0"/>
        </w:rPr>
      </w:r>
    </w:p>
    <w:p>
      <w:pPr>
        <w:spacing w:line="240" w:lineRule="auto" w:before="10"/>
        <w:rPr>
          <w:rFonts w:ascii="宋体" w:hAnsi="宋体" w:cs="宋体" w:eastAsia="宋体" w:hint="default"/>
          <w:b/>
          <w:bCs/>
          <w:sz w:val="25"/>
          <w:szCs w:val="25"/>
        </w:rPr>
      </w:pPr>
    </w:p>
    <w:tbl>
      <w:tblPr>
        <w:tblW w:w="0" w:type="auto"/>
        <w:jc w:val="left"/>
        <w:tblInd w:w="376" w:type="dxa"/>
        <w:tblLayout w:type="fixed"/>
        <w:tblCellMar>
          <w:top w:w="0" w:type="dxa"/>
          <w:left w:w="0" w:type="dxa"/>
          <w:bottom w:w="0" w:type="dxa"/>
          <w:right w:w="0" w:type="dxa"/>
        </w:tblCellMar>
        <w:tblLook w:val="01E0"/>
      </w:tblPr>
      <w:tblGrid>
        <w:gridCol w:w="3694"/>
        <w:gridCol w:w="5864"/>
      </w:tblGrid>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r>
        <w:trPr>
          <w:trHeight w:val="32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0.5</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r>
        <w:trPr>
          <w:trHeight w:val="32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391,424,450</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19,571,222.50</w:t>
            </w:r>
          </w:p>
        </w:tc>
      </w:tr>
      <w:tr>
        <w:trPr>
          <w:trHeight w:val="324"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606,759,661.56</w:t>
            </w:r>
          </w:p>
        </w:tc>
      </w:tr>
      <w:tr>
        <w:trPr>
          <w:trHeight w:val="323" w:hRule="exact"/>
        </w:trPr>
        <w:tc>
          <w:tcPr>
            <w:tcW w:w="3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w:t>
            </w:r>
          </w:p>
        </w:tc>
      </w:tr>
      <w:tr>
        <w:trPr>
          <w:trHeight w:val="32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32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0" w:footer="938" w:top="1100" w:bottom="1120" w:left="800" w:right="0"/>
        </w:sectPr>
      </w:pPr>
    </w:p>
    <w:p>
      <w:pPr>
        <w:spacing w:line="240" w:lineRule="auto" w:before="6"/>
        <w:rPr>
          <w:rFonts w:ascii="宋体" w:hAnsi="宋体" w:cs="宋体" w:eastAsia="宋体" w:hint="default"/>
          <w:b/>
          <w:bCs/>
          <w:sz w:val="24"/>
          <w:szCs w:val="24"/>
        </w:rPr>
      </w:pPr>
    </w:p>
    <w:tbl>
      <w:tblPr>
        <w:tblW w:w="0" w:type="auto"/>
        <w:jc w:val="left"/>
        <w:tblInd w:w="145" w:type="dxa"/>
        <w:tblLayout w:type="fixed"/>
        <w:tblCellMar>
          <w:top w:w="0" w:type="dxa"/>
          <w:left w:w="0" w:type="dxa"/>
          <w:bottom w:w="0" w:type="dxa"/>
          <w:right w:w="0" w:type="dxa"/>
        </w:tblCellMar>
        <w:tblLook w:val="01E0"/>
      </w:tblPr>
      <w:tblGrid>
        <w:gridCol w:w="9569"/>
      </w:tblGrid>
      <w:tr>
        <w:trPr>
          <w:trHeight w:val="324"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90"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年度利润分配预案为</w:t>
            </w:r>
            <w:r>
              <w:rPr>
                <w:rFonts w:ascii="宋体" w:hAnsi="宋体" w:cs="宋体" w:eastAsia="宋体" w:hint="default"/>
                <w:spacing w:val="-15"/>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宋体" w:hAnsi="宋体" w:cs="宋体" w:eastAsia="宋体" w:hint="default"/>
                <w:sz w:val="18"/>
                <w:szCs w:val="18"/>
              </w:rPr>
              <w:t>391,424,450</w:t>
            </w:r>
            <w:r>
              <w:rPr>
                <w:rFonts w:ascii="宋体" w:hAnsi="宋体" w:cs="宋体" w:eastAsia="宋体" w:hint="default"/>
                <w:spacing w:val="-46"/>
                <w:sz w:val="18"/>
                <w:szCs w:val="18"/>
              </w:rPr>
              <w:t> </w:t>
            </w:r>
            <w:r>
              <w:rPr>
                <w:rFonts w:ascii="宋体" w:hAnsi="宋体" w:cs="宋体" w:eastAsia="宋体" w:hint="default"/>
                <w:sz w:val="18"/>
                <w:szCs w:val="18"/>
              </w:rPr>
              <w:t>股为基数</w:t>
            </w:r>
            <w:r>
              <w:rPr>
                <w:rFonts w:ascii="宋体" w:hAnsi="宋体" w:cs="宋体" w:eastAsia="宋体" w:hint="default"/>
                <w:spacing w:val="-15"/>
                <w:sz w:val="18"/>
                <w:szCs w:val="18"/>
              </w:rPr>
              <w:t>，</w:t>
            </w:r>
            <w:r>
              <w:rPr>
                <w:rFonts w:ascii="宋体" w:hAnsi="宋体" w:cs="宋体" w:eastAsia="宋体" w:hint="default"/>
                <w:sz w:val="18"/>
                <w:szCs w:val="18"/>
              </w:rPr>
              <w:t>向股东每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派</w:t>
            </w:r>
            <w:r>
              <w:rPr>
                <w:rFonts w:ascii="宋体" w:hAnsi="宋体" w:cs="宋体" w:eastAsia="宋体" w:hint="default"/>
                <w:sz w:val="18"/>
                <w:szCs w:val="18"/>
              </w:rPr>
              <w:t>发现金股利</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pacing w:val="-15"/>
                <w:sz w:val="18"/>
                <w:szCs w:val="18"/>
              </w:rPr>
              <w:t>股</w:t>
            </w:r>
            <w:r>
              <w:rPr>
                <w:rFonts w:ascii="宋体" w:hAnsi="宋体" w:cs="宋体" w:eastAsia="宋体" w:hint="default"/>
                <w:spacing w:val="2"/>
                <w:sz w:val="18"/>
                <w:szCs w:val="18"/>
              </w:rPr>
              <w:t>（</w:t>
            </w:r>
            <w:r>
              <w:rPr>
                <w:rFonts w:ascii="宋体" w:hAnsi="宋体" w:cs="宋体" w:eastAsia="宋体" w:hint="default"/>
                <w:sz w:val="18"/>
                <w:szCs w:val="18"/>
              </w:rPr>
              <w:t>含</w:t>
            </w: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，不以公积金转增股本。共分配现金股利</w:t>
            </w:r>
            <w:r>
              <w:rPr>
                <w:rFonts w:ascii="宋体" w:hAnsi="宋体" w:cs="宋体" w:eastAsia="宋体" w:hint="default"/>
                <w:spacing w:val="-46"/>
                <w:sz w:val="18"/>
                <w:szCs w:val="18"/>
              </w:rPr>
              <w:t> </w:t>
            </w:r>
            <w:r>
              <w:rPr>
                <w:rFonts w:ascii="宋体" w:hAnsi="宋体" w:cs="宋体" w:eastAsia="宋体" w:hint="default"/>
                <w:sz w:val="18"/>
                <w:szCs w:val="18"/>
              </w:rPr>
              <w:t>19,571,222.50</w:t>
            </w:r>
            <w:r>
              <w:rPr>
                <w:rFonts w:ascii="宋体" w:hAnsi="宋体" w:cs="宋体" w:eastAsia="宋体" w:hint="default"/>
                <w:spacing w:val="-46"/>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13"/>
        <w:rPr>
          <w:rFonts w:ascii="宋体" w:hAnsi="宋体" w:cs="宋体" w:eastAsia="宋体" w:hint="default"/>
          <w:b/>
          <w:bCs/>
          <w:sz w:val="17"/>
          <w:szCs w:val="17"/>
        </w:rPr>
      </w:pPr>
    </w:p>
    <w:p>
      <w:pPr>
        <w:pStyle w:val="Heading2"/>
        <w:spacing w:line="240" w:lineRule="auto" w:before="26"/>
        <w:ind w:left="778" w:right="582"/>
        <w:jc w:val="left"/>
        <w:rPr>
          <w:b w:val="0"/>
          <w:bCs w:val="0"/>
        </w:rPr>
      </w:pPr>
      <w:bookmarkStart w:name="十四、社会责任情况" w:id="47"/>
      <w:bookmarkEnd w:id="47"/>
      <w:r>
        <w:rPr>
          <w:b w:val="0"/>
          <w:bCs w:val="0"/>
        </w:rPr>
      </w:r>
      <w:r>
        <w:rPr/>
        <w:t>十四、社会责任情况</w:t>
      </w:r>
      <w:r>
        <w:rPr>
          <w:b w:val="0"/>
          <w:bCs w:val="0"/>
        </w:rPr>
      </w:r>
    </w:p>
    <w:p>
      <w:pPr>
        <w:spacing w:line="240" w:lineRule="auto" w:before="3"/>
        <w:rPr>
          <w:rFonts w:ascii="宋体" w:hAnsi="宋体" w:cs="宋体" w:eastAsia="宋体" w:hint="default"/>
          <w:b/>
          <w:bCs/>
          <w:sz w:val="23"/>
          <w:szCs w:val="23"/>
        </w:rPr>
      </w:pPr>
    </w:p>
    <w:p>
      <w:pPr>
        <w:pStyle w:val="BodyText"/>
        <w:spacing w:line="357" w:lineRule="auto" w:before="0"/>
        <w:ind w:left="777" w:right="1794" w:firstLine="420"/>
        <w:jc w:val="both"/>
      </w:pPr>
      <w:r>
        <w:rPr>
          <w:spacing w:val="-3"/>
        </w:rPr>
        <w:t>（一）公司以人为本，把人才战略作为企业发展的重点，严格遵守《劳动法》、《劳动</w:t>
      </w:r>
      <w:r>
        <w:rPr/>
        <w:t> </w:t>
      </w:r>
      <w:r>
        <w:rPr>
          <w:spacing w:val="-3"/>
        </w:rPr>
        <w:t>合同法》、《妇女权益保护法》等相关法律法规，尊重和维护员工的个人权益，切实关注员</w:t>
      </w:r>
      <w:r>
        <w:rPr>
          <w:spacing w:val="-76"/>
        </w:rPr>
        <w:t> </w:t>
      </w:r>
      <w:r>
        <w:rPr>
          <w:spacing w:val="-76"/>
        </w:rPr>
      </w:r>
      <w:r>
        <w:rPr/>
        <w:t>工健康、安全和满意度。</w:t>
      </w:r>
    </w:p>
    <w:p>
      <w:pPr>
        <w:pStyle w:val="BodyText"/>
        <w:spacing w:line="357" w:lineRule="auto"/>
        <w:ind w:left="778" w:right="1791" w:firstLine="420"/>
        <w:jc w:val="both"/>
      </w:pPr>
      <w:r>
        <w:rPr>
          <w:spacing w:val="-3"/>
        </w:rPr>
        <w:t>公司重视人才培养，通过为员工提供职业生涯规划，鼓励在职教育，加强内部职业素质</w:t>
      </w:r>
      <w:r>
        <w:rPr/>
        <w:t> 提升培训等员工发展与深造计划，提升员工素质，实现员工与企业的共同成长。</w:t>
      </w:r>
    </w:p>
    <w:p>
      <w:pPr>
        <w:pStyle w:val="BodyText"/>
        <w:spacing w:line="357" w:lineRule="auto"/>
        <w:ind w:left="778" w:right="1792" w:firstLine="420"/>
        <w:jc w:val="both"/>
      </w:pPr>
      <w:r>
        <w:rPr>
          <w:spacing w:val="-3"/>
        </w:rPr>
        <w:t>公司始终把员工的安全健康放在第一位，在日常生产经营中全面推行安全生产管理。通</w:t>
      </w:r>
      <w:r>
        <w:rPr/>
        <w:t> </w:t>
      </w:r>
      <w:r>
        <w:rPr>
          <w:spacing w:val="-3"/>
        </w:rPr>
        <w:t>过落实安全生产责任，健全完善制度，强化专项检查考核，加大安全生产隐患排查，创造企</w:t>
      </w:r>
      <w:r>
        <w:rPr>
          <w:spacing w:val="-73"/>
        </w:rPr>
        <w:t> </w:t>
      </w:r>
      <w:r>
        <w:rPr>
          <w:spacing w:val="-73"/>
        </w:rPr>
      </w:r>
      <w:r>
        <w:rPr/>
        <w:t>业安全的工作环境和生活环境。公司定期为员工配备必要的劳动保护用品和保护设施。</w:t>
      </w:r>
    </w:p>
    <w:p>
      <w:pPr>
        <w:pStyle w:val="BodyText"/>
        <w:spacing w:line="357" w:lineRule="auto"/>
        <w:ind w:left="778" w:right="1792" w:firstLine="420"/>
        <w:jc w:val="both"/>
      </w:pPr>
      <w:r>
        <w:rPr>
          <w:spacing w:val="-3"/>
        </w:rPr>
        <w:t>公司严格遵守《劳动法》等法律法规的规定，与所有员工签订规范的《劳动合同》，为</w:t>
      </w:r>
      <w:r>
        <w:rPr/>
        <w:t> </w:t>
      </w:r>
      <w:r>
        <w:rPr>
          <w:spacing w:val="-3"/>
        </w:rPr>
        <w:t>职工缴纳基本养老保险、基本医疗保险、工伤保险、失业保险、生育保险等五大社会保险和</w:t>
      </w:r>
      <w:r>
        <w:rPr>
          <w:spacing w:val="-73"/>
        </w:rPr>
        <w:t> </w:t>
      </w:r>
      <w:r>
        <w:rPr>
          <w:spacing w:val="-73"/>
        </w:rPr>
      </w:r>
      <w:r>
        <w:rPr/>
        <w:t>住房公积金。</w:t>
      </w:r>
    </w:p>
    <w:p>
      <w:pPr>
        <w:pStyle w:val="BodyText"/>
        <w:spacing w:line="357" w:lineRule="auto" w:before="31"/>
        <w:ind w:left="778" w:right="1705" w:firstLine="420"/>
        <w:jc w:val="both"/>
      </w:pPr>
      <w:r>
        <w:rPr/>
        <w:t>（二）公司高度重视环境保护工作，将环境保护作为一项重要工作来抓，将环境保护、 节能减排工作纳入了重要议事日程。公司严格按照有关环保法规及相应标准对废水、废气、 废渣进行有效综合治理，多年来积极投入践行企业环保责任。</w:t>
      </w:r>
    </w:p>
    <w:p>
      <w:pPr>
        <w:pStyle w:val="BodyText"/>
        <w:spacing w:line="355" w:lineRule="auto"/>
        <w:ind w:left="777" w:right="1795" w:firstLine="420"/>
        <w:jc w:val="both"/>
      </w:pPr>
      <w:r>
        <w:rPr>
          <w:spacing w:val="-3"/>
        </w:rPr>
        <w:t>（三）公司注重社会价值的创造，自觉把履行社会责任的重点放在积极参加社会公益活</w:t>
      </w:r>
      <w:r>
        <w:rPr/>
        <w:t> 动上，积极投身社会公益慈善事业，努力创造和谐公共关系。</w:t>
      </w:r>
    </w:p>
    <w:p>
      <w:pPr>
        <w:spacing w:line="240" w:lineRule="auto" w:before="1"/>
        <w:rPr>
          <w:rFonts w:ascii="宋体" w:hAnsi="宋体" w:cs="宋体" w:eastAsia="宋体" w:hint="default"/>
          <w:sz w:val="25"/>
          <w:szCs w:val="25"/>
        </w:rPr>
      </w:pPr>
    </w:p>
    <w:p>
      <w:pPr>
        <w:pStyle w:val="Heading2"/>
        <w:spacing w:line="240" w:lineRule="auto"/>
        <w:ind w:left="777" w:right="582"/>
        <w:jc w:val="left"/>
        <w:rPr>
          <w:b w:val="0"/>
          <w:bCs w:val="0"/>
        </w:rPr>
      </w:pPr>
      <w:bookmarkStart w:name="十五、报告期内接待调研、沟通、采访等活动登记表" w:id="48"/>
      <w:bookmarkEnd w:id="48"/>
      <w:r>
        <w:rPr>
          <w:b w:val="0"/>
          <w:bCs w:val="0"/>
        </w:rPr>
      </w: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1494"/>
        <w:gridCol w:w="1498"/>
        <w:gridCol w:w="1497"/>
        <w:gridCol w:w="1498"/>
        <w:gridCol w:w="1497"/>
        <w:gridCol w:w="2164"/>
      </w:tblGrid>
      <w:tr>
        <w:trPr>
          <w:trHeight w:val="556"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8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896" w:right="85"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广发证券股份有限 公司 杨琳琳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信诚基金管理有限 公司 郑伟</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1" w:right="23"/>
              <w:jc w:val="both"/>
              <w:rPr>
                <w:rFonts w:ascii="宋体" w:hAnsi="宋体" w:cs="宋体" w:eastAsia="宋体" w:hint="default"/>
                <w:sz w:val="18"/>
                <w:szCs w:val="18"/>
              </w:rPr>
            </w:pPr>
            <w:r>
              <w:rPr>
                <w:rFonts w:ascii="宋体" w:hAnsi="宋体" w:cs="宋体" w:eastAsia="宋体" w:hint="default"/>
                <w:sz w:val="18"/>
                <w:szCs w:val="18"/>
              </w:rPr>
              <w:t>长信基金管理有限 责任公司</w:t>
            </w:r>
            <w:r>
              <w:rPr>
                <w:rFonts w:ascii="宋体" w:hAnsi="宋体" w:cs="宋体" w:eastAsia="宋体" w:hint="default"/>
                <w:spacing w:val="2"/>
                <w:sz w:val="18"/>
                <w:szCs w:val="18"/>
              </w:rPr>
              <w:t> </w:t>
            </w:r>
            <w:r>
              <w:rPr>
                <w:rFonts w:ascii="宋体" w:hAnsi="宋体" w:cs="宋体" w:eastAsia="宋体" w:hint="default"/>
                <w:spacing w:val="-23"/>
                <w:sz w:val="18"/>
                <w:szCs w:val="18"/>
              </w:rPr>
              <w:t>叶松、黄</w:t>
            </w:r>
            <w:r>
              <w:rPr>
                <w:rFonts w:ascii="宋体" w:hAnsi="宋体" w:cs="宋体" w:eastAsia="宋体" w:hint="default"/>
                <w:sz w:val="18"/>
                <w:szCs w:val="18"/>
              </w:rPr>
              <w:t> 韵</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国联安基金管理有 限公司 潘明</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1" w:right="23" w:hanging="90"/>
              <w:jc w:val="left"/>
              <w:rPr>
                <w:rFonts w:ascii="宋体" w:hAnsi="宋体" w:cs="宋体" w:eastAsia="宋体" w:hint="default"/>
                <w:sz w:val="18"/>
                <w:szCs w:val="18"/>
              </w:rPr>
            </w:pPr>
            <w:r>
              <w:rPr>
                <w:rFonts w:ascii="宋体" w:hAnsi="宋体" w:cs="宋体" w:eastAsia="宋体" w:hint="default"/>
                <w:sz w:val="18"/>
                <w:szCs w:val="18"/>
              </w:rPr>
              <w:t>齐鲁证券有限公司 陈筱</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农银汇理基金管理 有限公司 徐莉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3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华宝兴业基金管理</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介绍公司收购漫酷广告的</w:t>
            </w:r>
          </w:p>
        </w:tc>
      </w:tr>
    </w:tbl>
    <w:p>
      <w:pPr>
        <w:spacing w:after="0" w:line="240" w:lineRule="auto"/>
        <w:jc w:val="left"/>
        <w:rPr>
          <w:rFonts w:ascii="宋体" w:hAnsi="宋体" w:cs="宋体" w:eastAsia="宋体" w:hint="default"/>
          <w:sz w:val="18"/>
          <w:szCs w:val="18"/>
        </w:rPr>
        <w:sectPr>
          <w:pgSz w:w="11910" w:h="16840"/>
          <w:pgMar w:header="0" w:footer="938" w:top="1100" w:bottom="112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494"/>
        <w:gridCol w:w="1498"/>
        <w:gridCol w:w="1497"/>
        <w:gridCol w:w="1498"/>
        <w:gridCol w:w="1497"/>
        <w:gridCol w:w="2164"/>
      </w:tblGrid>
      <w:tr>
        <w:trPr>
          <w:trHeight w:val="283"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有限公司 沈梦圆</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23"/>
              <w:jc w:val="left"/>
              <w:rPr>
                <w:rFonts w:ascii="宋体" w:hAnsi="宋体" w:cs="宋体" w:eastAsia="宋体" w:hint="default"/>
                <w:sz w:val="18"/>
                <w:szCs w:val="18"/>
              </w:rPr>
            </w:pPr>
            <w:r>
              <w:rPr>
                <w:rFonts w:ascii="宋体" w:hAnsi="宋体" w:cs="宋体" w:eastAsia="宋体" w:hint="default"/>
                <w:sz w:val="18"/>
                <w:szCs w:val="18"/>
              </w:rPr>
              <w:t>汇添富基金管理股 份有限公司 马翔</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23"/>
              <w:jc w:val="left"/>
              <w:rPr>
                <w:rFonts w:ascii="宋体" w:hAnsi="宋体" w:cs="宋体" w:eastAsia="宋体" w:hint="default"/>
                <w:sz w:val="18"/>
                <w:szCs w:val="18"/>
              </w:rPr>
            </w:pPr>
            <w:r>
              <w:rPr>
                <w:rFonts w:ascii="宋体" w:hAnsi="宋体" w:cs="宋体" w:eastAsia="宋体" w:hint="default"/>
                <w:sz w:val="18"/>
                <w:szCs w:val="18"/>
              </w:rPr>
              <w:t>中信证券股份有限 公司 郭毅</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中银国际证券有限 责任公司 闵琳佳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中德证券有限责任 公司 龚军</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中国国际金融有限 公司 杜文卓</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上海泽熙投资管理 有限公司 王骅</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天风证券股份有限 公司 程扬</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浙商证券资产管理 有限公司 唐光英</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国金证券股份有限 公司 张燕</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3"/>
              <w:jc w:val="left"/>
              <w:rPr>
                <w:rFonts w:ascii="宋体" w:hAnsi="宋体" w:cs="宋体" w:eastAsia="宋体" w:hint="default"/>
                <w:sz w:val="18"/>
                <w:szCs w:val="18"/>
              </w:rPr>
            </w:pPr>
            <w:r>
              <w:rPr>
                <w:rFonts w:ascii="宋体" w:hAnsi="宋体" w:cs="宋体" w:eastAsia="宋体" w:hint="default"/>
                <w:sz w:val="18"/>
                <w:szCs w:val="18"/>
              </w:rPr>
              <w:t>国泰君安证券股份 有限公司 尹为醇 高辉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before="125"/>
              <w:ind w:left="22" w:right="0"/>
              <w:jc w:val="left"/>
              <w:rPr>
                <w:rFonts w:ascii="宋体" w:hAnsi="宋体" w:cs="宋体" w:eastAsia="宋体" w:hint="default"/>
                <w:sz w:val="18"/>
                <w:szCs w:val="18"/>
              </w:rPr>
            </w:pPr>
            <w:r>
              <w:rPr>
                <w:rFonts w:ascii="宋体" w:hAnsi="宋体" w:cs="宋体" w:eastAsia="宋体" w:hint="default"/>
                <w:sz w:val="18"/>
                <w:szCs w:val="18"/>
              </w:rPr>
              <w:t>介绍公司收购漫酷广告的</w:t>
            </w:r>
          </w:p>
          <w:p>
            <w:pPr>
              <w:pStyle w:val="TableParagraph"/>
              <w:spacing w:line="117"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6"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相关情况、未提供书面资料</w:t>
            </w:r>
          </w:p>
          <w:p>
            <w:pPr>
              <w:pStyle w:val="TableParagraph"/>
              <w:spacing w:line="240" w:lineRule="auto" w:before="2"/>
              <w:ind w:right="0"/>
              <w:jc w:val="left"/>
              <w:rPr>
                <w:rFonts w:ascii="Times New Roman" w:hAnsi="Times New Roman" w:cs="Times New Roman" w:eastAsia="Times New Roman" w:hint="default"/>
                <w:sz w:val="9"/>
                <w:szCs w:val="9"/>
              </w:rPr>
            </w:pPr>
          </w:p>
          <w:p>
            <w:pPr>
              <w:pStyle w:val="TableParagraph"/>
              <w:spacing w:line="570" w:lineRule="exact"/>
              <w:ind w:right="-1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106.5pt;height:28.5pt;mso-position-horizontal-relative:char;mso-position-vertical-relative:line" coordorigin="0,0" coordsize="2130,570">
                  <v:group style="position:absolute;left:11;top:11;width:2;height:548" coordorigin="11,11" coordsize="2,548">
                    <v:shape style="position:absolute;left:11;top:11;width:2;height:548" coordorigin="11,11" coordsize="0,548" path="m11,11l11,559e" filled="false" stroked="true" strokeweight="1.140pt" strokecolor="#ffffff">
                      <v:path arrowok="t"/>
                    </v:shape>
                  </v:group>
                  <v:group style="position:absolute;left:23;top:11;width:2108;height:274" coordorigin="23,11" coordsize="2108,274">
                    <v:shape style="position:absolute;left:23;top:11;width:2108;height:274" coordorigin="23,11" coordsize="2108,274" path="m23,285l2130,285,2130,11,23,11,23,285xe" filled="true" fillcolor="#ffffff" stroked="false">
                      <v:path arrowok="t"/>
                      <v:fill type="solid"/>
                    </v:shape>
                  </v:group>
                  <v:group style="position:absolute;left:23;top:285;width:2108;height:274" coordorigin="23,285" coordsize="2108,274">
                    <v:shape style="position:absolute;left:23;top:285;width:2108;height:274" coordorigin="23,285" coordsize="2108,274" path="m23,559l2130,559,2130,285,23,285,23,559xe" filled="true" fillcolor="#ffffff" stroked="false">
                      <v:path arrowok="t"/>
                      <v:fill type="solid"/>
                    </v:shape>
                  </v:group>
                </v:group>
              </w:pict>
            </w:r>
            <w:r>
              <w:rPr>
                <w:rFonts w:ascii="Times New Roman" w:hAnsi="Times New Roman" w:cs="Times New Roman" w:eastAsia="Times New Roman" w:hint="default"/>
                <w:position w:val="-10"/>
                <w:sz w:val="20"/>
                <w:szCs w:val="20"/>
              </w:rPr>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东方证券股份有限 公司 曹佳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东海证券股份有限 公司 李卉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23"/>
              <w:jc w:val="left"/>
              <w:rPr>
                <w:rFonts w:ascii="宋体" w:hAnsi="宋体" w:cs="宋体" w:eastAsia="宋体" w:hint="default"/>
                <w:sz w:val="18"/>
                <w:szCs w:val="18"/>
              </w:rPr>
            </w:pPr>
            <w:r>
              <w:rPr>
                <w:rFonts w:ascii="宋体" w:hAnsi="宋体" w:cs="宋体" w:eastAsia="宋体" w:hint="default"/>
                <w:sz w:val="18"/>
                <w:szCs w:val="18"/>
              </w:rPr>
              <w:t>招商证券股份有限 公司 顾佳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齐鲁证券有限公司 丁婉贝</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兴业证券股份有限 公司</w:t>
            </w:r>
            <w:r>
              <w:rPr>
                <w:rFonts w:ascii="宋体" w:hAnsi="宋体" w:cs="宋体" w:eastAsia="宋体" w:hint="default"/>
                <w:spacing w:val="1"/>
                <w:sz w:val="18"/>
                <w:szCs w:val="18"/>
              </w:rPr>
              <w:t> </w:t>
            </w:r>
            <w:r>
              <w:rPr>
                <w:rFonts w:ascii="宋体" w:hAnsi="宋体" w:cs="宋体" w:eastAsia="宋体" w:hint="default"/>
                <w:spacing w:val="-15"/>
                <w:sz w:val="18"/>
                <w:szCs w:val="18"/>
              </w:rPr>
              <w:t>包丽华、许彬</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国联证券股份有限 公司 陶雯雯</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中信建投证券股份 有限公司 冯福章</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长江证券股份有限 公司 刘疆</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华创证券有限责任 公司 谢晨</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东北证券股份有限 公司 赵志海</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华创证券有限责任 公司 杨仁文</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中银国际证券有限 责任公司 李娜</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光大证券股份有限 公司 施嘉斌</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23"/>
              <w:jc w:val="left"/>
              <w:rPr>
                <w:rFonts w:ascii="宋体" w:hAnsi="宋体" w:cs="宋体" w:eastAsia="宋体" w:hint="default"/>
                <w:sz w:val="18"/>
                <w:szCs w:val="18"/>
              </w:rPr>
            </w:pPr>
            <w:r>
              <w:rPr>
                <w:rFonts w:ascii="宋体" w:hAnsi="宋体" w:cs="宋体" w:eastAsia="宋体" w:hint="default"/>
                <w:sz w:val="18"/>
                <w:szCs w:val="18"/>
              </w:rPr>
              <w:t>上海证券有限责任 公司 张涛</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bl>
    <w:p>
      <w:pPr>
        <w:spacing w:after="0" w:line="232" w:lineRule="exact"/>
        <w:jc w:val="left"/>
        <w:rPr>
          <w:rFonts w:ascii="宋体" w:hAnsi="宋体" w:cs="宋体" w:eastAsia="宋体" w:hint="default"/>
          <w:sz w:val="18"/>
          <w:szCs w:val="18"/>
        </w:rPr>
        <w:sectPr>
          <w:pgSz w:w="11910" w:h="16840"/>
          <w:pgMar w:header="0" w:footer="938" w:top="1100" w:bottom="112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494"/>
        <w:gridCol w:w="1498"/>
        <w:gridCol w:w="1497"/>
        <w:gridCol w:w="1498"/>
        <w:gridCol w:w="1497"/>
        <w:gridCol w:w="2164"/>
      </w:tblGrid>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东方证券股份有限 公司 徐建花</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上海证券有限责任 公司 滕文飞</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上投摩根基金管理 有限公司 王丽军</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3"/>
              <w:jc w:val="left"/>
              <w:rPr>
                <w:rFonts w:ascii="宋体" w:hAnsi="宋体" w:cs="宋体" w:eastAsia="宋体" w:hint="default"/>
                <w:sz w:val="18"/>
                <w:szCs w:val="18"/>
              </w:rPr>
            </w:pPr>
            <w:r>
              <w:rPr>
                <w:rFonts w:ascii="宋体" w:hAnsi="宋体" w:cs="宋体" w:eastAsia="宋体" w:hint="default"/>
                <w:sz w:val="18"/>
                <w:szCs w:val="18"/>
              </w:rPr>
              <w:t>上海淳大万丽酒店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楼扬子厅</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23"/>
              <w:jc w:val="left"/>
              <w:rPr>
                <w:rFonts w:ascii="宋体" w:hAnsi="宋体" w:cs="宋体" w:eastAsia="宋体" w:hint="default"/>
                <w:sz w:val="18"/>
                <w:szCs w:val="18"/>
              </w:rPr>
            </w:pPr>
            <w:r>
              <w:rPr>
                <w:rFonts w:ascii="宋体" w:hAnsi="宋体" w:cs="宋体" w:eastAsia="宋体" w:hint="default"/>
                <w:sz w:val="18"/>
                <w:szCs w:val="18"/>
              </w:rPr>
              <w:t>中国国际金融有限 公司 张锦</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z w:val="18"/>
                <w:szCs w:val="18"/>
              </w:rPr>
              <w:t>介绍公司收购漫酷广告的 </w:t>
            </w:r>
            <w:r>
              <w:rPr>
                <w:rFonts w:ascii="宋体" w:hAnsi="宋体" w:cs="宋体" w:eastAsia="宋体" w:hint="default"/>
                <w:spacing w:val="-5"/>
                <w:sz w:val="18"/>
                <w:szCs w:val="18"/>
              </w:rPr>
              <w:t>相关情况、未提供书面资料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3"/>
              <w:jc w:val="left"/>
              <w:rPr>
                <w:rFonts w:ascii="宋体" w:hAnsi="宋体" w:cs="宋体" w:eastAsia="宋体" w:hint="default"/>
                <w:sz w:val="18"/>
                <w:szCs w:val="18"/>
              </w:rPr>
            </w:pPr>
            <w:r>
              <w:rPr>
                <w:rFonts w:ascii="宋体" w:hAnsi="宋体" w:cs="宋体" w:eastAsia="宋体" w:hint="default"/>
                <w:sz w:val="18"/>
                <w:szCs w:val="18"/>
              </w:rPr>
              <w:t>华融证券股份有限 公司 刘宏程</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通用技术集团投资 管理有限公司 陈 明</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3"/>
              <w:jc w:val="left"/>
              <w:rPr>
                <w:rFonts w:ascii="宋体" w:hAnsi="宋体" w:cs="宋体" w:eastAsia="宋体" w:hint="default"/>
                <w:sz w:val="18"/>
                <w:szCs w:val="18"/>
              </w:rPr>
            </w:pPr>
            <w:r>
              <w:rPr>
                <w:rFonts w:ascii="宋体" w:hAnsi="宋体" w:cs="宋体" w:eastAsia="宋体" w:hint="default"/>
                <w:sz w:val="18"/>
                <w:szCs w:val="18"/>
              </w:rPr>
              <w:t>太平洋保险资产管 理有限公司 李嘉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1" w:right="23"/>
              <w:jc w:val="left"/>
              <w:rPr>
                <w:rFonts w:ascii="宋体" w:hAnsi="宋体" w:cs="宋体" w:eastAsia="宋体" w:hint="default"/>
                <w:sz w:val="18"/>
                <w:szCs w:val="18"/>
              </w:rPr>
            </w:pPr>
            <w:r>
              <w:rPr>
                <w:rFonts w:ascii="宋体" w:hAnsi="宋体" w:cs="宋体" w:eastAsia="宋体" w:hint="default"/>
                <w:sz w:val="18"/>
                <w:szCs w:val="18"/>
              </w:rPr>
              <w:t>华夏基金管理有限 公司 薛志</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23"/>
              <w:jc w:val="left"/>
              <w:rPr>
                <w:rFonts w:ascii="宋体" w:hAnsi="宋体" w:cs="宋体" w:eastAsia="宋体" w:hint="default"/>
                <w:sz w:val="18"/>
                <w:szCs w:val="18"/>
              </w:rPr>
            </w:pPr>
            <w:r>
              <w:rPr>
                <w:rFonts w:ascii="宋体" w:hAnsi="宋体" w:cs="宋体" w:eastAsia="宋体" w:hint="default"/>
                <w:sz w:val="18"/>
                <w:szCs w:val="18"/>
              </w:rPr>
              <w:t>华创证券有限责任 公司 谢晨</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3"/>
              <w:jc w:val="left"/>
              <w:rPr>
                <w:rFonts w:ascii="宋体" w:hAnsi="宋体" w:cs="宋体" w:eastAsia="宋体" w:hint="default"/>
                <w:sz w:val="18"/>
                <w:szCs w:val="18"/>
              </w:rPr>
            </w:pPr>
            <w:r>
              <w:rPr>
                <w:rFonts w:ascii="宋体" w:hAnsi="宋体" w:cs="宋体" w:eastAsia="宋体" w:hint="default"/>
                <w:sz w:val="18"/>
                <w:szCs w:val="18"/>
              </w:rPr>
              <w:t>齐鲁证券有限公司 陈筱</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挚信资本 唐杰</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3"/>
              <w:jc w:val="left"/>
              <w:rPr>
                <w:rFonts w:ascii="宋体" w:hAnsi="宋体" w:cs="宋体" w:eastAsia="宋体" w:hint="default"/>
                <w:sz w:val="18"/>
                <w:szCs w:val="18"/>
              </w:rPr>
            </w:pPr>
            <w:r>
              <w:rPr>
                <w:rFonts w:ascii="宋体" w:hAnsi="宋体" w:cs="宋体" w:eastAsia="宋体" w:hint="default"/>
                <w:sz w:val="18"/>
                <w:szCs w:val="18"/>
              </w:rPr>
              <w:t>国联安基金管理有 限公司 曹俊</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1" w:right="23"/>
              <w:jc w:val="both"/>
              <w:rPr>
                <w:rFonts w:ascii="宋体" w:hAnsi="宋体" w:cs="宋体" w:eastAsia="宋体" w:hint="default"/>
                <w:sz w:val="18"/>
                <w:szCs w:val="18"/>
              </w:rPr>
            </w:pPr>
            <w:r>
              <w:rPr>
                <w:rFonts w:ascii="宋体" w:hAnsi="宋体" w:cs="宋体" w:eastAsia="宋体" w:hint="default"/>
                <w:sz w:val="18"/>
                <w:szCs w:val="18"/>
              </w:rPr>
              <w:t>国泰君安证券有限 公司 高辉 尹为醇 冯潇</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齐鲁证券有限公司 康雅雯</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东海证券股份有限 公司 李卉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before="20"/>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东吴基金管理有限 公司 朱冰兵</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before="20"/>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财通基金管理有限 公司</w:t>
            </w:r>
            <w:r>
              <w:rPr>
                <w:rFonts w:ascii="宋体" w:hAnsi="宋体" w:cs="宋体" w:eastAsia="宋体" w:hint="default"/>
                <w:spacing w:val="1"/>
                <w:sz w:val="18"/>
                <w:szCs w:val="18"/>
              </w:rPr>
              <w:t> </w:t>
            </w:r>
            <w:r>
              <w:rPr>
                <w:rFonts w:ascii="宋体" w:hAnsi="宋体" w:cs="宋体" w:eastAsia="宋体" w:hint="default"/>
                <w:spacing w:val="-15"/>
                <w:sz w:val="18"/>
                <w:szCs w:val="18"/>
              </w:rPr>
              <w:t>沈维伦、庄颖</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bl>
    <w:p>
      <w:pPr>
        <w:spacing w:after="0" w:line="237" w:lineRule="auto"/>
        <w:jc w:val="left"/>
        <w:rPr>
          <w:rFonts w:ascii="宋体" w:hAnsi="宋体" w:cs="宋体" w:eastAsia="宋体" w:hint="default"/>
          <w:sz w:val="18"/>
          <w:szCs w:val="18"/>
        </w:rPr>
        <w:sectPr>
          <w:pgSz w:w="11910" w:h="16840"/>
          <w:pgMar w:header="0" w:footer="938" w:top="1100" w:bottom="112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494"/>
        <w:gridCol w:w="1498"/>
        <w:gridCol w:w="1497"/>
        <w:gridCol w:w="1498"/>
        <w:gridCol w:w="1497"/>
        <w:gridCol w:w="2164"/>
      </w:tblGrid>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汇丰晋信基金管理 有限公司 李元博</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中欧基金管理有限 公司 耿德健</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1" w:right="23"/>
              <w:jc w:val="left"/>
              <w:rPr>
                <w:rFonts w:ascii="宋体" w:hAnsi="宋体" w:cs="宋体" w:eastAsia="宋体" w:hint="default"/>
                <w:sz w:val="18"/>
                <w:szCs w:val="18"/>
              </w:rPr>
            </w:pPr>
            <w:r>
              <w:rPr>
                <w:rFonts w:ascii="宋体" w:hAnsi="宋体" w:cs="宋体" w:eastAsia="宋体" w:hint="default"/>
                <w:sz w:val="18"/>
                <w:szCs w:val="18"/>
              </w:rPr>
              <w:t>太平洋资产管理有 限责任公司 郭骁 勇</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before="20"/>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农银汇理基金管理 有限公司 李德辉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before="20"/>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华宸未来基金管理 有限公司 黄颖峰</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before="20"/>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上海德汇集团有限 公司 张帆</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before="20"/>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2" w:lineRule="exact"/>
              <w:ind w:left="21" w:right="23"/>
              <w:jc w:val="left"/>
              <w:rPr>
                <w:rFonts w:ascii="宋体" w:hAnsi="宋体" w:cs="宋体" w:eastAsia="宋体" w:hint="default"/>
                <w:sz w:val="18"/>
                <w:szCs w:val="18"/>
              </w:rPr>
            </w:pPr>
            <w:r>
              <w:rPr>
                <w:rFonts w:ascii="宋体" w:hAnsi="宋体" w:cs="宋体" w:eastAsia="宋体" w:hint="default"/>
                <w:sz w:val="18"/>
                <w:szCs w:val="18"/>
              </w:rPr>
              <w:t>上海综艺控股有限 公司 陈磊</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珩生集团 王军华</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上海博鸿投资管理 有限公司 张其羽</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2" w:lineRule="exact" w:before="23"/>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上海鼎锋资产管理 有限公司 颜为海</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10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03</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68"/>
              <w:jc w:val="left"/>
              <w:rPr>
                <w:rFonts w:ascii="宋体" w:hAnsi="宋体" w:cs="宋体" w:eastAsia="宋体" w:hint="default"/>
                <w:sz w:val="18"/>
                <w:szCs w:val="18"/>
              </w:rPr>
            </w:pPr>
            <w:r>
              <w:rPr>
                <w:rFonts w:ascii="宋体" w:hAnsi="宋体" w:cs="宋体" w:eastAsia="宋体" w:hint="default"/>
                <w:sz w:val="18"/>
                <w:szCs w:val="18"/>
              </w:rPr>
              <w:t>上海市银城中路 </w:t>
            </w:r>
            <w:r>
              <w:rPr>
                <w:rFonts w:ascii="宋体" w:hAnsi="宋体" w:cs="宋体" w:eastAsia="宋体" w:hint="default"/>
                <w:sz w:val="18"/>
                <w:szCs w:val="18"/>
              </w:rPr>
              <w:t>168</w:t>
            </w:r>
            <w:r>
              <w:rPr>
                <w:rFonts w:ascii="宋体" w:hAnsi="宋体" w:cs="宋体" w:eastAsia="宋体" w:hint="default"/>
                <w:spacing w:val="-46"/>
                <w:sz w:val="18"/>
                <w:szCs w:val="18"/>
              </w:rPr>
              <w:t> </w:t>
            </w:r>
            <w:r>
              <w:rPr>
                <w:rFonts w:ascii="宋体" w:hAnsi="宋体" w:cs="宋体" w:eastAsia="宋体" w:hint="default"/>
                <w:sz w:val="18"/>
                <w:szCs w:val="18"/>
              </w:rPr>
              <w:t>号上海银行大</w:t>
            </w:r>
          </w:p>
          <w:p>
            <w:pPr>
              <w:pStyle w:val="TableParagraph"/>
              <w:spacing w:line="234" w:lineRule="exact"/>
              <w:ind w:left="22" w:right="113"/>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层国泰君安 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23"/>
              <w:jc w:val="left"/>
              <w:rPr>
                <w:rFonts w:ascii="宋体" w:hAnsi="宋体" w:cs="宋体" w:eastAsia="宋体" w:hint="default"/>
                <w:sz w:val="18"/>
                <w:szCs w:val="18"/>
              </w:rPr>
            </w:pPr>
            <w:r>
              <w:rPr>
                <w:rFonts w:ascii="宋体" w:hAnsi="宋体" w:cs="宋体" w:eastAsia="宋体" w:hint="default"/>
                <w:sz w:val="18"/>
                <w:szCs w:val="18"/>
              </w:rPr>
              <w:t>上海永邦投资有限 公司 张玉婧</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29"/>
              <w:jc w:val="left"/>
              <w:rPr>
                <w:rFonts w:ascii="宋体" w:hAnsi="宋体" w:cs="宋体" w:eastAsia="宋体" w:hint="default"/>
                <w:sz w:val="18"/>
                <w:szCs w:val="18"/>
              </w:rPr>
            </w:pPr>
            <w:r>
              <w:rPr>
                <w:rFonts w:ascii="宋体" w:hAnsi="宋体" w:cs="宋体" w:eastAsia="宋体" w:hint="default"/>
                <w:sz w:val="18"/>
                <w:szCs w:val="18"/>
              </w:rPr>
              <w:t>介绍公司收购漫酷广告的 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2"/>
              <w:jc w:val="left"/>
              <w:rPr>
                <w:rFonts w:ascii="宋体" w:hAnsi="宋体" w:cs="宋体" w:eastAsia="宋体" w:hint="default"/>
                <w:sz w:val="18"/>
                <w:szCs w:val="18"/>
              </w:rPr>
            </w:pPr>
            <w:r>
              <w:rPr>
                <w:rFonts w:ascii="宋体" w:hAnsi="宋体" w:cs="宋体" w:eastAsia="宋体" w:hint="default"/>
                <w:sz w:val="18"/>
                <w:szCs w:val="18"/>
              </w:rPr>
              <w:t>上海泽熙投资管理 有限公司 杨佳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1" w:right="22"/>
              <w:jc w:val="left"/>
              <w:rPr>
                <w:rFonts w:ascii="宋体" w:hAnsi="宋体" w:cs="宋体" w:eastAsia="宋体" w:hint="default"/>
                <w:sz w:val="18"/>
                <w:szCs w:val="18"/>
              </w:rPr>
            </w:pPr>
            <w:r>
              <w:rPr>
                <w:rFonts w:ascii="宋体" w:hAnsi="宋体" w:cs="宋体" w:eastAsia="宋体" w:hint="default"/>
                <w:sz w:val="18"/>
                <w:szCs w:val="18"/>
              </w:rPr>
              <w:t>上海尚雅投资管理 有限公司 李天阳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2"/>
              <w:jc w:val="both"/>
              <w:rPr>
                <w:rFonts w:ascii="宋体" w:hAnsi="宋体" w:cs="宋体" w:eastAsia="宋体" w:hint="default"/>
                <w:sz w:val="18"/>
                <w:szCs w:val="18"/>
              </w:rPr>
            </w:pPr>
            <w:r>
              <w:rPr>
                <w:rFonts w:ascii="宋体" w:hAnsi="宋体" w:cs="宋体" w:eastAsia="宋体" w:hint="default"/>
                <w:sz w:val="18"/>
                <w:szCs w:val="18"/>
              </w:rPr>
              <w:t>上投摩根基金管理 有限公司</w:t>
            </w:r>
            <w:r>
              <w:rPr>
                <w:rFonts w:ascii="宋体" w:hAnsi="宋体" w:cs="宋体" w:eastAsia="宋体" w:hint="default"/>
                <w:spacing w:val="2"/>
                <w:sz w:val="18"/>
                <w:szCs w:val="18"/>
              </w:rPr>
              <w:t> </w:t>
            </w:r>
            <w:r>
              <w:rPr>
                <w:rFonts w:ascii="宋体" w:hAnsi="宋体" w:cs="宋体" w:eastAsia="宋体" w:hint="default"/>
                <w:spacing w:val="-23"/>
                <w:sz w:val="18"/>
                <w:szCs w:val="18"/>
              </w:rPr>
              <w:t>王炫、罗</w:t>
            </w:r>
            <w:r>
              <w:rPr>
                <w:rFonts w:ascii="宋体" w:hAnsi="宋体" w:cs="宋体" w:eastAsia="宋体" w:hint="default"/>
                <w:sz w:val="18"/>
                <w:szCs w:val="18"/>
              </w:rPr>
              <w:t> 建辉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bl>
    <w:p>
      <w:pPr>
        <w:spacing w:after="0" w:line="237" w:lineRule="auto"/>
        <w:jc w:val="both"/>
        <w:rPr>
          <w:rFonts w:ascii="宋体" w:hAnsi="宋体" w:cs="宋体" w:eastAsia="宋体" w:hint="default"/>
          <w:sz w:val="18"/>
          <w:szCs w:val="18"/>
        </w:rPr>
        <w:sectPr>
          <w:pgSz w:w="11910" w:h="16840"/>
          <w:pgMar w:header="0" w:footer="938" w:top="1100" w:bottom="1120" w:left="1020" w:right="0"/>
        </w:sectPr>
      </w:pPr>
    </w:p>
    <w:p>
      <w:pPr>
        <w:spacing w:line="240" w:lineRule="auto" w:before="10"/>
        <w:rPr>
          <w:rFonts w:ascii="Times New Roman" w:hAnsi="Times New Roman" w:cs="Times New Roman" w:eastAsia="Times New Roman" w:hint="default"/>
          <w:sz w:val="27"/>
          <w:szCs w:val="27"/>
        </w:rPr>
      </w:pPr>
      <w:r>
        <w:rPr/>
        <w:pict>
          <v:group style="position:absolute;margin-left:432.059998pt;margin-top:244.279984pt;width:105.4pt;height:11.65pt;mso-position-horizontal-relative:page;mso-position-vertical-relative:page;z-index:-907168" coordorigin="8641,4886" coordsize="2108,233">
            <v:shape style="position:absolute;left:8641;top:4886;width:2108;height:233" coordorigin="8641,4886" coordsize="2108,233" path="m8641,5118l10748,5118,10748,4886,8641,4886,8641,5118xe" filled="true" fillcolor="#ffffff" stroked="false">
              <v:path arrowok="t"/>
              <v:fill type="solid"/>
            </v:shape>
            <w10:wrap type="none"/>
          </v:group>
        </w:pict>
      </w:r>
      <w:r>
        <w:rPr/>
        <w:pict>
          <v:group style="position:absolute;margin-left:432.059998pt;margin-top:402.319977pt;width:105.4pt;height:11.65pt;mso-position-horizontal-relative:page;mso-position-vertical-relative:page;z-index:-907144" coordorigin="8641,8046" coordsize="2108,233">
            <v:shape style="position:absolute;left:8641;top:8046;width:2108;height:233" coordorigin="8641,8046" coordsize="2108,233" path="m8641,8279l10748,8279,10748,8046,8641,8046,8641,8279xe" filled="true" fillcolor="#ffffff" stroked="false">
              <v:path arrowok="t"/>
              <v:fill type="solid"/>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1494"/>
        <w:gridCol w:w="1498"/>
        <w:gridCol w:w="1497"/>
        <w:gridCol w:w="1498"/>
        <w:gridCol w:w="1497"/>
        <w:gridCol w:w="2164"/>
      </w:tblGrid>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1" w:right="22"/>
              <w:jc w:val="left"/>
              <w:rPr>
                <w:rFonts w:ascii="宋体" w:hAnsi="宋体" w:cs="宋体" w:eastAsia="宋体" w:hint="default"/>
                <w:sz w:val="18"/>
                <w:szCs w:val="18"/>
              </w:rPr>
            </w:pPr>
            <w:r>
              <w:rPr>
                <w:rFonts w:ascii="宋体" w:hAnsi="宋体" w:cs="宋体" w:eastAsia="宋体" w:hint="default"/>
                <w:sz w:val="18"/>
                <w:szCs w:val="18"/>
              </w:rPr>
              <w:t>蝙蝠股权投资管理 有限公司刘金磊</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3"/>
              <w:jc w:val="both"/>
              <w:rPr>
                <w:rFonts w:ascii="宋体" w:hAnsi="宋体" w:cs="宋体" w:eastAsia="宋体" w:hint="default"/>
                <w:sz w:val="18"/>
                <w:szCs w:val="18"/>
              </w:rPr>
            </w:pPr>
            <w:r>
              <w:rPr>
                <w:rFonts w:ascii="宋体" w:hAnsi="宋体" w:cs="宋体" w:eastAsia="宋体" w:hint="default"/>
                <w:sz w:val="18"/>
                <w:szCs w:val="18"/>
              </w:rPr>
              <w:t>通用技术集团投资 </w:t>
            </w:r>
            <w:r>
              <w:rPr>
                <w:rFonts w:ascii="宋体" w:hAnsi="宋体" w:cs="宋体" w:eastAsia="宋体" w:hint="default"/>
                <w:spacing w:val="10"/>
                <w:sz w:val="18"/>
                <w:szCs w:val="18"/>
              </w:rPr>
              <w:t>管理有限公司</w:t>
            </w:r>
            <w:r>
              <w:rPr>
                <w:rFonts w:ascii="宋体" w:hAnsi="宋体" w:cs="宋体" w:eastAsia="宋体" w:hint="default"/>
                <w:spacing w:val="29"/>
                <w:sz w:val="18"/>
                <w:szCs w:val="18"/>
              </w:rPr>
              <w:t> </w:t>
            </w:r>
            <w:r>
              <w:rPr>
                <w:rFonts w:ascii="宋体" w:hAnsi="宋体" w:cs="宋体" w:eastAsia="宋体" w:hint="default"/>
                <w:sz w:val="18"/>
                <w:szCs w:val="18"/>
              </w:rPr>
              <w:t>徐</w:t>
            </w:r>
            <w:r>
              <w:rPr>
                <w:rFonts w:ascii="宋体" w:hAnsi="宋体" w:cs="宋体" w:eastAsia="宋体" w:hint="default"/>
                <w:sz w:val="18"/>
                <w:szCs w:val="18"/>
              </w:rPr>
              <w:t> 磊磊</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2"/>
              <w:jc w:val="left"/>
              <w:rPr>
                <w:rFonts w:ascii="宋体" w:hAnsi="宋体" w:cs="宋体" w:eastAsia="宋体" w:hint="default"/>
                <w:sz w:val="18"/>
                <w:szCs w:val="18"/>
              </w:rPr>
            </w:pPr>
            <w:r>
              <w:rPr>
                <w:rFonts w:ascii="宋体" w:hAnsi="宋体" w:cs="宋体" w:eastAsia="宋体" w:hint="default"/>
                <w:sz w:val="18"/>
                <w:szCs w:val="18"/>
              </w:rPr>
              <w:t>浙商证券股份有限 公司 黄薇</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22"/>
              <w:jc w:val="left"/>
              <w:rPr>
                <w:rFonts w:ascii="宋体" w:hAnsi="宋体" w:cs="宋体" w:eastAsia="宋体" w:hint="default"/>
                <w:sz w:val="18"/>
                <w:szCs w:val="18"/>
              </w:rPr>
            </w:pPr>
            <w:r>
              <w:rPr>
                <w:rFonts w:ascii="宋体" w:hAnsi="宋体" w:cs="宋体" w:eastAsia="宋体" w:hint="default"/>
                <w:sz w:val="18"/>
                <w:szCs w:val="18"/>
              </w:rPr>
              <w:t>长信基金管理有限 公司 翁非玉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237" w:lineRule="auto" w:before="12"/>
              <w:ind w:left="21" w:right="-44"/>
              <w:jc w:val="both"/>
              <w:rPr>
                <w:rFonts w:ascii="宋体" w:hAnsi="宋体" w:cs="宋体" w:eastAsia="宋体" w:hint="default"/>
                <w:sz w:val="18"/>
                <w:szCs w:val="18"/>
              </w:rPr>
            </w:pPr>
            <w:r>
              <w:rPr>
                <w:rFonts w:ascii="宋体" w:hAnsi="宋体" w:cs="宋体" w:eastAsia="宋体" w:hint="default"/>
                <w:sz w:val="18"/>
                <w:szCs w:val="18"/>
              </w:rPr>
              <w:t>中银国际证券有限 责任公司 </w:t>
            </w:r>
            <w:r>
              <w:rPr>
                <w:rFonts w:ascii="宋体" w:hAnsi="宋体" w:cs="宋体" w:eastAsia="宋体" w:hint="default"/>
                <w:spacing w:val="-8"/>
                <w:sz w:val="18"/>
                <w:szCs w:val="18"/>
              </w:rPr>
              <w:t>闵琳佳、</w:t>
            </w:r>
            <w:r>
              <w:rPr>
                <w:rFonts w:ascii="宋体" w:hAnsi="宋体" w:cs="宋体" w:eastAsia="宋体" w:hint="default"/>
                <w:spacing w:val="-32"/>
                <w:sz w:val="18"/>
                <w:szCs w:val="18"/>
              </w:rPr>
              <w:t> </w:t>
            </w:r>
            <w:r>
              <w:rPr>
                <w:rFonts w:ascii="宋体" w:hAnsi="宋体" w:cs="宋体" w:eastAsia="宋体" w:hint="default"/>
                <w:sz w:val="18"/>
                <w:szCs w:val="18"/>
              </w:rPr>
              <w:t>刘域</w:t>
            </w:r>
          </w:p>
        </w:tc>
        <w:tc>
          <w:tcPr>
            <w:tcW w:w="2164" w:type="dxa"/>
            <w:tcBorders>
              <w:top w:val="single" w:sz="4" w:space="0" w:color="000000"/>
              <w:left w:val="single" w:sz="13" w:space="0" w:color="FFFFFF"/>
              <w:bottom w:val="single" w:sz="4" w:space="0" w:color="000000"/>
              <w:right w:val="single" w:sz="4" w:space="0" w:color="000000"/>
            </w:tcBorders>
          </w:tcPr>
          <w:p>
            <w:pPr>
              <w:pStyle w:val="TableParagraph"/>
              <w:spacing w:line="237" w:lineRule="auto" w:before="12"/>
              <w:ind w:left="11"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1" w:right="22"/>
              <w:jc w:val="left"/>
              <w:rPr>
                <w:rFonts w:ascii="宋体" w:hAnsi="宋体" w:cs="宋体" w:eastAsia="宋体" w:hint="default"/>
                <w:sz w:val="18"/>
                <w:szCs w:val="18"/>
              </w:rPr>
            </w:pPr>
            <w:r>
              <w:rPr>
                <w:rFonts w:ascii="宋体" w:hAnsi="宋体" w:cs="宋体" w:eastAsia="宋体" w:hint="default"/>
                <w:sz w:val="18"/>
                <w:szCs w:val="18"/>
              </w:rPr>
              <w:t>上海倍霖山投资管 理有限公司 高杉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22"/>
              <w:jc w:val="left"/>
              <w:rPr>
                <w:rFonts w:ascii="宋体" w:hAnsi="宋体" w:cs="宋体" w:eastAsia="宋体" w:hint="default"/>
                <w:sz w:val="18"/>
                <w:szCs w:val="18"/>
              </w:rPr>
            </w:pPr>
            <w:r>
              <w:rPr>
                <w:rFonts w:ascii="宋体" w:hAnsi="宋体" w:cs="宋体" w:eastAsia="宋体" w:hint="default"/>
                <w:sz w:val="18"/>
                <w:szCs w:val="18"/>
              </w:rPr>
              <w:t>西部证券股份有限 公司 范轶敏</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2"/>
              <w:jc w:val="both"/>
              <w:rPr>
                <w:rFonts w:ascii="宋体" w:hAnsi="宋体" w:cs="宋体" w:eastAsia="宋体" w:hint="default"/>
                <w:sz w:val="18"/>
                <w:szCs w:val="18"/>
              </w:rPr>
            </w:pPr>
            <w:r>
              <w:rPr>
                <w:rFonts w:ascii="宋体" w:hAnsi="宋体" w:cs="宋体" w:eastAsia="宋体" w:hint="default"/>
                <w:sz w:val="18"/>
                <w:szCs w:val="18"/>
              </w:rPr>
              <w:t>爱建证券有限责任 公司 </w:t>
            </w:r>
            <w:r>
              <w:rPr>
                <w:rFonts w:ascii="宋体" w:hAnsi="宋体" w:cs="宋体" w:eastAsia="宋体" w:hint="default"/>
                <w:spacing w:val="-15"/>
                <w:sz w:val="18"/>
                <w:szCs w:val="18"/>
              </w:rPr>
              <w:t>刘孙亮、侯佳</w:t>
            </w:r>
            <w:r>
              <w:rPr>
                <w:rFonts w:ascii="宋体" w:hAnsi="宋体" w:cs="宋体" w:eastAsia="宋体" w:hint="default"/>
                <w:sz w:val="18"/>
                <w:szCs w:val="18"/>
              </w:rPr>
              <w:t> 林</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237" w:lineRule="auto" w:before="11"/>
              <w:ind w:left="21" w:right="-44"/>
              <w:jc w:val="both"/>
              <w:rPr>
                <w:rFonts w:ascii="宋体" w:hAnsi="宋体" w:cs="宋体" w:eastAsia="宋体" w:hint="default"/>
                <w:sz w:val="18"/>
                <w:szCs w:val="18"/>
              </w:rPr>
            </w:pPr>
            <w:r>
              <w:rPr>
                <w:rFonts w:ascii="宋体" w:hAnsi="宋体" w:cs="宋体" w:eastAsia="宋体" w:hint="default"/>
                <w:sz w:val="18"/>
                <w:szCs w:val="18"/>
              </w:rPr>
              <w:t>国泰君安证券有限 </w:t>
            </w:r>
            <w:r>
              <w:rPr>
                <w:rFonts w:ascii="宋体" w:hAnsi="宋体" w:cs="宋体" w:eastAsia="宋体" w:hint="default"/>
                <w:spacing w:val="-14"/>
                <w:sz w:val="18"/>
                <w:szCs w:val="18"/>
              </w:rPr>
              <w:t>公司高辉、尹为醇、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冯潇</w:t>
            </w:r>
          </w:p>
        </w:tc>
        <w:tc>
          <w:tcPr>
            <w:tcW w:w="2164" w:type="dxa"/>
            <w:tcBorders>
              <w:top w:val="single" w:sz="4" w:space="0" w:color="000000"/>
              <w:left w:val="single" w:sz="13" w:space="0" w:color="FFFFFF"/>
              <w:bottom w:val="single" w:sz="4" w:space="0" w:color="000000"/>
              <w:right w:val="single" w:sz="4" w:space="0" w:color="000000"/>
            </w:tcBorders>
          </w:tcPr>
          <w:p>
            <w:pPr>
              <w:pStyle w:val="TableParagraph"/>
              <w:spacing w:line="237" w:lineRule="auto" w:before="11"/>
              <w:ind w:left="11"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2"/>
              <w:jc w:val="left"/>
              <w:rPr>
                <w:rFonts w:ascii="宋体" w:hAnsi="宋体" w:cs="宋体" w:eastAsia="宋体" w:hint="default"/>
                <w:sz w:val="18"/>
                <w:szCs w:val="18"/>
              </w:rPr>
            </w:pPr>
            <w:r>
              <w:rPr>
                <w:rFonts w:ascii="宋体" w:hAnsi="宋体" w:cs="宋体" w:eastAsia="宋体" w:hint="default"/>
                <w:sz w:val="18"/>
                <w:szCs w:val="18"/>
              </w:rPr>
              <w:t>齐鲁证券有限公司 康雅雯</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21" w:right="22"/>
              <w:jc w:val="left"/>
              <w:rPr>
                <w:rFonts w:ascii="宋体" w:hAnsi="宋体" w:cs="宋体" w:eastAsia="宋体" w:hint="default"/>
                <w:sz w:val="18"/>
                <w:szCs w:val="18"/>
              </w:rPr>
            </w:pPr>
            <w:r>
              <w:rPr>
                <w:rFonts w:ascii="宋体" w:hAnsi="宋体" w:cs="宋体" w:eastAsia="宋体" w:hint="default"/>
                <w:sz w:val="18"/>
                <w:szCs w:val="18"/>
              </w:rPr>
              <w:t>上海永邦投资有限 公司 张玉婧</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2"/>
              <w:jc w:val="both"/>
              <w:rPr>
                <w:rFonts w:ascii="宋体" w:hAnsi="宋体" w:cs="宋体" w:eastAsia="宋体" w:hint="default"/>
                <w:sz w:val="18"/>
                <w:szCs w:val="18"/>
              </w:rPr>
            </w:pPr>
            <w:r>
              <w:rPr>
                <w:rFonts w:ascii="宋体" w:hAnsi="宋体" w:cs="宋体" w:eastAsia="宋体" w:hint="default"/>
                <w:sz w:val="18"/>
                <w:szCs w:val="18"/>
              </w:rPr>
              <w:t>方正证券股份有限 公司北京证券自营 分公司 韩建平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2"/>
              <w:jc w:val="left"/>
              <w:rPr>
                <w:rFonts w:ascii="宋体" w:hAnsi="宋体" w:cs="宋体" w:eastAsia="宋体" w:hint="default"/>
                <w:sz w:val="18"/>
                <w:szCs w:val="18"/>
              </w:rPr>
            </w:pPr>
            <w:r>
              <w:rPr>
                <w:rFonts w:ascii="宋体" w:hAnsi="宋体" w:cs="宋体" w:eastAsia="宋体" w:hint="default"/>
                <w:sz w:val="18"/>
                <w:szCs w:val="18"/>
              </w:rPr>
              <w:t>大成基金管理有限 公司 李博</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1" w:right="22"/>
              <w:jc w:val="left"/>
              <w:rPr>
                <w:rFonts w:ascii="宋体" w:hAnsi="宋体" w:cs="宋体" w:eastAsia="宋体" w:hint="default"/>
                <w:sz w:val="18"/>
                <w:szCs w:val="18"/>
              </w:rPr>
            </w:pPr>
            <w:r>
              <w:rPr>
                <w:rFonts w:ascii="宋体" w:hAnsi="宋体" w:cs="宋体" w:eastAsia="宋体" w:hint="default"/>
                <w:sz w:val="18"/>
                <w:szCs w:val="18"/>
              </w:rPr>
              <w:t>西部证券股份有限 公司 许阳</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791"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聚胜万合会议室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22"/>
              <w:jc w:val="left"/>
              <w:rPr>
                <w:rFonts w:ascii="宋体" w:hAnsi="宋体" w:cs="宋体" w:eastAsia="宋体" w:hint="default"/>
                <w:sz w:val="18"/>
                <w:szCs w:val="18"/>
              </w:rPr>
            </w:pPr>
            <w:r>
              <w:rPr>
                <w:rFonts w:ascii="宋体" w:hAnsi="宋体" w:cs="宋体" w:eastAsia="宋体" w:hint="default"/>
                <w:sz w:val="18"/>
                <w:szCs w:val="18"/>
              </w:rPr>
              <w:t>东北证券股份有限 公司 耿云</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9"/>
              <w:jc w:val="both"/>
              <w:rPr>
                <w:rFonts w:ascii="宋体" w:hAnsi="宋体" w:cs="宋体" w:eastAsia="宋体" w:hint="default"/>
                <w:sz w:val="18"/>
                <w:szCs w:val="18"/>
              </w:rPr>
            </w:pPr>
            <w:r>
              <w:rPr>
                <w:rFonts w:ascii="宋体" w:hAnsi="宋体" w:cs="宋体" w:eastAsia="宋体" w:hint="default"/>
                <w:spacing w:val="10"/>
                <w:sz w:val="18"/>
                <w:szCs w:val="18"/>
              </w:rPr>
              <w:t>介绍公司收购漫酷广告的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相关情况及公司运营情况、 未提供书面资料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1011" w:val="left" w:leader="none"/>
              </w:tabs>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申银万国</w:t>
              <w:tab/>
              <w:t>张衡</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1011" w:val="left" w:leader="none"/>
              </w:tabs>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民生证券</w:t>
              <w:tab/>
              <w:t>李晶</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9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1011" w:val="left" w:leader="none"/>
              </w:tabs>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泽熙投资</w:t>
              <w:tab/>
              <w:t>王骅</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资料</w:t>
            </w:r>
          </w:p>
        </w:tc>
      </w:tr>
      <w:tr>
        <w:trPr>
          <w:trHeight w:val="32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left"/>
              <w:rPr>
                <w:rFonts w:ascii="宋体" w:hAnsi="宋体" w:cs="宋体" w:eastAsia="宋体" w:hint="default"/>
                <w:sz w:val="18"/>
                <w:szCs w:val="18"/>
              </w:rPr>
            </w:pPr>
            <w:r>
              <w:rPr>
                <w:rFonts w:ascii="宋体" w:hAnsi="宋体" w:cs="宋体" w:eastAsia="宋体" w:hint="default"/>
                <w:spacing w:val="10"/>
                <w:sz w:val="18"/>
                <w:szCs w:val="18"/>
              </w:rPr>
              <w:t>沃瓏港资产</w:t>
            </w:r>
            <w:r>
              <w:rPr>
                <w:rFonts w:ascii="宋体" w:hAnsi="宋体" w:cs="宋体" w:eastAsia="宋体" w:hint="default"/>
                <w:spacing w:val="26"/>
                <w:sz w:val="18"/>
                <w:szCs w:val="18"/>
              </w:rPr>
              <w:t> </w:t>
            </w:r>
            <w:r>
              <w:rPr>
                <w:rFonts w:ascii="宋体" w:hAnsi="宋体" w:cs="宋体" w:eastAsia="宋体" w:hint="default"/>
                <w:spacing w:val="13"/>
                <w:sz w:val="18"/>
                <w:szCs w:val="18"/>
              </w:rPr>
              <w:t>沈小</w:t>
            </w:r>
            <w:r>
              <w:rPr>
                <w:rFonts w:ascii="宋体" w:hAnsi="宋体" w:cs="宋体" w:eastAsia="宋体" w:hint="default"/>
                <w:sz w:val="18"/>
                <w:szCs w:val="18"/>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p>
        </w:tc>
      </w:tr>
    </w:tbl>
    <w:p>
      <w:pPr>
        <w:spacing w:after="0" w:line="240" w:lineRule="auto"/>
        <w:jc w:val="left"/>
        <w:rPr>
          <w:rFonts w:ascii="宋体" w:hAnsi="宋体" w:cs="宋体" w:eastAsia="宋体" w:hint="default"/>
          <w:sz w:val="18"/>
          <w:szCs w:val="18"/>
        </w:rPr>
        <w:sectPr>
          <w:pgSz w:w="11910" w:h="16840"/>
          <w:pgMar w:header="0" w:footer="938" w:top="1100" w:bottom="1120" w:left="10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494"/>
        <w:gridCol w:w="1498"/>
        <w:gridCol w:w="1497"/>
        <w:gridCol w:w="1498"/>
        <w:gridCol w:w="1497"/>
        <w:gridCol w:w="2164"/>
      </w:tblGrid>
      <w:tr>
        <w:trPr>
          <w:trHeight w:val="283"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舜</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32" w:lineRule="exact" w:before="35"/>
              <w:ind w:left="21" w:right="23"/>
              <w:jc w:val="left"/>
              <w:rPr>
                <w:rFonts w:ascii="宋体" w:hAnsi="宋体" w:cs="宋体" w:eastAsia="宋体" w:hint="default"/>
                <w:sz w:val="18"/>
                <w:szCs w:val="18"/>
              </w:rPr>
            </w:pPr>
            <w:r>
              <w:rPr>
                <w:rFonts w:ascii="宋体" w:hAnsi="宋体" w:cs="宋体" w:eastAsia="宋体" w:hint="default"/>
                <w:sz w:val="18"/>
                <w:szCs w:val="18"/>
              </w:rPr>
              <w:t>民生证券</w:t>
              <w:tab/>
              <w:t>朱旭 光</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资料</w:t>
            </w:r>
          </w:p>
        </w:tc>
      </w:tr>
      <w:tr>
        <w:trPr>
          <w:trHeight w:val="557"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1" w:right="23"/>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19"/>
                <w:sz w:val="18"/>
                <w:szCs w:val="18"/>
              </w:rPr>
              <w:t> </w:t>
            </w:r>
            <w:r>
              <w:rPr>
                <w:rFonts w:ascii="宋体" w:hAnsi="宋体" w:cs="宋体" w:eastAsia="宋体" w:hint="default"/>
                <w:sz w:val="18"/>
                <w:szCs w:val="18"/>
              </w:rPr>
              <w:t>矿</w:t>
            </w:r>
            <w:r>
              <w:rPr>
                <w:rFonts w:ascii="宋体" w:hAnsi="宋体" w:cs="宋体" w:eastAsia="宋体" w:hint="default"/>
                <w:spacing w:val="-19"/>
                <w:sz w:val="18"/>
                <w:szCs w:val="18"/>
              </w:rPr>
              <w:t> </w:t>
            </w:r>
            <w:r>
              <w:rPr>
                <w:rFonts w:ascii="宋体" w:hAnsi="宋体" w:cs="宋体" w:eastAsia="宋体" w:hint="default"/>
                <w:sz w:val="18"/>
                <w:szCs w:val="18"/>
              </w:rPr>
              <w:t>鑫</w:t>
            </w:r>
            <w:r>
              <w:rPr>
                <w:rFonts w:ascii="宋体" w:hAnsi="宋体" w:cs="宋体" w:eastAsia="宋体" w:hint="default"/>
                <w:spacing w:val="-19"/>
                <w:sz w:val="18"/>
                <w:szCs w:val="18"/>
              </w:rPr>
              <w:t> </w:t>
            </w:r>
            <w:r>
              <w:rPr>
                <w:rFonts w:ascii="宋体" w:hAnsi="宋体" w:cs="宋体" w:eastAsia="宋体" w:hint="default"/>
                <w:sz w:val="18"/>
                <w:szCs w:val="18"/>
              </w:rPr>
              <w:t>杨</w:t>
            </w:r>
            <w:r>
              <w:rPr>
                <w:rFonts w:ascii="宋体" w:hAnsi="宋体" w:cs="宋体" w:eastAsia="宋体" w:hint="default"/>
                <w:spacing w:val="-17"/>
                <w:sz w:val="18"/>
                <w:szCs w:val="18"/>
              </w:rPr>
              <w:t> </w:t>
            </w:r>
            <w:r>
              <w:rPr>
                <w:rFonts w:ascii="宋体" w:hAnsi="宋体" w:cs="宋体" w:eastAsia="宋体" w:hint="default"/>
                <w:sz w:val="18"/>
                <w:szCs w:val="18"/>
              </w:rPr>
              <w:t>投</w:t>
            </w:r>
            <w:r>
              <w:rPr>
                <w:rFonts w:ascii="宋体" w:hAnsi="宋体" w:cs="宋体" w:eastAsia="宋体" w:hint="default"/>
                <w:spacing w:val="-19"/>
                <w:sz w:val="18"/>
                <w:szCs w:val="18"/>
              </w:rPr>
              <w:t> </w:t>
            </w:r>
            <w:r>
              <w:rPr>
                <w:rFonts w:ascii="宋体" w:hAnsi="宋体" w:cs="宋体" w:eastAsia="宋体" w:hint="default"/>
                <w:sz w:val="18"/>
                <w:szCs w:val="18"/>
              </w:rPr>
              <w:t>资</w:t>
            </w:r>
            <w:r>
              <w:rPr>
                <w:rFonts w:ascii="宋体" w:hAnsi="宋体" w:cs="宋体" w:eastAsia="宋体" w:hint="default"/>
                <w:sz w:val="18"/>
                <w:szCs w:val="18"/>
              </w:rPr>
              <w:t> 姚梅</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资料</w:t>
            </w:r>
          </w:p>
        </w:tc>
      </w:tr>
      <w:tr>
        <w:trPr>
          <w:trHeight w:val="55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07</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tabs>
                <w:tab w:pos="1091" w:val="left" w:leader="none"/>
              </w:tabs>
              <w:spacing w:line="240" w:lineRule="auto" w:before="10"/>
              <w:ind w:left="21" w:right="12"/>
              <w:jc w:val="left"/>
              <w:rPr>
                <w:rFonts w:ascii="宋体" w:hAnsi="宋体" w:cs="宋体" w:eastAsia="宋体" w:hint="default"/>
                <w:sz w:val="18"/>
                <w:szCs w:val="18"/>
              </w:rPr>
            </w:pPr>
            <w:r>
              <w:rPr>
                <w:rFonts w:ascii="宋体" w:hAnsi="宋体" w:cs="宋体" w:eastAsia="宋体" w:hint="default"/>
                <w:spacing w:val="7"/>
                <w:sz w:val="18"/>
                <w:szCs w:val="18"/>
              </w:rPr>
              <w:t>华安基金</w:t>
              <w:tab/>
            </w:r>
            <w:r>
              <w:rPr>
                <w:rFonts w:ascii="宋体" w:hAnsi="宋体" w:cs="宋体" w:eastAsia="宋体" w:hint="default"/>
                <w:spacing w:val="10"/>
                <w:sz w:val="18"/>
                <w:szCs w:val="18"/>
              </w:rPr>
              <w:t>李冠</w:t>
            </w:r>
            <w:r>
              <w:rPr>
                <w:rFonts w:ascii="宋体" w:hAnsi="宋体" w:cs="宋体" w:eastAsia="宋体" w:hint="default"/>
                <w:spacing w:val="10"/>
                <w:sz w:val="18"/>
                <w:szCs w:val="18"/>
              </w:rPr>
              <w:t> </w:t>
            </w:r>
            <w:r>
              <w:rPr>
                <w:rFonts w:ascii="宋体" w:hAnsi="宋体" w:cs="宋体" w:eastAsia="宋体" w:hint="default"/>
                <w:sz w:val="18"/>
                <w:szCs w:val="18"/>
              </w:rPr>
              <w:t>宇</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公司经营情况、未提供书面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资料</w:t>
            </w:r>
          </w:p>
        </w:tc>
      </w:tr>
    </w:tbl>
    <w:p>
      <w:pPr>
        <w:spacing w:after="0" w:line="240" w:lineRule="auto"/>
        <w:jc w:val="left"/>
        <w:rPr>
          <w:rFonts w:ascii="宋体" w:hAnsi="宋体" w:cs="宋体" w:eastAsia="宋体" w:hint="default"/>
          <w:sz w:val="18"/>
          <w:szCs w:val="18"/>
        </w:rPr>
        <w:sectPr>
          <w:pgSz w:w="11910" w:h="16840"/>
          <w:pgMar w:header="0" w:footer="938" w:top="1100" w:bottom="11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1"/>
        <w:spacing w:line="240" w:lineRule="auto"/>
        <w:ind w:left="3771" w:right="4729"/>
        <w:jc w:val="center"/>
        <w:rPr>
          <w:b w:val="0"/>
          <w:bCs w:val="0"/>
        </w:rPr>
      </w:pPr>
      <w:bookmarkStart w:name="第五节 重要事项" w:id="49"/>
      <w:bookmarkEnd w:id="49"/>
      <w:r>
        <w:rPr>
          <w:b w:val="0"/>
          <w:bCs w:val="0"/>
        </w:rPr>
      </w:r>
      <w:bookmarkStart w:name="_bookmark4" w:id="50"/>
      <w:bookmarkEnd w:id="50"/>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left="837" w:right="7348"/>
        <w:jc w:val="left"/>
        <w:rPr>
          <w:b w:val="0"/>
          <w:bCs w:val="0"/>
        </w:rPr>
      </w:pPr>
      <w:bookmarkStart w:name="一、重大诉讼仲裁事项" w:id="51"/>
      <w:bookmarkEnd w:id="51"/>
      <w:r>
        <w:rPr>
          <w:b w:val="0"/>
          <w:bCs w:val="0"/>
        </w:rPr>
      </w:r>
      <w:r>
        <w:rPr/>
        <w:t>一、重大诉讼仲裁事项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837" w:right="7348"/>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44"/>
        <w:ind w:left="0" w:right="1015" w:firstLine="0"/>
        <w:jc w:val="right"/>
        <w:rPr>
          <w:rFonts w:ascii="宋体" w:hAnsi="宋体" w:cs="宋体" w:eastAsia="宋体" w:hint="default"/>
          <w:sz w:val="18"/>
          <w:szCs w:val="18"/>
        </w:rPr>
      </w:pPr>
      <w:r>
        <w:rPr/>
        <w:pict>
          <v:shape style="position:absolute;margin-left:53.759998pt;margin-top:-49.928261pt;width:488.1pt;height:356.1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792"/>
                    <w:gridCol w:w="929"/>
                    <w:gridCol w:w="820"/>
                    <w:gridCol w:w="992"/>
                    <w:gridCol w:w="1134"/>
                    <w:gridCol w:w="1418"/>
                    <w:gridCol w:w="1963"/>
                  </w:tblGrid>
                  <w:tr>
                    <w:trPr>
                      <w:trHeight w:val="790"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5"/>
                          <w:ind w:left="2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98" w:right="98"/>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104" w:right="103"/>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40" w:right="41" w:hanging="1"/>
                          <w:jc w:val="center"/>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审理结果及 影响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8"/>
                          <w:ind w:left="110" w:right="53"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91"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25"/>
                          <w:jc w:val="both"/>
                          <w:rPr>
                            <w:rFonts w:ascii="宋体" w:hAnsi="宋体" w:cs="宋体" w:eastAsia="宋体" w:hint="default"/>
                            <w:sz w:val="18"/>
                            <w:szCs w:val="18"/>
                          </w:rPr>
                        </w:pPr>
                        <w:r>
                          <w:rPr>
                            <w:rFonts w:ascii="宋体" w:hAnsi="宋体" w:cs="宋体" w:eastAsia="宋体" w:hint="default"/>
                            <w:spacing w:val="2"/>
                            <w:sz w:val="18"/>
                            <w:szCs w:val="18"/>
                          </w:rPr>
                          <w:t>诉讼事项一（见重大</w:t>
                        </w:r>
                        <w:r>
                          <w:rPr>
                            <w:rFonts w:ascii="宋体" w:hAnsi="宋体" w:cs="宋体" w:eastAsia="宋体" w:hint="default"/>
                            <w:sz w:val="18"/>
                            <w:szCs w:val="18"/>
                          </w:rPr>
                          <w:t> </w:t>
                        </w:r>
                        <w:r>
                          <w:rPr>
                            <w:rFonts w:ascii="宋体" w:hAnsi="宋体" w:cs="宋体" w:eastAsia="宋体" w:hint="default"/>
                            <w:spacing w:val="2"/>
                            <w:sz w:val="18"/>
                            <w:szCs w:val="18"/>
                          </w:rPr>
                          <w:t>诉讼仲裁事项的详细</w:t>
                        </w:r>
                        <w:r>
                          <w:rPr>
                            <w:rFonts w:ascii="宋体" w:hAnsi="宋体" w:cs="宋体" w:eastAsia="宋体" w:hint="default"/>
                            <w:sz w:val="18"/>
                            <w:szCs w:val="18"/>
                          </w:rPr>
                          <w:t> 说明）</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13,000</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7" w:lineRule="auto"/>
                          <w:ind w:left="22" w:right="59"/>
                          <w:jc w:val="both"/>
                          <w:rPr>
                            <w:rFonts w:ascii="宋体" w:hAnsi="宋体" w:cs="宋体" w:eastAsia="宋体" w:hint="default"/>
                            <w:sz w:val="18"/>
                            <w:szCs w:val="18"/>
                          </w:rPr>
                        </w:pPr>
                        <w:r>
                          <w:rPr>
                            <w:rFonts w:ascii="宋体" w:hAnsi="宋体" w:cs="宋体" w:eastAsia="宋体" w:hint="default"/>
                            <w:sz w:val="18"/>
                            <w:szCs w:val="18"/>
                          </w:rPr>
                          <w:t>双方和解， 有利于尽快 了结诉讼案 纠纷，使得 无锡锡泵恢 复正常的业 务状态</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06</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13"/>
                          <w:jc w:val="both"/>
                          <w:rPr>
                            <w:rFonts w:ascii="宋体" w:hAnsi="宋体" w:cs="宋体" w:eastAsia="宋体" w:hint="default"/>
                            <w:sz w:val="18"/>
                            <w:szCs w:val="18"/>
                          </w:rPr>
                        </w:pPr>
                        <w:r>
                          <w:rPr>
                            <w:rFonts w:ascii="宋体" w:hAnsi="宋体" w:cs="宋体" w:eastAsia="宋体" w:hint="default"/>
                            <w:sz w:val="18"/>
                            <w:szCs w:val="18"/>
                          </w:rPr>
                          <w:t>《关于控股子公司诉讼 </w:t>
                        </w:r>
                        <w:r>
                          <w:rPr>
                            <w:rFonts w:ascii="宋体" w:hAnsi="宋体" w:cs="宋体" w:eastAsia="宋体" w:hint="default"/>
                            <w:spacing w:val="-15"/>
                            <w:sz w:val="18"/>
                            <w:szCs w:val="18"/>
                          </w:rPr>
                          <w:t>事项的公告》（公告编号</w:t>
                        </w:r>
                        <w:r>
                          <w:rPr>
                            <w:rFonts w:ascii="宋体" w:hAnsi="宋体" w:cs="宋体" w:eastAsia="宋体" w:hint="default"/>
                            <w:sz w:val="18"/>
                            <w:szCs w:val="18"/>
                          </w:rPr>
                          <w:t> </w:t>
                        </w:r>
                        <w:r>
                          <w:rPr>
                            <w:rFonts w:ascii="宋体" w:hAnsi="宋体" w:cs="宋体" w:eastAsia="宋体" w:hint="default"/>
                            <w:sz w:val="18"/>
                            <w:szCs w:val="18"/>
                          </w:rPr>
                          <w:t>2012-044</w:t>
                        </w:r>
                        <w:r>
                          <w:rPr>
                            <w:rFonts w:ascii="宋体" w:hAnsi="宋体" w:cs="宋体" w:eastAsia="宋体" w:hint="default"/>
                            <w:sz w:val="18"/>
                            <w:szCs w:val="18"/>
                          </w:rPr>
                          <w:t>）</w:t>
                        </w:r>
                      </w:p>
                    </w:tc>
                  </w:tr>
                  <w:tr>
                    <w:trPr>
                      <w:trHeight w:val="790" w:hRule="exact"/>
                    </w:trPr>
                    <w:tc>
                      <w:tcPr>
                        <w:tcW w:w="170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8"/>
                          <w:jc w:val="left"/>
                          <w:rPr>
                            <w:rFonts w:ascii="宋体" w:hAnsi="宋体" w:cs="宋体" w:eastAsia="宋体" w:hint="default"/>
                            <w:sz w:val="18"/>
                            <w:szCs w:val="18"/>
                          </w:rPr>
                        </w:pPr>
                        <w:r>
                          <w:rPr>
                            <w:rFonts w:ascii="宋体" w:hAnsi="宋体" w:cs="宋体" w:eastAsia="宋体" w:hint="default"/>
                            <w:sz w:val="18"/>
                            <w:szCs w:val="18"/>
                          </w:rPr>
                          <w:t>《关于控股子公司诉讼 </w:t>
                        </w:r>
                        <w:r>
                          <w:rPr>
                            <w:rFonts w:ascii="宋体" w:hAnsi="宋体" w:cs="宋体" w:eastAsia="宋体" w:hint="default"/>
                            <w:spacing w:val="-9"/>
                            <w:sz w:val="18"/>
                            <w:szCs w:val="18"/>
                          </w:rPr>
                          <w:t>事项进展公告》（公告编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w:t>
                        </w:r>
                        <w:r>
                          <w:rPr>
                            <w:rFonts w:ascii="宋体" w:hAnsi="宋体" w:cs="宋体" w:eastAsia="宋体" w:hint="default"/>
                            <w:sz w:val="18"/>
                            <w:szCs w:val="18"/>
                          </w:rPr>
                          <w:t>2012-074</w:t>
                        </w:r>
                        <w:r>
                          <w:rPr>
                            <w:rFonts w:ascii="宋体" w:hAnsi="宋体" w:cs="宋体" w:eastAsia="宋体" w:hint="default"/>
                            <w:sz w:val="18"/>
                            <w:szCs w:val="18"/>
                          </w:rPr>
                          <w:t>）</w:t>
                        </w:r>
                      </w:p>
                    </w:tc>
                  </w:tr>
                  <w:tr>
                    <w:trPr>
                      <w:trHeight w:val="1025" w:hRule="exact"/>
                    </w:trPr>
                    <w:tc>
                      <w:tcPr>
                        <w:tcW w:w="170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19"/>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28"/>
                          <w:jc w:val="both"/>
                          <w:rPr>
                            <w:rFonts w:ascii="宋体" w:hAnsi="宋体" w:cs="宋体" w:eastAsia="宋体" w:hint="default"/>
                            <w:sz w:val="18"/>
                            <w:szCs w:val="18"/>
                          </w:rPr>
                        </w:pPr>
                        <w:r>
                          <w:rPr>
                            <w:rFonts w:ascii="宋体" w:hAnsi="宋体" w:cs="宋体" w:eastAsia="宋体" w:hint="default"/>
                            <w:sz w:val="18"/>
                            <w:szCs w:val="18"/>
                          </w:rPr>
                          <w:t>《关于签署</w:t>
                        </w:r>
                        <w:r>
                          <w:rPr>
                            <w:rFonts w:ascii="宋体" w:hAnsi="宋体" w:cs="宋体" w:eastAsia="宋体" w:hint="default"/>
                            <w:sz w:val="18"/>
                            <w:szCs w:val="18"/>
                          </w:rPr>
                          <w:t>&lt;</w:t>
                        </w:r>
                        <w:r>
                          <w:rPr>
                            <w:rFonts w:ascii="宋体" w:hAnsi="宋体" w:cs="宋体" w:eastAsia="宋体" w:hint="default"/>
                            <w:sz w:val="18"/>
                            <w:szCs w:val="18"/>
                          </w:rPr>
                          <w:t>和解协议</w:t>
                        </w:r>
                        <w:r>
                          <w:rPr>
                            <w:rFonts w:ascii="宋体" w:hAnsi="宋体" w:cs="宋体" w:eastAsia="宋体" w:hint="default"/>
                            <w:sz w:val="18"/>
                            <w:szCs w:val="18"/>
                          </w:rPr>
                          <w:t>&gt; </w:t>
                        </w:r>
                        <w:r>
                          <w:rPr>
                            <w:rFonts w:ascii="宋体" w:hAnsi="宋体" w:cs="宋体" w:eastAsia="宋体" w:hint="default"/>
                            <w:sz w:val="18"/>
                            <w:szCs w:val="18"/>
                          </w:rPr>
                          <w:t>及出售日立泵股权的公 </w:t>
                        </w:r>
                        <w:r>
                          <w:rPr>
                            <w:rFonts w:ascii="宋体" w:hAnsi="宋体" w:cs="宋体" w:eastAsia="宋体" w:hint="default"/>
                            <w:spacing w:val="-12"/>
                            <w:sz w:val="18"/>
                            <w:szCs w:val="18"/>
                          </w:rPr>
                          <w:t>告》（公告编号：</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2014-009</w:t>
                        </w:r>
                        <w:r>
                          <w:rPr>
                            <w:rFonts w:ascii="宋体" w:hAnsi="宋体" w:cs="宋体" w:eastAsia="宋体" w:hint="default"/>
                            <w:sz w:val="18"/>
                            <w:szCs w:val="18"/>
                          </w:rPr>
                          <w:t>）</w:t>
                        </w:r>
                      </w:p>
                    </w:tc>
                  </w:tr>
                  <w:tr>
                    <w:trPr>
                      <w:trHeight w:val="790" w:hRule="exact"/>
                    </w:trPr>
                    <w:tc>
                      <w:tcPr>
                        <w:tcW w:w="170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19</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8"/>
                          <w:jc w:val="left"/>
                          <w:rPr>
                            <w:rFonts w:ascii="宋体" w:hAnsi="宋体" w:cs="宋体" w:eastAsia="宋体" w:hint="default"/>
                            <w:sz w:val="18"/>
                            <w:szCs w:val="18"/>
                          </w:rPr>
                        </w:pPr>
                        <w:r>
                          <w:rPr>
                            <w:rFonts w:ascii="宋体" w:hAnsi="宋体" w:cs="宋体" w:eastAsia="宋体" w:hint="default"/>
                            <w:sz w:val="18"/>
                            <w:szCs w:val="18"/>
                          </w:rPr>
                          <w:t>《关于日立泵诉讼事项 </w:t>
                        </w:r>
                        <w:r>
                          <w:rPr>
                            <w:rFonts w:ascii="宋体" w:hAnsi="宋体" w:cs="宋体" w:eastAsia="宋体" w:hint="default"/>
                            <w:spacing w:val="-9"/>
                            <w:sz w:val="18"/>
                            <w:szCs w:val="18"/>
                          </w:rPr>
                          <w:t>进展公告》（公告编号：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2014-037</w:t>
                        </w:r>
                        <w:r>
                          <w:rPr>
                            <w:rFonts w:ascii="宋体" w:hAnsi="宋体" w:cs="宋体" w:eastAsia="宋体" w:hint="default"/>
                            <w:sz w:val="18"/>
                            <w:szCs w:val="18"/>
                          </w:rPr>
                          <w:t>）</w:t>
                        </w:r>
                      </w:p>
                    </w:tc>
                  </w:tr>
                  <w:tr>
                    <w:trPr>
                      <w:trHeight w:val="791" w:hRule="exact"/>
                    </w:trPr>
                    <w:tc>
                      <w:tcPr>
                        <w:tcW w:w="1700"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29"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38"/>
                          <w:jc w:val="left"/>
                          <w:rPr>
                            <w:rFonts w:ascii="宋体" w:hAnsi="宋体" w:cs="宋体" w:eastAsia="宋体" w:hint="default"/>
                            <w:sz w:val="18"/>
                            <w:szCs w:val="18"/>
                          </w:rPr>
                        </w:pPr>
                        <w:r>
                          <w:rPr>
                            <w:rFonts w:ascii="宋体" w:hAnsi="宋体" w:cs="宋体" w:eastAsia="宋体" w:hint="default"/>
                            <w:sz w:val="18"/>
                            <w:szCs w:val="18"/>
                          </w:rPr>
                          <w:t>《关于日立泵诉讼事项 </w:t>
                        </w:r>
                        <w:r>
                          <w:rPr>
                            <w:rFonts w:ascii="宋体" w:hAnsi="宋体" w:cs="宋体" w:eastAsia="宋体" w:hint="default"/>
                            <w:spacing w:val="-9"/>
                            <w:sz w:val="18"/>
                            <w:szCs w:val="18"/>
                          </w:rPr>
                          <w:t>进展公告》（公告编号：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2014-039</w:t>
                        </w:r>
                        <w:r>
                          <w:rPr>
                            <w:rFonts w:ascii="宋体" w:hAnsi="宋体" w:cs="宋体" w:eastAsia="宋体" w:hint="default"/>
                            <w:sz w:val="18"/>
                            <w:szCs w:val="18"/>
                          </w:rPr>
                          <w:t>）</w:t>
                        </w:r>
                      </w:p>
                    </w:tc>
                  </w:tr>
                  <w:tr>
                    <w:trPr>
                      <w:trHeight w:val="790" w:hRule="exact"/>
                    </w:trPr>
                    <w:tc>
                      <w:tcPr>
                        <w:tcW w:w="170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38"/>
                          <w:jc w:val="left"/>
                          <w:rPr>
                            <w:rFonts w:ascii="宋体" w:hAnsi="宋体" w:cs="宋体" w:eastAsia="宋体" w:hint="default"/>
                            <w:sz w:val="18"/>
                            <w:szCs w:val="18"/>
                          </w:rPr>
                        </w:pPr>
                        <w:r>
                          <w:rPr>
                            <w:rFonts w:ascii="宋体" w:hAnsi="宋体" w:cs="宋体" w:eastAsia="宋体" w:hint="default"/>
                            <w:sz w:val="18"/>
                            <w:szCs w:val="18"/>
                          </w:rPr>
                          <w:t>《关于日立泵诉讼事项 </w:t>
                        </w:r>
                        <w:r>
                          <w:rPr>
                            <w:rFonts w:ascii="宋体" w:hAnsi="宋体" w:cs="宋体" w:eastAsia="宋体" w:hint="default"/>
                            <w:spacing w:val="-9"/>
                            <w:sz w:val="18"/>
                            <w:szCs w:val="18"/>
                          </w:rPr>
                          <w:t>进展公告》（公告编号：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2014-043</w:t>
                        </w:r>
                        <w:r>
                          <w:rPr>
                            <w:rFonts w:ascii="宋体" w:hAnsi="宋体" w:cs="宋体" w:eastAsia="宋体" w:hint="default"/>
                            <w:sz w:val="18"/>
                            <w:szCs w:val="18"/>
                          </w:rPr>
                          <w:t>）</w:t>
                        </w:r>
                      </w:p>
                    </w:tc>
                  </w:tr>
                  <w:tr>
                    <w:trPr>
                      <w:trHeight w:val="557"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37" w:lineRule="auto"/>
                          <w:ind w:left="22" w:right="45"/>
                          <w:jc w:val="both"/>
                          <w:rPr>
                            <w:rFonts w:ascii="宋体" w:hAnsi="宋体" w:cs="宋体" w:eastAsia="宋体" w:hint="default"/>
                            <w:sz w:val="18"/>
                            <w:szCs w:val="18"/>
                          </w:rPr>
                        </w:pPr>
                        <w:r>
                          <w:rPr>
                            <w:rFonts w:ascii="宋体" w:hAnsi="宋体" w:cs="宋体" w:eastAsia="宋体" w:hint="default"/>
                            <w:sz w:val="18"/>
                            <w:szCs w:val="18"/>
                          </w:rPr>
                          <w:t>诉讼事项二（见重大 诉讼仲裁事项的详细 说明）</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43.18</w:t>
                        </w:r>
                      </w:p>
                    </w:tc>
                    <w:tc>
                      <w:tcPr>
                        <w:tcW w:w="9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4" w:right="43" w:hanging="270"/>
                          <w:jc w:val="left"/>
                          <w:rPr>
                            <w:rFonts w:ascii="宋体" w:hAnsi="宋体" w:cs="宋体" w:eastAsia="宋体" w:hint="default"/>
                            <w:sz w:val="18"/>
                            <w:szCs w:val="18"/>
                          </w:rPr>
                        </w:pPr>
                        <w:r>
                          <w:rPr>
                            <w:rFonts w:ascii="宋体" w:hAnsi="宋体" w:cs="宋体" w:eastAsia="宋体" w:hint="default"/>
                            <w:sz w:val="18"/>
                            <w:szCs w:val="18"/>
                          </w:rPr>
                          <w:t>上诉过程 中</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一审已判决</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37" w:lineRule="auto"/>
                          <w:ind w:left="21" w:right="200"/>
                          <w:jc w:val="both"/>
                          <w:rPr>
                            <w:rFonts w:ascii="宋体" w:hAnsi="宋体" w:cs="宋体" w:eastAsia="宋体" w:hint="default"/>
                            <w:sz w:val="18"/>
                            <w:szCs w:val="18"/>
                          </w:rPr>
                        </w:pPr>
                        <w:r>
                          <w:rPr>
                            <w:rFonts w:ascii="宋体" w:hAnsi="宋体" w:cs="宋体" w:eastAsia="宋体" w:hint="default"/>
                            <w:sz w:val="18"/>
                            <w:szCs w:val="18"/>
                          </w:rPr>
                          <w:t>公司向辽宁 省高级人民 法院提起上 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3"/>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05</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2" w:right="-50"/>
                          <w:jc w:val="left"/>
                          <w:rPr>
                            <w:rFonts w:ascii="宋体" w:hAnsi="宋体" w:cs="宋体" w:eastAsia="宋体" w:hint="default"/>
                            <w:sz w:val="18"/>
                            <w:szCs w:val="18"/>
                          </w:rPr>
                        </w:pPr>
                        <w:r>
                          <w:rPr>
                            <w:rFonts w:ascii="宋体" w:hAnsi="宋体" w:cs="宋体" w:eastAsia="宋体" w:hint="default"/>
                            <w:sz w:val="18"/>
                            <w:szCs w:val="18"/>
                          </w:rPr>
                          <w:t>《关于诉讼事项的公告》</w:t>
                        </w:r>
                      </w:p>
                      <w:p>
                        <w:pPr>
                          <w:pStyle w:val="TableParagraph"/>
                          <w:spacing w:line="235" w:lineRule="exact"/>
                          <w:ind w:left="22" w:right="-5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2013-031</w:t>
                        </w:r>
                        <w:r>
                          <w:rPr>
                            <w:rFonts w:ascii="宋体" w:hAnsi="宋体" w:cs="宋体" w:eastAsia="宋体" w:hint="default"/>
                            <w:sz w:val="18"/>
                            <w:szCs w:val="18"/>
                          </w:rPr>
                          <w:t>）</w:t>
                        </w:r>
                      </w:p>
                    </w:tc>
                  </w:tr>
                  <w:tr>
                    <w:trPr>
                      <w:trHeight w:val="791" w:hRule="exact"/>
                    </w:trPr>
                    <w:tc>
                      <w:tcPr>
                        <w:tcW w:w="1700"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《关于诉讼事项进展公 </w:t>
                        </w:r>
                        <w:r>
                          <w:rPr>
                            <w:rFonts w:ascii="宋体" w:hAnsi="宋体" w:cs="宋体" w:eastAsia="宋体" w:hint="default"/>
                            <w:spacing w:val="-12"/>
                            <w:sz w:val="18"/>
                            <w:szCs w:val="18"/>
                          </w:rPr>
                          <w:t>告》（公告编号：</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2014-116</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391" w:lineRule="auto" w:before="35"/>
        <w:ind w:left="1260" w:right="7348" w:hanging="423"/>
        <w:jc w:val="left"/>
        <w:rPr>
          <w:b w:val="0"/>
          <w:bCs w:val="0"/>
        </w:rPr>
      </w:pPr>
      <w:r>
        <w:rPr/>
        <w:t>重大诉讼仲裁事项的详细说明</w:t>
      </w:r>
      <w:r>
        <w:rPr>
          <w:w w:val="99"/>
        </w:rPr>
        <w:t> </w:t>
      </w:r>
      <w:r>
        <w:rPr/>
        <w:t>诉讼事项一：</w:t>
      </w:r>
      <w:r>
        <w:rPr>
          <w:b w:val="0"/>
          <w:bCs w:val="0"/>
        </w:rPr>
      </w:r>
    </w:p>
    <w:p>
      <w:pPr>
        <w:pStyle w:val="BodyText"/>
        <w:spacing w:line="357" w:lineRule="auto" w:before="40"/>
        <w:ind w:left="838" w:right="1685" w:firstLine="420"/>
        <w:jc w:val="left"/>
      </w:pPr>
      <w:r>
        <w:rPr>
          <w:rFonts w:ascii="宋体" w:hAnsi="宋体" w:cs="宋体" w:eastAsia="宋体" w:hint="default"/>
        </w:rPr>
        <w:t>2005</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1"/>
        </w:rPr>
        <w:t> </w:t>
      </w:r>
      <w:r>
        <w:rPr>
          <w:spacing w:val="-4"/>
        </w:rPr>
        <w:t>日，公司控股子公司无锡锡泵和株式会社日立产业（</w:t>
      </w:r>
      <w:r>
        <w:rPr>
          <w:rFonts w:ascii="宋体" w:hAnsi="宋体" w:cs="宋体" w:eastAsia="宋体" w:hint="default"/>
          <w:spacing w:val="-4"/>
        </w:rPr>
        <w:t>2006</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3</w:t>
      </w:r>
      <w:r>
        <w:rPr>
          <w:rFonts w:ascii="宋体" w:hAnsi="宋体" w:cs="宋体" w:eastAsia="宋体" w:hint="default"/>
          <w:spacing w:val="-52"/>
        </w:rPr>
        <w:t> </w:t>
      </w:r>
      <w:r>
        <w:rPr/>
        <w:t>日， </w:t>
      </w:r>
      <w:r>
        <w:rPr>
          <w:spacing w:val="-3"/>
        </w:rPr>
        <w:t>株式会社日立产业被吸收合并入株式会社日立工业设备技术）、日立（中国）有限公司、株</w:t>
      </w:r>
      <w:r>
        <w:rPr>
          <w:spacing w:val="-77"/>
        </w:rPr>
        <w:t> </w:t>
      </w:r>
      <w:r>
        <w:rPr>
          <w:spacing w:val="-77"/>
        </w:rPr>
      </w:r>
      <w:r>
        <w:rPr/>
        <w:t>式会社日立制作所合资成立日立泵，其中无锡锡泵持有日立泵</w:t>
      </w:r>
      <w:r>
        <w:rPr>
          <w:spacing w:val="-54"/>
        </w:rPr>
        <w:t> </w:t>
      </w:r>
      <w:r>
        <w:rPr>
          <w:rFonts w:ascii="宋体" w:hAnsi="宋体" w:cs="宋体" w:eastAsia="宋体" w:hint="default"/>
        </w:rPr>
        <w:t>30%</w:t>
      </w:r>
      <w:r>
        <w:rPr/>
        <w:t>的股权。</w:t>
      </w:r>
    </w:p>
    <w:p>
      <w:pPr>
        <w:pStyle w:val="BodyText"/>
        <w:spacing w:line="357" w:lineRule="auto" w:before="71"/>
        <w:ind w:left="838" w:right="1793" w:firstLine="420"/>
        <w:jc w:val="both"/>
      </w:pPr>
      <w:r>
        <w:rPr>
          <w:spacing w:val="-3"/>
        </w:rPr>
        <w:t>由于日立泵经营管理发生严重困难，出现亏损，亏损呈不断扩大之势，且其管理层无有</w:t>
      </w:r>
      <w:r>
        <w:rPr/>
        <w:t> 效的扭亏措施。</w:t>
      </w:r>
      <w:r>
        <w:rPr>
          <w:rFonts w:ascii="宋体" w:hAnsi="宋体" w:cs="宋体" w:eastAsia="宋体" w:hint="default"/>
        </w:rPr>
        <w:t>2012</w:t>
      </w:r>
      <w:r>
        <w:rPr>
          <w:rFonts w:ascii="宋体" w:hAnsi="宋体" w:cs="宋体" w:eastAsia="宋体" w:hint="default"/>
          <w:spacing w:val="-61"/>
        </w:rPr>
        <w:t> </w:t>
      </w:r>
      <w:r>
        <w:rPr/>
        <w:t>年</w:t>
      </w:r>
      <w:r>
        <w:rPr>
          <w:spacing w:val="-61"/>
        </w:rPr>
        <w:t> </w:t>
      </w:r>
      <w:r>
        <w:rPr>
          <w:rFonts w:ascii="宋体" w:hAnsi="宋体" w:cs="宋体" w:eastAsia="宋体" w:hint="default"/>
        </w:rPr>
        <w:t>6</w:t>
      </w:r>
      <w:r>
        <w:rPr>
          <w:rFonts w:ascii="宋体" w:hAnsi="宋体" w:cs="宋体" w:eastAsia="宋体" w:hint="default"/>
          <w:spacing w:val="-60"/>
        </w:rPr>
        <w:t> </w:t>
      </w:r>
      <w:r>
        <w:rPr/>
        <w:t>月</w:t>
      </w:r>
      <w:r>
        <w:rPr>
          <w:spacing w:val="-61"/>
        </w:rPr>
        <w:t> </w:t>
      </w:r>
      <w:r>
        <w:rPr>
          <w:rFonts w:ascii="宋体" w:hAnsi="宋体" w:cs="宋体" w:eastAsia="宋体" w:hint="default"/>
        </w:rPr>
        <w:t>18</w:t>
      </w:r>
      <w:r>
        <w:rPr>
          <w:rFonts w:ascii="宋体" w:hAnsi="宋体" w:cs="宋体" w:eastAsia="宋体" w:hint="default"/>
          <w:spacing w:val="-60"/>
        </w:rPr>
        <w:t> </w:t>
      </w:r>
      <w:r>
        <w:rPr/>
        <w:t>日，无锡锡泵向江苏省无锡市中级人民法院提起诉讼，请求 判决解散日立泵制造（无锡）有限公司，并要求被告承担本案诉讼费用。</w:t>
      </w:r>
    </w:p>
    <w:p>
      <w:pPr>
        <w:pStyle w:val="BodyText"/>
        <w:spacing w:line="240" w:lineRule="auto" w:before="71"/>
        <w:ind w:left="1258" w:right="1685"/>
        <w:jc w:val="left"/>
      </w:pPr>
      <w:r>
        <w:rPr/>
        <w:t>江苏省无锡市中级人民法院于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1</w:t>
      </w:r>
      <w:r>
        <w:rPr>
          <w:rFonts w:ascii="宋体" w:hAnsi="宋体" w:cs="宋体" w:eastAsia="宋体" w:hint="default"/>
          <w:spacing w:val="-52"/>
        </w:rPr>
        <w:t> </w:t>
      </w:r>
      <w:r>
        <w:rPr>
          <w:spacing w:val="-2"/>
        </w:rPr>
        <w:t>日</w:t>
      </w:r>
      <w:r>
        <w:rPr/>
        <w:t>出具</w:t>
      </w:r>
      <w:r>
        <w:rPr>
          <w:spacing w:val="-65"/>
        </w:rPr>
        <w:t>了</w:t>
      </w:r>
      <w:r>
        <w:rPr>
          <w:spacing w:val="-105"/>
        </w:rPr>
        <w:t>“</w:t>
      </w:r>
      <w:r>
        <w:rPr/>
        <w:t>（</w:t>
      </w:r>
      <w:r>
        <w:rPr>
          <w:rFonts w:ascii="宋体" w:hAnsi="宋体" w:cs="宋体" w:eastAsia="宋体" w:hint="default"/>
        </w:rPr>
        <w:t>2012</w:t>
      </w:r>
      <w:r>
        <w:rPr>
          <w:spacing w:val="-65"/>
        </w:rPr>
        <w:t>）</w:t>
      </w:r>
      <w:r>
        <w:rPr/>
        <w:t>锡商初字第</w:t>
      </w:r>
      <w:r>
        <w:rPr>
          <w:spacing w:val="-52"/>
        </w:rPr>
        <w:t> </w:t>
      </w:r>
      <w:r>
        <w:rPr>
          <w:rFonts w:ascii="宋体" w:hAnsi="宋体" w:cs="宋体" w:eastAsia="宋体" w:hint="default"/>
          <w:spacing w:val="-1"/>
        </w:rPr>
        <w:t>8</w:t>
      </w:r>
      <w:r>
        <w:rPr>
          <w:rFonts w:ascii="宋体" w:hAnsi="宋体" w:cs="宋体" w:eastAsia="宋体" w:hint="default"/>
        </w:rPr>
        <w:t>2</w:t>
      </w:r>
      <w:r>
        <w:rPr>
          <w:rFonts w:ascii="宋体" w:hAnsi="宋体" w:cs="宋体" w:eastAsia="宋体" w:hint="default"/>
          <w:spacing w:val="-52"/>
        </w:rPr>
        <w:t> </w:t>
      </w:r>
      <w:r>
        <w:rPr/>
        <w:t>号</w:t>
      </w:r>
      <w:r>
        <w:rPr>
          <w:spacing w:val="-170"/>
        </w:rPr>
        <w:t>”</w:t>
      </w:r>
      <w:r>
        <w:rPr>
          <w:spacing w:val="1"/>
        </w:rPr>
        <w:t>《</w:t>
      </w:r>
      <w:r>
        <w:rPr/>
        <w:t>江</w:t>
      </w:r>
    </w:p>
    <w:p>
      <w:pPr>
        <w:spacing w:after="0" w:line="240" w:lineRule="auto"/>
        <w:jc w:val="left"/>
        <w:sectPr>
          <w:pgSz w:w="11910" w:h="16840"/>
          <w:pgMar w:header="0" w:footer="938" w:top="1100" w:bottom="1120" w:left="960" w:right="0"/>
        </w:sectPr>
      </w:pPr>
    </w:p>
    <w:p>
      <w:pPr>
        <w:spacing w:line="240" w:lineRule="auto" w:before="2"/>
        <w:rPr>
          <w:rFonts w:ascii="宋体" w:hAnsi="宋体" w:cs="宋体" w:eastAsia="宋体" w:hint="default"/>
          <w:sz w:val="19"/>
          <w:szCs w:val="19"/>
        </w:rPr>
      </w:pPr>
    </w:p>
    <w:p>
      <w:pPr>
        <w:pStyle w:val="BodyText"/>
        <w:spacing w:line="240" w:lineRule="auto" w:before="35"/>
        <w:ind w:left="138" w:right="0"/>
        <w:jc w:val="both"/>
      </w:pPr>
      <w:r>
        <w:rPr/>
        <w:t>苏省无锡市中级人民法院受理案件通知书</w:t>
      </w:r>
      <w:r>
        <w:rPr>
          <w:spacing w:val="-105"/>
        </w:rPr>
        <w:t>》</w:t>
      </w:r>
      <w:r>
        <w:rPr>
          <w:spacing w:val="-29"/>
        </w:rPr>
        <w:t>，</w:t>
      </w:r>
      <w:r>
        <w:rPr>
          <w:spacing w:val="-2"/>
        </w:rPr>
        <w:t>并</w:t>
      </w:r>
      <w:r>
        <w:rPr/>
        <w:t>于</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5</w:t>
      </w:r>
      <w:r>
        <w:rPr>
          <w:rFonts w:ascii="宋体" w:hAnsi="宋体" w:cs="宋体" w:eastAsia="宋体" w:hint="default"/>
          <w:spacing w:val="-52"/>
        </w:rPr>
        <w:t> </w:t>
      </w:r>
      <w:r>
        <w:rPr/>
        <w:t>日出</w:t>
      </w:r>
      <w:r>
        <w:rPr>
          <w:spacing w:val="-2"/>
        </w:rPr>
        <w:t>具</w:t>
      </w:r>
      <w:r>
        <w:rPr>
          <w:spacing w:val="-29"/>
        </w:rPr>
        <w:t>了</w:t>
      </w:r>
      <w:r>
        <w:rPr>
          <w:spacing w:val="-105"/>
        </w:rPr>
        <w:t>“</w:t>
      </w:r>
      <w:r>
        <w:rPr/>
        <w:t>（</w:t>
      </w:r>
      <w:r>
        <w:rPr>
          <w:rFonts w:ascii="宋体" w:hAnsi="宋体" w:cs="宋体" w:eastAsia="宋体" w:hint="default"/>
        </w:rPr>
        <w:t>2012</w:t>
      </w:r>
      <w:r>
        <w:rPr>
          <w:spacing w:val="-31"/>
        </w:rPr>
        <w:t>）</w:t>
      </w:r>
      <w:r>
        <w:rPr/>
        <w:t>锡商初</w:t>
      </w:r>
    </w:p>
    <w:p>
      <w:pPr>
        <w:pStyle w:val="BodyText"/>
        <w:spacing w:line="357" w:lineRule="auto" w:before="133"/>
        <w:ind w:right="1684"/>
        <w:jc w:val="left"/>
      </w:pPr>
      <w:r>
        <w:rPr/>
        <w:t>字第</w:t>
      </w:r>
      <w:r>
        <w:rPr>
          <w:spacing w:val="-41"/>
        </w:rPr>
        <w:t> </w:t>
      </w:r>
      <w:r>
        <w:rPr>
          <w:rFonts w:ascii="宋体" w:hAnsi="宋体" w:cs="宋体" w:eastAsia="宋体" w:hint="default"/>
        </w:rPr>
        <w:t>82</w:t>
      </w:r>
      <w:r>
        <w:rPr>
          <w:rFonts w:ascii="宋体" w:hAnsi="宋体" w:cs="宋体" w:eastAsia="宋体" w:hint="default"/>
          <w:spacing w:val="-41"/>
        </w:rPr>
        <w:t> </w:t>
      </w:r>
      <w:r>
        <w:rPr>
          <w:spacing w:val="-6"/>
        </w:rPr>
        <w:t>号</w:t>
      </w:r>
      <w:r>
        <w:rPr>
          <w:rFonts w:ascii="宋体" w:hAnsi="宋体" w:cs="宋体" w:eastAsia="宋体" w:hint="default"/>
          <w:spacing w:val="-6"/>
        </w:rPr>
        <w:t>-3</w:t>
      </w:r>
      <w:r>
        <w:rPr>
          <w:spacing w:val="-6"/>
        </w:rPr>
        <w:t>”《江苏省无锡市中级人民法院参加诉讼通知书》，无锡市中级人民法院已通知</w:t>
      </w:r>
      <w:r>
        <w:rPr>
          <w:spacing w:val="-100"/>
        </w:rPr>
        <w:t> </w:t>
      </w:r>
      <w:r>
        <w:rPr>
          <w:spacing w:val="-100"/>
        </w:rPr>
      </w:r>
      <w:r>
        <w:rPr>
          <w:spacing w:val="-5"/>
        </w:rPr>
        <w:t>株式会社日立工业设备技术、日立（中国）有限公司以本案共同原告或第三人身份参加诉讼。</w:t>
      </w:r>
    </w:p>
    <w:p>
      <w:pPr>
        <w:pStyle w:val="BodyText"/>
        <w:spacing w:line="355" w:lineRule="auto" w:before="71"/>
        <w:ind w:right="1793" w:firstLine="420"/>
        <w:jc w:val="both"/>
      </w:pPr>
      <w:r>
        <w:rPr>
          <w:spacing w:val="-3"/>
        </w:rPr>
        <w:t>日立泵在提交答辩状期间对案件管辖权提出异议。日立泵认为本案应当通过新加坡国际</w:t>
      </w:r>
      <w:r>
        <w:rPr/>
        <w:t> </w:t>
      </w:r>
      <w:r>
        <w:rPr>
          <w:spacing w:val="-3"/>
        </w:rPr>
        <w:t>仲裁中心仲裁解决，请求法院驳回公司的起诉。日立（中国）有限公司亦对案件管辖权提出</w:t>
      </w:r>
      <w:r>
        <w:rPr>
          <w:spacing w:val="-75"/>
        </w:rPr>
        <w:t> </w:t>
      </w:r>
      <w:r>
        <w:rPr>
          <w:spacing w:val="-75"/>
        </w:rPr>
      </w:r>
      <w:r>
        <w:rPr/>
        <w:t>异议。</w:t>
      </w:r>
    </w:p>
    <w:p>
      <w:pPr>
        <w:pStyle w:val="BodyText"/>
        <w:spacing w:line="240" w:lineRule="auto" w:before="73"/>
        <w:ind w:left="558" w:right="0"/>
        <w:jc w:val="left"/>
      </w:pPr>
      <w:r>
        <w:rPr/>
        <w:t>江苏省无锡市中级人民法院于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日出具</w:t>
      </w:r>
      <w:r>
        <w:rPr>
          <w:spacing w:val="-45"/>
        </w:rPr>
        <w:t>了</w:t>
      </w:r>
      <w:r>
        <w:rPr>
          <w:spacing w:val="-105"/>
        </w:rPr>
        <w:t>“</w:t>
      </w:r>
      <w:r>
        <w:rPr>
          <w:spacing w:val="-1"/>
        </w:rPr>
        <w:t>（</w:t>
      </w:r>
      <w:r>
        <w:rPr>
          <w:rFonts w:ascii="宋体" w:hAnsi="宋体" w:cs="宋体" w:eastAsia="宋体" w:hint="default"/>
        </w:rPr>
        <w:t>2012</w:t>
      </w:r>
      <w:r>
        <w:rPr>
          <w:spacing w:val="-45"/>
        </w:rPr>
        <w:t>）</w:t>
      </w:r>
      <w:r>
        <w:rPr/>
        <w:t>锡商外初字第</w:t>
      </w:r>
      <w:r>
        <w:rPr>
          <w:spacing w:val="-52"/>
        </w:rPr>
        <w:t> </w:t>
      </w:r>
      <w:r>
        <w:rPr>
          <w:rFonts w:ascii="宋体" w:hAnsi="宋体" w:cs="宋体" w:eastAsia="宋体" w:hint="default"/>
          <w:spacing w:val="-1"/>
        </w:rPr>
        <w:t>3</w:t>
      </w:r>
      <w:r>
        <w:rPr>
          <w:rFonts w:ascii="宋体" w:hAnsi="宋体" w:cs="宋体" w:eastAsia="宋体" w:hint="default"/>
        </w:rPr>
        <w:t>2</w:t>
      </w:r>
      <w:r>
        <w:rPr>
          <w:rFonts w:ascii="宋体" w:hAnsi="宋体" w:cs="宋体" w:eastAsia="宋体" w:hint="default"/>
          <w:spacing w:val="-52"/>
        </w:rPr>
        <w:t> </w:t>
      </w:r>
      <w:r>
        <w:rPr/>
        <w:t>号”</w:t>
      </w:r>
    </w:p>
    <w:p>
      <w:pPr>
        <w:pStyle w:val="BodyText"/>
        <w:spacing w:line="355" w:lineRule="auto" w:before="134"/>
        <w:ind w:right="1796"/>
        <w:jc w:val="both"/>
      </w:pPr>
      <w:r>
        <w:rPr>
          <w:spacing w:val="-3"/>
        </w:rPr>
        <w:t>《民事裁定书》。江苏省无锡市中级人民法院裁定：驳回日立泵对管辖权的异议；株式会社</w:t>
      </w:r>
      <w:r>
        <w:rPr>
          <w:spacing w:val="-77"/>
        </w:rPr>
        <w:t> </w:t>
      </w:r>
      <w:r>
        <w:rPr>
          <w:spacing w:val="-77"/>
        </w:rPr>
      </w:r>
      <w:r>
        <w:rPr/>
        <w:t>日立工业设备技术、日立（中国）有限公司无权提出管辖权异议。</w:t>
      </w:r>
    </w:p>
    <w:p>
      <w:pPr>
        <w:pStyle w:val="BodyText"/>
        <w:spacing w:line="357" w:lineRule="auto" w:before="73"/>
        <w:ind w:right="1793" w:firstLine="420"/>
        <w:jc w:val="both"/>
      </w:pPr>
      <w:r>
        <w:rPr/>
        <w:t>江苏省高级人民法院于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t>日出具</w:t>
      </w:r>
      <w:r>
        <w:rPr>
          <w:spacing w:val="-101"/>
        </w:rPr>
        <w:t>了</w:t>
      </w:r>
      <w:r>
        <w:rPr>
          <w:spacing w:val="-105"/>
        </w:rPr>
        <w:t>“</w:t>
      </w:r>
      <w:r>
        <w:rPr>
          <w:spacing w:val="-2"/>
        </w:rPr>
        <w:t>（</w:t>
      </w:r>
      <w:r>
        <w:rPr>
          <w:rFonts w:ascii="宋体" w:hAnsi="宋体" w:cs="宋体" w:eastAsia="宋体" w:hint="default"/>
        </w:rPr>
        <w:t>201</w:t>
      </w:r>
      <w:r>
        <w:rPr>
          <w:rFonts w:ascii="宋体" w:hAnsi="宋体" w:cs="宋体" w:eastAsia="宋体" w:hint="default"/>
          <w:spacing w:val="1"/>
        </w:rPr>
        <w:t>2</w:t>
      </w:r>
      <w:r>
        <w:rPr>
          <w:spacing w:val="-101"/>
        </w:rPr>
        <w:t>）</w:t>
      </w:r>
      <w:r>
        <w:rPr/>
        <w:t>苏商</w:t>
      </w:r>
      <w:r>
        <w:rPr>
          <w:spacing w:val="-2"/>
        </w:rPr>
        <w:t>外</w:t>
      </w:r>
      <w:r>
        <w:rPr/>
        <w:t>辖终字第</w:t>
      </w:r>
      <w:r>
        <w:rPr>
          <w:spacing w:val="-52"/>
        </w:rPr>
        <w:t> </w:t>
      </w:r>
      <w:r>
        <w:rPr>
          <w:rFonts w:ascii="宋体" w:hAnsi="宋体" w:cs="宋体" w:eastAsia="宋体" w:hint="default"/>
        </w:rPr>
        <w:t>0011</w:t>
      </w:r>
      <w:r>
        <w:rPr>
          <w:rFonts w:ascii="宋体" w:hAnsi="宋体" w:cs="宋体" w:eastAsia="宋体" w:hint="default"/>
          <w:spacing w:val="-53"/>
        </w:rPr>
        <w:t> </w:t>
      </w:r>
      <w:r>
        <w:rPr/>
        <w:t>号</w:t>
      </w:r>
      <w:r>
        <w:rPr>
          <w:spacing w:val="-96"/>
        </w:rPr>
        <w:t>”</w:t>
      </w:r>
      <w:r>
        <w:rPr/>
        <w:t>《民</w:t>
      </w:r>
      <w:r>
        <w:rPr/>
        <w:t> </w:t>
      </w:r>
      <w:r>
        <w:rPr>
          <w:spacing w:val="5"/>
        </w:rPr>
        <w:t>事裁定书</w:t>
      </w:r>
      <w:r>
        <w:rPr>
          <w:spacing w:val="-100"/>
        </w:rPr>
        <w:t>》</w:t>
      </w:r>
      <w:r>
        <w:rPr>
          <w:spacing w:val="5"/>
        </w:rPr>
        <w:t>，驳回日立泵就管辖权异议提起的上诉，维持江苏省无锡市中级人民法院关</w:t>
      </w:r>
      <w:r>
        <w:rPr/>
        <w:t>于</w:t>
      </w:r>
      <w:r>
        <w:rPr/>
        <w:t> </w:t>
      </w:r>
      <w:r>
        <w:rPr>
          <w:spacing w:val="-105"/>
        </w:rPr>
        <w:t>“</w:t>
      </w:r>
      <w:r>
        <w:rPr/>
        <w:t>（</w:t>
      </w:r>
      <w:r>
        <w:rPr>
          <w:rFonts w:ascii="宋体" w:hAnsi="宋体" w:cs="宋体" w:eastAsia="宋体" w:hint="default"/>
        </w:rPr>
        <w:t>2012</w:t>
      </w:r>
      <w:r>
        <w:rPr/>
        <w:t>）</w:t>
      </w:r>
      <w:r>
        <w:rPr>
          <w:spacing w:val="-2"/>
        </w:rPr>
        <w:t>锡</w:t>
      </w:r>
      <w:r>
        <w:rPr/>
        <w:t>商外初字第</w:t>
      </w:r>
      <w:r>
        <w:rPr>
          <w:spacing w:val="-53"/>
        </w:rPr>
        <w:t> </w:t>
      </w:r>
      <w:r>
        <w:rPr>
          <w:rFonts w:ascii="宋体" w:hAnsi="宋体" w:cs="宋体" w:eastAsia="宋体" w:hint="default"/>
          <w:spacing w:val="-1"/>
        </w:rPr>
        <w:t>3</w:t>
      </w:r>
      <w:r>
        <w:rPr>
          <w:rFonts w:ascii="宋体" w:hAnsi="宋体" w:cs="宋体" w:eastAsia="宋体" w:hint="default"/>
        </w:rPr>
        <w:t>2</w:t>
      </w:r>
      <w:r>
        <w:rPr>
          <w:rFonts w:ascii="宋体" w:hAnsi="宋体" w:cs="宋体" w:eastAsia="宋体" w:hint="default"/>
          <w:spacing w:val="-52"/>
        </w:rPr>
        <w:t> </w:t>
      </w:r>
      <w:r>
        <w:rPr/>
        <w:t>号</w:t>
      </w:r>
      <w:r>
        <w:rPr>
          <w:spacing w:val="-105"/>
        </w:rPr>
        <w:t>”</w:t>
      </w:r>
      <w:r>
        <w:rPr/>
        <w:t>《民</w:t>
      </w:r>
      <w:r>
        <w:rPr>
          <w:spacing w:val="-2"/>
        </w:rPr>
        <w:t>事</w:t>
      </w:r>
      <w:r>
        <w:rPr/>
        <w:t>裁定书》所作出的原裁定。</w:t>
      </w:r>
    </w:p>
    <w:p>
      <w:pPr>
        <w:pStyle w:val="BodyText"/>
        <w:spacing w:line="357" w:lineRule="auto" w:before="70"/>
        <w:ind w:right="1794" w:firstLine="420"/>
        <w:jc w:val="both"/>
      </w:pPr>
      <w:r>
        <w:rPr>
          <w:spacing w:val="-3"/>
        </w:rPr>
        <w:t>在法院的调解下，诉讼双方拟和解，无锡锡泵与日立泵的日方股东株式会社日立制作所</w:t>
      </w:r>
      <w:r>
        <w:rPr/>
        <w:t> 达成股权转让意向。无锡锡泵拟将持有的</w:t>
      </w:r>
      <w:r>
        <w:rPr>
          <w:spacing w:val="-65"/>
        </w:rPr>
        <w:t> </w:t>
      </w:r>
      <w:r>
        <w:rPr>
          <w:rFonts w:ascii="宋体" w:hAnsi="宋体" w:cs="宋体" w:eastAsia="宋体" w:hint="default"/>
        </w:rPr>
        <w:t>30%</w:t>
      </w:r>
      <w:r>
        <w:rPr/>
        <w:t>日立泵股权以人民币</w:t>
      </w:r>
      <w:r>
        <w:rPr>
          <w:spacing w:val="-66"/>
        </w:rPr>
        <w:t> </w:t>
      </w:r>
      <w:r>
        <w:rPr>
          <w:rFonts w:ascii="宋体" w:hAnsi="宋体" w:cs="宋体" w:eastAsia="宋体" w:hint="default"/>
        </w:rPr>
        <w:t>1.3</w:t>
      </w:r>
      <w:r>
        <w:rPr>
          <w:rFonts w:ascii="宋体" w:hAnsi="宋体" w:cs="宋体" w:eastAsia="宋体" w:hint="default"/>
          <w:spacing w:val="-65"/>
        </w:rPr>
        <w:t> </w:t>
      </w:r>
      <w:r>
        <w:rPr/>
        <w:t>亿元的价格转让给株 式会社日立制作所。</w:t>
      </w:r>
    </w:p>
    <w:p>
      <w:pPr>
        <w:pStyle w:val="BodyText"/>
        <w:spacing w:line="357" w:lineRule="auto" w:before="71"/>
        <w:ind w:left="138" w:right="1794" w:firstLine="420"/>
        <w:jc w:val="both"/>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2"/>
        </w:rPr>
        <w:t> </w:t>
      </w:r>
      <w:r>
        <w:rPr>
          <w:rFonts w:ascii="宋体" w:hAnsi="宋体" w:cs="宋体" w:eastAsia="宋体" w:hint="default"/>
        </w:rPr>
        <w:t>23</w:t>
      </w:r>
      <w:r>
        <w:rPr>
          <w:rFonts w:ascii="宋体" w:hAnsi="宋体" w:cs="宋体" w:eastAsia="宋体" w:hint="default"/>
          <w:spacing w:val="-61"/>
        </w:rPr>
        <w:t> </w:t>
      </w:r>
      <w:r>
        <w:rPr/>
        <w:t>日，无锡锡泵、株式会社日立制作所、日立（中国）有限公司和日立泵 </w:t>
      </w:r>
      <w:r>
        <w:rPr>
          <w:spacing w:val="-6"/>
        </w:rPr>
        <w:t>签署了《和解协议》。同日，无锡锡泵与株式会社日立制作所签署了《股权转让协议》。</w:t>
      </w:r>
    </w:p>
    <w:p>
      <w:pPr>
        <w:pStyle w:val="BodyText"/>
        <w:spacing w:line="240" w:lineRule="auto" w:before="70"/>
        <w:ind w:left="558" w:right="0"/>
        <w:jc w:val="left"/>
      </w:pPr>
      <w:r>
        <w:rPr/>
        <w:t>公司于</w:t>
      </w:r>
      <w:r>
        <w:rPr>
          <w:spacing w:val="-61"/>
        </w:rPr>
        <w:t> </w:t>
      </w:r>
      <w:r>
        <w:rPr>
          <w:rFonts w:ascii="宋体" w:hAnsi="宋体" w:cs="宋体" w:eastAsia="宋体" w:hint="default"/>
        </w:rPr>
        <w:t>2014</w:t>
      </w:r>
      <w:r>
        <w:rPr>
          <w:rFonts w:ascii="宋体" w:hAnsi="宋体" w:cs="宋体" w:eastAsia="宋体" w:hint="default"/>
          <w:spacing w:val="-62"/>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1"/>
        </w:rPr>
        <w:t> </w:t>
      </w:r>
      <w:r>
        <w:rPr>
          <w:rFonts w:ascii="宋体" w:hAnsi="宋体" w:cs="宋体" w:eastAsia="宋体" w:hint="default"/>
        </w:rPr>
        <w:t>24</w:t>
      </w:r>
      <w:r>
        <w:rPr>
          <w:rFonts w:ascii="宋体" w:hAnsi="宋体" w:cs="宋体" w:eastAsia="宋体" w:hint="default"/>
          <w:spacing w:val="-60"/>
        </w:rPr>
        <w:t> </w:t>
      </w:r>
      <w:r>
        <w:rPr/>
        <w:t>日召开的第三届董事会第二十九次会议和</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2"/>
        </w:rPr>
        <w:t> </w:t>
      </w:r>
      <w:r>
        <w:rPr>
          <w:rFonts w:ascii="宋体" w:hAnsi="宋体" w:cs="宋体" w:eastAsia="宋体" w:hint="default"/>
        </w:rPr>
        <w:t>3</w:t>
      </w:r>
      <w:r>
        <w:rPr>
          <w:rFonts w:ascii="宋体" w:hAnsi="宋体" w:cs="宋体" w:eastAsia="宋体" w:hint="default"/>
          <w:spacing w:val="-60"/>
        </w:rPr>
        <w:t> </w:t>
      </w:r>
      <w:r>
        <w:rPr/>
        <w:t>月</w:t>
      </w:r>
      <w:r>
        <w:rPr>
          <w:spacing w:val="-62"/>
        </w:rPr>
        <w:t> </w:t>
      </w:r>
      <w:r>
        <w:rPr>
          <w:rFonts w:ascii="宋体" w:hAnsi="宋体" w:cs="宋体" w:eastAsia="宋体" w:hint="default"/>
        </w:rPr>
        <w:t>16</w:t>
      </w:r>
      <w:r>
        <w:rPr>
          <w:rFonts w:ascii="宋体" w:hAnsi="宋体" w:cs="宋体" w:eastAsia="宋体" w:hint="default"/>
          <w:spacing w:val="-60"/>
        </w:rPr>
        <w:t> </w:t>
      </w:r>
      <w:r>
        <w:rPr/>
        <w:t>日召开</w:t>
      </w:r>
    </w:p>
    <w:p>
      <w:pPr>
        <w:pStyle w:val="BodyText"/>
        <w:spacing w:line="355" w:lineRule="auto" w:before="134"/>
        <w:ind w:left="138" w:right="1794"/>
        <w:jc w:val="both"/>
      </w:pPr>
      <w:r>
        <w:rPr/>
        <w:t>的</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2"/>
        </w:rPr>
        <w:t>第</w:t>
      </w:r>
      <w:r>
        <w:rPr/>
        <w:t>二次临时股东大会审议通过了《关于签署</w:t>
      </w:r>
      <w:r>
        <w:rPr>
          <w:rFonts w:ascii="宋体" w:hAnsi="宋体" w:cs="宋体" w:eastAsia="宋体" w:hint="default"/>
        </w:rPr>
        <w:t>&lt;</w:t>
      </w:r>
      <w:r>
        <w:rPr/>
        <w:t>和</w:t>
      </w:r>
      <w:r>
        <w:rPr>
          <w:spacing w:val="-2"/>
        </w:rPr>
        <w:t>解</w:t>
      </w:r>
      <w:r>
        <w:rPr/>
        <w:t>协议</w:t>
      </w:r>
      <w:r>
        <w:rPr>
          <w:rFonts w:ascii="宋体" w:hAnsi="宋体" w:cs="宋体" w:eastAsia="宋体" w:hint="default"/>
        </w:rPr>
        <w:t>&gt;</w:t>
      </w:r>
      <w:r>
        <w:rPr/>
        <w:t>的议</w:t>
      </w:r>
      <w:r>
        <w:rPr>
          <w:spacing w:val="-2"/>
        </w:rPr>
        <w:t>案</w:t>
      </w:r>
      <w:r>
        <w:rPr>
          <w:spacing w:val="-105"/>
        </w:rPr>
        <w:t>》、</w:t>
      </w:r>
      <w:r>
        <w:rPr/>
        <w:t>《关于</w:t>
      </w:r>
      <w:r>
        <w:rPr>
          <w:spacing w:val="-2"/>
        </w:rPr>
        <w:t>出</w:t>
      </w:r>
      <w:r>
        <w:rPr/>
        <w:t>售日立</w:t>
      </w:r>
      <w:r>
        <w:rPr/>
        <w:t> 泵制造（无锡）有限公司股权的议案</w:t>
      </w:r>
      <w:r>
        <w:rPr>
          <w:spacing w:val="-105"/>
        </w:rPr>
        <w:t>》</w:t>
      </w:r>
      <w:r>
        <w:rPr/>
        <w:t>。</w:t>
      </w:r>
    </w:p>
    <w:p>
      <w:pPr>
        <w:pStyle w:val="BodyText"/>
        <w:spacing w:line="355" w:lineRule="auto" w:before="73"/>
        <w:ind w:left="138" w:right="1795" w:firstLine="420"/>
        <w:jc w:val="both"/>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t>日</w:t>
      </w:r>
      <w:r>
        <w:rPr>
          <w:spacing w:val="-12"/>
        </w:rPr>
        <w:t>，</w:t>
      </w:r>
      <w:r>
        <w:rPr/>
        <w:t>江</w:t>
      </w:r>
      <w:r>
        <w:rPr>
          <w:spacing w:val="-2"/>
        </w:rPr>
        <w:t>苏</w:t>
      </w:r>
      <w:r>
        <w:rPr/>
        <w:t>省无锡市中级人民法院根据诉讼双方提供</w:t>
      </w:r>
      <w:r>
        <w:rPr>
          <w:spacing w:val="-12"/>
        </w:rPr>
        <w:t>的</w:t>
      </w:r>
      <w:r>
        <w:rPr/>
        <w:t>《和解协议</w:t>
      </w:r>
      <w:r>
        <w:rPr>
          <w:spacing w:val="-105"/>
        </w:rPr>
        <w:t>》</w:t>
      </w:r>
      <w:r>
        <w:rPr>
          <w:spacing w:val="-118"/>
        </w:rPr>
        <w:t>、</w:t>
      </w:r>
      <w:r>
        <w:rPr/>
        <w:t>《股</w:t>
      </w:r>
      <w:r>
        <w:rPr/>
        <w:t> 权转让协议</w:t>
      </w:r>
      <w:r>
        <w:rPr>
          <w:spacing w:val="-106"/>
        </w:rPr>
        <w:t>》</w:t>
      </w:r>
      <w:r>
        <w:rPr/>
        <w:t>，出具了《民事调解书</w:t>
      </w:r>
      <w:r>
        <w:rPr>
          <w:spacing w:val="-106"/>
        </w:rPr>
        <w:t>》</w:t>
      </w:r>
      <w:r>
        <w:rPr/>
        <w:t>，最终了结本案纠纷。</w:t>
      </w:r>
    </w:p>
    <w:p>
      <w:pPr>
        <w:pStyle w:val="BodyText"/>
        <w:spacing w:line="240" w:lineRule="auto" w:before="73"/>
        <w:ind w:left="558" w:right="0"/>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月，无锡锡泵收到株式会社日立制作所支付的股权转让款人民币</w:t>
      </w:r>
      <w:r>
        <w:rPr>
          <w:spacing w:val="-53"/>
        </w:rPr>
        <w:t> </w:t>
      </w:r>
      <w:r>
        <w:rPr>
          <w:rFonts w:ascii="宋体" w:hAnsi="宋体" w:cs="宋体" w:eastAsia="宋体" w:hint="default"/>
        </w:rPr>
        <w:t>1.3</w:t>
      </w:r>
      <w:r>
        <w:rPr>
          <w:rFonts w:ascii="宋体" w:hAnsi="宋体" w:cs="宋体" w:eastAsia="宋体" w:hint="default"/>
          <w:spacing w:val="-53"/>
        </w:rPr>
        <w:t> </w:t>
      </w:r>
      <w:r>
        <w:rPr/>
        <w:t>亿元。</w:t>
      </w:r>
    </w:p>
    <w:p>
      <w:pPr>
        <w:pStyle w:val="BodyText"/>
        <w:spacing w:line="355" w:lineRule="auto" w:before="174"/>
        <w:ind w:left="138" w:right="1795" w:firstLine="420"/>
        <w:jc w:val="both"/>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2"/>
        </w:rPr>
        <w:t> </w:t>
      </w:r>
      <w:r>
        <w:rPr>
          <w:rFonts w:ascii="宋体" w:hAnsi="宋体" w:cs="宋体" w:eastAsia="宋体" w:hint="default"/>
        </w:rPr>
        <w:t>24</w:t>
      </w:r>
      <w:r>
        <w:rPr>
          <w:rFonts w:ascii="宋体" w:hAnsi="宋体" w:cs="宋体" w:eastAsia="宋体" w:hint="default"/>
          <w:spacing w:val="-60"/>
        </w:rPr>
        <w:t> </w:t>
      </w:r>
      <w:r>
        <w:rPr/>
        <w:t>日，日立泵在无锡工商行政管理局新区分局完成了股权转让的工商变更 </w:t>
      </w:r>
      <w:r>
        <w:rPr>
          <w:spacing w:val="-5"/>
        </w:rPr>
        <w:t>登记手续，并取得了换发的《企业法人营业执照》。</w:t>
      </w:r>
    </w:p>
    <w:p>
      <w:pPr>
        <w:pStyle w:val="BodyText"/>
        <w:spacing w:line="391" w:lineRule="auto" w:before="73"/>
        <w:ind w:left="560" w:right="3369" w:hanging="3"/>
        <w:jc w:val="left"/>
        <w:rPr>
          <w:rFonts w:ascii="宋体" w:hAnsi="宋体" w:cs="宋体" w:eastAsia="宋体" w:hint="default"/>
        </w:rPr>
      </w:pPr>
      <w:r>
        <w:rPr/>
        <w:t>至此，日立泵诉讼事项正式了结。无锡锡泵不再持有日立泵的股权。 </w:t>
      </w:r>
      <w:r>
        <w:rPr>
          <w:rFonts w:ascii="宋体" w:hAnsi="宋体" w:cs="宋体" w:eastAsia="宋体" w:hint="default"/>
          <w:b/>
          <w:bCs/>
        </w:rPr>
        <w:t>诉讼事项二：</w:t>
      </w:r>
      <w:r>
        <w:rPr>
          <w:rFonts w:ascii="宋体" w:hAnsi="宋体" w:cs="宋体" w:eastAsia="宋体" w:hint="default"/>
        </w:rPr>
      </w:r>
    </w:p>
    <w:p>
      <w:pPr>
        <w:pStyle w:val="BodyText"/>
        <w:spacing w:line="240" w:lineRule="auto" w:before="41"/>
        <w:ind w:left="558" w:right="0"/>
        <w:jc w:val="left"/>
      </w:pPr>
      <w:r>
        <w:rPr/>
        <w:t>公司于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52"/>
        </w:rPr>
        <w:t> </w:t>
      </w:r>
      <w:r>
        <w:rPr>
          <w:spacing w:val="-2"/>
        </w:rPr>
        <w:t>日</w:t>
      </w:r>
      <w:r>
        <w:rPr/>
        <w:t>收到辽宁省大连市中级人民法院出具</w:t>
      </w:r>
      <w:r>
        <w:rPr>
          <w:spacing w:val="-100"/>
        </w:rPr>
        <w:t>的</w:t>
      </w:r>
      <w:r>
        <w:rPr/>
        <w:t>《应诉通知书</w:t>
      </w:r>
      <w:r>
        <w:rPr>
          <w:spacing w:val="-99"/>
        </w:rPr>
        <w:t>》</w:t>
      </w:r>
      <w:r>
        <w:rPr>
          <w:rFonts w:ascii="宋体" w:hAnsi="宋体" w:cs="宋体" w:eastAsia="宋体" w:hint="default"/>
          <w:spacing w:val="-99"/>
        </w:rPr>
        <w:t>[</w:t>
      </w:r>
      <w:r>
        <w:rPr/>
        <w:t>（</w:t>
      </w:r>
      <w:r>
        <w:rPr>
          <w:rFonts w:ascii="宋体" w:hAnsi="宋体" w:cs="宋体" w:eastAsia="宋体" w:hint="default"/>
        </w:rPr>
        <w:t>201</w:t>
      </w:r>
      <w:r>
        <w:rPr>
          <w:rFonts w:ascii="宋体" w:hAnsi="宋体" w:cs="宋体" w:eastAsia="宋体" w:hint="default"/>
          <w:spacing w:val="1"/>
        </w:rPr>
        <w:t>3</w:t>
      </w:r>
      <w:r>
        <w:rPr/>
        <w:t>）</w:t>
      </w:r>
    </w:p>
    <w:p>
      <w:pPr>
        <w:pStyle w:val="BodyText"/>
        <w:spacing w:line="391" w:lineRule="auto" w:before="133"/>
        <w:ind w:left="557" w:right="0" w:hanging="420"/>
        <w:jc w:val="left"/>
      </w:pPr>
      <w:r>
        <w:rPr/>
        <w:t>大民四初字第</w:t>
      </w:r>
      <w:r>
        <w:rPr>
          <w:spacing w:val="-54"/>
        </w:rPr>
        <w:t> </w:t>
      </w:r>
      <w:r>
        <w:rPr>
          <w:rFonts w:ascii="宋体" w:hAnsi="宋体" w:cs="宋体" w:eastAsia="宋体" w:hint="default"/>
        </w:rPr>
        <w:t>51</w:t>
      </w:r>
      <w:r>
        <w:rPr>
          <w:rFonts w:ascii="宋体" w:hAnsi="宋体" w:cs="宋体" w:eastAsia="宋体" w:hint="default"/>
          <w:spacing w:val="-53"/>
        </w:rPr>
        <w:t> </w:t>
      </w:r>
      <w:r>
        <w:rPr/>
        <w:t>号</w:t>
      </w:r>
      <w:r>
        <w:rPr>
          <w:rFonts w:ascii="宋体" w:hAnsi="宋体" w:cs="宋体" w:eastAsia="宋体" w:hint="default"/>
        </w:rPr>
        <w:t>]</w:t>
      </w:r>
      <w:r>
        <w:rPr/>
        <w:t>、大连深蓝泵业有限公司《起诉状》及相关诉讼材料。 </w:t>
      </w:r>
      <w:r>
        <w:rPr>
          <w:spacing w:val="-3"/>
        </w:rPr>
        <w:t>大连深蓝泵业有限公司向辽宁省大连市中级人民法院提起诉讼，认为利欧集团股份有限</w:t>
      </w:r>
    </w:p>
    <w:p>
      <w:pPr>
        <w:pStyle w:val="BodyText"/>
        <w:spacing w:line="357" w:lineRule="auto" w:before="1"/>
        <w:ind w:right="1793"/>
        <w:jc w:val="both"/>
      </w:pPr>
      <w:r>
        <w:rPr>
          <w:spacing w:val="-3"/>
        </w:rPr>
        <w:t>公司、利欧（大连）工业泵技术中心有限公司、大连华能耐酸泵厂有限责任公司（现已更名</w:t>
      </w:r>
      <w:r>
        <w:rPr>
          <w:spacing w:val="-79"/>
        </w:rPr>
        <w:t> </w:t>
      </w:r>
      <w:r>
        <w:rPr>
          <w:spacing w:val="-79"/>
        </w:rPr>
      </w:r>
      <w:r>
        <w:rPr>
          <w:spacing w:val="-8"/>
        </w:rPr>
        <w:t>为“大连利欧华能泵业有限公司”）（以上三方合称为“被告公司”）侵犯了大连深蓝泵业有</w:t>
      </w:r>
      <w:r>
        <w:rPr>
          <w:spacing w:val="-77"/>
        </w:rPr>
        <w:t> </w:t>
      </w:r>
      <w:r>
        <w:rPr>
          <w:spacing w:val="-77"/>
        </w:rPr>
      </w:r>
      <w:r>
        <w:rPr>
          <w:spacing w:val="2"/>
        </w:rPr>
        <w:t>限公司的商业秘密，请求判令被告公司停止侵权行为；判令被告公司连带支付损害赔偿款</w:t>
      </w:r>
    </w:p>
    <w:p>
      <w:pPr>
        <w:spacing w:after="0" w:line="357" w:lineRule="auto"/>
        <w:jc w:val="both"/>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91" w:lineRule="auto" w:before="35"/>
        <w:ind w:left="558" w:right="0" w:hanging="420"/>
        <w:jc w:val="left"/>
      </w:pPr>
      <w:r>
        <w:rPr>
          <w:rFonts w:ascii="宋体" w:hAnsi="宋体" w:cs="宋体" w:eastAsia="宋体" w:hint="default"/>
        </w:rPr>
        <w:t>2,000</w:t>
      </w:r>
      <w:r>
        <w:rPr>
          <w:rFonts w:ascii="宋体" w:hAnsi="宋体" w:cs="宋体" w:eastAsia="宋体" w:hint="default"/>
          <w:spacing w:val="-52"/>
        </w:rPr>
        <w:t> </w:t>
      </w:r>
      <w:r>
        <w:rPr/>
        <w:t>万元；诉讼费由被告公司承担。 </w:t>
      </w:r>
      <w:r>
        <w:rPr>
          <w:spacing w:val="-3"/>
        </w:rPr>
        <w:t>公司在提交答辩状期间对案件管辖权提出异议，请求将案件移送至浙江省台州市中级人</w:t>
      </w:r>
    </w:p>
    <w:p>
      <w:pPr>
        <w:pStyle w:val="BodyText"/>
        <w:spacing w:line="240" w:lineRule="auto" w:before="1"/>
        <w:ind w:left="138" w:right="0"/>
        <w:jc w:val="both"/>
      </w:pPr>
      <w:r>
        <w:rPr/>
        <w:t>民法院管辖。</w:t>
      </w:r>
    </w:p>
    <w:p>
      <w:pPr>
        <w:pStyle w:val="BodyText"/>
        <w:spacing w:line="240" w:lineRule="auto" w:before="174"/>
        <w:ind w:left="558" w:right="0"/>
        <w:jc w:val="left"/>
      </w:pPr>
      <w:r>
        <w:rPr/>
        <w:t>辽宁省大连市中级人民法院于</w:t>
      </w:r>
      <w:r>
        <w:rPr>
          <w:spacing w:val="-52"/>
        </w:rPr>
        <w:t> </w:t>
      </w:r>
      <w:r>
        <w:rPr>
          <w:rFonts w:ascii="宋体" w:hAnsi="宋体" w:cs="宋体" w:eastAsia="宋体" w:hint="default"/>
        </w:rPr>
        <w:t>2013</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2"/>
        </w:rPr>
        <w:t> </w:t>
      </w:r>
      <w:r>
        <w:rPr>
          <w:spacing w:val="-2"/>
        </w:rPr>
        <w:t>日</w:t>
      </w:r>
      <w:r>
        <w:rPr/>
        <w:t>出具了</w:t>
      </w:r>
      <w:r>
        <w:rPr>
          <w:spacing w:val="-96"/>
        </w:rPr>
        <w:t>“</w:t>
      </w:r>
      <w:r>
        <w:rPr/>
        <w:t>（</w:t>
      </w:r>
      <w:r>
        <w:rPr>
          <w:rFonts w:ascii="宋体" w:hAnsi="宋体" w:cs="宋体" w:eastAsia="宋体" w:hint="default"/>
        </w:rPr>
        <w:t>201</w:t>
      </w:r>
      <w:r>
        <w:rPr>
          <w:rFonts w:ascii="宋体" w:hAnsi="宋体" w:cs="宋体" w:eastAsia="宋体" w:hint="default"/>
          <w:spacing w:val="1"/>
        </w:rPr>
        <w:t>3</w:t>
      </w:r>
      <w:r>
        <w:rPr>
          <w:spacing w:val="-96"/>
        </w:rPr>
        <w:t>）</w:t>
      </w:r>
      <w:r>
        <w:rPr/>
        <w:t>大民四</w:t>
      </w:r>
      <w:r>
        <w:rPr>
          <w:spacing w:val="-2"/>
        </w:rPr>
        <w:t>初</w:t>
      </w:r>
      <w:r>
        <w:rPr/>
        <w:t>字第</w:t>
      </w:r>
      <w:r>
        <w:rPr>
          <w:spacing w:val="-52"/>
        </w:rPr>
        <w:t> </w:t>
      </w:r>
      <w:r>
        <w:rPr>
          <w:rFonts w:ascii="宋体" w:hAnsi="宋体" w:cs="宋体" w:eastAsia="宋体" w:hint="default"/>
          <w:spacing w:val="-1"/>
        </w:rPr>
        <w:t>5</w:t>
      </w:r>
      <w:r>
        <w:rPr>
          <w:rFonts w:ascii="宋体" w:hAnsi="宋体" w:cs="宋体" w:eastAsia="宋体" w:hint="default"/>
        </w:rPr>
        <w:t>1</w:t>
      </w:r>
      <w:r>
        <w:rPr>
          <w:rFonts w:ascii="宋体" w:hAnsi="宋体" w:cs="宋体" w:eastAsia="宋体" w:hint="default"/>
          <w:spacing w:val="-52"/>
        </w:rPr>
        <w:t> </w:t>
      </w:r>
      <w:r>
        <w:rPr/>
        <w:t>号”</w:t>
      </w:r>
    </w:p>
    <w:p>
      <w:pPr>
        <w:pStyle w:val="BodyText"/>
        <w:spacing w:line="391" w:lineRule="auto" w:before="133"/>
        <w:ind w:left="557" w:right="1783" w:hanging="420"/>
        <w:jc w:val="left"/>
      </w:pPr>
      <w:r>
        <w:rPr/>
        <w:t>《民事裁定书</w:t>
      </w:r>
      <w:r>
        <w:rPr>
          <w:spacing w:val="-105"/>
        </w:rPr>
        <w:t>》</w:t>
      </w:r>
      <w:r>
        <w:rPr/>
        <w:t>。辽宁</w:t>
      </w:r>
      <w:r>
        <w:rPr>
          <w:spacing w:val="-2"/>
        </w:rPr>
        <w:t>省</w:t>
      </w:r>
      <w:r>
        <w:rPr/>
        <w:t>大连市中级人民法院裁定：驳回公司对本案管辖权提出的异议。</w:t>
      </w:r>
      <w:r>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spacing w:val="-2"/>
        </w:rPr>
        <w:t>月</w:t>
      </w:r>
      <w:r>
        <w:rPr>
          <w:spacing w:val="-9"/>
        </w:rPr>
        <w:t>，</w:t>
      </w:r>
      <w:r>
        <w:rPr/>
        <w:t>公司收到辽宁省大连市中级人民法</w:t>
      </w:r>
      <w:r>
        <w:rPr>
          <w:spacing w:val="-9"/>
        </w:rPr>
        <w:t>院</w:t>
      </w:r>
      <w:r>
        <w:rPr/>
        <w:t>《民事判决书</w:t>
      </w:r>
      <w:r>
        <w:rPr>
          <w:spacing w:val="-113"/>
        </w:rPr>
        <w:t>》</w:t>
      </w:r>
      <w:r>
        <w:rPr>
          <w:spacing w:val="-105"/>
        </w:rPr>
        <w:t>“</w:t>
      </w:r>
      <w:r>
        <w:rPr>
          <w:spacing w:val="-1"/>
        </w:rPr>
        <w:t>（</w:t>
      </w:r>
      <w:r>
        <w:rPr>
          <w:rFonts w:ascii="宋体" w:hAnsi="宋体" w:cs="宋体" w:eastAsia="宋体" w:hint="default"/>
        </w:rPr>
        <w:t>2013</w:t>
      </w:r>
      <w:r>
        <w:rPr>
          <w:spacing w:val="-9"/>
        </w:rPr>
        <w:t>）</w:t>
      </w:r>
      <w:r>
        <w:rPr/>
        <w:t>大民</w:t>
      </w:r>
      <w:r>
        <w:rPr>
          <w:spacing w:val="-2"/>
        </w:rPr>
        <w:t>四</w:t>
      </w:r>
      <w:r>
        <w:rPr/>
        <w:t>初</w:t>
      </w:r>
    </w:p>
    <w:p>
      <w:pPr>
        <w:pStyle w:val="BodyText"/>
        <w:spacing w:line="391" w:lineRule="auto" w:before="2"/>
        <w:ind w:left="558" w:right="1793" w:hanging="420"/>
        <w:jc w:val="left"/>
      </w:pPr>
      <w:r>
        <w:rPr/>
        <w:t>字第</w:t>
      </w:r>
      <w:r>
        <w:rPr>
          <w:rFonts w:ascii="宋体" w:hAnsi="宋体" w:cs="宋体" w:eastAsia="宋体" w:hint="default"/>
          <w:spacing w:val="-1"/>
        </w:rPr>
        <w:t>51</w:t>
      </w:r>
      <w:r>
        <w:rPr>
          <w:rFonts w:ascii="宋体" w:hAnsi="宋体" w:cs="宋体" w:eastAsia="宋体" w:hint="default"/>
          <w:spacing w:val="-52"/>
        </w:rPr>
        <w:t> </w:t>
      </w:r>
      <w:r>
        <w:rPr>
          <w:spacing w:val="-14"/>
        </w:rPr>
        <w:t>号”。判决如下：</w:t>
      </w:r>
      <w:r>
        <w:rPr>
          <w:spacing w:val="-99"/>
        </w:rPr>
        <w:t> </w:t>
      </w:r>
      <w:r>
        <w:rPr>
          <w:spacing w:val="-99"/>
        </w:rPr>
      </w:r>
      <w:r>
        <w:rPr/>
        <w:t>“</w:t>
      </w:r>
      <w:r>
        <w:rPr>
          <w:rFonts w:ascii="宋体" w:hAnsi="宋体" w:cs="宋体" w:eastAsia="宋体" w:hint="default"/>
        </w:rPr>
        <w:t>1</w:t>
      </w:r>
      <w:r>
        <w:rPr/>
        <w:t>、被告利欧（大连）工业泵技术中心有限公司、被告大连利欧华能泵业有限公司于</w:t>
      </w:r>
    </w:p>
    <w:p>
      <w:pPr>
        <w:pStyle w:val="BodyText"/>
        <w:spacing w:line="357" w:lineRule="auto" w:before="2"/>
        <w:ind w:right="1793"/>
        <w:jc w:val="both"/>
      </w:pPr>
      <w:r>
        <w:rPr>
          <w:spacing w:val="2"/>
        </w:rPr>
        <w:t>本判决发生法律效力之日起立即停止使用原告大连深蓝泵业有限公司所拥有的</w:t>
      </w:r>
      <w:r>
        <w:rPr>
          <w:spacing w:val="27"/>
        </w:rPr>
        <w:t> </w:t>
      </w:r>
      <w:r>
        <w:rPr>
          <w:rFonts w:ascii="宋体" w:hAnsi="宋体" w:cs="宋体" w:eastAsia="宋体" w:hint="default"/>
        </w:rPr>
        <w:t>265HDD125</w:t>
      </w:r>
      <w:r>
        <w:rPr>
          <w:rFonts w:ascii="宋体" w:hAnsi="宋体" w:cs="宋体" w:eastAsia="宋体" w:hint="default"/>
          <w:spacing w:val="-99"/>
        </w:rPr>
        <w:t> </w:t>
      </w:r>
      <w:r>
        <w:rPr>
          <w:spacing w:val="-3"/>
        </w:rPr>
        <w:t>总装配图及附图、</w:t>
      </w:r>
      <w:r>
        <w:rPr>
          <w:rFonts w:ascii="宋体" w:hAnsi="宋体" w:cs="宋体" w:eastAsia="宋体" w:hint="default"/>
          <w:spacing w:val="-3"/>
        </w:rPr>
        <w:t>1800HDD45</w:t>
      </w:r>
      <w:r>
        <w:rPr>
          <w:rFonts w:ascii="宋体" w:hAnsi="宋体" w:cs="宋体" w:eastAsia="宋体" w:hint="default"/>
          <w:spacing w:val="-43"/>
        </w:rPr>
        <w:t> </w:t>
      </w:r>
      <w:r>
        <w:rPr/>
        <w:t>装配图纸及附图所承载的工业泵的全部尺寸与结构信息的商业</w:t>
      </w:r>
      <w:r>
        <w:rPr>
          <w:spacing w:val="-103"/>
        </w:rPr>
        <w:t> </w:t>
      </w:r>
      <w:r>
        <w:rPr>
          <w:spacing w:val="-103"/>
        </w:rPr>
      </w:r>
      <w:r>
        <w:rPr/>
        <w:t>秘密，停止使用的时间持续到前述商业秘密为公众知悉为止。</w:t>
      </w:r>
    </w:p>
    <w:p>
      <w:pPr>
        <w:pStyle w:val="BodyText"/>
        <w:spacing w:line="357" w:lineRule="auto" w:before="70"/>
        <w:ind w:right="1794" w:firstLine="420"/>
        <w:jc w:val="left"/>
      </w:pPr>
      <w:r>
        <w:rPr>
          <w:rFonts w:ascii="宋体" w:hAnsi="宋体" w:cs="宋体" w:eastAsia="宋体" w:hint="default"/>
        </w:rPr>
        <w:t>2</w:t>
      </w:r>
      <w:r>
        <w:rPr/>
        <w:t>、被告利欧（大连）工业泵技术中心有限公司、被告大连利欧华能泵业有限公司于本 判决发生法律效力之日三十日内连带赔偿原告大连深蓝泵业有限公司人民币</w:t>
      </w:r>
      <w:r>
        <w:rPr>
          <w:spacing w:val="-54"/>
        </w:rPr>
        <w:t> </w:t>
      </w:r>
      <w:r>
        <w:rPr>
          <w:rFonts w:ascii="宋体" w:hAnsi="宋体" w:cs="宋体" w:eastAsia="宋体" w:hint="default"/>
        </w:rPr>
        <w:t>30</w:t>
      </w:r>
      <w:r>
        <w:rPr>
          <w:rFonts w:ascii="宋体" w:hAnsi="宋体" w:cs="宋体" w:eastAsia="宋体" w:hint="default"/>
          <w:spacing w:val="-54"/>
        </w:rPr>
        <w:t> </w:t>
      </w:r>
      <w:r>
        <w:rPr/>
        <w:t>万元。</w:t>
      </w:r>
    </w:p>
    <w:p>
      <w:pPr>
        <w:pStyle w:val="BodyText"/>
        <w:spacing w:line="355" w:lineRule="auto" w:before="71"/>
        <w:ind w:right="1674" w:firstLine="420"/>
        <w:jc w:val="left"/>
      </w:pPr>
      <w:r>
        <w:rPr>
          <w:spacing w:val="-5"/>
        </w:rPr>
        <w:t>如果未按本判决指定的期间履行给付金钱义务，应当按照《中华人民共和国民事诉讼法》</w:t>
      </w:r>
      <w:r>
        <w:rPr/>
        <w:t> 第二百五十三条之规定，加倍支付延迟履行期间的债务利息。</w:t>
      </w:r>
    </w:p>
    <w:p>
      <w:pPr>
        <w:pStyle w:val="BodyText"/>
        <w:spacing w:line="240" w:lineRule="auto" w:before="73"/>
        <w:ind w:left="557" w:right="0"/>
        <w:jc w:val="left"/>
      </w:pPr>
      <w:r>
        <w:rPr>
          <w:rFonts w:ascii="宋体" w:hAnsi="宋体" w:cs="宋体" w:eastAsia="宋体" w:hint="default"/>
        </w:rPr>
        <w:t>3</w:t>
      </w:r>
      <w:r>
        <w:rPr/>
        <w:t>、驳回原告大连深蓝泵业有限公司对被告利欧集团股份有限公司的诉讼请求。</w:t>
      </w:r>
    </w:p>
    <w:p>
      <w:pPr>
        <w:pStyle w:val="BodyText"/>
        <w:spacing w:line="240" w:lineRule="auto" w:before="174"/>
        <w:ind w:left="557" w:right="0"/>
        <w:jc w:val="left"/>
      </w:pPr>
      <w:r>
        <w:rPr>
          <w:rFonts w:ascii="宋体" w:hAnsi="宋体" w:cs="宋体" w:eastAsia="宋体" w:hint="default"/>
        </w:rPr>
        <w:t>4</w:t>
      </w:r>
      <w:r>
        <w:rPr/>
        <w:t>、驳回原告大连深蓝泵业有限公司的其他诉讼请求。</w:t>
      </w:r>
    </w:p>
    <w:p>
      <w:pPr>
        <w:pStyle w:val="BodyText"/>
        <w:spacing w:line="240" w:lineRule="auto" w:before="172"/>
        <w:ind w:left="557" w:right="0"/>
        <w:jc w:val="left"/>
      </w:pPr>
      <w:r>
        <w:rPr/>
        <w:t>案件受理费</w:t>
      </w:r>
      <w:r>
        <w:rPr>
          <w:spacing w:val="-44"/>
        </w:rPr>
        <w:t> </w:t>
      </w:r>
      <w:r>
        <w:rPr>
          <w:rFonts w:ascii="宋体" w:hAnsi="宋体" w:cs="宋体" w:eastAsia="宋体" w:hint="default"/>
        </w:rPr>
        <w:t>14,1800</w:t>
      </w:r>
      <w:r>
        <w:rPr>
          <w:rFonts w:ascii="宋体" w:hAnsi="宋体" w:cs="宋体" w:eastAsia="宋体" w:hint="default"/>
          <w:spacing w:val="-44"/>
        </w:rPr>
        <w:t> </w:t>
      </w:r>
      <w:r>
        <w:rPr/>
        <w:t>元</w:t>
      </w:r>
      <w:r>
        <w:rPr>
          <w:spacing w:val="-2"/>
        </w:rPr>
        <w:t>（</w:t>
      </w:r>
      <w:r>
        <w:rPr/>
        <w:t>原告大连深蓝泵业有限公司已预交</w:t>
      </w:r>
      <w:r>
        <w:rPr>
          <w:spacing w:val="-106"/>
        </w:rPr>
        <w:t>）</w:t>
      </w:r>
      <w:r>
        <w:rPr/>
        <w:t>，因原告当庭变更诉请为</w:t>
      </w:r>
    </w:p>
    <w:p>
      <w:pPr>
        <w:pStyle w:val="BodyText"/>
        <w:spacing w:line="240" w:lineRule="auto" w:before="134"/>
        <w:ind w:right="0"/>
        <w:jc w:val="both"/>
      </w:pPr>
      <w:r>
        <w:rPr>
          <w:rFonts w:ascii="宋体" w:hAnsi="宋体" w:cs="宋体" w:eastAsia="宋体" w:hint="default"/>
        </w:rPr>
        <w:t>1,000</w:t>
      </w:r>
      <w:r>
        <w:rPr>
          <w:rFonts w:ascii="宋体" w:hAnsi="宋体" w:cs="宋体" w:eastAsia="宋体" w:hint="default"/>
          <w:spacing w:val="-58"/>
        </w:rPr>
        <w:t> </w:t>
      </w:r>
      <w:r>
        <w:rPr/>
        <w:t>万元，故诉讼费为</w:t>
      </w:r>
      <w:r>
        <w:rPr>
          <w:spacing w:val="-58"/>
        </w:rPr>
        <w:t> </w:t>
      </w:r>
      <w:r>
        <w:rPr>
          <w:rFonts w:ascii="宋体" w:hAnsi="宋体" w:cs="宋体" w:eastAsia="宋体" w:hint="default"/>
        </w:rPr>
        <w:t>81,800</w:t>
      </w:r>
      <w:r>
        <w:rPr>
          <w:rFonts w:ascii="宋体" w:hAnsi="宋体" w:cs="宋体" w:eastAsia="宋体" w:hint="default"/>
          <w:spacing w:val="-58"/>
        </w:rPr>
        <w:t> </w:t>
      </w:r>
      <w:r>
        <w:rPr/>
        <w:t>元，由原告大连深蓝泵业有限公司负担</w:t>
      </w:r>
      <w:r>
        <w:rPr>
          <w:spacing w:val="-58"/>
        </w:rPr>
        <w:t> </w:t>
      </w:r>
      <w:r>
        <w:rPr>
          <w:rFonts w:ascii="宋体" w:hAnsi="宋体" w:cs="宋体" w:eastAsia="宋体" w:hint="default"/>
        </w:rPr>
        <w:t>50,000</w:t>
      </w:r>
      <w:r>
        <w:rPr>
          <w:rFonts w:ascii="宋体" w:hAnsi="宋体" w:cs="宋体" w:eastAsia="宋体" w:hint="default"/>
          <w:spacing w:val="-58"/>
        </w:rPr>
        <w:t> </w:t>
      </w:r>
      <w:r>
        <w:rPr>
          <w:spacing w:val="-3"/>
        </w:rPr>
        <w:t>元，由被告</w:t>
      </w:r>
    </w:p>
    <w:p>
      <w:pPr>
        <w:pStyle w:val="BodyText"/>
        <w:spacing w:line="240" w:lineRule="auto" w:before="133"/>
        <w:ind w:left="138" w:right="0"/>
        <w:jc w:val="both"/>
      </w:pPr>
      <w:r>
        <w:rPr/>
        <w:t>利欧（大连）工业泵技术中心有限公司和大连利欧华能泵业有限公司负担</w:t>
      </w:r>
      <w:r>
        <w:rPr>
          <w:spacing w:val="-43"/>
        </w:rPr>
        <w:t> </w:t>
      </w:r>
      <w:r>
        <w:rPr>
          <w:rFonts w:ascii="宋体" w:hAnsi="宋体" w:cs="宋体" w:eastAsia="宋体" w:hint="default"/>
        </w:rPr>
        <w:t>31,800</w:t>
      </w:r>
      <w:r>
        <w:rPr>
          <w:rFonts w:ascii="宋体" w:hAnsi="宋体" w:cs="宋体" w:eastAsia="宋体" w:hint="default"/>
          <w:spacing w:val="-44"/>
        </w:rPr>
        <w:t> </w:t>
      </w:r>
      <w:r>
        <w:rPr/>
        <w:t>元。多缴</w:t>
      </w:r>
    </w:p>
    <w:p>
      <w:pPr>
        <w:pStyle w:val="BodyText"/>
        <w:spacing w:line="355" w:lineRule="auto" w:before="134"/>
        <w:ind w:left="138" w:right="1794"/>
        <w:jc w:val="both"/>
      </w:pPr>
      <w:r>
        <w:rPr/>
        <w:t>纳的</w:t>
      </w:r>
      <w:r>
        <w:rPr>
          <w:spacing w:val="-52"/>
        </w:rPr>
        <w:t> </w:t>
      </w:r>
      <w:r>
        <w:rPr>
          <w:rFonts w:ascii="宋体" w:hAnsi="宋体" w:cs="宋体" w:eastAsia="宋体" w:hint="default"/>
        </w:rPr>
        <w:t>60,000</w:t>
      </w:r>
      <w:r>
        <w:rPr>
          <w:rFonts w:ascii="宋体" w:hAnsi="宋体" w:cs="宋体" w:eastAsia="宋体" w:hint="default"/>
          <w:spacing w:val="-53"/>
        </w:rPr>
        <w:t> </w:t>
      </w:r>
      <w:r>
        <w:rPr>
          <w:spacing w:val="-3"/>
        </w:rPr>
        <w:t>元诉讼费退还原告大连深蓝泵业有限公司；鉴定费</w:t>
      </w:r>
      <w:r>
        <w:rPr>
          <w:spacing w:val="-51"/>
        </w:rPr>
        <w:t> </w:t>
      </w:r>
      <w:r>
        <w:rPr>
          <w:rFonts w:ascii="宋体" w:hAnsi="宋体" w:cs="宋体" w:eastAsia="宋体" w:hint="default"/>
        </w:rPr>
        <w:t>100,000</w:t>
      </w:r>
      <w:r>
        <w:rPr>
          <w:rFonts w:ascii="宋体" w:hAnsi="宋体" w:cs="宋体" w:eastAsia="宋体" w:hint="default"/>
          <w:spacing w:val="-52"/>
        </w:rPr>
        <w:t> </w:t>
      </w:r>
      <w:r>
        <w:rPr>
          <w:spacing w:val="-15"/>
        </w:rPr>
        <w:t>元，由被告利欧（大</w:t>
      </w:r>
      <w:r>
        <w:rPr/>
        <w:t> </w:t>
      </w:r>
      <w:r>
        <w:rPr>
          <w:spacing w:val="-3"/>
        </w:rPr>
        <w:t>连）工业泵技术中心有限公司和大连利欧华能泵业有限公司负担，由被告在给付原告上述款</w:t>
      </w:r>
      <w:r>
        <w:rPr>
          <w:spacing w:val="-75"/>
        </w:rPr>
        <w:t> </w:t>
      </w:r>
      <w:r>
        <w:rPr>
          <w:spacing w:val="-75"/>
        </w:rPr>
      </w:r>
      <w:r>
        <w:rPr/>
        <w:t>项时一并支付。</w:t>
      </w:r>
    </w:p>
    <w:p>
      <w:pPr>
        <w:pStyle w:val="BodyText"/>
        <w:spacing w:line="357" w:lineRule="auto" w:before="73"/>
        <w:ind w:left="138" w:right="0" w:firstLine="420"/>
        <w:jc w:val="left"/>
      </w:pPr>
      <w:r>
        <w:rPr>
          <w:spacing w:val="-3"/>
        </w:rPr>
        <w:t>如不服本判决，各方当事人可在判决书送达之日起十五日内向辽宁省大连市中级人民法</w:t>
      </w:r>
      <w:r>
        <w:rPr/>
        <w:t> 院递交上诉状，并按对方当事人的人数提出副本，上诉于辽宁省高级人民法院。”</w:t>
      </w:r>
    </w:p>
    <w:p>
      <w:pPr>
        <w:pStyle w:val="BodyText"/>
        <w:spacing w:line="391" w:lineRule="auto" w:before="70"/>
        <w:ind w:left="558" w:right="2948"/>
        <w:jc w:val="left"/>
      </w:pPr>
      <w:r>
        <w:rPr/>
        <w:t>公司对于一审判决不服，将向辽宁省高级人民法院提起上诉。 截止本报告披露日，该案件尚在向辽宁省高级人民法院提起上诉过程中。</w:t>
      </w:r>
    </w:p>
    <w:p>
      <w:pPr>
        <w:spacing w:line="240" w:lineRule="auto" w:before="9"/>
        <w:rPr>
          <w:rFonts w:ascii="宋体" w:hAnsi="宋体" w:cs="宋体" w:eastAsia="宋体" w:hint="default"/>
          <w:sz w:val="22"/>
          <w:szCs w:val="22"/>
        </w:rPr>
      </w:pPr>
    </w:p>
    <w:p>
      <w:pPr>
        <w:pStyle w:val="Heading2"/>
        <w:spacing w:line="240" w:lineRule="auto"/>
        <w:ind w:left="137" w:right="0"/>
        <w:jc w:val="both"/>
        <w:rPr>
          <w:b w:val="0"/>
          <w:bCs w:val="0"/>
        </w:rPr>
      </w:pPr>
      <w:bookmarkStart w:name="二、媒体质疑情况" w:id="52"/>
      <w:bookmarkEnd w:id="52"/>
      <w:r>
        <w:rPr>
          <w:b w:val="0"/>
          <w:bCs w:val="0"/>
        </w:rPr>
      </w:r>
      <w:r>
        <w:rPr/>
        <w:t>二、媒体质疑情况</w:t>
      </w:r>
      <w:r>
        <w:rPr>
          <w:b w:val="0"/>
          <w:bCs w:val="0"/>
        </w:rPr>
      </w:r>
    </w:p>
    <w:p>
      <w:pPr>
        <w:spacing w:line="240" w:lineRule="auto" w:before="7"/>
        <w:rPr>
          <w:rFonts w:ascii="宋体" w:hAnsi="宋体" w:cs="宋体" w:eastAsia="宋体" w:hint="default"/>
          <w:b/>
          <w:bCs/>
          <w:sz w:val="23"/>
          <w:szCs w:val="23"/>
        </w:rPr>
      </w:pPr>
    </w:p>
    <w:p>
      <w:pPr>
        <w:spacing w:before="0"/>
        <w:ind w:left="137"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149"/>
        <w:ind w:left="138" w:right="0"/>
        <w:jc w:val="both"/>
      </w:pPr>
      <w:r>
        <w:rPr/>
        <w:t>本报告期公司无媒体普遍质疑事项。</w:t>
      </w:r>
    </w:p>
    <w:p>
      <w:pPr>
        <w:pStyle w:val="Heading2"/>
        <w:spacing w:line="240" w:lineRule="auto" w:before="169"/>
        <w:ind w:left="138" w:right="0"/>
        <w:jc w:val="both"/>
        <w:rPr>
          <w:b w:val="0"/>
          <w:bCs w:val="0"/>
        </w:rPr>
      </w:pPr>
      <w:r>
        <w:rPr/>
        <w:t>三、控股股东及其关联方对上市公司的非经营性占用资金情况</w:t>
      </w:r>
      <w:r>
        <w:rPr>
          <w:b w:val="0"/>
          <w:bCs w:val="0"/>
        </w:rPr>
      </w:r>
    </w:p>
    <w:p>
      <w:pPr>
        <w:spacing w:after="0" w:line="240" w:lineRule="auto"/>
        <w:jc w:val="both"/>
        <w:sectPr>
          <w:pgSz w:w="11910" w:h="16840"/>
          <w:pgMar w:header="0" w:footer="938" w:top="1100" w:bottom="112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spacing w:before="44"/>
        <w:ind w:left="1318"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150"/>
        <w:ind w:left="1318" w:right="0"/>
        <w:jc w:val="left"/>
      </w:pPr>
      <w:r>
        <w:rPr/>
        <w:t>公司报告期不存在控股股东及其关联方对上市公司的非经营性占用资金。</w:t>
      </w:r>
    </w:p>
    <w:p>
      <w:pPr>
        <w:spacing w:line="240" w:lineRule="auto" w:before="0"/>
        <w:rPr>
          <w:rFonts w:ascii="宋体" w:hAnsi="宋体" w:cs="宋体" w:eastAsia="宋体" w:hint="default"/>
          <w:sz w:val="20"/>
          <w:szCs w:val="20"/>
        </w:rPr>
      </w:pPr>
    </w:p>
    <w:p>
      <w:pPr>
        <w:pStyle w:val="Heading2"/>
        <w:spacing w:line="240" w:lineRule="auto" w:before="167"/>
        <w:ind w:left="1318" w:right="0"/>
        <w:jc w:val="left"/>
        <w:rPr>
          <w:b w:val="0"/>
          <w:bCs w:val="0"/>
        </w:rPr>
      </w:pPr>
      <w:r>
        <w:rPr/>
        <w:t>四、破产重整相关事项</w:t>
      </w:r>
      <w:r>
        <w:rPr>
          <w:b w:val="0"/>
          <w:bCs w:val="0"/>
        </w:rPr>
      </w:r>
    </w:p>
    <w:p>
      <w:pPr>
        <w:spacing w:line="240" w:lineRule="auto" w:before="6"/>
        <w:rPr>
          <w:rFonts w:ascii="宋体" w:hAnsi="宋体" w:cs="宋体" w:eastAsia="宋体" w:hint="default"/>
          <w:b/>
          <w:bCs/>
          <w:sz w:val="23"/>
          <w:szCs w:val="23"/>
        </w:rPr>
      </w:pPr>
    </w:p>
    <w:p>
      <w:pPr>
        <w:spacing w:before="0"/>
        <w:ind w:left="1317"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149"/>
        <w:ind w:left="1318" w:right="0"/>
        <w:jc w:val="left"/>
      </w:pPr>
      <w:r>
        <w:rPr/>
        <w:t>公司报告期未发生破产重整相关事项。</w:t>
      </w:r>
    </w:p>
    <w:p>
      <w:pPr>
        <w:spacing w:line="240" w:lineRule="auto" w:before="0"/>
        <w:rPr>
          <w:rFonts w:ascii="宋体" w:hAnsi="宋体" w:cs="宋体" w:eastAsia="宋体" w:hint="default"/>
          <w:sz w:val="20"/>
          <w:szCs w:val="20"/>
        </w:rPr>
      </w:pPr>
    </w:p>
    <w:p>
      <w:pPr>
        <w:pStyle w:val="Heading2"/>
        <w:spacing w:line="240" w:lineRule="auto" w:before="167"/>
        <w:ind w:left="1318" w:right="0"/>
        <w:jc w:val="left"/>
        <w:rPr>
          <w:b w:val="0"/>
          <w:bCs w:val="0"/>
        </w:rPr>
      </w:pPr>
      <w:bookmarkStart w:name="五、资产交易事项" w:id="53"/>
      <w:bookmarkEnd w:id="53"/>
      <w:r>
        <w:rPr>
          <w:b w:val="0"/>
          <w:bCs w:val="0"/>
        </w:rPr>
      </w:r>
      <w:r>
        <w:rPr/>
        <w:t>五、资产交易事项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317" w:right="0"/>
        <w:jc w:val="left"/>
        <w:rPr>
          <w:b w:val="0"/>
          <w:bCs w:val="0"/>
        </w:rPr>
      </w:pPr>
      <w:bookmarkStart w:name="1、收购资产情况" w:id="54"/>
      <w:bookmarkEnd w:id="54"/>
      <w:r>
        <w:rPr>
          <w:b w:val="0"/>
          <w:bCs w:val="0"/>
        </w:rPr>
      </w:r>
      <w:r>
        <w:rPr>
          <w:rFonts w:ascii="宋体" w:hAnsi="宋体" w:cs="宋体" w:eastAsia="宋体"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0" w:right="904" w:firstLine="0"/>
        <w:jc w:val="right"/>
        <w:rPr>
          <w:rFonts w:ascii="宋体" w:hAnsi="宋体" w:cs="宋体" w:eastAsia="宋体" w:hint="default"/>
          <w:sz w:val="18"/>
          <w:szCs w:val="18"/>
        </w:rPr>
      </w:pPr>
      <w:r>
        <w:rPr/>
        <w:pict>
          <v:shape style="position:absolute;margin-left:48.18pt;margin-top:-110.538269pt;width:499.35pt;height:251.9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0"/>
                    <w:gridCol w:w="823"/>
                    <w:gridCol w:w="824"/>
                    <w:gridCol w:w="748"/>
                    <w:gridCol w:w="846"/>
                    <w:gridCol w:w="1206"/>
                    <w:gridCol w:w="1109"/>
                    <w:gridCol w:w="624"/>
                    <w:gridCol w:w="873"/>
                    <w:gridCol w:w="996"/>
                    <w:gridCol w:w="1073"/>
                  </w:tblGrid>
                  <w:tr>
                    <w:trPr>
                      <w:trHeight w:val="1257"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58" w:right="59"/>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6" w:right="44"/>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5" w:lineRule="exact" w:before="123"/>
                          <w:ind w:left="46"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5" w:lineRule="exact"/>
                          <w:ind w:left="4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78" w:right="97"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56" w:right="58"/>
                          <w:jc w:val="left"/>
                          <w:rPr>
                            <w:rFonts w:ascii="宋体" w:hAnsi="宋体" w:cs="宋体" w:eastAsia="宋体" w:hint="default"/>
                            <w:sz w:val="18"/>
                            <w:szCs w:val="18"/>
                          </w:rPr>
                        </w:pPr>
                        <w:r>
                          <w:rPr>
                            <w:rFonts w:ascii="宋体" w:hAnsi="宋体" w:cs="宋体" w:eastAsia="宋体" w:hint="default"/>
                            <w:sz w:val="18"/>
                            <w:szCs w:val="18"/>
                          </w:rPr>
                          <w:t>对公司经 营的影响</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16" w:right="59" w:hanging="360"/>
                          <w:jc w:val="left"/>
                          <w:rPr>
                            <w:rFonts w:ascii="宋体" w:hAnsi="宋体" w:cs="宋体" w:eastAsia="宋体" w:hint="default"/>
                            <w:sz w:val="18"/>
                            <w:szCs w:val="18"/>
                          </w:rPr>
                        </w:pPr>
                        <w:r>
                          <w:rPr>
                            <w:rFonts w:ascii="宋体" w:hAnsi="宋体" w:cs="宋体" w:eastAsia="宋体" w:hint="default"/>
                            <w:sz w:val="18"/>
                            <w:szCs w:val="18"/>
                          </w:rPr>
                          <w:t>对公司损益的 影响</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97"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该资产为上 市公司贡献 的净利润占 净利润总额 的比率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5" w:right="3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22" w:right="21"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7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 w:right="1"/>
                          <w:jc w:val="both"/>
                          <w:rPr>
                            <w:rFonts w:ascii="宋体" w:hAnsi="宋体" w:cs="宋体" w:eastAsia="宋体" w:hint="default"/>
                            <w:sz w:val="18"/>
                            <w:szCs w:val="18"/>
                          </w:rPr>
                        </w:pPr>
                        <w:r>
                          <w:rPr>
                            <w:rFonts w:ascii="宋体" w:hAnsi="宋体" w:cs="宋体" w:eastAsia="宋体" w:hint="default"/>
                            <w:spacing w:val="18"/>
                            <w:sz w:val="18"/>
                            <w:szCs w:val="18"/>
                          </w:rPr>
                          <w:t>郑晓东、</w:t>
                        </w:r>
                        <w:r>
                          <w:rPr>
                            <w:rFonts w:ascii="宋体" w:hAnsi="宋体" w:cs="宋体" w:eastAsia="宋体" w:hint="default"/>
                            <w:spacing w:val="-66"/>
                            <w:sz w:val="18"/>
                            <w:szCs w:val="18"/>
                          </w:rPr>
                          <w:t> </w:t>
                        </w:r>
                        <w:r>
                          <w:rPr>
                            <w:rFonts w:ascii="宋体" w:hAnsi="宋体" w:cs="宋体" w:eastAsia="宋体" w:hint="default"/>
                            <w:spacing w:val="18"/>
                            <w:sz w:val="18"/>
                            <w:szCs w:val="18"/>
                          </w:rPr>
                          <w:t>段永玲、</w:t>
                        </w:r>
                        <w:r>
                          <w:rPr>
                            <w:rFonts w:ascii="宋体" w:hAnsi="宋体" w:cs="宋体" w:eastAsia="宋体" w:hint="default"/>
                            <w:spacing w:val="-66"/>
                            <w:sz w:val="18"/>
                            <w:szCs w:val="18"/>
                          </w:rPr>
                          <w:t> </w:t>
                        </w:r>
                        <w:r>
                          <w:rPr>
                            <w:rFonts w:ascii="宋体" w:hAnsi="宋体" w:cs="宋体" w:eastAsia="宋体" w:hint="default"/>
                            <w:sz w:val="18"/>
                            <w:szCs w:val="18"/>
                          </w:rPr>
                          <w:t>郭海</w:t>
                        </w:r>
                      </w:p>
                    </w:tc>
                    <w:tc>
                      <w:tcPr>
                        <w:tcW w:w="82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34" w:lineRule="exact"/>
                          <w:ind w:left="22" w:right="-25"/>
                          <w:jc w:val="both"/>
                          <w:rPr>
                            <w:rFonts w:ascii="宋体" w:hAnsi="宋体" w:cs="宋体" w:eastAsia="宋体" w:hint="default"/>
                            <w:sz w:val="18"/>
                            <w:szCs w:val="18"/>
                          </w:rPr>
                        </w:pPr>
                        <w:r>
                          <w:rPr>
                            <w:rFonts w:ascii="宋体" w:hAnsi="宋体" w:cs="宋体" w:eastAsia="宋体" w:hint="default"/>
                            <w:spacing w:val="15"/>
                            <w:sz w:val="18"/>
                            <w:szCs w:val="18"/>
                          </w:rPr>
                          <w:t>上海漫酷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6"/>
                            <w:sz w:val="18"/>
                            <w:szCs w:val="18"/>
                          </w:rPr>
                          <w:t> </w:t>
                        </w:r>
                        <w:r>
                          <w:rPr>
                            <w:rFonts w:ascii="宋体" w:hAnsi="宋体" w:cs="宋体" w:eastAsia="宋体" w:hint="default"/>
                            <w:spacing w:val="19"/>
                            <w:sz w:val="18"/>
                            <w:szCs w:val="18"/>
                          </w:rPr>
                          <w:t>的股</w:t>
                        </w:r>
                        <w:r>
                          <w:rPr>
                            <w:rFonts w:ascii="宋体" w:hAnsi="宋体" w:cs="宋体" w:eastAsia="宋体" w:hint="default"/>
                            <w:spacing w:val="-51"/>
                            <w:sz w:val="18"/>
                            <w:szCs w:val="18"/>
                          </w:rPr>
                          <w:t> </w:t>
                        </w:r>
                        <w:r>
                          <w:rPr>
                            <w:rFonts w:ascii="宋体" w:hAnsi="宋体" w:cs="宋体" w:eastAsia="宋体" w:hint="default"/>
                            <w:sz w:val="18"/>
                            <w:szCs w:val="18"/>
                          </w:rPr>
                          <w:t>权</w:t>
                        </w:r>
                      </w:p>
                    </w:tc>
                    <w:tc>
                      <w:tcPr>
                        <w:tcW w:w="8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34,445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26"/>
                          <w:ind w:left="22" w:right="23"/>
                          <w:jc w:val="both"/>
                          <w:rPr>
                            <w:rFonts w:ascii="宋体" w:hAnsi="宋体" w:cs="宋体" w:eastAsia="宋体" w:hint="default"/>
                            <w:sz w:val="18"/>
                            <w:szCs w:val="18"/>
                          </w:rPr>
                        </w:pPr>
                        <w:r>
                          <w:rPr>
                            <w:rFonts w:ascii="宋体" w:hAnsi="宋体" w:cs="宋体" w:eastAsia="宋体" w:hint="default"/>
                            <w:spacing w:val="37"/>
                            <w:sz w:val="18"/>
                            <w:szCs w:val="18"/>
                          </w:rPr>
                          <w:t>所涉</w:t>
                        </w:r>
                        <w:r>
                          <w:rPr>
                            <w:rFonts w:ascii="宋体" w:hAnsi="宋体" w:cs="宋体" w:eastAsia="宋体" w:hint="default"/>
                            <w:spacing w:val="-15"/>
                            <w:sz w:val="18"/>
                            <w:szCs w:val="18"/>
                          </w:rPr>
                          <w:t> </w:t>
                        </w:r>
                        <w:r>
                          <w:rPr>
                            <w:rFonts w:ascii="宋体" w:hAnsi="宋体" w:cs="宋体" w:eastAsia="宋体" w:hint="default"/>
                            <w:sz w:val="18"/>
                            <w:szCs w:val="18"/>
                          </w:rPr>
                          <w:t>及</w:t>
                        </w:r>
                        <w:r>
                          <w:rPr>
                            <w:rFonts w:ascii="宋体" w:hAnsi="宋体" w:cs="宋体" w:eastAsia="宋体" w:hint="default"/>
                            <w:sz w:val="18"/>
                            <w:szCs w:val="18"/>
                          </w:rPr>
                          <w:t> </w:t>
                        </w:r>
                        <w:r>
                          <w:rPr>
                            <w:rFonts w:ascii="宋体" w:hAnsi="宋体" w:cs="宋体" w:eastAsia="宋体" w:hint="default"/>
                            <w:spacing w:val="37"/>
                            <w:sz w:val="18"/>
                            <w:szCs w:val="18"/>
                          </w:rPr>
                          <w:t>的资</w:t>
                        </w:r>
                        <w:r>
                          <w:rPr>
                            <w:rFonts w:ascii="宋体" w:hAnsi="宋体" w:cs="宋体" w:eastAsia="宋体" w:hint="default"/>
                            <w:spacing w:val="-15"/>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pacing w:val="37"/>
                            <w:sz w:val="18"/>
                            <w:szCs w:val="18"/>
                          </w:rPr>
                          <w:t>产权</w:t>
                        </w:r>
                        <w:r>
                          <w:rPr>
                            <w:rFonts w:ascii="宋体" w:hAnsi="宋体" w:cs="宋体" w:eastAsia="宋体" w:hint="default"/>
                            <w:spacing w:val="-15"/>
                            <w:sz w:val="18"/>
                            <w:szCs w:val="18"/>
                          </w:rPr>
                          <w:t> </w:t>
                        </w:r>
                        <w:r>
                          <w:rPr>
                            <w:rFonts w:ascii="宋体" w:hAnsi="宋体" w:cs="宋体" w:eastAsia="宋体" w:hint="default"/>
                            <w:sz w:val="18"/>
                            <w:szCs w:val="18"/>
                          </w:rPr>
                          <w:t>已</w:t>
                        </w:r>
                        <w:r>
                          <w:rPr>
                            <w:rFonts w:ascii="宋体" w:hAnsi="宋体" w:cs="宋体" w:eastAsia="宋体" w:hint="default"/>
                            <w:sz w:val="18"/>
                            <w:szCs w:val="18"/>
                          </w:rPr>
                          <w:t> 过户</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37" w:lineRule="auto"/>
                          <w:ind w:left="22" w:right="93"/>
                          <w:jc w:val="both"/>
                          <w:rPr>
                            <w:rFonts w:ascii="宋体" w:hAnsi="宋体" w:cs="宋体" w:eastAsia="宋体" w:hint="default"/>
                            <w:sz w:val="18"/>
                            <w:szCs w:val="18"/>
                          </w:rPr>
                        </w:pPr>
                        <w:r>
                          <w:rPr>
                            <w:rFonts w:ascii="宋体" w:hAnsi="宋体" w:cs="宋体" w:eastAsia="宋体" w:hint="default"/>
                            <w:sz w:val="18"/>
                            <w:szCs w:val="18"/>
                          </w:rPr>
                          <w:t>提升公司 的盈利能 力，增加 投资者回 报；</w:t>
                        </w:r>
                      </w:p>
                      <w:p>
                        <w:pPr>
                          <w:pStyle w:val="TableParagraph"/>
                          <w:spacing w:line="237" w:lineRule="auto" w:before="40"/>
                          <w:ind w:left="22" w:right="93"/>
                          <w:jc w:val="both"/>
                          <w:rPr>
                            <w:rFonts w:ascii="宋体" w:hAnsi="宋体" w:cs="宋体" w:eastAsia="宋体" w:hint="default"/>
                            <w:sz w:val="18"/>
                            <w:szCs w:val="18"/>
                          </w:rPr>
                        </w:pPr>
                        <w:r>
                          <w:rPr>
                            <w:rFonts w:ascii="宋体" w:hAnsi="宋体" w:cs="宋体" w:eastAsia="宋体" w:hint="default"/>
                            <w:sz w:val="18"/>
                            <w:szCs w:val="18"/>
                          </w:rPr>
                          <w:t>有利于公 司打造新 的业务板 块，提升 公司的可 持续发展 能力。</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3,658.21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20.33%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1" w:lineRule="exact" w:before="1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3"/>
                          <w:ind w:left="22" w:right="-27"/>
                          <w:jc w:val="both"/>
                          <w:rPr>
                            <w:rFonts w:ascii="宋体" w:hAnsi="宋体" w:cs="宋体" w:eastAsia="宋体" w:hint="default"/>
                            <w:sz w:val="18"/>
                            <w:szCs w:val="18"/>
                          </w:rPr>
                        </w:pPr>
                        <w:r>
                          <w:rPr>
                            <w:rFonts w:ascii="宋体" w:hAnsi="宋体" w:cs="宋体" w:eastAsia="宋体" w:hint="default"/>
                            <w:spacing w:val="22"/>
                            <w:sz w:val="18"/>
                            <w:szCs w:val="18"/>
                          </w:rPr>
                          <w:t>《关于收购</w:t>
                        </w:r>
                        <w:r>
                          <w:rPr>
                            <w:rFonts w:ascii="宋体" w:hAnsi="宋体" w:cs="宋体" w:eastAsia="宋体" w:hint="default"/>
                            <w:spacing w:val="-62"/>
                            <w:sz w:val="18"/>
                            <w:szCs w:val="18"/>
                          </w:rPr>
                          <w:t> </w:t>
                        </w:r>
                        <w:r>
                          <w:rPr>
                            <w:rFonts w:ascii="宋体" w:hAnsi="宋体" w:cs="宋体" w:eastAsia="宋体" w:hint="default"/>
                            <w:spacing w:val="22"/>
                            <w:sz w:val="18"/>
                            <w:szCs w:val="18"/>
                          </w:rPr>
                          <w:t>上海漫酷广</w:t>
                        </w:r>
                        <w:r>
                          <w:rPr>
                            <w:rFonts w:ascii="宋体" w:hAnsi="宋体" w:cs="宋体" w:eastAsia="宋体" w:hint="default"/>
                            <w:spacing w:val="-62"/>
                            <w:sz w:val="18"/>
                            <w:szCs w:val="18"/>
                          </w:rPr>
                          <w:t> </w:t>
                        </w:r>
                        <w:r>
                          <w:rPr>
                            <w:rFonts w:ascii="宋体" w:hAnsi="宋体" w:cs="宋体" w:eastAsia="宋体" w:hint="default"/>
                            <w:spacing w:val="22"/>
                            <w:sz w:val="18"/>
                            <w:szCs w:val="18"/>
                          </w:rPr>
                          <w:t>告有限公司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4"/>
                            <w:sz w:val="18"/>
                            <w:szCs w:val="18"/>
                          </w:rPr>
                          <w:t> </w:t>
                        </w:r>
                        <w:r>
                          <w:rPr>
                            <w:rFonts w:ascii="宋体" w:hAnsi="宋体" w:cs="宋体" w:eastAsia="宋体" w:hint="default"/>
                            <w:spacing w:val="32"/>
                            <w:sz w:val="18"/>
                            <w:szCs w:val="18"/>
                          </w:rPr>
                          <w:t>股权暨</w:t>
                        </w:r>
                        <w:r>
                          <w:rPr>
                            <w:rFonts w:ascii="宋体" w:hAnsi="宋体" w:cs="宋体" w:eastAsia="宋体" w:hint="default"/>
                            <w:spacing w:val="-41"/>
                            <w:sz w:val="18"/>
                            <w:szCs w:val="18"/>
                          </w:rPr>
                          <w:t> </w:t>
                        </w:r>
                        <w:r>
                          <w:rPr>
                            <w:rFonts w:ascii="宋体" w:hAnsi="宋体" w:cs="宋体" w:eastAsia="宋体" w:hint="default"/>
                            <w:spacing w:val="3"/>
                            <w:sz w:val="18"/>
                            <w:szCs w:val="18"/>
                          </w:rPr>
                          <w:t>复牌的公告</w:t>
                        </w:r>
                      </w:p>
                      <w:p>
                        <w:pPr>
                          <w:pStyle w:val="TableParagraph"/>
                          <w:spacing w:line="233"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8"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2014-033</w:t>
                        </w:r>
                        <w:r>
                          <w:rPr>
                            <w:rFonts w:ascii="宋体" w:hAnsi="宋体" w:cs="宋体" w:eastAsia="宋体" w:hint="default"/>
                            <w:sz w:val="18"/>
                            <w:szCs w:val="18"/>
                          </w:rPr>
                          <w:t>）</w:t>
                        </w:r>
                      </w:p>
                    </w:tc>
                  </w:tr>
                  <w:tr>
                    <w:trPr>
                      <w:trHeight w:val="1024" w:hRule="exact"/>
                    </w:trPr>
                    <w:tc>
                      <w:tcPr>
                        <w:tcW w:w="850"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25"/>
                          <w:ind w:left="22" w:right="-40"/>
                          <w:jc w:val="both"/>
                          <w:rPr>
                            <w:rFonts w:ascii="宋体" w:hAnsi="宋体" w:cs="宋体" w:eastAsia="宋体" w:hint="default"/>
                            <w:sz w:val="18"/>
                            <w:szCs w:val="18"/>
                          </w:rPr>
                        </w:pPr>
                        <w:r>
                          <w:rPr>
                            <w:rFonts w:ascii="宋体" w:hAnsi="宋体" w:cs="宋体" w:eastAsia="宋体" w:hint="default"/>
                            <w:spacing w:val="18"/>
                            <w:sz w:val="18"/>
                            <w:szCs w:val="18"/>
                          </w:rPr>
                          <w:t>詹嘉、李</w:t>
                        </w:r>
                        <w:r>
                          <w:rPr>
                            <w:rFonts w:ascii="宋体" w:hAnsi="宋体" w:cs="宋体" w:eastAsia="宋体" w:hint="default"/>
                            <w:spacing w:val="-66"/>
                            <w:sz w:val="18"/>
                            <w:szCs w:val="18"/>
                          </w:rPr>
                          <w:t> </w:t>
                        </w:r>
                        <w:r>
                          <w:rPr>
                            <w:rFonts w:ascii="宋体" w:hAnsi="宋体" w:cs="宋体" w:eastAsia="宋体" w:hint="default"/>
                            <w:spacing w:val="-11"/>
                            <w:sz w:val="18"/>
                            <w:szCs w:val="18"/>
                          </w:rPr>
                          <w:t>翔、张璐、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李劼</w:t>
                        </w:r>
                      </w:p>
                    </w:tc>
                    <w:tc>
                      <w:tcPr>
                        <w:tcW w:w="823" w:type="dxa"/>
                        <w:tcBorders>
                          <w:top w:val="single" w:sz="4" w:space="0" w:color="000000"/>
                          <w:left w:val="single" w:sz="10" w:space="0" w:color="FFFFFF"/>
                          <w:bottom w:val="single" w:sz="4" w:space="0" w:color="000000"/>
                          <w:right w:val="single" w:sz="4" w:space="0" w:color="000000"/>
                        </w:tcBorders>
                      </w:tcPr>
                      <w:p>
                        <w:pPr>
                          <w:pStyle w:val="TableParagraph"/>
                          <w:spacing w:line="235" w:lineRule="exact" w:before="125"/>
                          <w:ind w:left="15" w:right="0"/>
                          <w:jc w:val="left"/>
                          <w:rPr>
                            <w:rFonts w:ascii="宋体" w:hAnsi="宋体" w:cs="宋体" w:eastAsia="宋体" w:hint="default"/>
                            <w:sz w:val="18"/>
                            <w:szCs w:val="18"/>
                          </w:rPr>
                        </w:pPr>
                        <w:r>
                          <w:rPr>
                            <w:rFonts w:ascii="宋体" w:hAnsi="宋体" w:cs="宋体" w:eastAsia="宋体" w:hint="default"/>
                            <w:spacing w:val="15"/>
                            <w:sz w:val="18"/>
                            <w:szCs w:val="18"/>
                          </w:rPr>
                          <w:t>上海氩氪</w:t>
                        </w:r>
                        <w:r>
                          <w:rPr>
                            <w:rFonts w:ascii="宋体" w:hAnsi="宋体" w:cs="宋体" w:eastAsia="宋体" w:hint="default"/>
                            <w:sz w:val="18"/>
                            <w:szCs w:val="18"/>
                          </w:rPr>
                        </w:r>
                      </w:p>
                      <w:p>
                        <w:pPr>
                          <w:pStyle w:val="TableParagraph"/>
                          <w:spacing w:line="241" w:lineRule="exact"/>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的</w:t>
                        </w:r>
                      </w:p>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22,593.90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3"/>
                          <w:jc w:val="both"/>
                          <w:rPr>
                            <w:rFonts w:ascii="宋体" w:hAnsi="宋体" w:cs="宋体" w:eastAsia="宋体" w:hint="default"/>
                            <w:sz w:val="18"/>
                            <w:szCs w:val="18"/>
                          </w:rPr>
                        </w:pPr>
                        <w:r>
                          <w:rPr>
                            <w:rFonts w:ascii="宋体" w:hAnsi="宋体" w:cs="宋体" w:eastAsia="宋体" w:hint="default"/>
                            <w:spacing w:val="37"/>
                            <w:sz w:val="18"/>
                            <w:szCs w:val="18"/>
                          </w:rPr>
                          <w:t>所涉</w:t>
                        </w:r>
                        <w:r>
                          <w:rPr>
                            <w:rFonts w:ascii="宋体" w:hAnsi="宋体" w:cs="宋体" w:eastAsia="宋体" w:hint="default"/>
                            <w:spacing w:val="-15"/>
                            <w:sz w:val="18"/>
                            <w:szCs w:val="18"/>
                          </w:rPr>
                          <w:t> </w:t>
                        </w:r>
                        <w:r>
                          <w:rPr>
                            <w:rFonts w:ascii="宋体" w:hAnsi="宋体" w:cs="宋体" w:eastAsia="宋体" w:hint="default"/>
                            <w:sz w:val="18"/>
                            <w:szCs w:val="18"/>
                          </w:rPr>
                          <w:t>及</w:t>
                        </w:r>
                        <w:r>
                          <w:rPr>
                            <w:rFonts w:ascii="宋体" w:hAnsi="宋体" w:cs="宋体" w:eastAsia="宋体" w:hint="default"/>
                            <w:sz w:val="18"/>
                            <w:szCs w:val="18"/>
                          </w:rPr>
                          <w:t> </w:t>
                        </w:r>
                        <w:r>
                          <w:rPr>
                            <w:rFonts w:ascii="宋体" w:hAnsi="宋体" w:cs="宋体" w:eastAsia="宋体" w:hint="default"/>
                            <w:spacing w:val="37"/>
                            <w:sz w:val="18"/>
                            <w:szCs w:val="18"/>
                          </w:rPr>
                          <w:t>的资</w:t>
                        </w:r>
                        <w:r>
                          <w:rPr>
                            <w:rFonts w:ascii="宋体" w:hAnsi="宋体" w:cs="宋体" w:eastAsia="宋体" w:hint="default"/>
                            <w:spacing w:val="-15"/>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pacing w:val="37"/>
                            <w:sz w:val="18"/>
                            <w:szCs w:val="18"/>
                          </w:rPr>
                          <w:t>产权</w:t>
                        </w:r>
                        <w:r>
                          <w:rPr>
                            <w:rFonts w:ascii="宋体" w:hAnsi="宋体" w:cs="宋体" w:eastAsia="宋体" w:hint="default"/>
                            <w:spacing w:val="-15"/>
                            <w:sz w:val="18"/>
                            <w:szCs w:val="18"/>
                          </w:rPr>
                          <w:t> </w:t>
                        </w:r>
                        <w:r>
                          <w:rPr>
                            <w:rFonts w:ascii="宋体" w:hAnsi="宋体" w:cs="宋体" w:eastAsia="宋体" w:hint="default"/>
                            <w:sz w:val="18"/>
                            <w:szCs w:val="18"/>
                          </w:rPr>
                          <w:t>已</w:t>
                        </w:r>
                        <w:r>
                          <w:rPr>
                            <w:rFonts w:ascii="宋体" w:hAnsi="宋体" w:cs="宋体" w:eastAsia="宋体" w:hint="default"/>
                            <w:sz w:val="18"/>
                            <w:szCs w:val="18"/>
                          </w:rPr>
                          <w:t> 过户</w:t>
                        </w:r>
                      </w:p>
                    </w:tc>
                    <w:tc>
                      <w:tcPr>
                        <w:tcW w:w="846" w:type="dxa"/>
                        <w:vMerge/>
                        <w:tcBorders>
                          <w:left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37" w:lineRule="auto"/>
                          <w:ind w:left="22" w:right="-4"/>
                          <w:jc w:val="both"/>
                          <w:rPr>
                            <w:rFonts w:ascii="宋体" w:hAnsi="宋体" w:cs="宋体" w:eastAsia="宋体" w:hint="default"/>
                            <w:sz w:val="18"/>
                            <w:szCs w:val="18"/>
                          </w:rPr>
                        </w:pPr>
                        <w:r>
                          <w:rPr>
                            <w:rFonts w:ascii="宋体" w:hAnsi="宋体" w:cs="宋体" w:eastAsia="宋体" w:hint="default"/>
                            <w:spacing w:val="22"/>
                            <w:sz w:val="18"/>
                            <w:szCs w:val="18"/>
                          </w:rPr>
                          <w:t>《发行股份</w:t>
                        </w:r>
                        <w:r>
                          <w:rPr>
                            <w:rFonts w:ascii="宋体" w:hAnsi="宋体" w:cs="宋体" w:eastAsia="宋体" w:hint="default"/>
                            <w:spacing w:val="-62"/>
                            <w:sz w:val="18"/>
                            <w:szCs w:val="18"/>
                          </w:rPr>
                          <w:t> </w:t>
                        </w:r>
                        <w:r>
                          <w:rPr>
                            <w:rFonts w:ascii="宋体" w:hAnsi="宋体" w:cs="宋体" w:eastAsia="宋体" w:hint="default"/>
                            <w:spacing w:val="22"/>
                            <w:sz w:val="18"/>
                            <w:szCs w:val="18"/>
                          </w:rPr>
                          <w:t>及支付现金</w:t>
                        </w:r>
                        <w:r>
                          <w:rPr>
                            <w:rFonts w:ascii="宋体" w:hAnsi="宋体" w:cs="宋体" w:eastAsia="宋体" w:hint="default"/>
                            <w:spacing w:val="-62"/>
                            <w:sz w:val="18"/>
                            <w:szCs w:val="18"/>
                          </w:rPr>
                          <w:t> </w:t>
                        </w:r>
                        <w:r>
                          <w:rPr>
                            <w:rFonts w:ascii="宋体" w:hAnsi="宋体" w:cs="宋体" w:eastAsia="宋体" w:hint="default"/>
                            <w:spacing w:val="22"/>
                            <w:sz w:val="18"/>
                            <w:szCs w:val="18"/>
                          </w:rPr>
                          <w:t>购买资产并</w:t>
                        </w:r>
                        <w:r>
                          <w:rPr>
                            <w:rFonts w:ascii="宋体" w:hAnsi="宋体" w:cs="宋体" w:eastAsia="宋体" w:hint="default"/>
                            <w:spacing w:val="-62"/>
                            <w:sz w:val="18"/>
                            <w:szCs w:val="18"/>
                          </w:rPr>
                          <w:t> </w:t>
                        </w:r>
                        <w:r>
                          <w:rPr>
                            <w:rFonts w:ascii="宋体" w:hAnsi="宋体" w:cs="宋体" w:eastAsia="宋体" w:hint="default"/>
                            <w:spacing w:val="22"/>
                            <w:sz w:val="18"/>
                            <w:szCs w:val="18"/>
                          </w:rPr>
                          <w:t>募集配套资</w:t>
                        </w:r>
                        <w:r>
                          <w:rPr>
                            <w:rFonts w:ascii="宋体" w:hAnsi="宋体" w:cs="宋体" w:eastAsia="宋体" w:hint="default"/>
                            <w:spacing w:val="-62"/>
                            <w:sz w:val="18"/>
                            <w:szCs w:val="18"/>
                          </w:rPr>
                          <w:t> </w:t>
                        </w:r>
                        <w:r>
                          <w:rPr>
                            <w:rFonts w:ascii="宋体" w:hAnsi="宋体" w:cs="宋体" w:eastAsia="宋体" w:hint="default"/>
                            <w:spacing w:val="22"/>
                            <w:sz w:val="18"/>
                            <w:szCs w:val="18"/>
                          </w:rPr>
                          <w:t>金暨关联交</w:t>
                        </w:r>
                        <w:r>
                          <w:rPr>
                            <w:rFonts w:ascii="宋体" w:hAnsi="宋体" w:cs="宋体" w:eastAsia="宋体" w:hint="default"/>
                            <w:spacing w:val="-62"/>
                            <w:sz w:val="18"/>
                            <w:szCs w:val="18"/>
                          </w:rPr>
                          <w:t> </w:t>
                        </w:r>
                        <w:r>
                          <w:rPr>
                            <w:rFonts w:ascii="宋体" w:hAnsi="宋体" w:cs="宋体" w:eastAsia="宋体" w:hint="default"/>
                            <w:spacing w:val="-11"/>
                            <w:sz w:val="18"/>
                            <w:szCs w:val="18"/>
                          </w:rPr>
                          <w:t>易报告书（草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0"/>
                            <w:sz w:val="18"/>
                            <w:szCs w:val="18"/>
                          </w:rPr>
                          <w:t>案）》</w:t>
                        </w:r>
                      </w:p>
                    </w:tc>
                  </w:tr>
                  <w:tr>
                    <w:trPr>
                      <w:trHeight w:val="102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
                          <w:jc w:val="both"/>
                          <w:rPr>
                            <w:rFonts w:ascii="宋体" w:hAnsi="宋体" w:cs="宋体" w:eastAsia="宋体" w:hint="default"/>
                            <w:sz w:val="18"/>
                            <w:szCs w:val="18"/>
                          </w:rPr>
                        </w:pPr>
                        <w:r>
                          <w:rPr>
                            <w:rFonts w:ascii="宋体" w:hAnsi="宋体" w:cs="宋体" w:eastAsia="宋体" w:hint="default"/>
                            <w:spacing w:val="18"/>
                            <w:sz w:val="18"/>
                            <w:szCs w:val="18"/>
                          </w:rPr>
                          <w:t>刘阳、王</w:t>
                        </w:r>
                        <w:r>
                          <w:rPr>
                            <w:rFonts w:ascii="宋体" w:hAnsi="宋体" w:cs="宋体" w:eastAsia="宋体" w:hint="default"/>
                            <w:spacing w:val="-66"/>
                            <w:sz w:val="18"/>
                            <w:szCs w:val="18"/>
                          </w:rPr>
                          <w:t> </w:t>
                        </w:r>
                        <w:r>
                          <w:rPr>
                            <w:rFonts w:ascii="宋体" w:hAnsi="宋体" w:cs="宋体" w:eastAsia="宋体" w:hint="default"/>
                            <w:spacing w:val="18"/>
                            <w:sz w:val="18"/>
                            <w:szCs w:val="18"/>
                          </w:rPr>
                          <w:t>英杰、孙</w:t>
                        </w:r>
                        <w:r>
                          <w:rPr>
                            <w:rFonts w:ascii="宋体" w:hAnsi="宋体" w:cs="宋体" w:eastAsia="宋体" w:hint="default"/>
                            <w:spacing w:val="-66"/>
                            <w:sz w:val="18"/>
                            <w:szCs w:val="18"/>
                          </w:rPr>
                          <w:t> </w:t>
                        </w:r>
                        <w:r>
                          <w:rPr>
                            <w:rFonts w:ascii="宋体" w:hAnsi="宋体" w:cs="宋体" w:eastAsia="宋体" w:hint="default"/>
                            <w:spacing w:val="18"/>
                            <w:sz w:val="18"/>
                            <w:szCs w:val="18"/>
                          </w:rPr>
                          <w:t>唯一、田</w:t>
                        </w:r>
                        <w:r>
                          <w:rPr>
                            <w:rFonts w:ascii="宋体" w:hAnsi="宋体" w:cs="宋体" w:eastAsia="宋体" w:hint="default"/>
                            <w:spacing w:val="-66"/>
                            <w:sz w:val="18"/>
                            <w:szCs w:val="18"/>
                          </w:rPr>
                          <w:t> </w:t>
                        </w:r>
                        <w:r>
                          <w:rPr>
                            <w:rFonts w:ascii="宋体" w:hAnsi="宋体" w:cs="宋体" w:eastAsia="宋体" w:hint="default"/>
                            <w:sz w:val="18"/>
                            <w:szCs w:val="18"/>
                          </w:rPr>
                          <w:t>斌</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25"/>
                          <w:ind w:left="22" w:right="0"/>
                          <w:jc w:val="left"/>
                          <w:rPr>
                            <w:rFonts w:ascii="宋体" w:hAnsi="宋体" w:cs="宋体" w:eastAsia="宋体" w:hint="default"/>
                            <w:sz w:val="18"/>
                            <w:szCs w:val="18"/>
                          </w:rPr>
                        </w:pPr>
                        <w:r>
                          <w:rPr>
                            <w:rFonts w:ascii="宋体" w:hAnsi="宋体" w:cs="宋体" w:eastAsia="宋体" w:hint="default"/>
                            <w:spacing w:val="15"/>
                            <w:sz w:val="18"/>
                            <w:szCs w:val="18"/>
                          </w:rPr>
                          <w:t>琥珀传播</w:t>
                        </w:r>
                        <w:r>
                          <w:rPr>
                            <w:rFonts w:ascii="宋体" w:hAnsi="宋体" w:cs="宋体" w:eastAsia="宋体" w:hint="default"/>
                            <w:sz w:val="18"/>
                            <w:szCs w:val="18"/>
                          </w:rPr>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的</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19,500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3"/>
                          <w:jc w:val="both"/>
                          <w:rPr>
                            <w:rFonts w:ascii="宋体" w:hAnsi="宋体" w:cs="宋体" w:eastAsia="宋体" w:hint="default"/>
                            <w:sz w:val="18"/>
                            <w:szCs w:val="18"/>
                          </w:rPr>
                        </w:pPr>
                        <w:r>
                          <w:rPr>
                            <w:rFonts w:ascii="宋体" w:hAnsi="宋体" w:cs="宋体" w:eastAsia="宋体" w:hint="default"/>
                            <w:spacing w:val="37"/>
                            <w:sz w:val="18"/>
                            <w:szCs w:val="18"/>
                          </w:rPr>
                          <w:t>所涉</w:t>
                        </w:r>
                        <w:r>
                          <w:rPr>
                            <w:rFonts w:ascii="宋体" w:hAnsi="宋体" w:cs="宋体" w:eastAsia="宋体" w:hint="default"/>
                            <w:spacing w:val="-15"/>
                            <w:sz w:val="18"/>
                            <w:szCs w:val="18"/>
                          </w:rPr>
                          <w:t> </w:t>
                        </w:r>
                        <w:r>
                          <w:rPr>
                            <w:rFonts w:ascii="宋体" w:hAnsi="宋体" w:cs="宋体" w:eastAsia="宋体" w:hint="default"/>
                            <w:sz w:val="18"/>
                            <w:szCs w:val="18"/>
                          </w:rPr>
                          <w:t>及</w:t>
                        </w:r>
                        <w:r>
                          <w:rPr>
                            <w:rFonts w:ascii="宋体" w:hAnsi="宋体" w:cs="宋体" w:eastAsia="宋体" w:hint="default"/>
                            <w:sz w:val="18"/>
                            <w:szCs w:val="18"/>
                          </w:rPr>
                          <w:t> </w:t>
                        </w:r>
                        <w:r>
                          <w:rPr>
                            <w:rFonts w:ascii="宋体" w:hAnsi="宋体" w:cs="宋体" w:eastAsia="宋体" w:hint="default"/>
                            <w:spacing w:val="37"/>
                            <w:sz w:val="18"/>
                            <w:szCs w:val="18"/>
                          </w:rPr>
                          <w:t>的资</w:t>
                        </w:r>
                        <w:r>
                          <w:rPr>
                            <w:rFonts w:ascii="宋体" w:hAnsi="宋体" w:cs="宋体" w:eastAsia="宋体" w:hint="default"/>
                            <w:spacing w:val="-15"/>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r>
                          <w:rPr>
                            <w:rFonts w:ascii="宋体" w:hAnsi="宋体" w:cs="宋体" w:eastAsia="宋体" w:hint="default"/>
                            <w:spacing w:val="37"/>
                            <w:sz w:val="18"/>
                            <w:szCs w:val="18"/>
                          </w:rPr>
                          <w:t>产权</w:t>
                        </w:r>
                        <w:r>
                          <w:rPr>
                            <w:rFonts w:ascii="宋体" w:hAnsi="宋体" w:cs="宋体" w:eastAsia="宋体" w:hint="default"/>
                            <w:spacing w:val="-15"/>
                            <w:sz w:val="18"/>
                            <w:szCs w:val="18"/>
                          </w:rPr>
                          <w:t> </w:t>
                        </w:r>
                        <w:r>
                          <w:rPr>
                            <w:rFonts w:ascii="宋体" w:hAnsi="宋体" w:cs="宋体" w:eastAsia="宋体" w:hint="default"/>
                            <w:sz w:val="18"/>
                            <w:szCs w:val="18"/>
                          </w:rPr>
                          <w:t>已</w:t>
                        </w:r>
                        <w:r>
                          <w:rPr>
                            <w:rFonts w:ascii="宋体" w:hAnsi="宋体" w:cs="宋体" w:eastAsia="宋体" w:hint="default"/>
                            <w:sz w:val="18"/>
                            <w:szCs w:val="18"/>
                          </w:rPr>
                          <w:t> 过户</w:t>
                        </w:r>
                      </w:p>
                    </w:tc>
                    <w:tc>
                      <w:tcPr>
                        <w:tcW w:w="846" w:type="dxa"/>
                        <w:vMerge/>
                        <w:tcBorders>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0.88%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96"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234" w:lineRule="exact"/>
        <w:ind w:left="1366"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38.35pt;height:11.7pt;mso-position-horizontal-relative:char;mso-position-vertical-relative:line" coordorigin="0,0" coordsize="767,234">
            <v:group style="position:absolute;left:0;top:0;width:767;height:234" coordorigin="0,0" coordsize="767,234">
              <v:shape style="position:absolute;left:0;top:0;width:767;height:234" coordorigin="0,0" coordsize="767,234" path="m0,234l767,234,767,0,0,0,0,234xe" filled="true" fillcolor="#ffffff" stroked="false">
                <v:path arrowok="t"/>
                <v:fill type="solid"/>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5"/>
        <w:ind w:left="1318" w:right="0"/>
        <w:jc w:val="left"/>
        <w:rPr>
          <w:b w:val="0"/>
          <w:bCs w:val="0"/>
        </w:rPr>
      </w:pPr>
      <w:bookmarkStart w:name="2、出售资产" w:id="55"/>
      <w:bookmarkEnd w:id="55"/>
      <w:r>
        <w:rPr>
          <w:b w:val="0"/>
          <w:bCs w:val="0"/>
        </w:rPr>
      </w:r>
      <w:r>
        <w:rPr>
          <w:rFonts w:ascii="宋体" w:hAnsi="宋体" w:cs="宋体" w:eastAsia="宋体" w:hint="default"/>
        </w:rPr>
        <w:t>2</w:t>
      </w:r>
      <w:r>
        <w:rPr/>
        <w:t>、出售资产</w:t>
      </w:r>
      <w:r>
        <w:rPr>
          <w:b w:val="0"/>
          <w:bCs w:val="0"/>
        </w:rPr>
      </w:r>
    </w:p>
    <w:p>
      <w:pPr>
        <w:spacing w:line="240" w:lineRule="auto" w:before="7"/>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838"/>
        <w:gridCol w:w="836"/>
        <w:gridCol w:w="758"/>
        <w:gridCol w:w="835"/>
        <w:gridCol w:w="835"/>
        <w:gridCol w:w="836"/>
        <w:gridCol w:w="835"/>
        <w:gridCol w:w="1094"/>
        <w:gridCol w:w="424"/>
        <w:gridCol w:w="683"/>
        <w:gridCol w:w="683"/>
        <w:gridCol w:w="683"/>
        <w:gridCol w:w="683"/>
        <w:gridCol w:w="683"/>
      </w:tblGrid>
      <w:tr>
        <w:trPr>
          <w:trHeight w:val="2018" w:hRule="exact"/>
        </w:trPr>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52"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21" w:right="52" w:hanging="271"/>
              <w:jc w:val="left"/>
              <w:rPr>
                <w:rFonts w:ascii="宋体" w:hAnsi="宋体" w:cs="宋体" w:eastAsia="宋体" w:hint="default"/>
                <w:sz w:val="18"/>
                <w:szCs w:val="18"/>
              </w:rPr>
            </w:pPr>
            <w:r>
              <w:rPr>
                <w:rFonts w:ascii="宋体" w:hAnsi="宋体" w:cs="宋体" w:eastAsia="宋体" w:hint="default"/>
                <w:sz w:val="18"/>
                <w:szCs w:val="18"/>
              </w:rPr>
              <w:t>被出售资 产</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10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35" w:lineRule="exact"/>
              <w:ind w:left="51"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35" w:lineRule="exact"/>
              <w:ind w:left="5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9"/>
              <w:ind w:left="51" w:right="53"/>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利润（万 元）</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2"/>
              <w:ind w:left="51" w:right="52"/>
              <w:jc w:val="left"/>
              <w:rPr>
                <w:rFonts w:ascii="宋体" w:hAnsi="宋体" w:cs="宋体" w:eastAsia="宋体" w:hint="default"/>
                <w:sz w:val="18"/>
                <w:szCs w:val="18"/>
              </w:rPr>
            </w:pPr>
            <w:r>
              <w:rPr>
                <w:rFonts w:ascii="宋体" w:hAnsi="宋体" w:cs="宋体" w:eastAsia="宋体" w:hint="default"/>
                <w:sz w:val="18"/>
                <w:szCs w:val="18"/>
              </w:rPr>
              <w:t>出售对公 司的影响</w:t>
            </w:r>
          </w:p>
          <w:p>
            <w:pPr>
              <w:pStyle w:val="TableParagraph"/>
              <w:spacing w:line="246" w:lineRule="exact"/>
              <w:ind w:left="7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3"/>
                <w:szCs w:val="13"/>
              </w:rPr>
            </w:pPr>
          </w:p>
          <w:p>
            <w:pPr>
              <w:pStyle w:val="TableParagraph"/>
              <w:spacing w:line="242" w:lineRule="auto"/>
              <w:ind w:left="51"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资产出售 为上市公 司贡献的 净利润占 净利润总 额的比例 </w:t>
            </w:r>
            <w:r>
              <w:rPr>
                <w:rFonts w:ascii="Times New Roman" w:hAnsi="Times New Roman" w:cs="Times New Roman" w:eastAsia="Times New Roman" w:hint="default"/>
                <w:sz w:val="18"/>
                <w:szCs w:val="18"/>
              </w:rPr>
              <w:t>(%)</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资产出售定 价原则</w:t>
            </w:r>
          </w:p>
        </w:tc>
        <w:tc>
          <w:tcPr>
            <w:tcW w:w="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237" w:lineRule="auto"/>
              <w:ind w:left="26" w:right="25"/>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9"/>
              <w:ind w:left="64" w:right="66"/>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56"/>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37" w:lineRule="auto" w:before="156"/>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451" w:hRule="exact"/>
        </w:trPr>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0" w:lineRule="auto"/>
              <w:ind w:left="22" w:right="1"/>
              <w:jc w:val="both"/>
              <w:rPr>
                <w:rFonts w:ascii="宋体" w:hAnsi="宋体" w:cs="宋体" w:eastAsia="宋体" w:hint="default"/>
                <w:sz w:val="18"/>
                <w:szCs w:val="18"/>
              </w:rPr>
            </w:pPr>
            <w:r>
              <w:rPr>
                <w:rFonts w:ascii="宋体" w:hAnsi="宋体" w:cs="宋体" w:eastAsia="宋体" w:hint="default"/>
                <w:spacing w:val="15"/>
                <w:sz w:val="18"/>
                <w:szCs w:val="18"/>
              </w:rPr>
              <w:t>株式会社</w:t>
            </w:r>
            <w:r>
              <w:rPr>
                <w:rFonts w:ascii="宋体" w:hAnsi="宋体" w:cs="宋体" w:eastAsia="宋体" w:hint="default"/>
                <w:spacing w:val="-70"/>
                <w:sz w:val="18"/>
                <w:szCs w:val="18"/>
              </w:rPr>
              <w:t> </w:t>
            </w:r>
            <w:r>
              <w:rPr>
                <w:rFonts w:ascii="宋体" w:hAnsi="宋体" w:cs="宋体" w:eastAsia="宋体" w:hint="default"/>
                <w:spacing w:val="15"/>
                <w:sz w:val="18"/>
                <w:szCs w:val="18"/>
              </w:rPr>
              <w:t>日立制作</w:t>
            </w:r>
            <w:r>
              <w:rPr>
                <w:rFonts w:ascii="宋体" w:hAnsi="宋体" w:cs="宋体" w:eastAsia="宋体" w:hint="default"/>
                <w:spacing w:val="-70"/>
                <w:sz w:val="18"/>
                <w:szCs w:val="18"/>
              </w:rPr>
              <w:t> </w:t>
            </w:r>
            <w:r>
              <w:rPr>
                <w:rFonts w:ascii="宋体" w:hAnsi="宋体" w:cs="宋体" w:eastAsia="宋体" w:hint="default"/>
                <w:sz w:val="18"/>
                <w:szCs w:val="18"/>
              </w:rPr>
              <w:t>所</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日 立</w:t>
            </w:r>
            <w:r>
              <w:rPr>
                <w:rFonts w:ascii="宋体" w:hAnsi="宋体" w:cs="宋体" w:eastAsia="宋体" w:hint="default"/>
                <w:spacing w:val="60"/>
                <w:sz w:val="18"/>
                <w:szCs w:val="18"/>
              </w:rPr>
              <w:t> </w:t>
            </w:r>
            <w:r>
              <w:rPr>
                <w:rFonts w:ascii="宋体" w:hAnsi="宋体" w:cs="宋体" w:eastAsia="宋体" w:hint="default"/>
                <w:sz w:val="18"/>
                <w:szCs w:val="18"/>
              </w:rPr>
              <w:t>泵</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13,000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289.78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4"/>
              <w:jc w:val="both"/>
              <w:rPr>
                <w:rFonts w:ascii="宋体" w:hAnsi="宋体" w:cs="宋体" w:eastAsia="宋体" w:hint="default"/>
                <w:sz w:val="18"/>
                <w:szCs w:val="18"/>
              </w:rPr>
            </w:pPr>
            <w:r>
              <w:rPr>
                <w:rFonts w:ascii="宋体" w:hAnsi="宋体" w:cs="宋体" w:eastAsia="宋体" w:hint="default"/>
                <w:spacing w:val="14"/>
                <w:sz w:val="18"/>
                <w:szCs w:val="18"/>
              </w:rPr>
              <w:t>有利于尽</w:t>
            </w:r>
            <w:r>
              <w:rPr>
                <w:rFonts w:ascii="宋体" w:hAnsi="宋体" w:cs="宋体" w:eastAsia="宋体" w:hint="default"/>
                <w:spacing w:val="-71"/>
                <w:sz w:val="18"/>
                <w:szCs w:val="18"/>
              </w:rPr>
              <w:t> </w:t>
            </w:r>
            <w:r>
              <w:rPr>
                <w:rFonts w:ascii="宋体" w:hAnsi="宋体" w:cs="宋体" w:eastAsia="宋体" w:hint="default"/>
                <w:spacing w:val="14"/>
                <w:sz w:val="18"/>
                <w:szCs w:val="18"/>
              </w:rPr>
              <w:t>快了结诉</w:t>
            </w:r>
            <w:r>
              <w:rPr>
                <w:rFonts w:ascii="宋体" w:hAnsi="宋体" w:cs="宋体" w:eastAsia="宋体" w:hint="default"/>
                <w:spacing w:val="-71"/>
                <w:sz w:val="18"/>
                <w:szCs w:val="18"/>
              </w:rPr>
              <w:t> </w:t>
            </w:r>
            <w:r>
              <w:rPr>
                <w:rFonts w:ascii="宋体" w:hAnsi="宋体" w:cs="宋体" w:eastAsia="宋体" w:hint="default"/>
                <w:sz w:val="18"/>
                <w:szCs w:val="18"/>
              </w:rPr>
              <w:t>讼 案</w:t>
            </w:r>
            <w:r>
              <w:rPr>
                <w:rFonts w:ascii="宋体" w:hAnsi="宋体" w:cs="宋体" w:eastAsia="宋体" w:hint="default"/>
                <w:spacing w:val="60"/>
                <w:sz w:val="18"/>
                <w:szCs w:val="18"/>
              </w:rPr>
              <w:t> </w:t>
            </w:r>
            <w:r>
              <w:rPr>
                <w:rFonts w:ascii="宋体" w:hAnsi="宋体" w:cs="宋体" w:eastAsia="宋体" w:hint="default"/>
                <w:sz w:val="18"/>
                <w:szCs w:val="18"/>
              </w:rPr>
              <w:t>纠</w:t>
            </w:r>
            <w:r>
              <w:rPr>
                <w:rFonts w:ascii="宋体" w:hAnsi="宋体" w:cs="宋体" w:eastAsia="宋体" w:hint="default"/>
                <w:sz w:val="18"/>
                <w:szCs w:val="18"/>
              </w:rPr>
              <w:t> </w:t>
            </w:r>
            <w:r>
              <w:rPr>
                <w:rFonts w:ascii="宋体" w:hAnsi="宋体" w:cs="宋体" w:eastAsia="宋体" w:hint="default"/>
                <w:spacing w:val="14"/>
                <w:sz w:val="18"/>
                <w:szCs w:val="18"/>
              </w:rPr>
              <w:t>纷，使得</w:t>
            </w:r>
            <w:r>
              <w:rPr>
                <w:rFonts w:ascii="宋体" w:hAnsi="宋体" w:cs="宋体" w:eastAsia="宋体" w:hint="default"/>
                <w:spacing w:val="-71"/>
                <w:sz w:val="18"/>
                <w:szCs w:val="18"/>
              </w:rPr>
              <w:t> </w:t>
            </w:r>
            <w:r>
              <w:rPr>
                <w:rFonts w:ascii="宋体" w:hAnsi="宋体" w:cs="宋体" w:eastAsia="宋体" w:hint="default"/>
                <w:spacing w:val="14"/>
                <w:sz w:val="18"/>
                <w:szCs w:val="18"/>
              </w:rPr>
              <w:t>无锡锡泵</w:t>
            </w:r>
            <w:r>
              <w:rPr>
                <w:rFonts w:ascii="宋体" w:hAnsi="宋体" w:cs="宋体" w:eastAsia="宋体" w:hint="default"/>
                <w:spacing w:val="-71"/>
                <w:sz w:val="18"/>
                <w:szCs w:val="18"/>
              </w:rPr>
              <w:t> </w:t>
            </w:r>
            <w:r>
              <w:rPr>
                <w:rFonts w:ascii="宋体" w:hAnsi="宋体" w:cs="宋体" w:eastAsia="宋体" w:hint="default"/>
                <w:spacing w:val="14"/>
                <w:sz w:val="18"/>
                <w:szCs w:val="18"/>
              </w:rPr>
              <w:t>恢复正常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34" w:right="0"/>
              <w:jc w:val="left"/>
              <w:rPr>
                <w:rFonts w:ascii="Times New Roman" w:hAnsi="Times New Roman" w:cs="Times New Roman" w:eastAsia="Times New Roman" w:hint="default"/>
                <w:sz w:val="18"/>
                <w:szCs w:val="18"/>
              </w:rPr>
            </w:pPr>
            <w:r>
              <w:rPr>
                <w:rFonts w:ascii="Times New Roman"/>
                <w:sz w:val="18"/>
              </w:rPr>
              <w:t>32.68%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1" w:right="-11"/>
              <w:jc w:val="both"/>
              <w:rPr>
                <w:rFonts w:ascii="宋体" w:hAnsi="宋体" w:cs="宋体" w:eastAsia="宋体" w:hint="default"/>
                <w:sz w:val="18"/>
                <w:szCs w:val="18"/>
              </w:rPr>
            </w:pPr>
            <w:r>
              <w:rPr>
                <w:rFonts w:ascii="宋体" w:hAnsi="宋体" w:cs="宋体" w:eastAsia="宋体" w:hint="default"/>
                <w:spacing w:val="27"/>
                <w:sz w:val="18"/>
                <w:szCs w:val="18"/>
              </w:rPr>
              <w:t>根据无锡锡</w:t>
            </w:r>
            <w:r>
              <w:rPr>
                <w:rFonts w:ascii="宋体" w:hAnsi="宋体" w:cs="宋体" w:eastAsia="宋体" w:hint="default"/>
                <w:spacing w:val="-56"/>
                <w:sz w:val="18"/>
                <w:szCs w:val="18"/>
              </w:rPr>
              <w:t> </w:t>
            </w:r>
            <w:r>
              <w:rPr>
                <w:rFonts w:ascii="宋体" w:hAnsi="宋体" w:cs="宋体" w:eastAsia="宋体" w:hint="default"/>
                <w:spacing w:val="27"/>
                <w:sz w:val="18"/>
                <w:szCs w:val="18"/>
              </w:rPr>
              <w:t>泵的初始投</w:t>
            </w:r>
            <w:r>
              <w:rPr>
                <w:rFonts w:ascii="宋体" w:hAnsi="宋体" w:cs="宋体" w:eastAsia="宋体" w:hint="default"/>
                <w:spacing w:val="-56"/>
                <w:sz w:val="18"/>
                <w:szCs w:val="18"/>
              </w:rPr>
              <w:t> </w:t>
            </w:r>
            <w:r>
              <w:rPr>
                <w:rFonts w:ascii="宋体" w:hAnsi="宋体" w:cs="宋体" w:eastAsia="宋体" w:hint="default"/>
                <w:spacing w:val="-7"/>
                <w:sz w:val="18"/>
                <w:szCs w:val="18"/>
              </w:rPr>
              <w:t>资成本、按照</w:t>
            </w:r>
            <w:r>
              <w:rPr>
                <w:rFonts w:ascii="宋体" w:hAnsi="宋体" w:cs="宋体" w:eastAsia="宋体" w:hint="default"/>
                <w:sz w:val="18"/>
                <w:szCs w:val="18"/>
              </w:rPr>
              <w:t> </w:t>
            </w:r>
            <w:r>
              <w:rPr>
                <w:rFonts w:ascii="宋体" w:hAnsi="宋体" w:cs="宋体" w:eastAsia="宋体" w:hint="default"/>
                <w:spacing w:val="27"/>
                <w:sz w:val="18"/>
                <w:szCs w:val="18"/>
              </w:rPr>
              <w:t>投资期限和</w:t>
            </w:r>
            <w:r>
              <w:rPr>
                <w:rFonts w:ascii="宋体" w:hAnsi="宋体" w:cs="宋体" w:eastAsia="宋体" w:hint="default"/>
                <w:spacing w:val="-56"/>
                <w:sz w:val="18"/>
                <w:szCs w:val="18"/>
              </w:rPr>
              <w:t> </w:t>
            </w:r>
            <w:r>
              <w:rPr>
                <w:rFonts w:ascii="宋体" w:hAnsi="宋体" w:cs="宋体" w:eastAsia="宋体" w:hint="default"/>
                <w:spacing w:val="27"/>
                <w:sz w:val="18"/>
                <w:szCs w:val="18"/>
              </w:rPr>
              <w:t>一定的投资</w:t>
            </w:r>
            <w:r>
              <w:rPr>
                <w:rFonts w:ascii="宋体" w:hAnsi="宋体" w:cs="宋体" w:eastAsia="宋体" w:hint="default"/>
                <w:spacing w:val="-56"/>
                <w:sz w:val="18"/>
                <w:szCs w:val="18"/>
              </w:rPr>
              <w:t> </w:t>
            </w:r>
            <w:r>
              <w:rPr>
                <w:rFonts w:ascii="宋体" w:hAnsi="宋体" w:cs="宋体" w:eastAsia="宋体" w:hint="default"/>
                <w:spacing w:val="27"/>
                <w:sz w:val="18"/>
                <w:szCs w:val="18"/>
              </w:rPr>
              <w:t>收益率水平</w:t>
            </w:r>
            <w:r>
              <w:rPr>
                <w:rFonts w:ascii="宋体" w:hAnsi="宋体" w:cs="宋体" w:eastAsia="宋体" w:hint="default"/>
                <w:spacing w:val="-56"/>
                <w:sz w:val="18"/>
                <w:szCs w:val="18"/>
              </w:rPr>
              <w:t> </w:t>
            </w:r>
            <w:r>
              <w:rPr>
                <w:rFonts w:ascii="宋体" w:hAnsi="宋体" w:cs="宋体" w:eastAsia="宋体" w:hint="default"/>
                <w:sz w:val="18"/>
                <w:szCs w:val="18"/>
              </w:rPr>
            </w:r>
          </w:p>
        </w:tc>
        <w:tc>
          <w:tcPr>
            <w:tcW w:w="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5"/>
                <w:szCs w:val="25"/>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6"/>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7"/>
                <w:sz w:val="18"/>
                <w:szCs w:val="18"/>
              </w:rPr>
              <w:t> </w:t>
            </w:r>
            <w:r>
              <w:rPr>
                <w:rFonts w:ascii="宋体" w:hAnsi="宋体" w:cs="宋体" w:eastAsia="宋体" w:hint="default"/>
                <w:spacing w:val="21"/>
                <w:sz w:val="18"/>
                <w:szCs w:val="18"/>
              </w:rPr>
              <w:t>关于</w:t>
            </w:r>
            <w:r>
              <w:rPr>
                <w:rFonts w:ascii="宋体" w:hAnsi="宋体" w:cs="宋体" w:eastAsia="宋体" w:hint="default"/>
                <w:spacing w:val="-47"/>
                <w:sz w:val="18"/>
                <w:szCs w:val="18"/>
              </w:rPr>
              <w:t> </w:t>
            </w:r>
            <w:r>
              <w:rPr>
                <w:rFonts w:ascii="宋体" w:hAnsi="宋体" w:cs="宋体" w:eastAsia="宋体" w:hint="default"/>
                <w:spacing w:val="41"/>
                <w:sz w:val="18"/>
                <w:szCs w:val="18"/>
              </w:rPr>
              <w:t>签署</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&lt; </w:t>
            </w:r>
            <w:r>
              <w:rPr>
                <w:rFonts w:ascii="宋体" w:hAnsi="宋体" w:cs="宋体" w:eastAsia="宋体" w:hint="default"/>
                <w:spacing w:val="28"/>
                <w:sz w:val="18"/>
                <w:szCs w:val="18"/>
              </w:rPr>
              <w:t>和解协</w:t>
            </w:r>
            <w:r>
              <w:rPr>
                <w:rFonts w:ascii="宋体" w:hAnsi="宋体" w:cs="宋体" w:eastAsia="宋体" w:hint="default"/>
                <w:spacing w:val="-47"/>
                <w:sz w:val="18"/>
                <w:szCs w:val="18"/>
              </w:rPr>
              <w:t> </w:t>
            </w:r>
            <w:r>
              <w:rPr>
                <w:rFonts w:ascii="宋体" w:hAnsi="宋体" w:cs="宋体" w:eastAsia="宋体" w:hint="default"/>
                <w:sz w:val="18"/>
                <w:szCs w:val="18"/>
              </w:rPr>
              <w:t>议 </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及 </w:t>
            </w:r>
            <w:r>
              <w:rPr>
                <w:rFonts w:ascii="宋体" w:hAnsi="宋体" w:cs="宋体" w:eastAsia="宋体" w:hint="default"/>
                <w:spacing w:val="28"/>
                <w:sz w:val="18"/>
                <w:szCs w:val="18"/>
              </w:rPr>
              <w:t>出售日</w:t>
            </w:r>
            <w:r>
              <w:rPr>
                <w:rFonts w:ascii="宋体" w:hAnsi="宋体" w:cs="宋体" w:eastAsia="宋体" w:hint="default"/>
                <w:spacing w:val="-47"/>
                <w:sz w:val="18"/>
                <w:szCs w:val="18"/>
              </w:rPr>
              <w:t> </w:t>
            </w:r>
            <w:r>
              <w:rPr>
                <w:rFonts w:ascii="宋体" w:hAnsi="宋体" w:cs="宋体" w:eastAsia="宋体" w:hint="default"/>
                <w:spacing w:val="28"/>
                <w:sz w:val="18"/>
                <w:szCs w:val="18"/>
              </w:rPr>
              <w:t>立泵股</w:t>
            </w:r>
            <w:r>
              <w:rPr>
                <w:rFonts w:ascii="宋体" w:hAnsi="宋体" w:cs="宋体" w:eastAsia="宋体" w:hint="default"/>
                <w:spacing w:val="-47"/>
                <w:sz w:val="18"/>
                <w:szCs w:val="18"/>
              </w:rPr>
              <w:t> </w:t>
            </w:r>
            <w:r>
              <w:rPr>
                <w:rFonts w:ascii="宋体" w:hAnsi="宋体" w:cs="宋体" w:eastAsia="宋体" w:hint="default"/>
                <w:sz w:val="18"/>
                <w:szCs w:val="18"/>
              </w:rPr>
            </w:r>
          </w:p>
        </w:tc>
      </w:tr>
    </w:tbl>
    <w:p>
      <w:pPr>
        <w:spacing w:after="0" w:line="232" w:lineRule="auto"/>
        <w:jc w:val="both"/>
        <w:rPr>
          <w:rFonts w:ascii="宋体" w:hAnsi="宋体" w:cs="宋体" w:eastAsia="宋体" w:hint="default"/>
          <w:sz w:val="18"/>
          <w:szCs w:val="18"/>
        </w:rPr>
        <w:sectPr>
          <w:pgSz w:w="11910" w:h="16840"/>
          <w:pgMar w:header="0" w:footer="938" w:top="1100" w:bottom="1120" w:left="480" w:right="0"/>
        </w:sectPr>
      </w:pPr>
    </w:p>
    <w:p>
      <w:pPr>
        <w:spacing w:line="240" w:lineRule="auto" w:before="6"/>
        <w:rPr>
          <w:rFonts w:ascii="宋体" w:hAnsi="宋体" w:cs="宋体" w:eastAsia="宋体" w:hint="default"/>
          <w:b/>
          <w:bCs/>
          <w:sz w:val="24"/>
          <w:szCs w:val="24"/>
        </w:rPr>
      </w:pPr>
      <w:r>
        <w:rPr/>
        <w:pict>
          <v:group style="position:absolute;margin-left:203.899994pt;margin-top:728.070007pt;width:112.9pt;height:16.9pt;mso-position-horizontal-relative:page;mso-position-vertical-relative:page;z-index:-907048" coordorigin="4078,14561" coordsize="2258,338">
            <v:group style="position:absolute;left:4089;top:14573;width:2;height:315" coordorigin="4089,14573" coordsize="2,315">
              <v:shape style="position:absolute;left:4089;top:14573;width:2;height:315" coordorigin="4089,14573" coordsize="0,315" path="m4089,14573l4089,14887e" filled="false" stroked="true" strokeweight="1.140pt" strokecolor="#ffffff">
                <v:path arrowok="t"/>
              </v:shape>
            </v:group>
            <v:group style="position:absolute;left:4101;top:14573;width:2235;height:315" coordorigin="4101,14573" coordsize="2235,315">
              <v:shape style="position:absolute;left:4101;top:14573;width:2235;height:315" coordorigin="4101,14573" coordsize="2235,315" path="m4101,14887l6336,14887,6336,14573,4101,14573,4101,14887xe" filled="true" fillcolor="#ffffff" stroked="false">
                <v:path arrowok="t"/>
                <v:fill type="solid"/>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838"/>
        <w:gridCol w:w="836"/>
        <w:gridCol w:w="758"/>
        <w:gridCol w:w="835"/>
        <w:gridCol w:w="835"/>
        <w:gridCol w:w="836"/>
        <w:gridCol w:w="835"/>
        <w:gridCol w:w="1094"/>
        <w:gridCol w:w="424"/>
        <w:gridCol w:w="683"/>
        <w:gridCol w:w="683"/>
        <w:gridCol w:w="683"/>
        <w:gridCol w:w="683"/>
        <w:gridCol w:w="683"/>
      </w:tblGrid>
      <w:tr>
        <w:trPr>
          <w:trHeight w:val="1425" w:hRule="exact"/>
        </w:trPr>
        <w:tc>
          <w:tcPr>
            <w:tcW w:w="838"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4"/>
                <w:sz w:val="18"/>
                <w:szCs w:val="18"/>
              </w:rPr>
              <w:t>的业务状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态</w:t>
            </w:r>
          </w:p>
        </w:tc>
        <w:tc>
          <w:tcPr>
            <w:tcW w:w="835"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both"/>
              <w:rPr>
                <w:rFonts w:ascii="宋体" w:hAnsi="宋体" w:cs="宋体" w:eastAsia="宋体" w:hint="default"/>
                <w:sz w:val="18"/>
                <w:szCs w:val="18"/>
              </w:rPr>
            </w:pPr>
            <w:r>
              <w:rPr>
                <w:rFonts w:ascii="宋体" w:hAnsi="宋体" w:cs="宋体" w:eastAsia="宋体" w:hint="default"/>
                <w:spacing w:val="-7"/>
                <w:sz w:val="18"/>
                <w:szCs w:val="18"/>
              </w:rPr>
              <w:t>进行计算，并</w:t>
            </w:r>
          </w:p>
          <w:p>
            <w:pPr>
              <w:pStyle w:val="TableParagraph"/>
              <w:spacing w:line="237" w:lineRule="auto" w:before="1"/>
              <w:ind w:left="21" w:right="-11"/>
              <w:jc w:val="both"/>
              <w:rPr>
                <w:rFonts w:ascii="宋体" w:hAnsi="宋体" w:cs="宋体" w:eastAsia="宋体" w:hint="default"/>
                <w:sz w:val="18"/>
                <w:szCs w:val="18"/>
              </w:rPr>
            </w:pPr>
            <w:r>
              <w:rPr>
                <w:rFonts w:ascii="宋体" w:hAnsi="宋体" w:cs="宋体" w:eastAsia="宋体" w:hint="default"/>
                <w:spacing w:val="27"/>
                <w:sz w:val="18"/>
                <w:szCs w:val="18"/>
              </w:rPr>
              <w:t>综合考虑其</w:t>
            </w:r>
            <w:r>
              <w:rPr>
                <w:rFonts w:ascii="宋体" w:hAnsi="宋体" w:cs="宋体" w:eastAsia="宋体" w:hint="default"/>
                <w:spacing w:val="-56"/>
                <w:sz w:val="18"/>
                <w:szCs w:val="18"/>
              </w:rPr>
              <w:t> </w:t>
            </w:r>
            <w:r>
              <w:rPr>
                <w:rFonts w:ascii="宋体" w:hAnsi="宋体" w:cs="宋体" w:eastAsia="宋体" w:hint="default"/>
                <w:spacing w:val="27"/>
                <w:sz w:val="18"/>
                <w:szCs w:val="18"/>
              </w:rPr>
              <w:t>他有关因素</w:t>
            </w:r>
            <w:r>
              <w:rPr>
                <w:rFonts w:ascii="宋体" w:hAnsi="宋体" w:cs="宋体" w:eastAsia="宋体" w:hint="default"/>
                <w:spacing w:val="-56"/>
                <w:sz w:val="18"/>
                <w:szCs w:val="18"/>
              </w:rPr>
              <w:t> </w:t>
            </w:r>
            <w:r>
              <w:rPr>
                <w:rFonts w:ascii="宋体" w:hAnsi="宋体" w:cs="宋体" w:eastAsia="宋体" w:hint="default"/>
                <w:spacing w:val="-7"/>
                <w:sz w:val="18"/>
                <w:szCs w:val="18"/>
              </w:rPr>
              <w:t>后，经友好协</w:t>
            </w:r>
            <w:r>
              <w:rPr>
                <w:rFonts w:ascii="宋体" w:hAnsi="宋体" w:cs="宋体" w:eastAsia="宋体" w:hint="default"/>
                <w:sz w:val="18"/>
                <w:szCs w:val="18"/>
              </w:rPr>
              <w:t> 商后确定的</w:t>
            </w:r>
          </w:p>
        </w:tc>
        <w:tc>
          <w:tcPr>
            <w:tcW w:w="42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20"/>
              <w:jc w:val="left"/>
              <w:rPr>
                <w:rFonts w:ascii="宋体" w:hAnsi="宋体" w:cs="宋体" w:eastAsia="宋体" w:hint="default"/>
                <w:sz w:val="18"/>
                <w:szCs w:val="18"/>
              </w:rPr>
            </w:pPr>
            <w:r>
              <w:rPr>
                <w:rFonts w:ascii="宋体" w:hAnsi="宋体" w:cs="宋体" w:eastAsia="宋体" w:hint="default"/>
                <w:spacing w:val="28"/>
                <w:sz w:val="18"/>
                <w:szCs w:val="18"/>
              </w:rPr>
              <w:t>权的公</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tabs>
                <w:tab w:pos="469" w:val="left" w:leader="none"/>
              </w:tabs>
              <w:spacing w:line="232" w:lineRule="exact" w:before="24"/>
              <w:ind w:left="22" w:right="20"/>
              <w:jc w:val="left"/>
              <w:rPr>
                <w:rFonts w:ascii="宋体" w:hAnsi="宋体" w:cs="宋体" w:eastAsia="宋体" w:hint="default"/>
                <w:sz w:val="18"/>
                <w:szCs w:val="18"/>
              </w:rPr>
            </w:pPr>
            <w:r>
              <w:rPr>
                <w:rFonts w:ascii="宋体" w:hAnsi="宋体" w:cs="宋体" w:eastAsia="宋体" w:hint="default"/>
                <w:spacing w:val="-24"/>
                <w:sz w:val="18"/>
                <w:szCs w:val="18"/>
              </w:rPr>
              <w:t>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w:t>
              <w:tab/>
              <w:t>编</w:t>
            </w:r>
          </w:p>
          <w:p>
            <w:pPr>
              <w:pStyle w:val="TableParagraph"/>
              <w:tabs>
                <w:tab w:pos="469" w:val="left" w:leader="none"/>
              </w:tabs>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号</w:t>
              <w:tab/>
              <w:t>：</w:t>
            </w:r>
          </w:p>
          <w:p>
            <w:pPr>
              <w:pStyle w:val="TableParagraph"/>
              <w:spacing w:line="195" w:lineRule="exact" w:before="22"/>
              <w:ind w:left="22" w:right="0"/>
              <w:jc w:val="left"/>
              <w:rPr>
                <w:rFonts w:ascii="Times New Roman" w:hAnsi="Times New Roman" w:cs="Times New Roman" w:eastAsia="Times New Roman" w:hint="default"/>
                <w:sz w:val="18"/>
                <w:szCs w:val="18"/>
              </w:rPr>
            </w:pPr>
            <w:r>
              <w:rPr>
                <w:rFonts w:ascii="Times New Roman"/>
                <w:sz w:val="18"/>
              </w:rPr>
              <w:t>2014-00</w:t>
            </w:r>
          </w:p>
          <w:p>
            <w:pPr>
              <w:pStyle w:val="TableParagraph"/>
              <w:spacing w:line="23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bl>
    <w:p>
      <w:pPr>
        <w:pStyle w:val="Heading3"/>
        <w:spacing w:line="240" w:lineRule="auto" w:before="6"/>
        <w:ind w:left="1318" w:right="0"/>
        <w:jc w:val="both"/>
        <w:rPr>
          <w:b w:val="0"/>
          <w:bCs w:val="0"/>
        </w:rPr>
      </w:pPr>
      <w:r>
        <w:rPr>
          <w:rFonts w:ascii="宋体" w:hAnsi="宋体" w:cs="宋体" w:eastAsia="宋体" w:hint="default"/>
        </w:rPr>
        <w:t>3</w:t>
      </w:r>
      <w:r>
        <w:rPr/>
        <w:t>、企业合并情况</w:t>
      </w:r>
      <w:r>
        <w:rPr>
          <w:b w:val="0"/>
          <w:bCs w:val="0"/>
        </w:rPr>
      </w:r>
    </w:p>
    <w:p>
      <w:pPr>
        <w:spacing w:before="178"/>
        <w:ind w:left="1318"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pStyle w:val="BodyText"/>
        <w:spacing w:line="240" w:lineRule="auto" w:before="149"/>
        <w:ind w:left="1318" w:right="0"/>
        <w:jc w:val="both"/>
      </w:pPr>
      <w:r>
        <w:rPr/>
        <w:t>公司报告期未发生企业合并情况。</w:t>
      </w:r>
    </w:p>
    <w:p>
      <w:pPr>
        <w:spacing w:line="240" w:lineRule="auto" w:before="0"/>
        <w:rPr>
          <w:rFonts w:ascii="宋体" w:hAnsi="宋体" w:cs="宋体" w:eastAsia="宋体" w:hint="default"/>
          <w:sz w:val="20"/>
          <w:szCs w:val="20"/>
        </w:rPr>
      </w:pPr>
    </w:p>
    <w:p>
      <w:pPr>
        <w:pStyle w:val="Heading2"/>
        <w:spacing w:line="240" w:lineRule="auto" w:before="167"/>
        <w:ind w:left="1318" w:right="0"/>
        <w:jc w:val="both"/>
        <w:rPr>
          <w:b w:val="0"/>
          <w:bCs w:val="0"/>
        </w:rPr>
      </w:pPr>
      <w:bookmarkStart w:name="六、公司股权激励的实施情况及其影响" w:id="56"/>
      <w:bookmarkEnd w:id="56"/>
      <w:r>
        <w:rPr>
          <w:b w:val="0"/>
          <w:bCs w:val="0"/>
        </w:rPr>
      </w:r>
      <w:r>
        <w:rPr/>
        <w:t>六、公司股权激励的实施情况及其影响</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1737" w:right="0"/>
        <w:jc w:val="left"/>
      </w:pPr>
      <w:r>
        <w:rPr/>
        <w:t>本报告期，公司未实施股权激励。</w:t>
      </w:r>
    </w:p>
    <w:p>
      <w:pPr>
        <w:spacing w:line="240" w:lineRule="auto" w:before="0"/>
        <w:rPr>
          <w:rFonts w:ascii="宋体" w:hAnsi="宋体" w:cs="宋体" w:eastAsia="宋体" w:hint="default"/>
          <w:sz w:val="20"/>
          <w:szCs w:val="20"/>
        </w:rPr>
      </w:pPr>
    </w:p>
    <w:p>
      <w:pPr>
        <w:pStyle w:val="Heading2"/>
        <w:spacing w:line="240" w:lineRule="auto" w:before="167"/>
        <w:ind w:left="1317" w:right="0"/>
        <w:jc w:val="both"/>
        <w:rPr>
          <w:b w:val="0"/>
          <w:bCs w:val="0"/>
        </w:rPr>
      </w:pPr>
      <w:bookmarkStart w:name="七、重大关联交易" w:id="57"/>
      <w:bookmarkEnd w:id="57"/>
      <w:r>
        <w:rPr>
          <w:b w:val="0"/>
          <w:bCs w:val="0"/>
        </w:rPr>
      </w:r>
      <w:r>
        <w:rPr/>
        <w:t>七、重大关联交易</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1737" w:right="0"/>
        <w:jc w:val="left"/>
        <w:rPr>
          <w:rFonts w:ascii="宋体" w:hAnsi="宋体" w:cs="宋体" w:eastAsia="宋体" w:hint="default"/>
        </w:rPr>
      </w:pPr>
      <w:r>
        <w:rPr>
          <w:rFonts w:ascii="宋体" w:hAnsi="宋体" w:cs="宋体" w:eastAsia="宋体" w:hint="default"/>
        </w:rPr>
        <w:t>1</w:t>
      </w:r>
      <w:r>
        <w:rPr/>
        <w:t>、经</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rPr>
        <w:t>15</w:t>
      </w:r>
      <w:r>
        <w:rPr>
          <w:rFonts w:ascii="宋体" w:hAnsi="宋体" w:cs="宋体" w:eastAsia="宋体" w:hint="default"/>
          <w:spacing w:val="-52"/>
        </w:rPr>
        <w:t> </w:t>
      </w:r>
      <w:r>
        <w:rPr/>
        <w:t>日召开的公司第四届董事会第一次会议审议通过，</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3"/>
        </w:rPr>
        <w:t> </w:t>
      </w:r>
      <w:r>
        <w:rPr/>
        <w:t>月</w:t>
      </w:r>
      <w:r>
        <w:rPr>
          <w:spacing w:val="-52"/>
        </w:rPr>
        <w:t> </w:t>
      </w:r>
      <w:r>
        <w:rPr>
          <w:rFonts w:ascii="宋体" w:hAnsi="宋体" w:cs="宋体" w:eastAsia="宋体" w:hint="default"/>
        </w:rPr>
        <w:t>3</w:t>
      </w:r>
    </w:p>
    <w:p>
      <w:pPr>
        <w:pStyle w:val="BodyText"/>
        <w:spacing w:line="240" w:lineRule="auto" w:before="134"/>
        <w:ind w:left="1317" w:right="0"/>
        <w:jc w:val="both"/>
      </w:pPr>
      <w:r>
        <w:rPr/>
        <w:t>日召开的</w:t>
      </w:r>
      <w:r>
        <w:rPr>
          <w:spacing w:val="-45"/>
        </w:rPr>
        <w:t> </w:t>
      </w:r>
      <w:r>
        <w:rPr>
          <w:rFonts w:ascii="宋体" w:hAnsi="宋体" w:cs="宋体" w:eastAsia="宋体" w:hint="default"/>
        </w:rPr>
        <w:t>2014</w:t>
      </w:r>
      <w:r>
        <w:rPr>
          <w:rFonts w:ascii="宋体" w:hAnsi="宋体" w:cs="宋体" w:eastAsia="宋体" w:hint="default"/>
          <w:spacing w:val="-45"/>
        </w:rPr>
        <w:t> </w:t>
      </w:r>
      <w:r>
        <w:rPr/>
        <w:t>年第五次临时股东大会审议批准，公司为温岭市利欧小额贷款公司与国家开</w:t>
      </w:r>
    </w:p>
    <w:p>
      <w:pPr>
        <w:pStyle w:val="BodyText"/>
        <w:spacing w:line="240" w:lineRule="auto" w:before="133"/>
        <w:ind w:left="1318" w:right="0"/>
        <w:jc w:val="both"/>
      </w:pPr>
      <w:r>
        <w:rPr/>
        <w:t>发银行股份有限公司浙江省分行所形成的借款期限不超过</w:t>
      </w:r>
      <w:r>
        <w:rPr>
          <w:spacing w:val="-49"/>
        </w:rPr>
        <w:t> </w:t>
      </w:r>
      <w:r>
        <w:rPr>
          <w:rFonts w:ascii="宋体" w:hAnsi="宋体" w:cs="宋体" w:eastAsia="宋体" w:hint="default"/>
        </w:rPr>
        <w:t>2</w:t>
      </w:r>
      <w:r>
        <w:rPr>
          <w:rFonts w:ascii="宋体" w:hAnsi="宋体" w:cs="宋体" w:eastAsia="宋体" w:hint="default"/>
          <w:spacing w:val="-48"/>
        </w:rPr>
        <w:t> </w:t>
      </w:r>
      <w:r>
        <w:rPr/>
        <w:t>年，金额不超过</w:t>
      </w:r>
      <w:r>
        <w:rPr>
          <w:spacing w:val="-49"/>
        </w:rPr>
        <w:t> </w:t>
      </w:r>
      <w:r>
        <w:rPr>
          <w:rFonts w:ascii="宋体" w:hAnsi="宋体" w:cs="宋体" w:eastAsia="宋体" w:hint="default"/>
        </w:rPr>
        <w:t>12,000</w:t>
      </w:r>
      <w:r>
        <w:rPr>
          <w:rFonts w:ascii="宋体" w:hAnsi="宋体" w:cs="宋体" w:eastAsia="宋体" w:hint="default"/>
          <w:spacing w:val="-49"/>
        </w:rPr>
        <w:t> </w:t>
      </w:r>
      <w:r>
        <w:rPr/>
        <w:t>万元人</w:t>
      </w:r>
    </w:p>
    <w:p>
      <w:pPr>
        <w:pStyle w:val="BodyText"/>
        <w:spacing w:line="357" w:lineRule="auto" w:before="133"/>
        <w:ind w:left="1317" w:right="1794"/>
        <w:jc w:val="both"/>
      </w:pPr>
      <w:r>
        <w:rPr/>
        <w:t>民币的债务提供保证担保的事项，担保债务的确定期间不超过</w:t>
      </w:r>
      <w:r>
        <w:rPr>
          <w:spacing w:val="-73"/>
        </w:rPr>
        <w:t> </w:t>
      </w:r>
      <w:r>
        <w:rPr>
          <w:rFonts w:ascii="宋体" w:hAnsi="宋体" w:cs="宋体" w:eastAsia="宋体" w:hint="default"/>
        </w:rPr>
        <w:t>6</w:t>
      </w:r>
      <w:r>
        <w:rPr>
          <w:rFonts w:ascii="宋体" w:hAnsi="宋体" w:cs="宋体" w:eastAsia="宋体" w:hint="default"/>
          <w:spacing w:val="-73"/>
        </w:rPr>
        <w:t> </w:t>
      </w:r>
      <w:r>
        <w:rPr>
          <w:spacing w:val="-4"/>
        </w:rPr>
        <w:t>个月。鑫磊压缩机有限公司</w:t>
      </w:r>
      <w:r>
        <w:rPr/>
        <w:t> </w:t>
      </w:r>
      <w:r>
        <w:rPr>
          <w:spacing w:val="-3"/>
        </w:rPr>
        <w:t>以其拥有资产就本公司承担的担保责任向本公司提供反担保。截止本公告披露日，该笔担保</w:t>
      </w:r>
      <w:r>
        <w:rPr>
          <w:spacing w:val="-74"/>
        </w:rPr>
        <w:t> </w:t>
      </w:r>
      <w:r>
        <w:rPr>
          <w:spacing w:val="-74"/>
        </w:rPr>
      </w:r>
      <w:r>
        <w:rPr/>
        <w:t>实际未发生，公司未与国家开发银行股份有限公司浙江省分行签署相关的担保合同。</w:t>
      </w:r>
    </w:p>
    <w:p>
      <w:pPr>
        <w:pStyle w:val="Heading3"/>
        <w:spacing w:line="240" w:lineRule="auto" w:before="71"/>
        <w:ind w:left="1740" w:right="0"/>
        <w:jc w:val="left"/>
        <w:rPr>
          <w:b w:val="0"/>
          <w:bCs w:val="0"/>
        </w:rPr>
      </w:pPr>
      <w:r>
        <w:rPr/>
        <w:t>重大关联交易临时报告披露网站相关查询</w:t>
      </w:r>
      <w:r>
        <w:rPr>
          <w:b w:val="0"/>
          <w:bCs w:val="0"/>
        </w:rPr>
      </w:r>
    </w:p>
    <w:p>
      <w:pPr>
        <w:spacing w:line="240" w:lineRule="auto" w:before="12"/>
        <w:rPr>
          <w:rFonts w:ascii="宋体" w:hAnsi="宋体" w:cs="宋体" w:eastAsia="宋体" w:hint="default"/>
          <w:b/>
          <w:bCs/>
          <w:sz w:val="15"/>
          <w:szCs w:val="15"/>
        </w:rPr>
      </w:pPr>
    </w:p>
    <w:tbl>
      <w:tblPr>
        <w:tblW w:w="0" w:type="auto"/>
        <w:jc w:val="left"/>
        <w:tblInd w:w="1298" w:type="dxa"/>
        <w:tblLayout w:type="fixed"/>
        <w:tblCellMar>
          <w:top w:w="0" w:type="dxa"/>
          <w:left w:w="0" w:type="dxa"/>
          <w:bottom w:w="0" w:type="dxa"/>
          <w:right w:w="0" w:type="dxa"/>
        </w:tblCellMar>
        <w:tblLook w:val="01E0"/>
      </w:tblPr>
      <w:tblGrid>
        <w:gridCol w:w="3654"/>
        <w:gridCol w:w="2651"/>
        <w:gridCol w:w="2036"/>
      </w:tblGrid>
      <w:tr>
        <w:trPr>
          <w:trHeight w:val="323" w:hRule="exact"/>
        </w:trPr>
        <w:tc>
          <w:tcPr>
            <w:tcW w:w="3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3"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558"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01"/>
              <w:jc w:val="left"/>
              <w:rPr>
                <w:rFonts w:ascii="宋体" w:hAnsi="宋体" w:cs="宋体" w:eastAsia="宋体" w:hint="default"/>
                <w:sz w:val="18"/>
                <w:szCs w:val="18"/>
              </w:rPr>
            </w:pPr>
            <w:r>
              <w:rPr>
                <w:rFonts w:ascii="宋体" w:hAnsi="宋体" w:cs="宋体" w:eastAsia="宋体" w:hint="default"/>
                <w:sz w:val="18"/>
                <w:szCs w:val="18"/>
              </w:rPr>
              <w:t>关于为温岭市利欧小额贷款有限公司提供担 保的关联交易公告</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2"/>
        <w:rPr>
          <w:rFonts w:ascii="宋体" w:hAnsi="宋体" w:cs="宋体" w:eastAsia="宋体" w:hint="default"/>
          <w:b/>
          <w:bCs/>
          <w:sz w:val="17"/>
          <w:szCs w:val="17"/>
        </w:rPr>
      </w:pPr>
    </w:p>
    <w:p>
      <w:pPr>
        <w:pStyle w:val="Heading2"/>
        <w:spacing w:line="240" w:lineRule="auto" w:before="26"/>
        <w:ind w:left="1318" w:right="0"/>
        <w:jc w:val="left"/>
        <w:rPr>
          <w:b w:val="0"/>
          <w:bCs w:val="0"/>
        </w:rPr>
      </w:pPr>
      <w:bookmarkStart w:name="八、重大合同及其履行情况" w:id="58"/>
      <w:bookmarkEnd w:id="58"/>
      <w:r>
        <w:rPr>
          <w:b w:val="0"/>
          <w:bCs w:val="0"/>
        </w:rPr>
      </w:r>
      <w:r>
        <w:rPr/>
        <w:t>八、重大合同及其履行情况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318" w:right="0"/>
        <w:jc w:val="left"/>
        <w:rPr>
          <w:b w:val="0"/>
          <w:bCs w:val="0"/>
        </w:rPr>
      </w:pPr>
      <w:bookmarkStart w:name="担保情况" w:id="59"/>
      <w:bookmarkEnd w:id="59"/>
      <w:r>
        <w:rPr>
          <w:b w:val="0"/>
          <w:bCs w:val="0"/>
        </w:rPr>
      </w:r>
      <w:r>
        <w:rPr/>
        <w:t>担保情况</w:t>
      </w:r>
      <w:r>
        <w:rPr>
          <w:b w:val="0"/>
          <w:bCs w:val="0"/>
        </w:rPr>
      </w:r>
    </w:p>
    <w:p>
      <w:pPr>
        <w:spacing w:line="240" w:lineRule="auto" w:before="11"/>
        <w:rPr>
          <w:rFonts w:ascii="宋体" w:hAnsi="宋体" w:cs="宋体" w:eastAsia="宋体" w:hint="default"/>
          <w:b/>
          <w:bCs/>
          <w:sz w:val="19"/>
          <w:szCs w:val="19"/>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437" w:type="dxa"/>
        <w:tblLayout w:type="fixed"/>
        <w:tblCellMar>
          <w:top w:w="0" w:type="dxa"/>
          <w:left w:w="0" w:type="dxa"/>
          <w:bottom w:w="0" w:type="dxa"/>
          <w:right w:w="0" w:type="dxa"/>
        </w:tblCellMar>
        <w:tblLook w:val="01E0"/>
      </w:tblPr>
      <w:tblGrid>
        <w:gridCol w:w="1606"/>
        <w:gridCol w:w="1544"/>
        <w:gridCol w:w="761"/>
        <w:gridCol w:w="1530"/>
        <w:gridCol w:w="990"/>
        <w:gridCol w:w="1260"/>
        <w:gridCol w:w="776"/>
        <w:gridCol w:w="799"/>
        <w:gridCol w:w="788"/>
      </w:tblGrid>
      <w:tr>
        <w:trPr>
          <w:trHeight w:val="323" w:hRule="exact"/>
        </w:trPr>
        <w:tc>
          <w:tcPr>
            <w:tcW w:w="100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22"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4"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6" w:right="4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5" w:right="10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0" w:right="38"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9" w:right="3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34" w:lineRule="exact" w:before="20"/>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温岭市利欧小额贷 款有限公司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12,000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43" w:right="0"/>
              <w:jc w:val="lef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3"/>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温岭市利欧小额贷 款有限公司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12,000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未发生担保</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43"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49" w:right="0"/>
              <w:jc w:val="left"/>
              <w:rPr>
                <w:rFonts w:ascii="宋体" w:hAnsi="宋体" w:cs="宋体" w:eastAsia="宋体" w:hint="default"/>
                <w:sz w:val="18"/>
                <w:szCs w:val="18"/>
              </w:rPr>
            </w:pPr>
            <w:r>
              <w:rPr>
                <w:rFonts w:ascii="宋体"/>
                <w:sz w:val="18"/>
              </w:rPr>
              <w:t>-</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w:t>
            </w:r>
          </w:p>
        </w:tc>
      </w:tr>
      <w:tr>
        <w:trPr>
          <w:trHeight w:val="557" w:hRule="exact"/>
        </w:trPr>
        <w:tc>
          <w:tcPr>
            <w:tcW w:w="3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4"/>
                <w:sz w:val="18"/>
                <w:szCs w:val="18"/>
              </w:rPr>
              <w:t>报告期内审批的对外担保额度合计（</w:t>
            </w:r>
            <w:r>
              <w:rPr>
                <w:rFonts w:ascii="宋体" w:hAnsi="宋体" w:cs="宋体" w:eastAsia="宋体" w:hint="default"/>
                <w:spacing w:val="-4"/>
                <w:sz w:val="18"/>
                <w:szCs w:val="18"/>
              </w:rPr>
              <w:t>A1</w:t>
            </w:r>
          </w:p>
        </w:tc>
        <w:tc>
          <w:tcPr>
            <w:tcW w:w="2291" w:type="dxa"/>
            <w:gridSpan w:val="2"/>
            <w:tcBorders>
              <w:top w:val="single" w:sz="4" w:space="0" w:color="000000"/>
              <w:left w:val="single" w:sz="4" w:space="0" w:color="000000"/>
              <w:bottom w:val="single" w:sz="4" w:space="0" w:color="000000"/>
              <w:right w:val="single" w:sz="9" w:space="0" w:color="D2D2D2"/>
            </w:tcBorders>
          </w:tcPr>
          <w:p>
            <w:pPr>
              <w:pStyle w:val="TableParagraph"/>
              <w:tabs>
                <w:tab w:pos="870" w:val="left" w:leader="none"/>
              </w:tabs>
              <w:spacing w:line="240" w:lineRule="auto" w:before="127"/>
              <w:ind w:left="-124"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12,000</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宋体" w:hAnsi="宋体" w:cs="宋体" w:eastAsia="宋体" w:hint="default"/>
                <w:sz w:val="18"/>
                <w:szCs w:val="18"/>
              </w:rPr>
              <w:t>A2</w:t>
            </w:r>
            <w:r>
              <w:rPr>
                <w:rFonts w:ascii="宋体" w:hAnsi="宋体" w:cs="宋体" w:eastAsia="宋体" w:hint="default"/>
                <w:sz w:val="18"/>
                <w:szCs w:val="18"/>
              </w:rPr>
              <w:t>）</w:t>
            </w:r>
          </w:p>
        </w:tc>
        <w:tc>
          <w:tcPr>
            <w:tcW w:w="23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11,000</w:t>
            </w:r>
          </w:p>
        </w:tc>
      </w:tr>
      <w:tr>
        <w:trPr>
          <w:trHeight w:val="324" w:hRule="exact"/>
        </w:trPr>
        <w:tc>
          <w:tcPr>
            <w:tcW w:w="3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tc>
        <w:tc>
          <w:tcPr>
            <w:tcW w:w="2291" w:type="dxa"/>
            <w:gridSpan w:val="2"/>
            <w:tcBorders>
              <w:top w:val="single" w:sz="4" w:space="0" w:color="000000"/>
              <w:left w:val="single" w:sz="4" w:space="0" w:color="000000"/>
              <w:bottom w:val="single" w:sz="4" w:space="0" w:color="000000"/>
              <w:right w:val="single" w:sz="9" w:space="0" w:color="D2D2D2"/>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12,000</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w:t>
            </w:r>
          </w:p>
        </w:tc>
        <w:tc>
          <w:tcPr>
            <w:tcW w:w="23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w:t>
            </w:r>
          </w:p>
        </w:tc>
      </w:tr>
    </w:tbl>
    <w:p>
      <w:pPr>
        <w:spacing w:after="0" w:line="240" w:lineRule="auto"/>
        <w:jc w:val="center"/>
        <w:rPr>
          <w:rFonts w:ascii="宋体" w:hAnsi="宋体" w:cs="宋体" w:eastAsia="宋体" w:hint="default"/>
          <w:sz w:val="18"/>
          <w:szCs w:val="18"/>
        </w:rPr>
        <w:sectPr>
          <w:pgSz w:w="11910" w:h="16840"/>
          <w:pgMar w:header="0" w:footer="938" w:top="1100" w:bottom="1120" w:left="4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606"/>
        <w:gridCol w:w="1540"/>
        <w:gridCol w:w="765"/>
        <w:gridCol w:w="1533"/>
        <w:gridCol w:w="987"/>
        <w:gridCol w:w="1252"/>
        <w:gridCol w:w="784"/>
        <w:gridCol w:w="806"/>
        <w:gridCol w:w="785"/>
      </w:tblGrid>
      <w:tr>
        <w:trPr>
          <w:trHeight w:val="289" w:hRule="exact"/>
        </w:trPr>
        <w:tc>
          <w:tcPr>
            <w:tcW w:w="3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w:t>
            </w:r>
            <w:r>
              <w:rPr>
                <w:rFonts w:ascii="宋体" w:hAnsi="宋体" w:cs="宋体" w:eastAsia="宋体" w:hint="default"/>
                <w:sz w:val="18"/>
                <w:szCs w:val="18"/>
              </w:rPr>
              <w:t>）</w:t>
            </w:r>
          </w:p>
        </w:tc>
        <w:tc>
          <w:tcPr>
            <w:tcW w:w="2298" w:type="dxa"/>
            <w:gridSpan w:val="2"/>
            <w:tcBorders>
              <w:top w:val="single" w:sz="4" w:space="0" w:color="000000"/>
              <w:left w:val="single" w:sz="13" w:space="0" w:color="D2D2D2"/>
              <w:bottom w:val="single" w:sz="4" w:space="0" w:color="000000"/>
              <w:right w:val="single" w:sz="9" w:space="0" w:color="D2D2D2"/>
            </w:tcBorders>
          </w:tcPr>
          <w:p>
            <w:pPr/>
          </w:p>
        </w:tc>
        <w:tc>
          <w:tcPr>
            <w:tcW w:w="2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A4</w:t>
            </w:r>
            <w:r>
              <w:rPr>
                <w:rFonts w:ascii="宋体" w:hAnsi="宋体" w:cs="宋体" w:eastAsia="宋体" w:hint="default"/>
                <w:sz w:val="18"/>
                <w:szCs w:val="18"/>
              </w:rPr>
              <w:t>）</w:t>
            </w:r>
          </w:p>
        </w:tc>
        <w:tc>
          <w:tcPr>
            <w:tcW w:w="2376" w:type="dxa"/>
            <w:gridSpan w:val="3"/>
            <w:tcBorders>
              <w:top w:val="single" w:sz="4" w:space="0" w:color="000000"/>
              <w:left w:val="single" w:sz="13" w:space="0" w:color="D2D2D2"/>
              <w:bottom w:val="single" w:sz="4" w:space="0" w:color="000000"/>
              <w:right w:val="single" w:sz="4" w:space="0" w:color="000000"/>
            </w:tcBorders>
          </w:tcPr>
          <w:p>
            <w:pPr/>
          </w:p>
        </w:tc>
      </w:tr>
      <w:tr>
        <w:trPr>
          <w:trHeight w:val="313" w:hRule="exact"/>
        </w:trPr>
        <w:tc>
          <w:tcPr>
            <w:tcW w:w="100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44" w:hRule="exact"/>
        </w:trPr>
        <w:tc>
          <w:tcPr>
            <w:tcW w:w="1606" w:type="dxa"/>
            <w:vMerge w:val="restart"/>
            <w:tcBorders>
              <w:top w:val="single" w:sz="4" w:space="0" w:color="000000"/>
              <w:left w:val="single" w:sz="4" w:space="0" w:color="000000"/>
              <w:right w:val="single" w:sz="4" w:space="0" w:color="000000"/>
            </w:tcBorders>
            <w:shd w:val="clear" w:color="auto" w:fill="D2D2D2"/>
          </w:tcPr>
          <w:p>
            <w:pPr/>
          </w:p>
        </w:tc>
        <w:tc>
          <w:tcPr>
            <w:tcW w:w="1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2" w:type="dxa"/>
            <w:vMerge w:val="restart"/>
            <w:tcBorders>
              <w:top w:val="single" w:sz="4" w:space="0" w:color="000000"/>
              <w:left w:val="single" w:sz="4" w:space="0" w:color="000000"/>
              <w:right w:val="single" w:sz="4" w:space="0" w:color="000000"/>
            </w:tcBorders>
            <w:shd w:val="clear" w:color="auto" w:fill="D2D2D2"/>
          </w:tcPr>
          <w:p>
            <w:pPr/>
          </w:p>
        </w:tc>
        <w:tc>
          <w:tcPr>
            <w:tcW w:w="784" w:type="dxa"/>
            <w:vMerge w:val="restart"/>
            <w:tcBorders>
              <w:top w:val="single" w:sz="4" w:space="0" w:color="000000"/>
              <w:left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8" w:right="24"/>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234" w:lineRule="exact" w:before="20"/>
              <w:ind w:left="118" w:right="114"/>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16" w:hRule="exact"/>
        </w:trPr>
        <w:tc>
          <w:tcPr>
            <w:tcW w:w="1606" w:type="dxa"/>
            <w:vMerge/>
            <w:tcBorders>
              <w:left w:val="single" w:sz="4" w:space="0" w:color="000000"/>
              <w:bottom w:val="nil" w:sz="6" w:space="0" w:color="auto"/>
              <w:right w:val="single" w:sz="4" w:space="0" w:color="000000"/>
            </w:tcBorders>
            <w:shd w:val="clear" w:color="auto" w:fill="D2D2D2"/>
          </w:tcPr>
          <w:p>
            <w:pPr/>
          </w:p>
        </w:tc>
        <w:tc>
          <w:tcPr>
            <w:tcW w:w="1540"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406" w:right="43"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65"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289" w:right="10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33"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310" w:right="41"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87"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396" w:right="3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252"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4"/>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tcBorders>
              <w:left w:val="single" w:sz="4" w:space="0" w:color="000000"/>
              <w:right w:val="single" w:sz="4" w:space="0" w:color="000000"/>
            </w:tcBorders>
            <w:shd w:val="clear" w:color="auto" w:fill="D2D2D2"/>
          </w:tcPr>
          <w:p>
            <w:pPr/>
          </w:p>
        </w:tc>
      </w:tr>
      <w:tr>
        <w:trPr>
          <w:trHeight w:val="313" w:hRule="exact"/>
        </w:trPr>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5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40" w:type="dxa"/>
            <w:vMerge/>
            <w:tcBorders>
              <w:left w:val="single" w:sz="4" w:space="0" w:color="000000"/>
              <w:right w:val="single" w:sz="4" w:space="0" w:color="000000"/>
            </w:tcBorders>
            <w:shd w:val="clear" w:color="auto" w:fill="D2D2D2"/>
          </w:tcPr>
          <w:p>
            <w:pPr/>
          </w:p>
        </w:tc>
        <w:tc>
          <w:tcPr>
            <w:tcW w:w="765" w:type="dxa"/>
            <w:vMerge/>
            <w:tcBorders>
              <w:left w:val="single" w:sz="4" w:space="0" w:color="000000"/>
              <w:right w:val="single" w:sz="4" w:space="0" w:color="000000"/>
            </w:tcBorders>
            <w:shd w:val="clear" w:color="auto" w:fill="D2D2D2"/>
          </w:tcPr>
          <w:p>
            <w:pPr/>
          </w:p>
        </w:tc>
        <w:tc>
          <w:tcPr>
            <w:tcW w:w="1533" w:type="dxa"/>
            <w:vMerge/>
            <w:tcBorders>
              <w:left w:val="single" w:sz="4" w:space="0" w:color="000000"/>
              <w:right w:val="single" w:sz="4" w:space="0" w:color="000000"/>
            </w:tcBorders>
            <w:shd w:val="clear" w:color="auto" w:fill="D2D2D2"/>
          </w:tcPr>
          <w:p>
            <w:pPr/>
          </w:p>
        </w:tc>
        <w:tc>
          <w:tcPr>
            <w:tcW w:w="987" w:type="dxa"/>
            <w:vMerge/>
            <w:tcBorders>
              <w:left w:val="single" w:sz="4" w:space="0" w:color="000000"/>
              <w:right w:val="single" w:sz="4" w:space="0" w:color="000000"/>
            </w:tcBorders>
            <w:shd w:val="clear" w:color="auto" w:fill="D2D2D2"/>
          </w:tcPr>
          <w:p>
            <w:pPr/>
          </w:p>
        </w:tc>
        <w:tc>
          <w:tcPr>
            <w:tcW w:w="12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17" w:hRule="exact"/>
        </w:trPr>
        <w:tc>
          <w:tcPr>
            <w:tcW w:w="1606" w:type="dxa"/>
            <w:vMerge w:val="restart"/>
            <w:tcBorders>
              <w:top w:val="nil" w:sz="6" w:space="0" w:color="auto"/>
              <w:left w:val="single" w:sz="4" w:space="0" w:color="000000"/>
              <w:right w:val="single" w:sz="4" w:space="0" w:color="000000"/>
            </w:tcBorders>
            <w:shd w:val="clear" w:color="auto" w:fill="D2D2D2"/>
          </w:tcPr>
          <w:p>
            <w:pPr/>
          </w:p>
        </w:tc>
        <w:tc>
          <w:tcPr>
            <w:tcW w:w="1540" w:type="dxa"/>
            <w:vMerge/>
            <w:tcBorders>
              <w:left w:val="single" w:sz="4" w:space="0" w:color="000000"/>
              <w:bottom w:val="nil" w:sz="6" w:space="0" w:color="auto"/>
              <w:right w:val="single" w:sz="4" w:space="0" w:color="000000"/>
            </w:tcBorders>
            <w:shd w:val="clear" w:color="auto" w:fill="D2D2D2"/>
          </w:tcPr>
          <w:p>
            <w:pPr/>
          </w:p>
        </w:tc>
        <w:tc>
          <w:tcPr>
            <w:tcW w:w="765" w:type="dxa"/>
            <w:vMerge/>
            <w:tcBorders>
              <w:left w:val="single" w:sz="4" w:space="0" w:color="000000"/>
              <w:bottom w:val="nil" w:sz="6" w:space="0" w:color="auto"/>
              <w:right w:val="single" w:sz="4" w:space="0" w:color="000000"/>
            </w:tcBorders>
            <w:shd w:val="clear" w:color="auto" w:fill="D2D2D2"/>
          </w:tcPr>
          <w:p>
            <w:pPr/>
          </w:p>
        </w:tc>
        <w:tc>
          <w:tcPr>
            <w:tcW w:w="1533" w:type="dxa"/>
            <w:vMerge/>
            <w:tcBorders>
              <w:left w:val="single" w:sz="4" w:space="0" w:color="000000"/>
              <w:bottom w:val="nil" w:sz="6" w:space="0" w:color="auto"/>
              <w:right w:val="single" w:sz="4" w:space="0" w:color="000000"/>
            </w:tcBorders>
            <w:shd w:val="clear" w:color="auto" w:fill="D2D2D2"/>
          </w:tcPr>
          <w:p>
            <w:pPr/>
          </w:p>
        </w:tc>
        <w:tc>
          <w:tcPr>
            <w:tcW w:w="987" w:type="dxa"/>
            <w:vMerge/>
            <w:tcBorders>
              <w:left w:val="single" w:sz="4" w:space="0" w:color="000000"/>
              <w:bottom w:val="nil" w:sz="6" w:space="0" w:color="auto"/>
              <w:right w:val="single" w:sz="4" w:space="0" w:color="000000"/>
            </w:tcBorders>
            <w:shd w:val="clear" w:color="auto" w:fill="D2D2D2"/>
          </w:tcPr>
          <w:p>
            <w:pPr/>
          </w:p>
        </w:tc>
        <w:tc>
          <w:tcPr>
            <w:tcW w:w="1252" w:type="dxa"/>
            <w:vMerge w:val="restart"/>
            <w:tcBorders>
              <w:top w:val="nil" w:sz="6" w:space="0" w:color="auto"/>
              <w:left w:val="single" w:sz="4" w:space="0" w:color="000000"/>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239"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1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2" w:type="dxa"/>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浙江大农实业有限 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8"/>
                <w:szCs w:val="18"/>
              </w:rPr>
            </w:pPr>
            <w:r>
              <w:rPr>
                <w:rFonts w:ascii="宋体"/>
                <w:sz w:val="18"/>
              </w:rPr>
              <w:t>3,500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
              <w:jc w:val="center"/>
              <w:rPr>
                <w:rFonts w:ascii="宋体" w:hAnsi="宋体" w:cs="宋体" w:eastAsia="宋体" w:hint="default"/>
                <w:sz w:val="18"/>
                <w:szCs w:val="18"/>
              </w:rPr>
            </w:pPr>
            <w:r>
              <w:rPr>
                <w:rFonts w:ascii="宋体"/>
                <w:sz w:val="18"/>
              </w:rPr>
              <w:t>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6" w:right="0"/>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6"/>
              <w:jc w:val="righ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浙江大农实业有限 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3,200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无锡利欧锡泵制造 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4,000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无锡利欧锡泵制造 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4,000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742.65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1"/>
              <w:jc w:val="left"/>
              <w:rPr>
                <w:rFonts w:ascii="宋体" w:hAnsi="宋体" w:cs="宋体" w:eastAsia="宋体" w:hint="default"/>
                <w:sz w:val="18"/>
                <w:szCs w:val="18"/>
              </w:rPr>
            </w:pPr>
            <w:r>
              <w:rPr>
                <w:rFonts w:ascii="宋体" w:hAnsi="宋体" w:cs="宋体" w:eastAsia="宋体" w:hint="default"/>
                <w:sz w:val="18"/>
                <w:szCs w:val="18"/>
              </w:rPr>
              <w:t>无锡利欧锡泵制造 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1,000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693.80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31"/>
              <w:jc w:val="left"/>
              <w:rPr>
                <w:rFonts w:ascii="宋体" w:hAnsi="宋体" w:cs="宋体" w:eastAsia="宋体" w:hint="default"/>
                <w:sz w:val="18"/>
                <w:szCs w:val="18"/>
              </w:rPr>
            </w:pPr>
            <w:r>
              <w:rPr>
                <w:rFonts w:ascii="宋体" w:hAnsi="宋体" w:cs="宋体" w:eastAsia="宋体" w:hint="default"/>
                <w:sz w:val="18"/>
                <w:szCs w:val="18"/>
              </w:rPr>
              <w:t>湖南利欧泵业有限 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5,000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31"/>
              <w:jc w:val="left"/>
              <w:rPr>
                <w:rFonts w:ascii="宋体" w:hAnsi="宋体" w:cs="宋体" w:eastAsia="宋体" w:hint="default"/>
                <w:sz w:val="18"/>
                <w:szCs w:val="18"/>
              </w:rPr>
            </w:pPr>
            <w:r>
              <w:rPr>
                <w:rFonts w:ascii="宋体" w:hAnsi="宋体" w:cs="宋体" w:eastAsia="宋体" w:hint="default"/>
                <w:sz w:val="18"/>
                <w:szCs w:val="18"/>
              </w:rPr>
              <w:t>湖南利欧泵业有限 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8,000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sz w:val="18"/>
              </w:rPr>
              <w:t>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31"/>
              <w:jc w:val="left"/>
              <w:rPr>
                <w:rFonts w:ascii="宋体" w:hAnsi="宋体" w:cs="宋体" w:eastAsia="宋体" w:hint="default"/>
                <w:sz w:val="18"/>
                <w:szCs w:val="18"/>
              </w:rPr>
            </w:pPr>
            <w:r>
              <w:rPr>
                <w:rFonts w:ascii="宋体" w:hAnsi="宋体" w:cs="宋体" w:eastAsia="宋体" w:hint="default"/>
                <w:sz w:val="18"/>
                <w:szCs w:val="18"/>
              </w:rPr>
              <w:t>长沙利欧天鹅工业 泵有限公司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3,000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553.00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长沙利欧天鹅工业 泵有限公司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sz w:val="18"/>
              </w:rPr>
              <w:t>1,000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1,000.00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06"/>
              <w:jc w:val="righ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94"/>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B1</w:t>
            </w:r>
            <w:r>
              <w:rPr>
                <w:rFonts w:ascii="宋体" w:hAnsi="宋体" w:cs="宋体" w:eastAsia="宋体" w:hint="default"/>
                <w:sz w:val="18"/>
                <w:szCs w:val="18"/>
              </w:rPr>
              <w:t>）</w:t>
            </w:r>
          </w:p>
        </w:tc>
        <w:tc>
          <w:tcPr>
            <w:tcW w:w="229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8"/>
              <w:ind w:right="2"/>
              <w:jc w:val="center"/>
              <w:rPr>
                <w:rFonts w:ascii="宋体" w:hAnsi="宋体" w:cs="宋体" w:eastAsia="宋体" w:hint="default"/>
                <w:sz w:val="18"/>
                <w:szCs w:val="18"/>
              </w:rPr>
            </w:pPr>
            <w:r>
              <w:rPr>
                <w:rFonts w:ascii="宋体"/>
                <w:sz w:val="18"/>
              </w:rPr>
              <w:t>52,500</w:t>
            </w:r>
          </w:p>
        </w:tc>
        <w:tc>
          <w:tcPr>
            <w:tcW w:w="2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 w:right="4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37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right="9"/>
              <w:jc w:val="center"/>
              <w:rPr>
                <w:rFonts w:ascii="宋体" w:hAnsi="宋体" w:cs="宋体" w:eastAsia="宋体" w:hint="default"/>
                <w:sz w:val="18"/>
                <w:szCs w:val="18"/>
              </w:rPr>
            </w:pPr>
            <w:r>
              <w:rPr>
                <w:rFonts w:ascii="宋体"/>
                <w:sz w:val="18"/>
              </w:rPr>
              <w:t>2,989.45</w:t>
            </w:r>
          </w:p>
        </w:tc>
      </w:tr>
      <w:tr>
        <w:trPr>
          <w:trHeight w:val="562" w:hRule="exact"/>
        </w:trPr>
        <w:tc>
          <w:tcPr>
            <w:tcW w:w="3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3"/>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宋体" w:hAnsi="宋体" w:cs="宋体" w:eastAsia="宋体" w:hint="default"/>
                <w:sz w:val="18"/>
                <w:szCs w:val="18"/>
              </w:rPr>
              <w:t>B3</w:t>
            </w:r>
            <w:r>
              <w:rPr>
                <w:rFonts w:ascii="宋体" w:hAnsi="宋体" w:cs="宋体" w:eastAsia="宋体" w:hint="default"/>
                <w:sz w:val="18"/>
                <w:szCs w:val="18"/>
              </w:rPr>
              <w:t>）</w:t>
            </w:r>
          </w:p>
        </w:tc>
        <w:tc>
          <w:tcPr>
            <w:tcW w:w="229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7"/>
              <w:ind w:right="2"/>
              <w:jc w:val="center"/>
              <w:rPr>
                <w:rFonts w:ascii="宋体" w:hAnsi="宋体" w:cs="宋体" w:eastAsia="宋体" w:hint="default"/>
                <w:sz w:val="18"/>
                <w:szCs w:val="18"/>
              </w:rPr>
            </w:pPr>
            <w:r>
              <w:rPr>
                <w:rFonts w:ascii="宋体"/>
                <w:sz w:val="18"/>
              </w:rPr>
              <w:t>52,500</w:t>
            </w:r>
          </w:p>
        </w:tc>
        <w:tc>
          <w:tcPr>
            <w:tcW w:w="2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 w:right="4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37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9"/>
              <w:jc w:val="center"/>
              <w:rPr>
                <w:rFonts w:ascii="宋体" w:hAnsi="宋体" w:cs="宋体" w:eastAsia="宋体" w:hint="default"/>
                <w:sz w:val="18"/>
                <w:szCs w:val="18"/>
              </w:rPr>
            </w:pPr>
            <w:r>
              <w:rPr>
                <w:rFonts w:ascii="宋体"/>
                <w:sz w:val="18"/>
              </w:rPr>
              <w:t>2,989.45</w:t>
            </w:r>
          </w:p>
        </w:tc>
      </w:tr>
      <w:tr>
        <w:trPr>
          <w:trHeight w:val="313" w:hRule="exact"/>
        </w:trPr>
        <w:tc>
          <w:tcPr>
            <w:tcW w:w="1006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127" w:hRule="exact"/>
        </w:trPr>
        <w:tc>
          <w:tcPr>
            <w:tcW w:w="314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98" w:type="dxa"/>
            <w:gridSpan w:val="2"/>
            <w:vMerge w:val="restart"/>
            <w:tcBorders>
              <w:top w:val="single" w:sz="4" w:space="0" w:color="000000"/>
              <w:left w:val="single" w:sz="13" w:space="0" w:color="D2D2D2"/>
              <w:right w:val="single" w:sz="9" w:space="0" w:color="D2D2D2"/>
            </w:tcBorders>
          </w:tcPr>
          <w:p>
            <w:pPr>
              <w:pStyle w:val="TableParagraph"/>
              <w:spacing w:line="240" w:lineRule="auto" w:before="133"/>
              <w:ind w:right="2"/>
              <w:jc w:val="center"/>
              <w:rPr>
                <w:rFonts w:ascii="宋体" w:hAnsi="宋体" w:cs="宋体" w:eastAsia="宋体" w:hint="default"/>
                <w:sz w:val="18"/>
                <w:szCs w:val="18"/>
              </w:rPr>
            </w:pPr>
            <w:r>
              <w:rPr>
                <w:rFonts w:ascii="宋体"/>
                <w:sz w:val="18"/>
              </w:rPr>
              <w:t>64,500</w:t>
            </w:r>
          </w:p>
        </w:tc>
        <w:tc>
          <w:tcPr>
            <w:tcW w:w="22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20" w:right="4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宋体" w:hAnsi="宋体" w:cs="宋体" w:eastAsia="宋体" w:hint="default"/>
                <w:sz w:val="18"/>
                <w:szCs w:val="18"/>
              </w:rPr>
              <w:t>A2+B2</w:t>
            </w:r>
            <w:r>
              <w:rPr>
                <w:rFonts w:ascii="宋体" w:hAnsi="宋体" w:cs="宋体" w:eastAsia="宋体" w:hint="default"/>
                <w:sz w:val="18"/>
                <w:szCs w:val="18"/>
              </w:rPr>
              <w:t>）</w:t>
            </w:r>
          </w:p>
        </w:tc>
        <w:tc>
          <w:tcPr>
            <w:tcW w:w="2376" w:type="dxa"/>
            <w:gridSpan w:val="3"/>
            <w:vMerge w:val="restart"/>
            <w:tcBorders>
              <w:top w:val="single" w:sz="4" w:space="0" w:color="000000"/>
              <w:left w:val="single" w:sz="13" w:space="0" w:color="D2D2D2"/>
              <w:right w:val="single" w:sz="4" w:space="0" w:color="000000"/>
            </w:tcBorders>
          </w:tcPr>
          <w:p>
            <w:pPr>
              <w:pStyle w:val="TableParagraph"/>
              <w:spacing w:line="240" w:lineRule="auto" w:before="133"/>
              <w:ind w:left="767" w:right="0"/>
              <w:jc w:val="left"/>
              <w:rPr>
                <w:rFonts w:ascii="宋体" w:hAnsi="宋体" w:cs="宋体" w:eastAsia="宋体" w:hint="default"/>
                <w:sz w:val="18"/>
                <w:szCs w:val="18"/>
              </w:rPr>
            </w:pPr>
            <w:r>
              <w:rPr>
                <w:rFonts w:ascii="宋体"/>
                <w:sz w:val="18"/>
              </w:rPr>
              <w:t>13,989.45</w:t>
            </w:r>
          </w:p>
        </w:tc>
      </w:tr>
      <w:tr>
        <w:trPr>
          <w:trHeight w:val="376" w:hRule="exact"/>
        </w:trPr>
        <w:tc>
          <w:tcPr>
            <w:tcW w:w="3146"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宋体" w:hAnsi="宋体" w:cs="宋体" w:eastAsia="宋体" w:hint="default"/>
                <w:sz w:val="18"/>
                <w:szCs w:val="18"/>
              </w:rPr>
              <w:t>A1+B1</w:t>
            </w:r>
            <w:r>
              <w:rPr>
                <w:rFonts w:ascii="宋体" w:hAnsi="宋体" w:cs="宋体" w:eastAsia="宋体" w:hint="default"/>
                <w:sz w:val="18"/>
                <w:szCs w:val="18"/>
              </w:rPr>
              <w:t>）</w:t>
            </w:r>
          </w:p>
        </w:tc>
        <w:tc>
          <w:tcPr>
            <w:tcW w:w="2298" w:type="dxa"/>
            <w:gridSpan w:val="2"/>
            <w:vMerge/>
            <w:tcBorders>
              <w:left w:val="single" w:sz="13" w:space="0" w:color="D2D2D2"/>
              <w:bottom w:val="single" w:sz="4" w:space="0" w:color="000000"/>
              <w:right w:val="single" w:sz="9" w:space="0" w:color="D2D2D2"/>
            </w:tcBorders>
          </w:tcPr>
          <w:p>
            <w:pPr/>
          </w:p>
        </w:tc>
        <w:tc>
          <w:tcPr>
            <w:tcW w:w="2240" w:type="dxa"/>
            <w:gridSpan w:val="2"/>
            <w:vMerge/>
            <w:tcBorders>
              <w:left w:val="single" w:sz="4" w:space="0" w:color="000000"/>
              <w:bottom w:val="single" w:sz="4" w:space="0" w:color="000000"/>
              <w:right w:val="single" w:sz="4" w:space="0" w:color="000000"/>
            </w:tcBorders>
            <w:shd w:val="clear" w:color="auto" w:fill="D2D2D2"/>
          </w:tcPr>
          <w:p>
            <w:pPr/>
          </w:p>
        </w:tc>
        <w:tc>
          <w:tcPr>
            <w:tcW w:w="2376" w:type="dxa"/>
            <w:gridSpan w:val="3"/>
            <w:vMerge/>
            <w:tcBorders>
              <w:left w:val="single" w:sz="13" w:space="0" w:color="D2D2D2"/>
              <w:bottom w:val="single" w:sz="4" w:space="0" w:color="000000"/>
              <w:right w:val="single" w:sz="4" w:space="0" w:color="000000"/>
            </w:tcBorders>
          </w:tcPr>
          <w:p>
            <w:pPr/>
          </w:p>
        </w:tc>
      </w:tr>
      <w:tr>
        <w:trPr>
          <w:trHeight w:val="616" w:hRule="exact"/>
        </w:trPr>
        <w:tc>
          <w:tcPr>
            <w:tcW w:w="31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67"/>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w:t>
            </w:r>
            <w:r>
              <w:rPr>
                <w:rFonts w:ascii="宋体" w:hAnsi="宋体" w:cs="宋体" w:eastAsia="宋体" w:hint="default"/>
                <w:sz w:val="18"/>
                <w:szCs w:val="18"/>
              </w:rPr>
              <w:t>）</w:t>
            </w:r>
          </w:p>
        </w:tc>
        <w:tc>
          <w:tcPr>
            <w:tcW w:w="2298"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64,500</w:t>
            </w:r>
          </w:p>
        </w:tc>
        <w:tc>
          <w:tcPr>
            <w:tcW w:w="22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67"/>
              <w:ind w:left="20"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35" w:lineRule="exact"/>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A4+B4</w:t>
            </w:r>
            <w:r>
              <w:rPr>
                <w:rFonts w:ascii="宋体" w:hAnsi="宋体" w:cs="宋体" w:eastAsia="宋体" w:hint="default"/>
                <w:sz w:val="18"/>
                <w:szCs w:val="18"/>
              </w:rPr>
              <w:t>）</w:t>
            </w:r>
          </w:p>
        </w:tc>
        <w:tc>
          <w:tcPr>
            <w:tcW w:w="2376"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
              <w:jc w:val="center"/>
              <w:rPr>
                <w:rFonts w:ascii="宋体" w:hAnsi="宋体" w:cs="宋体" w:eastAsia="宋体" w:hint="default"/>
                <w:sz w:val="18"/>
                <w:szCs w:val="18"/>
              </w:rPr>
            </w:pPr>
            <w:r>
              <w:rPr>
                <w:rFonts w:ascii="宋体"/>
                <w:sz w:val="18"/>
              </w:rPr>
              <w:t>2,989.45</w:t>
            </w:r>
          </w:p>
        </w:tc>
      </w:tr>
      <w:tr>
        <w:trPr>
          <w:trHeight w:val="328" w:hRule="exact"/>
        </w:trPr>
        <w:tc>
          <w:tcPr>
            <w:tcW w:w="54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6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sz w:val="18"/>
              </w:rPr>
              <w:t>1.49</w:t>
            </w:r>
          </w:p>
        </w:tc>
      </w:tr>
      <w:tr>
        <w:trPr>
          <w:trHeight w:val="313" w:hRule="exact"/>
        </w:trPr>
        <w:tc>
          <w:tcPr>
            <w:tcW w:w="10060" w:type="dxa"/>
            <w:gridSpan w:val="9"/>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54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6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
              <w:ind w:right="18"/>
              <w:jc w:val="center"/>
              <w:rPr>
                <w:rFonts w:ascii="宋体" w:hAnsi="宋体" w:cs="宋体" w:eastAsia="宋体" w:hint="default"/>
                <w:sz w:val="18"/>
                <w:szCs w:val="18"/>
              </w:rPr>
            </w:pPr>
            <w:r>
              <w:rPr>
                <w:rFonts w:ascii="宋体"/>
                <w:sz w:val="18"/>
              </w:rPr>
              <w:t>0</w:t>
            </w:r>
          </w:p>
        </w:tc>
      </w:tr>
      <w:tr>
        <w:trPr>
          <w:trHeight w:val="557" w:hRule="exact"/>
        </w:trPr>
        <w:tc>
          <w:tcPr>
            <w:tcW w:w="54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D</w:t>
            </w:r>
            <w:r>
              <w:rPr>
                <w:rFonts w:ascii="宋体" w:hAnsi="宋体" w:cs="宋体" w:eastAsia="宋体" w:hint="default"/>
                <w:sz w:val="18"/>
                <w:szCs w:val="18"/>
              </w:rPr>
              <w:t>）</w:t>
            </w:r>
          </w:p>
        </w:tc>
        <w:tc>
          <w:tcPr>
            <w:tcW w:w="46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18"/>
              <w:jc w:val="center"/>
              <w:rPr>
                <w:rFonts w:ascii="宋体" w:hAnsi="宋体" w:cs="宋体" w:eastAsia="宋体" w:hint="default"/>
                <w:sz w:val="18"/>
                <w:szCs w:val="18"/>
              </w:rPr>
            </w:pPr>
            <w:r>
              <w:rPr>
                <w:rFonts w:ascii="宋体"/>
                <w:sz w:val="18"/>
              </w:rPr>
              <w:t>0</w:t>
            </w:r>
          </w:p>
        </w:tc>
      </w:tr>
      <w:tr>
        <w:trPr>
          <w:trHeight w:val="323" w:hRule="exact"/>
        </w:trPr>
        <w:tc>
          <w:tcPr>
            <w:tcW w:w="54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6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8"/>
              <w:jc w:val="center"/>
              <w:rPr>
                <w:rFonts w:ascii="宋体" w:hAnsi="宋体" w:cs="宋体" w:eastAsia="宋体" w:hint="default"/>
                <w:sz w:val="18"/>
                <w:szCs w:val="18"/>
              </w:rPr>
            </w:pPr>
            <w:r>
              <w:rPr>
                <w:rFonts w:ascii="宋体"/>
                <w:sz w:val="18"/>
              </w:rPr>
              <w:t>0</w:t>
            </w:r>
          </w:p>
        </w:tc>
      </w:tr>
      <w:tr>
        <w:trPr>
          <w:trHeight w:val="323" w:hRule="exact"/>
        </w:trPr>
        <w:tc>
          <w:tcPr>
            <w:tcW w:w="54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6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8"/>
              <w:jc w:val="center"/>
              <w:rPr>
                <w:rFonts w:ascii="宋体" w:hAnsi="宋体" w:cs="宋体" w:eastAsia="宋体" w:hint="default"/>
                <w:sz w:val="18"/>
                <w:szCs w:val="18"/>
              </w:rPr>
            </w:pPr>
            <w:r>
              <w:rPr>
                <w:rFonts w:ascii="宋体"/>
                <w:sz w:val="18"/>
              </w:rPr>
              <w:t>0</w:t>
            </w:r>
          </w:p>
        </w:tc>
      </w:tr>
      <w:tr>
        <w:trPr>
          <w:trHeight w:val="122" w:hRule="exact"/>
        </w:trPr>
        <w:tc>
          <w:tcPr>
            <w:tcW w:w="544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4615" w:type="dxa"/>
            <w:gridSpan w:val="5"/>
            <w:vMerge w:val="restart"/>
            <w:tcBorders>
              <w:top w:val="single" w:sz="4" w:space="0" w:color="000000"/>
              <w:left w:val="single" w:sz="13" w:space="0" w:color="D2D2D2"/>
              <w:right w:val="single" w:sz="4" w:space="0" w:color="000000"/>
            </w:tcBorders>
          </w:tcPr>
          <w:p>
            <w:pPr>
              <w:pStyle w:val="TableParagraph"/>
              <w:spacing w:line="240" w:lineRule="auto" w:before="9"/>
              <w:ind w:left="8" w:right="83"/>
              <w:jc w:val="left"/>
              <w:rPr>
                <w:rFonts w:ascii="宋体" w:hAnsi="宋体" w:cs="宋体" w:eastAsia="宋体" w:hint="default"/>
                <w:sz w:val="18"/>
                <w:szCs w:val="18"/>
              </w:rPr>
            </w:pPr>
            <w:r>
              <w:rPr>
                <w:rFonts w:ascii="宋体" w:hAnsi="宋体" w:cs="宋体" w:eastAsia="宋体" w:hint="default"/>
                <w:sz w:val="18"/>
                <w:szCs w:val="18"/>
              </w:rPr>
              <w:t>截止报告期末，不存在到期未偿还承担连带清偿责任的情 况。</w:t>
            </w:r>
          </w:p>
        </w:tc>
      </w:tr>
      <w:tr>
        <w:trPr>
          <w:trHeight w:val="376" w:hRule="exact"/>
        </w:trPr>
        <w:tc>
          <w:tcPr>
            <w:tcW w:w="5444" w:type="dxa"/>
            <w:gridSpan w:val="4"/>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615" w:type="dxa"/>
            <w:gridSpan w:val="5"/>
            <w:vMerge/>
            <w:tcBorders>
              <w:left w:val="single" w:sz="13" w:space="0" w:color="D2D2D2"/>
              <w:bottom w:val="single" w:sz="4" w:space="0" w:color="000000"/>
              <w:right w:val="single" w:sz="4" w:space="0" w:color="000000"/>
            </w:tcBorders>
          </w:tcPr>
          <w:p>
            <w:pPr/>
          </w:p>
        </w:tc>
      </w:tr>
      <w:tr>
        <w:trPr>
          <w:trHeight w:val="382" w:hRule="exact"/>
        </w:trPr>
        <w:tc>
          <w:tcPr>
            <w:tcW w:w="54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615"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left="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938" w:top="1100" w:bottom="1120" w:left="800" w:right="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before="26"/>
        <w:ind w:left="798" w:right="0"/>
        <w:jc w:val="left"/>
        <w:rPr>
          <w:b w:val="0"/>
          <w:bCs w:val="0"/>
        </w:rPr>
      </w:pPr>
      <w:bookmarkStart w:name="九、承诺事项履行情况" w:id="60"/>
      <w:bookmarkEnd w:id="60"/>
      <w:r>
        <w:rPr>
          <w:b w:val="0"/>
          <w:bCs w:val="0"/>
        </w:rPr>
      </w:r>
      <w:r>
        <w:rPr/>
        <w:t>九、承诺事项履行情况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797" w:right="0"/>
        <w:jc w:val="left"/>
        <w:rPr>
          <w:b w:val="0"/>
          <w:bCs w:val="0"/>
        </w:rPr>
      </w:pPr>
      <w:bookmarkStart w:name="1、公司或持股5%以上股东在报告期内或持续到报告期内的承诺事项" w:id="61"/>
      <w:bookmarkEnd w:id="61"/>
      <w:r>
        <w:rPr>
          <w:b w:val="0"/>
          <w:bCs w:val="0"/>
        </w:rPr>
      </w:r>
      <w:r>
        <w:rPr>
          <w:rFonts w:ascii="宋体" w:hAnsi="宋体" w:cs="宋体" w:eastAsia="宋体" w:hint="default"/>
        </w:rPr>
        <w:t>1</w:t>
      </w:r>
      <w:r>
        <w:rPr/>
        <w:t>、公司或持股</w:t>
      </w:r>
      <w:r>
        <w:rPr>
          <w:spacing w:val="-60"/>
        </w:rPr>
        <w:t> </w:t>
      </w:r>
      <w:r>
        <w:rPr>
          <w:rFonts w:ascii="宋体" w:hAnsi="宋体" w:cs="宋体" w:eastAsia="宋体"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2559"/>
        <w:gridCol w:w="1260"/>
        <w:gridCol w:w="3048"/>
        <w:gridCol w:w="957"/>
        <w:gridCol w:w="956"/>
        <w:gridCol w:w="887"/>
      </w:tblGrid>
      <w:tr>
        <w:trPr>
          <w:trHeight w:val="32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84"/>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r>
      <w:tr>
        <w:trPr>
          <w:trHeight w:val="2231"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2" w:right="184"/>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1" w:right="147"/>
              <w:jc w:val="left"/>
              <w:rPr>
                <w:rFonts w:ascii="宋体" w:hAnsi="宋体" w:cs="宋体" w:eastAsia="宋体" w:hint="default"/>
                <w:sz w:val="18"/>
                <w:szCs w:val="18"/>
              </w:rPr>
            </w:pPr>
            <w:r>
              <w:rPr>
                <w:rFonts w:ascii="宋体" w:hAnsi="宋体" w:cs="宋体" w:eastAsia="宋体" w:hint="default"/>
                <w:sz w:val="18"/>
                <w:szCs w:val="18"/>
              </w:rPr>
              <w:t>王相荣、王壮 利、颜土富</w:t>
            </w:r>
          </w:p>
        </w:tc>
        <w:tc>
          <w:tcPr>
            <w:tcW w:w="3048" w:type="dxa"/>
            <w:tcBorders>
              <w:top w:val="single" w:sz="4" w:space="0" w:color="000000"/>
              <w:left w:val="single" w:sz="4" w:space="0" w:color="000000"/>
              <w:bottom w:val="single" w:sz="4" w:space="0" w:color="000000"/>
              <w:right w:val="single" w:sz="9" w:space="0" w:color="FFFFFF"/>
            </w:tcBorders>
          </w:tcPr>
          <w:p>
            <w:pPr>
              <w:pStyle w:val="TableParagraph"/>
              <w:spacing w:line="232" w:lineRule="auto" w:before="15"/>
              <w:ind w:left="21" w:right="15"/>
              <w:jc w:val="left"/>
              <w:rPr>
                <w:rFonts w:ascii="宋体" w:hAnsi="宋体" w:cs="宋体" w:eastAsia="宋体" w:hint="default"/>
                <w:sz w:val="18"/>
                <w:szCs w:val="18"/>
              </w:rPr>
            </w:pPr>
            <w:r>
              <w:rPr>
                <w:rFonts w:ascii="宋体" w:hAnsi="宋体" w:cs="宋体" w:eastAsia="宋体" w:hint="default"/>
                <w:b/>
                <w:bCs/>
                <w:sz w:val="18"/>
                <w:szCs w:val="18"/>
              </w:rPr>
              <w:t>王相荣</w:t>
            </w:r>
            <w:r>
              <w:rPr>
                <w:rFonts w:ascii="宋体" w:hAnsi="宋体" w:cs="宋体" w:eastAsia="宋体" w:hint="default"/>
                <w:sz w:val="18"/>
                <w:szCs w:val="18"/>
              </w:rPr>
              <w:t>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、在公司任职期间，每 年转让的股份不超过其所持有的公司 </w:t>
            </w:r>
            <w:r>
              <w:rPr>
                <w:rFonts w:ascii="宋体" w:hAnsi="宋体" w:cs="宋体" w:eastAsia="宋体" w:hint="default"/>
                <w:spacing w:val="-4"/>
                <w:sz w:val="18"/>
                <w:szCs w:val="18"/>
              </w:rPr>
              <w:t>股份总数的百分之二十五，且离职后半</w:t>
            </w:r>
            <w:r>
              <w:rPr>
                <w:rFonts w:ascii="宋体" w:hAnsi="宋体" w:cs="宋体" w:eastAsia="宋体" w:hint="default"/>
                <w:sz w:val="18"/>
                <w:szCs w:val="18"/>
              </w:rPr>
              <w:t> 年内不转让其所持有的公司股份。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 关于避免同业竞争的承诺。</w:t>
            </w:r>
          </w:p>
          <w:p>
            <w:pPr>
              <w:pStyle w:val="TableParagraph"/>
              <w:spacing w:line="237" w:lineRule="auto" w:before="41"/>
              <w:ind w:left="21" w:right="15"/>
              <w:jc w:val="left"/>
              <w:rPr>
                <w:rFonts w:ascii="宋体" w:hAnsi="宋体" w:cs="宋体" w:eastAsia="宋体" w:hint="default"/>
                <w:sz w:val="18"/>
                <w:szCs w:val="18"/>
              </w:rPr>
            </w:pPr>
            <w:r>
              <w:rPr>
                <w:rFonts w:ascii="宋体" w:hAnsi="宋体" w:cs="宋体" w:eastAsia="宋体" w:hint="default"/>
                <w:b/>
                <w:bCs/>
                <w:spacing w:val="-10"/>
                <w:w w:val="99"/>
                <w:sz w:val="18"/>
                <w:szCs w:val="18"/>
              </w:rPr>
              <w:t>王壮利、颜土富</w:t>
            </w:r>
            <w:r>
              <w:rPr>
                <w:rFonts w:ascii="宋体" w:hAnsi="宋体" w:cs="宋体" w:eastAsia="宋体" w:hint="default"/>
                <w:spacing w:val="-10"/>
                <w:w w:val="99"/>
                <w:sz w:val="18"/>
                <w:szCs w:val="18"/>
              </w:rPr>
              <w:t>承诺：在公司任职期间</w:t>
            </w:r>
            <w:r>
              <w:rPr>
                <w:rFonts w:ascii="宋体" w:hAnsi="宋体" w:cs="宋体" w:eastAsia="宋体" w:hint="default"/>
                <w:spacing w:val="-79"/>
                <w:w w:val="99"/>
                <w:sz w:val="18"/>
                <w:szCs w:val="18"/>
              </w:rPr>
              <w:t> </w:t>
            </w:r>
            <w:r>
              <w:rPr>
                <w:rFonts w:ascii="宋体" w:hAnsi="宋体" w:cs="宋体" w:eastAsia="宋体" w:hint="default"/>
                <w:spacing w:val="-79"/>
                <w:w w:val="99"/>
                <w:sz w:val="18"/>
                <w:szCs w:val="18"/>
              </w:rPr>
            </w:r>
            <w:r>
              <w:rPr>
                <w:rFonts w:ascii="宋体" w:hAnsi="宋体" w:cs="宋体" w:eastAsia="宋体" w:hint="default"/>
                <w:sz w:val="18"/>
                <w:szCs w:val="18"/>
              </w:rPr>
              <w:t>每年转让的股份不超过其所持有的公 </w:t>
            </w:r>
            <w:r>
              <w:rPr>
                <w:rFonts w:ascii="宋体" w:hAnsi="宋体" w:cs="宋体" w:eastAsia="宋体" w:hint="default"/>
                <w:spacing w:val="-4"/>
                <w:sz w:val="18"/>
                <w:szCs w:val="18"/>
              </w:rPr>
              <w:t>司股份总数的百分之二十五，且离职后</w:t>
            </w:r>
            <w:r>
              <w:rPr>
                <w:rFonts w:ascii="宋体" w:hAnsi="宋体" w:cs="宋体" w:eastAsia="宋体" w:hint="default"/>
                <w:sz w:val="18"/>
                <w:szCs w:val="18"/>
              </w:rPr>
              <w:t> 半年内不转让其所持有的公司股份。</w:t>
            </w:r>
          </w:p>
        </w:tc>
        <w:tc>
          <w:tcPr>
            <w:tcW w:w="95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2" w:lineRule="exact" w:before="140"/>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p>
          <w:p>
            <w:pPr>
              <w:pStyle w:val="TableParagraph"/>
              <w:spacing w:line="179" w:lineRule="exact"/>
              <w:ind w:right="5"/>
              <w:jc w:val="center"/>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8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1110" w:lineRule="exact"/>
              <w:ind w:left="-7" w:right="-49"/>
              <w:jc w:val="left"/>
              <w:rPr>
                <w:rFonts w:ascii="宋体" w:hAnsi="宋体" w:cs="宋体" w:eastAsia="宋体" w:hint="default"/>
                <w:sz w:val="20"/>
                <w:szCs w:val="20"/>
              </w:rPr>
            </w:pPr>
            <w:r>
              <w:rPr>
                <w:rFonts w:ascii="宋体" w:hAnsi="宋体" w:cs="宋体" w:eastAsia="宋体" w:hint="default"/>
                <w:position w:val="-21"/>
                <w:sz w:val="20"/>
                <w:szCs w:val="20"/>
              </w:rPr>
              <w:pict>
                <v:group style="width:47.3pt;height:55.5pt;mso-position-horizontal-relative:char;mso-position-vertical-relative:line" coordorigin="0,0" coordsize="946,1110">
                  <v:group style="position:absolute;left:0;top:274;width:946;height:837" coordorigin="0,274" coordsize="946,837">
                    <v:shape style="position:absolute;left:0;top:274;width:946;height:837" coordorigin="0,274" coordsize="946,837" path="m0,1110l946,1110,946,274,0,274,0,1110xe" filled="true" fillcolor="#ffffff" stroked="false">
                      <v:path arrowok="t"/>
                      <v:fill type="solid"/>
                    </v:shape>
                  </v:group>
                  <v:group style="position:absolute;left:23;top:0;width:901;height:274" coordorigin="23,0" coordsize="901,274">
                    <v:shape style="position:absolute;left:23;top:0;width:901;height:274" coordorigin="23,0" coordsize="901,274" path="m23,274l923,274,923,0,23,0,23,274xe" filled="true" fillcolor="#ffffff" stroked="false">
                      <v:path arrowok="t"/>
                      <v:fill type="solid"/>
                    </v:shape>
                  </v:group>
                </v:group>
              </w:pict>
            </w:r>
            <w:r>
              <w:rPr>
                <w:rFonts w:ascii="宋体" w:hAnsi="宋体" w:cs="宋体" w:eastAsia="宋体" w:hint="default"/>
                <w:position w:val="-21"/>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9"/>
                <w:szCs w:val="19"/>
              </w:rPr>
            </w:pPr>
          </w:p>
          <w:p>
            <w:pPr>
              <w:pStyle w:val="TableParagraph"/>
              <w:spacing w:line="237" w:lineRule="auto"/>
              <w:ind w:left="22" w:right="132"/>
              <w:jc w:val="both"/>
              <w:rPr>
                <w:rFonts w:ascii="宋体" w:hAnsi="宋体" w:cs="宋体" w:eastAsia="宋体" w:hint="default"/>
                <w:sz w:val="18"/>
                <w:szCs w:val="18"/>
              </w:rPr>
            </w:pPr>
            <w:r>
              <w:rPr>
                <w:rFonts w:ascii="宋体" w:hAnsi="宋体" w:cs="宋体" w:eastAsia="宋体" w:hint="default"/>
                <w:sz w:val="18"/>
                <w:szCs w:val="18"/>
              </w:rPr>
              <w:t>未有违反 承诺的情 况</w:t>
            </w:r>
          </w:p>
        </w:tc>
      </w:tr>
      <w:tr>
        <w:trPr>
          <w:trHeight w:val="324"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其它对公司中小股东所作承诺</w:t>
            </w:r>
          </w:p>
        </w:tc>
        <w:tc>
          <w:tcPr>
            <w:tcW w:w="1260"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宋体" w:hAnsi="宋体" w:cs="宋体" w:eastAsia="宋体" w:hint="default"/>
          <w:b/>
          <w:bCs/>
          <w:sz w:val="17"/>
          <w:szCs w:val="17"/>
        </w:rPr>
      </w:pPr>
    </w:p>
    <w:p>
      <w:pPr>
        <w:pStyle w:val="Heading3"/>
        <w:spacing w:line="272" w:lineRule="exact" w:before="63"/>
        <w:ind w:left="798" w:right="0"/>
        <w:jc w:val="left"/>
        <w:rPr>
          <w:b w:val="0"/>
          <w:bCs w:val="0"/>
        </w:rPr>
      </w:pPr>
      <w:bookmarkStart w:name="2、公司资产或项目存在盈利预测，且报告期仍处在盈利预测期间，公司就资产或项目达到" w:id="62"/>
      <w:bookmarkEnd w:id="62"/>
      <w:r>
        <w:rPr>
          <w:b w:val="0"/>
          <w:bCs w:val="0"/>
        </w:rPr>
      </w:r>
      <w:r>
        <w:rPr>
          <w:rFonts w:ascii="宋体" w:hAnsi="宋体" w:cs="宋体" w:eastAsia="宋体" w:hint="default"/>
          <w:w w:val="95"/>
        </w:rPr>
        <w:t>2</w:t>
      </w:r>
      <w:r>
        <w:rPr>
          <w:w w:val="95"/>
        </w:rPr>
        <w:t>、公司资产或项目存在盈利预测，且报告期仍处在盈利预测期间，公司就资产或项目达到</w:t>
      </w:r>
      <w:r>
        <w:rPr>
          <w:spacing w:val="93"/>
          <w:w w:val="95"/>
        </w:rPr>
        <w:t> </w:t>
      </w:r>
      <w:r>
        <w:rPr>
          <w:spacing w:val="93"/>
          <w:w w:val="95"/>
        </w:rPr>
      </w:r>
      <w:r>
        <w:rPr/>
        <w:t>原盈利预测及其原因做出说明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0"/>
        <w:ind w:left="0" w:right="1043" w:firstLine="0"/>
        <w:jc w:val="right"/>
        <w:rPr>
          <w:rFonts w:ascii="宋体" w:hAnsi="宋体" w:cs="宋体" w:eastAsia="宋体" w:hint="default"/>
          <w:sz w:val="18"/>
          <w:szCs w:val="18"/>
        </w:rPr>
      </w:pPr>
      <w:r>
        <w:rPr/>
        <w:pict>
          <v:shape style="position:absolute;margin-left:55.200001pt;margin-top:-98.858284pt;width:485.3pt;height:287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196"/>
                    <w:gridCol w:w="1195"/>
                    <w:gridCol w:w="1197"/>
                    <w:gridCol w:w="961"/>
                    <w:gridCol w:w="1583"/>
                    <w:gridCol w:w="1198"/>
                    <w:gridCol w:w="1166"/>
                  </w:tblGrid>
                  <w:tr>
                    <w:trPr>
                      <w:trHeight w:val="557"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right="1"/>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 w:right="2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right="3"/>
                          <w:jc w:val="center"/>
                          <w:rPr>
                            <w:rFonts w:ascii="宋体" w:hAnsi="宋体" w:cs="宋体" w:eastAsia="宋体" w:hint="default"/>
                            <w:sz w:val="18"/>
                            <w:szCs w:val="18"/>
                          </w:rPr>
                        </w:pPr>
                        <w:r>
                          <w:rPr>
                            <w:rFonts w:ascii="宋体" w:hAnsi="宋体" w:cs="宋体" w:eastAsia="宋体" w:hint="default"/>
                            <w:sz w:val="18"/>
                            <w:szCs w:val="18"/>
                          </w:rPr>
                          <w:t>未达预测的原因</w:t>
                        </w:r>
                      </w:p>
                      <w:p>
                        <w:pPr>
                          <w:pStyle w:val="TableParagraph"/>
                          <w:spacing w:line="235" w:lineRule="exact"/>
                          <w:ind w:right="3"/>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3"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7" w:right="37"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72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2"/>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4,975.07</w:t>
                        </w:r>
                      </w:p>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7" w:lineRule="auto" w:before="1"/>
                          <w:ind w:left="22" w:right="53"/>
                          <w:jc w:val="left"/>
                          <w:rPr>
                            <w:rFonts w:ascii="宋体" w:hAnsi="宋体" w:cs="宋体" w:eastAsia="宋体" w:hint="default"/>
                            <w:sz w:val="18"/>
                            <w:szCs w:val="18"/>
                          </w:rPr>
                        </w:pPr>
                        <w:r>
                          <w:rPr>
                            <w:rFonts w:ascii="宋体" w:hAnsi="宋体" w:cs="宋体" w:eastAsia="宋体" w:hint="default"/>
                            <w:sz w:val="18"/>
                            <w:szCs w:val="18"/>
                          </w:rPr>
                          <w:t>《关于收购上 海漫酷广告有 限公司</w:t>
                        </w:r>
                        <w:r>
                          <w:rPr>
                            <w:rFonts w:ascii="宋体" w:hAnsi="宋体" w:cs="宋体" w:eastAsia="宋体" w:hint="default"/>
                            <w:spacing w:val="-46"/>
                            <w:sz w:val="18"/>
                            <w:szCs w:val="18"/>
                          </w:rPr>
                          <w:t> </w:t>
                        </w:r>
                        <w:r>
                          <w:rPr>
                            <w:rFonts w:ascii="宋体" w:hAnsi="宋体" w:cs="宋体" w:eastAsia="宋体" w:hint="default"/>
                            <w:sz w:val="18"/>
                            <w:szCs w:val="18"/>
                          </w:rPr>
                          <w:t>85%</w:t>
                        </w:r>
                        <w:r>
                          <w:rPr>
                            <w:rFonts w:ascii="宋体" w:hAnsi="宋体" w:cs="宋体" w:eastAsia="宋体" w:hint="default"/>
                            <w:sz w:val="18"/>
                            <w:szCs w:val="18"/>
                          </w:rPr>
                          <w:t>股 权暨复牌的公 </w:t>
                        </w:r>
                        <w:r>
                          <w:rPr>
                            <w:rFonts w:ascii="宋体" w:hAnsi="宋体" w:cs="宋体" w:eastAsia="宋体" w:hint="default"/>
                            <w:spacing w:val="-15"/>
                            <w:sz w:val="18"/>
                            <w:szCs w:val="18"/>
                          </w:rPr>
                          <w:t>告》（公告编</w:t>
                        </w:r>
                        <w:r>
                          <w:rPr>
                            <w:rFonts w:ascii="宋体" w:hAnsi="宋体" w:cs="宋体" w:eastAsia="宋体" w:hint="default"/>
                            <w:sz w:val="18"/>
                            <w:szCs w:val="18"/>
                          </w:rPr>
                          <w:t> </w:t>
                        </w:r>
                        <w:r>
                          <w:rPr>
                            <w:rFonts w:ascii="宋体" w:hAnsi="宋体" w:cs="宋体" w:eastAsia="宋体" w:hint="default"/>
                            <w:spacing w:val="-6"/>
                            <w:sz w:val="18"/>
                            <w:szCs w:val="18"/>
                          </w:rPr>
                          <w:t>号：</w:t>
                        </w:r>
                        <w:r>
                          <w:rPr>
                            <w:rFonts w:ascii="宋体" w:hAnsi="宋体" w:cs="宋体" w:eastAsia="宋体" w:hint="default"/>
                            <w:spacing w:val="-6"/>
                            <w:sz w:val="18"/>
                            <w:szCs w:val="18"/>
                          </w:rPr>
                          <w:t>2014-033</w:t>
                        </w:r>
                      </w:p>
                    </w:tc>
                  </w:tr>
                  <w:tr>
                    <w:trPr>
                      <w:trHeight w:val="172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2"/>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1,801.96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1,874.75</w:t>
                        </w:r>
                      </w:p>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2"/>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7</w:t>
                        </w:r>
                        <w:r>
                          <w:rPr>
                            <w:rFonts w:ascii="宋体" w:hAnsi="宋体" w:cs="宋体" w:eastAsia="宋体"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3</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7" w:lineRule="auto" w:before="1"/>
                          <w:ind w:left="22" w:right="53"/>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72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1"/>
                          <w:ind w:left="2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1,501.47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1,568.14</w:t>
                        </w:r>
                      </w:p>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1"/>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7</w:t>
                        </w:r>
                        <w:r>
                          <w:rPr>
                            <w:rFonts w:ascii="宋体" w:hAnsi="宋体" w:cs="宋体" w:eastAsia="宋体"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3</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7" w:lineRule="auto" w:before="1"/>
                          <w:ind w:left="22" w:right="53"/>
                          <w:jc w:val="both"/>
                          <w:rPr>
                            <w:rFonts w:ascii="宋体" w:hAnsi="宋体" w:cs="宋体" w:eastAsia="宋体" w:hint="default"/>
                            <w:sz w:val="18"/>
                            <w:szCs w:val="18"/>
                          </w:rPr>
                        </w:pPr>
                        <w:r>
                          <w:rPr>
                            <w:rFonts w:ascii="宋体" w:hAnsi="宋体" w:cs="宋体" w:eastAsia="宋体" w:hint="default"/>
                            <w:sz w:val="18"/>
                            <w:szCs w:val="18"/>
                          </w:rPr>
                          <w:t>《发行股份及 支付现金购买 资产并募集配 套资金暨关联 交易报告书</w:t>
                        </w:r>
                      </w:p>
                      <w:p>
                        <w:pPr>
                          <w:pStyle w:val="TableParagraph"/>
                          <w:spacing w:line="234" w:lineRule="exact"/>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355" w:lineRule="auto" w:before="35"/>
        <w:ind w:left="797" w:right="0" w:firstLine="420"/>
        <w:jc w:val="left"/>
      </w:pPr>
      <w:r>
        <w:rPr/>
        <w:t>注：</w:t>
      </w:r>
      <w:r>
        <w:rPr>
          <w:rFonts w:ascii="宋体" w:hAnsi="宋体" w:cs="宋体" w:eastAsia="宋体" w:hint="default"/>
        </w:rPr>
        <w:t>1</w:t>
      </w:r>
      <w:r>
        <w:rPr/>
        <w:t>、上述公司业经天健会计师事务所</w:t>
      </w:r>
      <w:r>
        <w:rPr>
          <w:rFonts w:ascii="宋体" w:hAnsi="宋体" w:cs="宋体" w:eastAsia="宋体" w:hint="default"/>
        </w:rPr>
        <w:t>(</w:t>
      </w:r>
      <w:r>
        <w:rPr/>
        <w:t>特殊普通合伙</w:t>
      </w:r>
      <w:r>
        <w:rPr>
          <w:rFonts w:ascii="宋体" w:hAnsi="宋体" w:cs="宋体" w:eastAsia="宋体" w:hint="default"/>
        </w:rPr>
        <w:t>)</w:t>
      </w:r>
      <w:r>
        <w:rPr/>
        <w:t>审计并出具审计报告，并已扣</w:t>
      </w:r>
      <w:r>
        <w:rPr>
          <w:spacing w:val="1"/>
        </w:rPr>
        <w:t> </w:t>
      </w:r>
      <w:r>
        <w:rPr/>
        <w:t>除超额奖励计提数。</w:t>
      </w:r>
    </w:p>
    <w:p>
      <w:pPr>
        <w:pStyle w:val="BodyText"/>
        <w:spacing w:line="240" w:lineRule="auto" w:before="33"/>
        <w:ind w:left="1638" w:right="0"/>
        <w:jc w:val="left"/>
      </w:pPr>
      <w:r>
        <w:rPr>
          <w:rFonts w:ascii="宋体" w:hAnsi="宋体" w:cs="宋体" w:eastAsia="宋体" w:hint="default"/>
        </w:rPr>
        <w:t>2</w:t>
      </w:r>
      <w:r>
        <w:rPr/>
        <w:t>、根据</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3</w:t>
      </w:r>
      <w:r>
        <w:rPr>
          <w:rFonts w:ascii="宋体" w:hAnsi="宋体" w:cs="宋体" w:eastAsia="宋体" w:hint="default"/>
          <w:spacing w:val="-50"/>
        </w:rPr>
        <w:t> </w:t>
      </w:r>
      <w:r>
        <w:rPr/>
        <w:t>月</w:t>
      </w:r>
      <w:r>
        <w:rPr>
          <w:spacing w:val="-50"/>
        </w:rPr>
        <w:t> </w:t>
      </w:r>
      <w:r>
        <w:rPr>
          <w:rFonts w:ascii="宋体" w:hAnsi="宋体" w:cs="宋体" w:eastAsia="宋体" w:hint="default"/>
        </w:rPr>
        <w:t>14</w:t>
      </w:r>
      <w:r>
        <w:rPr>
          <w:rFonts w:ascii="宋体" w:hAnsi="宋体" w:cs="宋体" w:eastAsia="宋体" w:hint="default"/>
          <w:spacing w:val="-51"/>
        </w:rPr>
        <w:t> </w:t>
      </w:r>
      <w:r>
        <w:rPr/>
        <w:t>日公司与郑晓东、段永玲、郭海签订《关于上海漫酷广告</w:t>
      </w:r>
    </w:p>
    <w:p>
      <w:pPr>
        <w:spacing w:after="0" w:line="240" w:lineRule="auto"/>
        <w:jc w:val="left"/>
        <w:sectPr>
          <w:pgSz w:w="11910" w:h="16840"/>
          <w:pgMar w:header="0" w:footer="938" w:top="1100" w:bottom="1120" w:left="1000" w:right="0"/>
        </w:sectPr>
      </w:pPr>
    </w:p>
    <w:p>
      <w:pPr>
        <w:spacing w:line="240" w:lineRule="auto" w:before="2"/>
        <w:rPr>
          <w:rFonts w:ascii="宋体" w:hAnsi="宋体" w:cs="宋体" w:eastAsia="宋体" w:hint="default"/>
          <w:sz w:val="19"/>
          <w:szCs w:val="19"/>
        </w:rPr>
      </w:pPr>
    </w:p>
    <w:p>
      <w:pPr>
        <w:pStyle w:val="BodyText"/>
        <w:spacing w:line="357" w:lineRule="auto" w:before="35"/>
        <w:ind w:left="737" w:right="1793"/>
        <w:jc w:val="both"/>
      </w:pPr>
      <w:r>
        <w:rPr>
          <w:spacing w:val="-3"/>
        </w:rPr>
        <w:t>有限公司之股权转让合同》，各方均一致同意在考核上海漫酷是否实现业绩承诺及计算现金</w:t>
      </w:r>
      <w:r>
        <w:rPr>
          <w:spacing w:val="-77"/>
        </w:rPr>
        <w:t> </w:t>
      </w:r>
      <w:r>
        <w:rPr>
          <w:spacing w:val="-77"/>
        </w:rPr>
      </w:r>
      <w:r>
        <w:rPr>
          <w:spacing w:val="-3"/>
        </w:rPr>
        <w:t>补偿金额时，以公司指定的合资格的会计师事务所出具的专项审核报告确认的税后净利润数</w:t>
      </w:r>
      <w:r>
        <w:rPr>
          <w:spacing w:val="-73"/>
        </w:rPr>
        <w:t> </w:t>
      </w:r>
      <w:r>
        <w:rPr>
          <w:spacing w:val="-73"/>
        </w:rPr>
      </w:r>
      <w:r>
        <w:rPr>
          <w:spacing w:val="-3"/>
        </w:rPr>
        <w:t>据（即“审核税后净利润”）为准。专项审核报告指：会计师在出具业绩承诺期间各年度标</w:t>
      </w:r>
      <w:r>
        <w:rPr>
          <w:spacing w:val="-77"/>
        </w:rPr>
        <w:t> </w:t>
      </w:r>
      <w:r>
        <w:rPr>
          <w:spacing w:val="-77"/>
        </w:rPr>
      </w:r>
      <w:r>
        <w:rPr>
          <w:spacing w:val="-3"/>
        </w:rPr>
        <w:t>的公司的年度审计报告时，对标的公司收到的媒体返点金额按权责发生制原则先行确认，其</w:t>
      </w:r>
      <w:r>
        <w:rPr>
          <w:spacing w:val="-75"/>
        </w:rPr>
        <w:t> </w:t>
      </w:r>
      <w:r>
        <w:rPr>
          <w:spacing w:val="-75"/>
        </w:rPr>
      </w:r>
      <w:r>
        <w:rPr>
          <w:spacing w:val="-9"/>
        </w:rPr>
        <w:t>后，在每年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4"/>
        </w:rPr>
        <w:t>日前，由会计师根据截止该年度</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日前标的公司实际收到的归属于 </w:t>
      </w:r>
      <w:r>
        <w:rPr>
          <w:spacing w:val="-3"/>
        </w:rPr>
        <w:t>上一年度的媒体返点金额对年报税后净利润进行复核、确认。会计师为此目的专门出具的审</w:t>
      </w:r>
      <w:r>
        <w:rPr>
          <w:spacing w:val="-75"/>
        </w:rPr>
        <w:t> </w:t>
      </w:r>
      <w:r>
        <w:rPr>
          <w:spacing w:val="-75"/>
        </w:rPr>
      </w:r>
      <w:r>
        <w:rPr/>
        <w:t>核报告即专项审核报告。</w:t>
      </w:r>
    </w:p>
    <w:p>
      <w:pPr>
        <w:pStyle w:val="BodyText"/>
        <w:spacing w:line="357" w:lineRule="auto"/>
        <w:ind w:left="738" w:right="1793" w:firstLine="420"/>
        <w:jc w:val="both"/>
      </w:pPr>
      <w:r>
        <w:rPr>
          <w:spacing w:val="-3"/>
        </w:rPr>
        <w:t>在会计师出具当年度的专项审核报告后，若计算结果显示年报税后净利润与审核税后净</w:t>
      </w:r>
      <w:r>
        <w:rPr/>
        <w:t> </w:t>
      </w:r>
      <w:r>
        <w:rPr>
          <w:spacing w:val="-3"/>
        </w:rPr>
        <w:t>利润之间存在差异，则按审核税后净利润数计算当年度最终现金补偿额，在本公司向上海漫</w:t>
      </w:r>
      <w:r>
        <w:rPr>
          <w:spacing w:val="-75"/>
        </w:rPr>
        <w:t> </w:t>
      </w:r>
      <w:r>
        <w:rPr>
          <w:spacing w:val="-75"/>
        </w:rPr>
      </w:r>
      <w:r>
        <w:rPr/>
        <w:t>酷原股东支付当年度应付股权转让款总额的</w:t>
      </w:r>
      <w:r>
        <w:rPr>
          <w:spacing w:val="-85"/>
        </w:rPr>
        <w:t> </w:t>
      </w:r>
      <w:r>
        <w:rPr>
          <w:rFonts w:ascii="宋体" w:hAnsi="宋体" w:cs="宋体" w:eastAsia="宋体" w:hint="default"/>
        </w:rPr>
        <w:t>10%</w:t>
      </w:r>
      <w:r>
        <w:rPr/>
        <w:t>款项时进行最终结算。若该最终现金补偿额 大于在支付当年度应付股权转让款总额</w:t>
      </w:r>
      <w:r>
        <w:rPr>
          <w:spacing w:val="-85"/>
        </w:rPr>
        <w:t> </w:t>
      </w:r>
      <w:r>
        <w:rPr>
          <w:rFonts w:ascii="宋体" w:hAnsi="宋体" w:cs="宋体" w:eastAsia="宋体" w:hint="default"/>
        </w:rPr>
        <w:t>90%</w:t>
      </w:r>
      <w:r>
        <w:rPr/>
        <w:t>部分时已扣除的现金补偿额，上海漫酷原股东应 予补足；若该最终现金补偿额小于在支付当年度应付股权转让款总额</w:t>
      </w:r>
      <w:r>
        <w:rPr>
          <w:spacing w:val="-85"/>
        </w:rPr>
        <w:t> </w:t>
      </w:r>
      <w:r>
        <w:rPr>
          <w:rFonts w:ascii="宋体" w:hAnsi="宋体" w:cs="宋体" w:eastAsia="宋体" w:hint="default"/>
        </w:rPr>
        <w:t>90%</w:t>
      </w:r>
      <w:r>
        <w:rPr/>
        <w:t>部分时已扣除的现 金补偿额，本公司应将差额返回予转让方。</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十、聘任、解聘会计师事务所情况" w:id="63"/>
      <w:bookmarkEnd w:id="63"/>
      <w:r>
        <w:rPr>
          <w:b w:val="0"/>
          <w:bCs w:val="0"/>
        </w:rPr>
      </w:r>
      <w:r>
        <w:rPr/>
        <w:t>十、聘任、解聘会计师事务所情况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738" w:right="0"/>
        <w:jc w:val="both"/>
      </w:pPr>
      <w:r>
        <w:rPr/>
        <w:t>现聘任的会计事务所</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886"/>
        <w:gridCol w:w="5683"/>
      </w:tblGrid>
      <w:tr>
        <w:trPr>
          <w:trHeight w:val="32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98</w:t>
            </w:r>
          </w:p>
        </w:tc>
      </w:tr>
      <w:tr>
        <w:trPr>
          <w:trHeight w:val="32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11</w:t>
            </w:r>
          </w:p>
        </w:tc>
      </w:tr>
      <w:tr>
        <w:trPr>
          <w:trHeight w:val="32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沃巍勇、罗联玬</w:t>
            </w:r>
          </w:p>
        </w:tc>
      </w:tr>
    </w:tbl>
    <w:p>
      <w:pPr>
        <w:pStyle w:val="BodyText"/>
        <w:spacing w:line="240" w:lineRule="auto" w:before="86"/>
        <w:ind w:left="738" w:right="1689"/>
        <w:jc w:val="left"/>
      </w:pPr>
      <w:r>
        <w:rPr/>
        <w:t>当期是否改聘会计师事务所</w:t>
      </w:r>
    </w:p>
    <w:p>
      <w:pPr>
        <w:pStyle w:val="BodyText"/>
        <w:spacing w:line="357" w:lineRule="auto" w:before="133"/>
        <w:ind w:left="738" w:right="4838"/>
        <w:jc w:val="left"/>
      </w:pPr>
      <w:r>
        <w:rPr/>
        <w:t>□ 是 √</w:t>
      </w:r>
      <w:r>
        <w:rPr>
          <w:spacing w:val="-1"/>
        </w:rPr>
        <w:t> </w:t>
      </w:r>
      <w:r>
        <w:rPr/>
        <w:t>否</w:t>
      </w:r>
      <w:r>
        <w:rPr/>
        <w:t> 聘请内部控制审计会计师事务所、财务顾问或保荐人情况</w:t>
      </w:r>
    </w:p>
    <w:p>
      <w:pPr>
        <w:pStyle w:val="BodyText"/>
        <w:spacing w:line="357" w:lineRule="auto"/>
        <w:ind w:left="1158" w:right="1689" w:hanging="420"/>
        <w:jc w:val="left"/>
      </w:pPr>
      <w:r>
        <w:rPr/>
        <w:t>√ 适用 □</w:t>
      </w:r>
      <w:r>
        <w:rPr>
          <w:spacing w:val="-2"/>
        </w:rPr>
        <w:t> </w:t>
      </w:r>
      <w:r>
        <w:rPr/>
        <w:t>不适用</w:t>
      </w:r>
      <w:r>
        <w:rPr/>
        <w:t> </w:t>
      </w:r>
      <w:r>
        <w:rPr>
          <w:spacing w:val="-3"/>
        </w:rPr>
        <w:t>报告期内，公司因非公开发行股票，聘请广发证券股份有限公司为保荐代表人。因非公</w:t>
      </w:r>
    </w:p>
    <w:p>
      <w:pPr>
        <w:pStyle w:val="BodyText"/>
        <w:spacing w:line="357" w:lineRule="auto"/>
        <w:ind w:left="737" w:right="1689"/>
        <w:jc w:val="left"/>
      </w:pPr>
      <w:r>
        <w:rPr>
          <w:spacing w:val="2"/>
        </w:rPr>
        <w:t>开发行股份及支付现金购买资产并募集配套资金项目聘请中国民族证券有限责任公司为独</w:t>
      </w:r>
      <w:r>
        <w:rPr>
          <w:spacing w:val="-73"/>
        </w:rPr>
        <w:t> </w:t>
      </w:r>
      <w:r>
        <w:rPr>
          <w:spacing w:val="-73"/>
        </w:rPr>
      </w:r>
      <w:r>
        <w:rPr/>
        <w:t>立财务顾问。</w:t>
      </w:r>
    </w:p>
    <w:p>
      <w:pPr>
        <w:spacing w:line="240" w:lineRule="auto" w:before="3"/>
        <w:rPr>
          <w:rFonts w:ascii="宋体" w:hAnsi="宋体" w:cs="宋体" w:eastAsia="宋体" w:hint="default"/>
          <w:sz w:val="27"/>
          <w:szCs w:val="27"/>
        </w:rPr>
      </w:pPr>
    </w:p>
    <w:p>
      <w:pPr>
        <w:pStyle w:val="Heading2"/>
        <w:spacing w:line="312" w:lineRule="exact"/>
        <w:ind w:right="1794"/>
        <w:jc w:val="left"/>
        <w:rPr>
          <w:b w:val="0"/>
          <w:bCs w:val="0"/>
        </w:rPr>
      </w:pPr>
      <w:bookmarkStart w:name="十一、监事会、独立董事（如适用）对会计师事务所本报告期“非标准审计报告”的说明" w:id="64"/>
      <w:bookmarkEnd w:id="64"/>
      <w:r>
        <w:rPr>
          <w:b w:val="0"/>
          <w:bCs w:val="0"/>
        </w:rPr>
      </w:r>
      <w:r>
        <w:rPr>
          <w:spacing w:val="3"/>
        </w:rPr>
        <w:t>十一、监事会、独立董事（如适用）对会计师事务所本报告期“非标准审计报</w:t>
      </w:r>
      <w:r>
        <w:rPr>
          <w:w w:val="99"/>
        </w:rPr>
        <w:t> </w:t>
      </w:r>
      <w:r>
        <w:rPr/>
        <w:t>告”的说明</w:t>
      </w:r>
      <w:r>
        <w:rPr>
          <w:b w:val="0"/>
          <w:bCs w:val="0"/>
        </w:rPr>
      </w:r>
    </w:p>
    <w:p>
      <w:pPr>
        <w:spacing w:line="240" w:lineRule="auto" w:before="5"/>
        <w:rPr>
          <w:rFonts w:ascii="宋体" w:hAnsi="宋体" w:cs="宋体" w:eastAsia="宋体" w:hint="default"/>
          <w:b/>
          <w:bCs/>
          <w:sz w:val="21"/>
          <w:szCs w:val="21"/>
        </w:rPr>
      </w:pPr>
    </w:p>
    <w:p>
      <w:pPr>
        <w:spacing w:before="0"/>
        <w:ind w:left="737" w:right="168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1689"/>
        <w:jc w:val="left"/>
        <w:rPr>
          <w:b w:val="0"/>
          <w:bCs w:val="0"/>
        </w:rPr>
      </w:pPr>
      <w:bookmarkStart w:name="十二、处罚及整改情况" w:id="65"/>
      <w:bookmarkEnd w:id="65"/>
      <w:r>
        <w:rPr>
          <w:b w:val="0"/>
          <w:bCs w:val="0"/>
        </w:rPr>
      </w:r>
      <w:r>
        <w:rPr/>
        <w:t>十二、处罚及整改情况</w:t>
      </w:r>
      <w:r>
        <w:rPr>
          <w:b w:val="0"/>
          <w:bCs w:val="0"/>
        </w:rPr>
      </w:r>
    </w:p>
    <w:p>
      <w:pPr>
        <w:spacing w:line="240" w:lineRule="auto" w:before="6"/>
        <w:rPr>
          <w:rFonts w:ascii="宋体" w:hAnsi="宋体" w:cs="宋体" w:eastAsia="宋体" w:hint="default"/>
          <w:b/>
          <w:bCs/>
          <w:sz w:val="23"/>
          <w:szCs w:val="23"/>
        </w:rPr>
      </w:pPr>
    </w:p>
    <w:p>
      <w:pPr>
        <w:spacing w:before="0"/>
        <w:ind w:left="737" w:right="168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0" w:footer="938" w:top="1100" w:bottom="1120" w:left="1060" w:right="0"/>
        </w:sectPr>
      </w:pPr>
    </w:p>
    <w:p>
      <w:pPr>
        <w:spacing w:line="240" w:lineRule="auto" w:before="2"/>
        <w:rPr>
          <w:rFonts w:ascii="宋体" w:hAnsi="宋体" w:cs="宋体" w:eastAsia="宋体" w:hint="default"/>
          <w:sz w:val="19"/>
          <w:szCs w:val="19"/>
        </w:rPr>
      </w:pPr>
    </w:p>
    <w:p>
      <w:pPr>
        <w:pStyle w:val="BodyText"/>
        <w:spacing w:line="240" w:lineRule="auto" w:before="35"/>
        <w:ind w:left="138" w:right="0"/>
        <w:jc w:val="left"/>
      </w:pPr>
      <w:r>
        <w:rPr/>
        <w:t>公司报告期不存在处罚及整改情况。</w:t>
      </w:r>
    </w:p>
    <w:p>
      <w:pPr>
        <w:spacing w:line="240" w:lineRule="auto" w:before="0"/>
        <w:rPr>
          <w:rFonts w:ascii="宋体" w:hAnsi="宋体" w:cs="宋体" w:eastAsia="宋体" w:hint="default"/>
          <w:sz w:val="20"/>
          <w:szCs w:val="20"/>
        </w:rPr>
      </w:pPr>
    </w:p>
    <w:p>
      <w:pPr>
        <w:pStyle w:val="Heading2"/>
        <w:spacing w:line="240" w:lineRule="auto" w:before="166"/>
        <w:ind w:left="138" w:right="0"/>
        <w:jc w:val="left"/>
        <w:rPr>
          <w:b w:val="0"/>
          <w:bCs w:val="0"/>
        </w:rPr>
      </w:pPr>
      <w:bookmarkStart w:name="十三、年度报告披露后面临暂停上市和终止上市情况" w:id="66"/>
      <w:bookmarkEnd w:id="66"/>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23"/>
          <w:szCs w:val="23"/>
        </w:rPr>
      </w:pPr>
    </w:p>
    <w:p>
      <w:pPr>
        <w:spacing w:before="0"/>
        <w:ind w:left="137"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left="138" w:right="0"/>
        <w:jc w:val="left"/>
        <w:rPr>
          <w:b w:val="0"/>
          <w:bCs w:val="0"/>
        </w:rPr>
      </w:pPr>
      <w:bookmarkStart w:name="十四、其他重大事项的说明" w:id="67"/>
      <w:bookmarkEnd w:id="67"/>
      <w:r>
        <w:rPr>
          <w:b w:val="0"/>
          <w:bCs w:val="0"/>
        </w:rPr>
      </w:r>
      <w:r>
        <w:rPr/>
        <w:t>十四、其他重大事项的说明</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560" w:right="0"/>
        <w:jc w:val="left"/>
        <w:rPr>
          <w:b w:val="0"/>
          <w:bCs w:val="0"/>
        </w:rPr>
      </w:pPr>
      <w:r>
        <w:rPr>
          <w:rFonts w:ascii="宋体" w:hAnsi="宋体" w:cs="宋体" w:eastAsia="宋体" w:hint="default"/>
        </w:rPr>
        <w:t>1</w:t>
      </w:r>
      <w:r>
        <w:rPr/>
        <w:t>、控股子公司大农实业在全国中小企业股份转让系统挂牌事项</w:t>
      </w:r>
      <w:r>
        <w:rPr>
          <w:b w:val="0"/>
          <w:bCs w:val="0"/>
        </w:rPr>
      </w:r>
    </w:p>
    <w:p>
      <w:pPr>
        <w:pStyle w:val="BodyText"/>
        <w:spacing w:line="357" w:lineRule="auto" w:before="134"/>
        <w:ind w:right="1793" w:firstLine="420"/>
        <w:jc w:val="both"/>
      </w:pP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22</w:t>
      </w:r>
      <w:r>
        <w:rPr>
          <w:rFonts w:ascii="宋体" w:hAnsi="宋体" w:cs="宋体" w:eastAsia="宋体" w:hint="default"/>
          <w:spacing w:val="-56"/>
        </w:rPr>
        <w:t> </w:t>
      </w:r>
      <w:r>
        <w:rPr/>
        <w:t>日召开公司第四届董事会第三次会议和</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8</w:t>
      </w:r>
      <w:r>
        <w:rPr>
          <w:rFonts w:ascii="宋体" w:hAnsi="宋体" w:cs="宋体" w:eastAsia="宋体" w:hint="default"/>
          <w:spacing w:val="-55"/>
        </w:rPr>
        <w:t> </w:t>
      </w:r>
      <w:r>
        <w:rPr/>
        <w:t>月</w:t>
      </w:r>
      <w:r>
        <w:rPr>
          <w:spacing w:val="-56"/>
        </w:rPr>
        <w:t> </w:t>
      </w:r>
      <w:r>
        <w:rPr>
          <w:rFonts w:ascii="宋体" w:hAnsi="宋体" w:cs="宋体" w:eastAsia="宋体" w:hint="default"/>
        </w:rPr>
        <w:t>8</w:t>
      </w:r>
      <w:r>
        <w:rPr>
          <w:rFonts w:ascii="宋体" w:hAnsi="宋体" w:cs="宋体" w:eastAsia="宋体" w:hint="default"/>
          <w:spacing w:val="-56"/>
        </w:rPr>
        <w:t> </w:t>
      </w:r>
      <w:r>
        <w:rPr/>
        <w:t>日</w:t>
      </w:r>
      <w:r>
        <w:rPr>
          <w:spacing w:val="-56"/>
        </w:rPr>
        <w:t> </w:t>
      </w:r>
      <w:r>
        <w:rPr>
          <w:rFonts w:ascii="宋体" w:hAnsi="宋体" w:cs="宋体" w:eastAsia="宋体" w:hint="default"/>
        </w:rPr>
        <w:t>2014</w:t>
      </w:r>
      <w:r>
        <w:rPr>
          <w:rFonts w:ascii="宋体" w:hAnsi="宋体" w:cs="宋体" w:eastAsia="宋体" w:hint="default"/>
          <w:spacing w:val="-55"/>
        </w:rPr>
        <w:t> </w:t>
      </w:r>
      <w:r>
        <w:rPr/>
        <w:t>年第七次 </w:t>
      </w:r>
      <w:r>
        <w:rPr>
          <w:spacing w:val="-3"/>
        </w:rPr>
        <w:t>临时股东大会审议通过了《关于控股子公司浙江大农实业有限公司改制设立股份有限公司及</w:t>
      </w:r>
      <w:r>
        <w:rPr>
          <w:spacing w:val="-73"/>
        </w:rPr>
        <w:t> </w:t>
      </w:r>
      <w:r>
        <w:rPr>
          <w:spacing w:val="-73"/>
        </w:rPr>
      </w:r>
      <w:r>
        <w:rPr>
          <w:spacing w:val="-3"/>
        </w:rPr>
        <w:t>拟申请在新三板挂牌的议案》，公司控股子公司浙江大农实业有限公司改制设立股份有限公</w:t>
      </w:r>
      <w:r>
        <w:rPr>
          <w:spacing w:val="-76"/>
        </w:rPr>
        <w:t> </w:t>
      </w:r>
      <w:r>
        <w:rPr>
          <w:spacing w:val="-76"/>
        </w:rPr>
      </w:r>
      <w:r>
        <w:rPr>
          <w:spacing w:val="-3"/>
        </w:rPr>
        <w:t>司，并在符合国家相关法律法规政策和条件成熟的情况下，申请在全国中小企业股份转让系</w:t>
      </w:r>
      <w:r>
        <w:rPr>
          <w:spacing w:val="-75"/>
        </w:rPr>
        <w:t> </w:t>
      </w:r>
      <w:r>
        <w:rPr>
          <w:spacing w:val="-75"/>
        </w:rPr>
      </w:r>
      <w:r>
        <w:rPr/>
        <w:t>统挂牌。</w:t>
      </w:r>
    </w:p>
    <w:p>
      <w:pPr>
        <w:pStyle w:val="BodyText"/>
        <w:spacing w:line="357" w:lineRule="auto" w:before="31"/>
        <w:ind w:left="138" w:right="1790" w:firstLine="420"/>
        <w:jc w:val="both"/>
      </w:pPr>
      <w:r>
        <w:rPr>
          <w:rFonts w:ascii="宋体" w:hAnsi="宋体" w:cs="宋体" w:eastAsia="宋体" w:hint="default"/>
        </w:rPr>
        <w:t>2015</w:t>
      </w:r>
      <w:r>
        <w:rPr>
          <w:rFonts w:ascii="宋体" w:hAnsi="宋体" w:cs="宋体" w:eastAsia="宋体" w:hint="default"/>
          <w:spacing w:val="-30"/>
        </w:rPr>
        <w:t> </w:t>
      </w:r>
      <w:r>
        <w:rPr/>
        <w:t>年</w:t>
      </w:r>
      <w:r>
        <w:rPr>
          <w:spacing w:val="-31"/>
        </w:rPr>
        <w:t> </w:t>
      </w:r>
      <w:r>
        <w:rPr>
          <w:rFonts w:ascii="宋体" w:hAnsi="宋体" w:cs="宋体" w:eastAsia="宋体" w:hint="default"/>
        </w:rPr>
        <w:t>1</w:t>
      </w:r>
      <w:r>
        <w:rPr>
          <w:rFonts w:ascii="宋体" w:hAnsi="宋体" w:cs="宋体" w:eastAsia="宋体" w:hint="default"/>
          <w:spacing w:val="-30"/>
        </w:rPr>
        <w:t> </w:t>
      </w:r>
      <w:r>
        <w:rPr/>
        <w:t>月，大农实业收到全国中小企业股份转让系统有限责任公司《关于同意浙江 </w:t>
      </w:r>
      <w:r>
        <w:rPr>
          <w:spacing w:val="-3"/>
        </w:rPr>
        <w:t>大农实业股份有限公司股票在全国中小企业股份转让系统挂牌的函》（股转系统函【</w:t>
      </w:r>
      <w:r>
        <w:rPr>
          <w:rFonts w:ascii="宋体" w:hAnsi="宋体" w:cs="宋体" w:eastAsia="宋体" w:hint="default"/>
          <w:spacing w:val="-3"/>
        </w:rPr>
        <w:t>2015</w:t>
      </w:r>
      <w:r>
        <w:rPr>
          <w:spacing w:val="-3"/>
        </w:rPr>
        <w:t>】</w:t>
      </w:r>
      <w:r>
        <w:rPr>
          <w:spacing w:val="-69"/>
        </w:rPr>
        <w:t> </w:t>
      </w:r>
      <w:r>
        <w:rPr>
          <w:rFonts w:ascii="宋体" w:hAnsi="宋体" w:cs="宋体" w:eastAsia="宋体" w:hint="default"/>
        </w:rPr>
        <w:t>81</w:t>
      </w:r>
      <w:r>
        <w:rPr>
          <w:rFonts w:ascii="宋体" w:hAnsi="宋体" w:cs="宋体" w:eastAsia="宋体" w:hint="default"/>
          <w:spacing w:val="-51"/>
        </w:rPr>
        <w:t> </w:t>
      </w:r>
      <w:r>
        <w:rPr>
          <w:spacing w:val="-36"/>
        </w:rPr>
        <w:t>号）。</w:t>
      </w:r>
    </w:p>
    <w:p>
      <w:pPr>
        <w:pStyle w:val="BodyText"/>
        <w:spacing w:line="240" w:lineRule="auto"/>
        <w:ind w:left="0" w:right="1236"/>
        <w:jc w:val="center"/>
      </w:pP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t>日大农实</w:t>
      </w:r>
      <w:r>
        <w:rPr>
          <w:spacing w:val="-2"/>
        </w:rPr>
        <w:t>业</w:t>
      </w:r>
      <w:r>
        <w:rPr/>
        <w:t>正式挂牌</w:t>
      </w:r>
      <w:r>
        <w:rPr>
          <w:spacing w:val="-9"/>
        </w:rPr>
        <w:t>，</w:t>
      </w:r>
      <w:r>
        <w:rPr/>
        <w:t>证券简称</w:t>
      </w:r>
      <w:r>
        <w:rPr>
          <w:spacing w:val="-9"/>
        </w:rPr>
        <w:t>为</w:t>
      </w:r>
      <w:r>
        <w:rPr/>
        <w:t>“浙江大农</w:t>
      </w:r>
      <w:r>
        <w:rPr>
          <w:spacing w:val="-106"/>
        </w:rPr>
        <w:t>”</w:t>
      </w:r>
      <w:r>
        <w:rPr>
          <w:spacing w:val="-9"/>
        </w:rPr>
        <w:t>，</w:t>
      </w:r>
      <w:r>
        <w:rPr/>
        <w:t>证券代码</w:t>
      </w:r>
      <w:r>
        <w:rPr>
          <w:spacing w:val="-9"/>
        </w:rPr>
        <w:t>为</w:t>
      </w:r>
      <w:r>
        <w:rPr/>
        <w:t>“</w:t>
      </w:r>
      <w:r>
        <w:rPr>
          <w:rFonts w:ascii="宋体" w:hAnsi="宋体" w:cs="宋体" w:eastAsia="宋体" w:hint="default"/>
        </w:rPr>
        <w:t>831855</w:t>
      </w:r>
      <w:r>
        <w:rPr>
          <w:spacing w:val="-106"/>
        </w:rPr>
        <w:t>”。</w:t>
      </w:r>
      <w:r>
        <w:rPr/>
      </w:r>
    </w:p>
    <w:p>
      <w:pPr>
        <w:pStyle w:val="Heading3"/>
        <w:spacing w:line="240" w:lineRule="auto" w:before="133"/>
        <w:ind w:left="740" w:right="0"/>
        <w:jc w:val="left"/>
        <w:rPr>
          <w:b w:val="0"/>
          <w:bCs w:val="0"/>
        </w:rPr>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60"/>
        </w:rPr>
        <w:t> </w:t>
      </w:r>
      <w:r>
        <w:rPr/>
        <w:t>年度长沙天鹅原股东股份补偿事项</w:t>
      </w:r>
      <w:r>
        <w:rPr>
          <w:b w:val="0"/>
          <w:bCs w:val="0"/>
        </w:rPr>
      </w:r>
    </w:p>
    <w:p>
      <w:pPr>
        <w:pStyle w:val="BodyText"/>
        <w:spacing w:line="357" w:lineRule="auto" w:before="134"/>
        <w:ind w:left="318" w:right="1793" w:firstLine="420"/>
        <w:jc w:val="both"/>
      </w:pPr>
      <w:r>
        <w:rPr>
          <w:rFonts w:ascii="宋体" w:hAnsi="宋体" w:cs="宋体" w:eastAsia="宋体" w:hint="default"/>
        </w:rPr>
        <w:t>2013</w:t>
      </w:r>
      <w:r>
        <w:rPr>
          <w:rFonts w:ascii="宋体" w:hAnsi="宋体" w:cs="宋体" w:eastAsia="宋体" w:hint="default"/>
          <w:spacing w:val="-55"/>
        </w:rPr>
        <w:t> </w:t>
      </w:r>
      <w:r>
        <w:rPr/>
        <w:t>年度，长沙天鹅实现的扣除非经常性损益后的净利润</w:t>
      </w:r>
      <w:r>
        <w:rPr>
          <w:spacing w:val="-56"/>
        </w:rPr>
        <w:t> </w:t>
      </w:r>
      <w:r>
        <w:rPr>
          <w:rFonts w:ascii="宋体" w:hAnsi="宋体" w:cs="宋体" w:eastAsia="宋体" w:hint="default"/>
        </w:rPr>
        <w:t>1,826.93</w:t>
      </w:r>
      <w:r>
        <w:rPr>
          <w:rFonts w:ascii="宋体" w:hAnsi="宋体" w:cs="宋体" w:eastAsia="宋体" w:hint="default"/>
          <w:spacing w:val="-56"/>
        </w:rPr>
        <w:t> </w:t>
      </w:r>
      <w:r>
        <w:rPr/>
        <w:t>万元，未达到承 </w:t>
      </w:r>
      <w:r>
        <w:rPr>
          <w:spacing w:val="-2"/>
        </w:rPr>
        <w:t>诺业绩要求。根据《关于长沙天鹅工业泵股份有限公司实际盈利数与净利润预测数差额的</w:t>
      </w:r>
      <w:r>
        <w:rPr>
          <w:spacing w:val="-85"/>
        </w:rPr>
        <w:t> </w:t>
      </w:r>
      <w:r>
        <w:rPr>
          <w:spacing w:val="-85"/>
        </w:rPr>
      </w:r>
      <w:r>
        <w:rPr>
          <w:spacing w:val="-9"/>
        </w:rPr>
        <w:t>补偿协议》，长沙天鹅原股东</w:t>
      </w:r>
      <w:r>
        <w:rPr>
          <w:spacing w:val="-42"/>
        </w:rPr>
        <w:t> </w:t>
      </w:r>
      <w:r>
        <w:rPr>
          <w:rFonts w:ascii="宋体" w:hAnsi="宋体" w:cs="宋体" w:eastAsia="宋体" w:hint="default"/>
        </w:rPr>
        <w:t>2013</w:t>
      </w:r>
      <w:r>
        <w:rPr>
          <w:rFonts w:ascii="宋体" w:hAnsi="宋体" w:cs="宋体" w:eastAsia="宋体" w:hint="default"/>
          <w:spacing w:val="-41"/>
        </w:rPr>
        <w:t> </w:t>
      </w:r>
      <w:r>
        <w:rPr>
          <w:spacing w:val="-1"/>
        </w:rPr>
        <w:t>年度补偿股份数为</w:t>
      </w:r>
      <w:r>
        <w:rPr>
          <w:spacing w:val="-42"/>
        </w:rPr>
        <w:t> </w:t>
      </w:r>
      <w:r>
        <w:rPr>
          <w:rFonts w:ascii="宋体" w:hAnsi="宋体" w:cs="宋体" w:eastAsia="宋体" w:hint="default"/>
        </w:rPr>
        <w:t>2,852,397</w:t>
      </w:r>
      <w:r>
        <w:rPr>
          <w:rFonts w:ascii="宋体" w:hAnsi="宋体" w:cs="宋体" w:eastAsia="宋体" w:hint="default"/>
          <w:spacing w:val="-42"/>
        </w:rPr>
        <w:t> </w:t>
      </w:r>
      <w:r>
        <w:rPr>
          <w:spacing w:val="-1"/>
        </w:rPr>
        <w:t>股。根据公司</w:t>
      </w:r>
      <w:r>
        <w:rPr>
          <w:spacing w:val="-42"/>
        </w:rPr>
        <w:t> </w:t>
      </w:r>
      <w:r>
        <w:rPr>
          <w:rFonts w:ascii="宋体" w:hAnsi="宋体" w:cs="宋体" w:eastAsia="宋体" w:hint="default"/>
        </w:rPr>
        <w:t>2013</w:t>
      </w:r>
      <w:r>
        <w:rPr>
          <w:rFonts w:ascii="宋体" w:hAnsi="宋体" w:cs="宋体" w:eastAsia="宋体" w:hint="default"/>
          <w:spacing w:val="-42"/>
        </w:rPr>
        <w:t> </w:t>
      </w:r>
      <w:r>
        <w:rPr>
          <w:spacing w:val="-2"/>
        </w:rPr>
        <w:t>年度 </w:t>
      </w:r>
      <w:r>
        <w:rPr/>
        <w:t>股东大会决议，公司以总价</w:t>
      </w:r>
      <w:r>
        <w:rPr>
          <w:spacing w:val="-56"/>
        </w:rPr>
        <w:t> </w:t>
      </w:r>
      <w:r>
        <w:rPr>
          <w:rFonts w:ascii="宋体" w:hAnsi="宋体" w:cs="宋体" w:eastAsia="宋体" w:hint="default"/>
        </w:rPr>
        <w:t>1.00</w:t>
      </w:r>
      <w:r>
        <w:rPr>
          <w:rFonts w:ascii="宋体" w:hAnsi="宋体" w:cs="宋体" w:eastAsia="宋体" w:hint="default"/>
          <w:spacing w:val="-55"/>
        </w:rPr>
        <w:t> </w:t>
      </w:r>
      <w:r>
        <w:rPr/>
        <w:t>元的价格定向回购应补偿的股份并予以注销。</w:t>
      </w:r>
      <w:r>
        <w:rPr>
          <w:rFonts w:ascii="宋体" w:hAnsi="宋体" w:cs="宋体" w:eastAsia="宋体" w:hint="default"/>
        </w:rPr>
        <w:t>2013</w:t>
      </w:r>
      <w:r>
        <w:rPr>
          <w:rFonts w:ascii="宋体" w:hAnsi="宋体" w:cs="宋体" w:eastAsia="宋体" w:hint="default"/>
          <w:spacing w:val="-56"/>
        </w:rPr>
        <w:t> </w:t>
      </w:r>
      <w:r>
        <w:rPr/>
        <w:t>年度 的股份补偿方案已于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月实施完毕。</w:t>
      </w:r>
    </w:p>
    <w:p>
      <w:pPr>
        <w:spacing w:line="355" w:lineRule="auto" w:before="30"/>
        <w:ind w:left="738" w:right="1792"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、发行股份及支付现金购买资产并募集配套资金暨关联交易事项</w:t>
      </w:r>
      <w:r>
        <w:rPr>
          <w:rFonts w:ascii="宋体" w:hAnsi="宋体" w:cs="宋体" w:eastAsia="宋体" w:hint="default"/>
          <w:b/>
          <w:bCs/>
          <w:w w:val="99"/>
          <w:sz w:val="21"/>
          <w:szCs w:val="21"/>
        </w:rPr>
        <w:t> </w:t>
      </w:r>
      <w:r>
        <w:rPr>
          <w:rFonts w:ascii="宋体" w:hAnsi="宋体" w:cs="宋体" w:eastAsia="宋体" w:hint="default"/>
          <w:spacing w:val="-2"/>
          <w:sz w:val="21"/>
          <w:szCs w:val="21"/>
        </w:rPr>
        <w:t>公司以发行股份和支付现金相结合的方式，购买詹嘉、李翔、张璐、李劼合计持有的</w:t>
      </w:r>
    </w:p>
    <w:p>
      <w:pPr>
        <w:pStyle w:val="BodyText"/>
        <w:spacing w:line="357" w:lineRule="auto" w:before="33"/>
        <w:ind w:left="317" w:right="1793"/>
        <w:jc w:val="both"/>
      </w:pPr>
      <w:r>
        <w:rPr/>
        <w:t>上海氩氪 </w:t>
      </w:r>
      <w:r>
        <w:rPr>
          <w:rFonts w:ascii="宋体" w:hAnsi="宋体" w:cs="宋体" w:eastAsia="宋体" w:hint="default"/>
        </w:rPr>
        <w:t>100%</w:t>
      </w:r>
      <w:r>
        <w:rPr/>
        <w:t>股权；购买刘阳、王英杰、孙唯一、田斌合计持有的琥珀传播</w:t>
      </w:r>
      <w:r>
        <w:rPr>
          <w:spacing w:val="-62"/>
        </w:rPr>
        <w:t> </w:t>
      </w:r>
      <w:r>
        <w:rPr>
          <w:rFonts w:ascii="宋体" w:hAnsi="宋体" w:cs="宋体" w:eastAsia="宋体" w:hint="default"/>
        </w:rPr>
        <w:t>100%</w:t>
      </w:r>
      <w:r>
        <w:rPr/>
        <w:t>股权。 上海氩氪、琥珀传播交易作价总额的</w:t>
      </w:r>
      <w:r>
        <w:rPr>
          <w:spacing w:val="-59"/>
        </w:rPr>
        <w:t> </w:t>
      </w:r>
      <w:r>
        <w:rPr>
          <w:rFonts w:ascii="宋体" w:hAnsi="宋体" w:cs="宋体" w:eastAsia="宋体" w:hint="default"/>
        </w:rPr>
        <w:t>50%</w:t>
      </w:r>
      <w:r>
        <w:rPr/>
        <w:t>通过发行股份的方式支付，交易作价总额的剩余 部分以现金支付。公司以本次配套募集资金及自筹资金支付现金对价。</w:t>
      </w:r>
    </w:p>
    <w:p>
      <w:pPr>
        <w:pStyle w:val="BodyText"/>
        <w:spacing w:line="357" w:lineRule="auto"/>
        <w:ind w:left="317" w:right="1736" w:firstLine="420"/>
        <w:jc w:val="both"/>
      </w:pPr>
      <w:r>
        <w:rPr/>
        <w:t>为支付本次交易中的现金对价及本次交易税费等相关费用，公司拟通过锁价的方式， </w:t>
      </w:r>
      <w:r>
        <w:rPr>
          <w:spacing w:val="-4"/>
        </w:rPr>
        <w:t>向郑晓东、段永玲、郭海</w:t>
      </w:r>
      <w:r>
        <w:rPr>
          <w:spacing w:val="-62"/>
        </w:rPr>
        <w:t> </w:t>
      </w:r>
      <w:r>
        <w:rPr>
          <w:rFonts w:ascii="宋体" w:hAnsi="宋体" w:cs="宋体" w:eastAsia="宋体" w:hint="default"/>
        </w:rPr>
        <w:t>3</w:t>
      </w:r>
      <w:r>
        <w:rPr>
          <w:rFonts w:ascii="宋体" w:hAnsi="宋体" w:cs="宋体" w:eastAsia="宋体" w:hint="default"/>
          <w:spacing w:val="-62"/>
        </w:rPr>
        <w:t> </w:t>
      </w:r>
      <w:r>
        <w:rPr/>
        <w:t>名特定投资者非公开发行股份募集配套资金，配套资金总额为</w:t>
      </w:r>
    </w:p>
    <w:p>
      <w:pPr>
        <w:pStyle w:val="BodyText"/>
        <w:spacing w:line="357" w:lineRule="auto"/>
        <w:ind w:left="317" w:right="1793"/>
        <w:jc w:val="both"/>
      </w:pPr>
      <w:r>
        <w:rPr>
          <w:rFonts w:ascii="宋体" w:hAnsi="宋体" w:cs="宋体" w:eastAsia="宋体" w:hint="default"/>
        </w:rPr>
        <w:t>140,312,882.60</w:t>
      </w:r>
      <w:r>
        <w:rPr>
          <w:rFonts w:ascii="宋体" w:hAnsi="宋体" w:cs="宋体" w:eastAsia="宋体" w:hint="default"/>
          <w:spacing w:val="-65"/>
        </w:rPr>
        <w:t> </w:t>
      </w:r>
      <w:r>
        <w:rPr>
          <w:spacing w:val="-3"/>
        </w:rPr>
        <w:t>元，不超过本次交易总额的</w:t>
      </w:r>
      <w:r>
        <w:rPr>
          <w:spacing w:val="-64"/>
        </w:rPr>
        <w:t> </w:t>
      </w:r>
      <w:r>
        <w:rPr>
          <w:rFonts w:ascii="宋体" w:hAnsi="宋体" w:cs="宋体" w:eastAsia="宋体" w:hint="default"/>
        </w:rPr>
        <w:t>25%</w:t>
      </w:r>
      <w:r>
        <w:rPr/>
        <w:t>。募集配套资金以发行股份及支付现金购 </w:t>
      </w:r>
      <w:r>
        <w:rPr>
          <w:spacing w:val="-2"/>
        </w:rPr>
        <w:t>买资产为前提条件，但募集配套资金的成功与否并不影响本次发行股份及支付现金购买资</w:t>
      </w:r>
      <w:r>
        <w:rPr>
          <w:spacing w:val="-85"/>
        </w:rPr>
        <w:t> </w:t>
      </w:r>
      <w:r>
        <w:rPr>
          <w:spacing w:val="-85"/>
        </w:rPr>
      </w:r>
      <w:r>
        <w:rPr/>
        <w:t>产的实施。</w:t>
      </w:r>
    </w:p>
    <w:p>
      <w:pPr>
        <w:pStyle w:val="BodyText"/>
        <w:spacing w:line="240" w:lineRule="auto"/>
        <w:ind w:left="738" w:right="0"/>
        <w:jc w:val="left"/>
      </w:pPr>
      <w:r>
        <w:rPr/>
        <w:t>上述事项经公司于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日召开的</w:t>
      </w:r>
      <w:r>
        <w:rPr>
          <w:spacing w:val="-54"/>
        </w:rPr>
        <w:t> </w:t>
      </w:r>
      <w:r>
        <w:rPr>
          <w:rFonts w:ascii="宋体" w:hAnsi="宋体" w:cs="宋体" w:eastAsia="宋体" w:hint="default"/>
        </w:rPr>
        <w:t>2014</w:t>
      </w:r>
      <w:r>
        <w:rPr>
          <w:rFonts w:ascii="宋体" w:hAnsi="宋体" w:cs="宋体" w:eastAsia="宋体" w:hint="default"/>
          <w:spacing w:val="-55"/>
        </w:rPr>
        <w:t> </w:t>
      </w:r>
      <w:r>
        <w:rPr/>
        <w:t>年第六次临时股东大会审议批准。</w:t>
      </w:r>
    </w:p>
    <w:p>
      <w:pPr>
        <w:pStyle w:val="BodyText"/>
        <w:spacing w:line="240" w:lineRule="auto" w:before="134"/>
        <w:ind w:left="737" w:right="0"/>
        <w:jc w:val="left"/>
      </w:pPr>
      <w:r>
        <w:rPr>
          <w:rFonts w:ascii="宋体" w:hAnsi="宋体" w:cs="宋体" w:eastAsia="宋体" w:hint="default"/>
        </w:rPr>
        <w:t>2014</w:t>
      </w:r>
      <w:r>
        <w:rPr>
          <w:rFonts w:ascii="宋体" w:hAnsi="宋体" w:cs="宋体" w:eastAsia="宋体" w:hint="default"/>
          <w:spacing w:val="-32"/>
        </w:rPr>
        <w:t> </w:t>
      </w:r>
      <w:r>
        <w:rPr/>
        <w:t>年</w:t>
      </w:r>
      <w:r>
        <w:rPr>
          <w:spacing w:val="-33"/>
        </w:rPr>
        <w:t> </w:t>
      </w:r>
      <w:r>
        <w:rPr>
          <w:rFonts w:ascii="宋体" w:hAnsi="宋体" w:cs="宋体" w:eastAsia="宋体" w:hint="default"/>
        </w:rPr>
        <w:t>11</w:t>
      </w:r>
      <w:r>
        <w:rPr>
          <w:rFonts w:ascii="宋体" w:hAnsi="宋体" w:cs="宋体" w:eastAsia="宋体" w:hint="default"/>
          <w:spacing w:val="-34"/>
        </w:rPr>
        <w:t> </w:t>
      </w:r>
      <w:r>
        <w:rPr/>
        <w:t>月</w:t>
      </w:r>
      <w:r>
        <w:rPr>
          <w:spacing w:val="-33"/>
        </w:rPr>
        <w:t> </w:t>
      </w:r>
      <w:r>
        <w:rPr>
          <w:rFonts w:ascii="宋体" w:hAnsi="宋体" w:cs="宋体" w:eastAsia="宋体" w:hint="default"/>
        </w:rPr>
        <w:t>24</w:t>
      </w:r>
      <w:r>
        <w:rPr>
          <w:rFonts w:ascii="宋体" w:hAnsi="宋体" w:cs="宋体" w:eastAsia="宋体" w:hint="default"/>
          <w:spacing w:val="-33"/>
        </w:rPr>
        <w:t> </w:t>
      </w:r>
      <w:r>
        <w:rPr/>
        <w:t>日，公司收到中国证券监督管理委员会《关于核准利欧集团股份有</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737" w:right="0" w:hanging="420"/>
        <w:jc w:val="left"/>
      </w:pPr>
      <w:r>
        <w:rPr>
          <w:spacing w:val="-4"/>
        </w:rPr>
        <w:t>限公司向詹佳等发行股份购买资产并募集配套资金的批复》。</w:t>
      </w:r>
      <w:r>
        <w:rPr>
          <w:spacing w:val="-103"/>
        </w:rPr>
        <w:t> </w:t>
      </w:r>
      <w:r>
        <w:rPr>
          <w:spacing w:val="-103"/>
        </w:rPr>
      </w:r>
      <w:r>
        <w:rPr>
          <w:spacing w:val="-5"/>
        </w:rPr>
        <w:t>上海市普陀区市场监督管理局核准了上海氩氪的股权变更，对上海氩氪的董事、监事、</w:t>
      </w:r>
    </w:p>
    <w:p>
      <w:pPr>
        <w:pStyle w:val="BodyText"/>
        <w:spacing w:line="357" w:lineRule="auto" w:before="33"/>
        <w:ind w:left="317" w:right="1782"/>
        <w:jc w:val="left"/>
      </w:pPr>
      <w:r>
        <w:rPr/>
        <w:t>经理、公司章程进行了备案，并于</w:t>
      </w:r>
      <w:r>
        <w:rPr>
          <w:spacing w:val="-10"/>
        </w:rPr>
        <w:t> </w:t>
      </w:r>
      <w:r>
        <w:rPr>
          <w:rFonts w:ascii="宋体" w:hAnsi="宋体" w:cs="宋体" w:eastAsia="宋体" w:hint="default"/>
        </w:rPr>
        <w:t>2014</w:t>
      </w:r>
      <w:r>
        <w:rPr>
          <w:rFonts w:ascii="宋体" w:hAnsi="宋体" w:cs="宋体" w:eastAsia="宋体" w:hint="default"/>
          <w:spacing w:val="-9"/>
        </w:rPr>
        <w:t> </w:t>
      </w:r>
      <w:r>
        <w:rPr/>
        <w:t>年</w:t>
      </w:r>
      <w:r>
        <w:rPr>
          <w:spacing w:val="-11"/>
        </w:rPr>
        <w:t> </w:t>
      </w:r>
      <w:r>
        <w:rPr>
          <w:rFonts w:ascii="宋体" w:hAnsi="宋体" w:cs="宋体" w:eastAsia="宋体" w:hint="default"/>
        </w:rPr>
        <w:t>12</w:t>
      </w:r>
      <w:r>
        <w:rPr>
          <w:rFonts w:ascii="宋体" w:hAnsi="宋体" w:cs="宋体" w:eastAsia="宋体" w:hint="default"/>
          <w:spacing w:val="-11"/>
        </w:rPr>
        <w:t> </w:t>
      </w:r>
      <w:r>
        <w:rPr/>
        <w:t>月</w:t>
      </w:r>
      <w:r>
        <w:rPr>
          <w:spacing w:val="-11"/>
        </w:rPr>
        <w:t> </w:t>
      </w:r>
      <w:r>
        <w:rPr>
          <w:rFonts w:ascii="宋体" w:hAnsi="宋体" w:cs="宋体" w:eastAsia="宋体" w:hint="default"/>
        </w:rPr>
        <w:t>1</w:t>
      </w:r>
      <w:r>
        <w:rPr>
          <w:rFonts w:ascii="宋体" w:hAnsi="宋体" w:cs="宋体" w:eastAsia="宋体" w:hint="default"/>
          <w:spacing w:val="-10"/>
        </w:rPr>
        <w:t> </w:t>
      </w:r>
      <w:r>
        <w:rPr/>
        <w:t>日换发了新的《营业执照</w:t>
      </w:r>
      <w:r>
        <w:rPr>
          <w:spacing w:val="-105"/>
        </w:rPr>
        <w:t>》</w:t>
      </w:r>
      <w:r>
        <w:rPr/>
        <w:t>（</w:t>
      </w:r>
      <w:r>
        <w:rPr>
          <w:spacing w:val="-2"/>
        </w:rPr>
        <w:t>注</w:t>
      </w:r>
      <w:r>
        <w:rPr>
          <w:spacing w:val="1"/>
        </w:rPr>
        <w:t>册</w:t>
      </w:r>
      <w:r>
        <w:rPr/>
        <w:t>号</w:t>
      </w:r>
      <w:r>
        <w:rPr/>
        <w:t> </w:t>
      </w:r>
      <w:r>
        <w:rPr>
          <w:rFonts w:ascii="宋体" w:hAnsi="宋体" w:cs="宋体" w:eastAsia="宋体" w:hint="default"/>
        </w:rPr>
        <w:t>31010700055516</w:t>
      </w:r>
      <w:r>
        <w:rPr>
          <w:rFonts w:ascii="宋体" w:hAnsi="宋体" w:cs="宋体" w:eastAsia="宋体" w:hint="default"/>
          <w:spacing w:val="-1"/>
        </w:rPr>
        <w:t>9</w:t>
      </w:r>
      <w:r>
        <w:rPr>
          <w:spacing w:val="-105"/>
        </w:rPr>
        <w:t>）</w:t>
      </w:r>
      <w:r>
        <w:rPr/>
        <w:t>。上</w:t>
      </w:r>
      <w:r>
        <w:rPr>
          <w:spacing w:val="-2"/>
        </w:rPr>
        <w:t>海</w:t>
      </w:r>
      <w:r>
        <w:rPr/>
        <w:t>氩氪的</w:t>
      </w:r>
      <w:r>
        <w:rPr>
          <w:spacing w:val="-52"/>
        </w:rPr>
        <w:t> </w:t>
      </w:r>
      <w:r>
        <w:rPr>
          <w:rFonts w:ascii="宋体" w:hAnsi="宋体" w:cs="宋体" w:eastAsia="宋体" w:hint="default"/>
        </w:rPr>
        <w:t>100%</w:t>
      </w:r>
      <w:r>
        <w:rPr/>
        <w:t>股权已过户登记至公司名下。</w:t>
      </w:r>
    </w:p>
    <w:p>
      <w:pPr>
        <w:pStyle w:val="BodyText"/>
        <w:spacing w:line="357" w:lineRule="auto" w:before="31"/>
        <w:ind w:left="317" w:right="1793" w:firstLine="420"/>
        <w:jc w:val="both"/>
      </w:pPr>
      <w:r>
        <w:rPr>
          <w:spacing w:val="-2"/>
        </w:rPr>
        <w:t>北京市工商行政管理局东城分局核准了琥珀传播的股权变更，对琥珀传播的董事、监</w:t>
      </w:r>
      <w:r>
        <w:rPr/>
        <w:t> </w:t>
      </w:r>
      <w:r>
        <w:rPr>
          <w:spacing w:val="-3"/>
        </w:rPr>
        <w:t>事、经理、公司章程进行了备案，并于</w:t>
      </w:r>
      <w:r>
        <w:rPr>
          <w:spacing w:val="-49"/>
        </w:rPr>
        <w:t> </w:t>
      </w: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0"/>
        </w:rPr>
        <w:t> </w:t>
      </w:r>
      <w:r>
        <w:rPr/>
        <w:t>月</w:t>
      </w:r>
      <w:r>
        <w:rPr>
          <w:spacing w:val="-50"/>
        </w:rPr>
        <w:t> </w:t>
      </w:r>
      <w:r>
        <w:rPr>
          <w:rFonts w:ascii="宋体" w:hAnsi="宋体" w:cs="宋体" w:eastAsia="宋体" w:hint="default"/>
          <w:spacing w:val="-1"/>
        </w:rPr>
        <w:t>28</w:t>
      </w:r>
      <w:r>
        <w:rPr>
          <w:rFonts w:ascii="宋体" w:hAnsi="宋体" w:cs="宋体" w:eastAsia="宋体" w:hint="default"/>
          <w:spacing w:val="-49"/>
        </w:rPr>
        <w:t> </w:t>
      </w:r>
      <w:r>
        <w:rPr>
          <w:spacing w:val="-9"/>
        </w:rPr>
        <w:t>日换发了新的《营业执照》（注册</w:t>
      </w:r>
      <w:r>
        <w:rPr/>
        <w:t> 号</w:t>
      </w:r>
      <w:r>
        <w:rPr>
          <w:spacing w:val="-45"/>
        </w:rPr>
        <w:t> </w:t>
      </w:r>
      <w:r>
        <w:rPr>
          <w:rFonts w:ascii="宋体" w:hAnsi="宋体" w:cs="宋体" w:eastAsia="宋体" w:hint="default"/>
          <w:spacing w:val="-5"/>
        </w:rPr>
        <w:t>110101003968556</w:t>
      </w:r>
      <w:r>
        <w:rPr>
          <w:spacing w:val="-5"/>
        </w:rPr>
        <w:t>）。琥珀传播的</w:t>
      </w:r>
      <w:r>
        <w:rPr>
          <w:spacing w:val="-44"/>
        </w:rPr>
        <w:t> </w:t>
      </w:r>
      <w:r>
        <w:rPr>
          <w:rFonts w:ascii="宋体" w:hAnsi="宋体" w:cs="宋体" w:eastAsia="宋体" w:hint="default"/>
          <w:spacing w:val="-1"/>
        </w:rPr>
        <w:t>100%</w:t>
      </w:r>
      <w:r>
        <w:rPr>
          <w:spacing w:val="-1"/>
        </w:rPr>
        <w:t>股权已过户登记至公司名下。</w:t>
      </w:r>
    </w:p>
    <w:p>
      <w:pPr>
        <w:pStyle w:val="BodyText"/>
        <w:spacing w:line="355" w:lineRule="auto"/>
        <w:ind w:left="318" w:right="1736" w:firstLine="420"/>
        <w:jc w:val="both"/>
      </w:pPr>
      <w:r>
        <w:rPr/>
        <w:t>本次向詹嘉、李翔、张璐、李劼、刘阳、王英杰、孙唯一、田斌、郑晓东、段永玲、 郭海发行新增</w:t>
      </w:r>
      <w:r>
        <w:rPr>
          <w:spacing w:val="-60"/>
        </w:rPr>
        <w:t> </w:t>
      </w:r>
      <w:r>
        <w:rPr>
          <w:rFonts w:ascii="宋体" w:hAnsi="宋体" w:cs="宋体" w:eastAsia="宋体" w:hint="default"/>
        </w:rPr>
        <w:t>18,688,459</w:t>
      </w:r>
      <w:r>
        <w:rPr>
          <w:rFonts w:ascii="宋体" w:hAnsi="宋体" w:cs="宋体" w:eastAsia="宋体" w:hint="default"/>
          <w:spacing w:val="-60"/>
        </w:rPr>
        <w:t> </w:t>
      </w:r>
      <w:r>
        <w:rPr/>
        <w:t>股</w:t>
      </w:r>
      <w:r>
        <w:rPr>
          <w:spacing w:val="-60"/>
        </w:rPr>
        <w:t> </w:t>
      </w:r>
      <w:r>
        <w:rPr>
          <w:rFonts w:ascii="宋体" w:hAnsi="宋体" w:cs="宋体" w:eastAsia="宋体" w:hint="default"/>
        </w:rPr>
        <w:t>A</w:t>
      </w:r>
      <w:r>
        <w:rPr>
          <w:rFonts w:ascii="宋体" w:hAnsi="宋体" w:cs="宋体" w:eastAsia="宋体" w:hint="default"/>
          <w:spacing w:val="-59"/>
        </w:rPr>
        <w:t> </w:t>
      </w:r>
      <w:r>
        <w:rPr/>
        <w:t>股股票已于</w:t>
      </w:r>
      <w:r>
        <w:rPr>
          <w:spacing w:val="-59"/>
        </w:rPr>
        <w:t> </w:t>
      </w:r>
      <w:r>
        <w:rPr>
          <w:rFonts w:ascii="宋体" w:hAnsi="宋体" w:cs="宋体" w:eastAsia="宋体" w:hint="default"/>
        </w:rPr>
        <w:t>2014</w:t>
      </w:r>
      <w:r>
        <w:rPr>
          <w:rFonts w:ascii="宋体" w:hAnsi="宋体" w:cs="宋体" w:eastAsia="宋体" w:hint="default"/>
          <w:spacing w:val="-58"/>
        </w:rPr>
        <w:t> </w:t>
      </w:r>
      <w:r>
        <w:rPr/>
        <w:t>年</w:t>
      </w:r>
      <w:r>
        <w:rPr>
          <w:spacing w:val="-61"/>
        </w:rPr>
        <w:t> </w:t>
      </w:r>
      <w:r>
        <w:rPr>
          <w:rFonts w:ascii="宋体" w:hAnsi="宋体" w:cs="宋体" w:eastAsia="宋体" w:hint="default"/>
        </w:rPr>
        <w:t>12</w:t>
      </w:r>
      <w:r>
        <w:rPr>
          <w:rFonts w:ascii="宋体" w:hAnsi="宋体" w:cs="宋体" w:eastAsia="宋体" w:hint="default"/>
          <w:spacing w:val="-59"/>
        </w:rPr>
        <w:t> </w:t>
      </w:r>
      <w:r>
        <w:rPr/>
        <w:t>月</w:t>
      </w:r>
      <w:r>
        <w:rPr>
          <w:spacing w:val="-61"/>
        </w:rPr>
        <w:t> </w:t>
      </w:r>
      <w:r>
        <w:rPr>
          <w:rFonts w:ascii="宋体" w:hAnsi="宋体" w:cs="宋体" w:eastAsia="宋体" w:hint="default"/>
        </w:rPr>
        <w:t>23</w:t>
      </w:r>
      <w:r>
        <w:rPr>
          <w:rFonts w:ascii="宋体" w:hAnsi="宋体" w:cs="宋体" w:eastAsia="宋体" w:hint="default"/>
          <w:spacing w:val="-59"/>
        </w:rPr>
        <w:t> </w:t>
      </w:r>
      <w:r>
        <w:rPr/>
        <w:t>日在中登公司深圳分公司办理</w:t>
      </w:r>
    </w:p>
    <w:p>
      <w:pPr>
        <w:pStyle w:val="BodyText"/>
        <w:spacing w:line="240" w:lineRule="auto" w:before="33"/>
        <w:ind w:left="317" w:right="0"/>
        <w:jc w:val="both"/>
      </w:pPr>
      <w:r>
        <w:rPr/>
        <w:t>完毕登记手续。本次新增股份的性质为有限售条件流通股，限售期为 </w:t>
      </w:r>
      <w:r>
        <w:rPr>
          <w:rFonts w:ascii="宋体" w:hAnsi="宋体" w:cs="宋体" w:eastAsia="宋体" w:hint="default"/>
        </w:rPr>
        <w:t>36</w:t>
      </w:r>
      <w:r>
        <w:rPr>
          <w:rFonts w:ascii="宋体" w:hAnsi="宋体" w:cs="宋体" w:eastAsia="宋体" w:hint="default"/>
          <w:spacing w:val="-60"/>
        </w:rPr>
        <w:t> </w:t>
      </w:r>
      <w:r>
        <w:rPr/>
        <w:t>个月，上市日为</w:t>
      </w:r>
    </w:p>
    <w:p>
      <w:pPr>
        <w:pStyle w:val="BodyText"/>
        <w:spacing w:line="240" w:lineRule="auto" w:before="133"/>
        <w:ind w:left="317" w:right="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p>
    <w:p>
      <w:pPr>
        <w:pStyle w:val="Heading3"/>
        <w:spacing w:line="240" w:lineRule="auto" w:before="134"/>
        <w:ind w:left="740" w:right="0"/>
        <w:jc w:val="left"/>
        <w:rPr>
          <w:b w:val="0"/>
          <w:bCs w:val="0"/>
        </w:rPr>
      </w:pPr>
      <w:r>
        <w:rPr>
          <w:rFonts w:ascii="宋体" w:hAnsi="宋体" w:cs="宋体" w:eastAsia="宋体" w:hint="default"/>
        </w:rPr>
        <w:t>4</w:t>
      </w:r>
      <w:r>
        <w:rPr/>
        <w:t>、公司第一期员工持股计划</w:t>
      </w:r>
      <w:r>
        <w:rPr>
          <w:b w:val="0"/>
          <w:bCs w:val="0"/>
        </w:rPr>
      </w:r>
    </w:p>
    <w:p>
      <w:pPr>
        <w:pStyle w:val="BodyText"/>
        <w:spacing w:line="240" w:lineRule="auto" w:before="133"/>
        <w:ind w:left="737" w:right="0"/>
        <w:jc w:val="left"/>
      </w:pPr>
      <w:r>
        <w:rPr/>
        <w:t>公司分别于</w:t>
      </w:r>
      <w:r>
        <w:rPr>
          <w:spacing w:val="-50"/>
        </w:rPr>
        <w:t> </w:t>
      </w:r>
      <w:r>
        <w:rPr>
          <w:rFonts w:ascii="宋体" w:hAnsi="宋体" w:cs="宋体" w:eastAsia="宋体" w:hint="default"/>
        </w:rPr>
        <w:t>2014</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30</w:t>
      </w:r>
      <w:r>
        <w:rPr>
          <w:rFonts w:ascii="宋体" w:hAnsi="宋体" w:cs="宋体" w:eastAsia="宋体" w:hint="default"/>
          <w:spacing w:val="-49"/>
        </w:rPr>
        <w:t> </w:t>
      </w:r>
      <w:r>
        <w:rPr/>
        <w:t>日召开第四届董事会第五次会议和</w:t>
      </w:r>
      <w:r>
        <w:rPr>
          <w:spacing w:val="-50"/>
        </w:rPr>
        <w:t> </w:t>
      </w:r>
      <w:r>
        <w:rPr>
          <w:rFonts w:ascii="宋体" w:hAnsi="宋体" w:cs="宋体" w:eastAsia="宋体" w:hint="default"/>
        </w:rPr>
        <w:t>2015</w:t>
      </w:r>
      <w:r>
        <w:rPr>
          <w:rFonts w:ascii="宋体" w:hAnsi="宋体" w:cs="宋体" w:eastAsia="宋体" w:hint="default"/>
          <w:spacing w:val="-49"/>
        </w:rPr>
        <w:t> </w:t>
      </w:r>
      <w:r>
        <w:rPr/>
        <w:t>年</w:t>
      </w:r>
      <w:r>
        <w:rPr>
          <w:spacing w:val="-50"/>
        </w:rPr>
        <w:t> </w:t>
      </w:r>
      <w:r>
        <w:rPr>
          <w:rFonts w:ascii="宋体" w:hAnsi="宋体" w:cs="宋体" w:eastAsia="宋体" w:hint="default"/>
        </w:rPr>
        <w:t>1</w:t>
      </w:r>
      <w:r>
        <w:rPr>
          <w:rFonts w:ascii="宋体" w:hAnsi="宋体" w:cs="宋体" w:eastAsia="宋体" w:hint="default"/>
          <w:spacing w:val="-51"/>
        </w:rPr>
        <w:t> </w:t>
      </w:r>
      <w:r>
        <w:rPr/>
        <w:t>月</w:t>
      </w:r>
      <w:r>
        <w:rPr>
          <w:spacing w:val="-50"/>
        </w:rPr>
        <w:t> </w:t>
      </w:r>
      <w:r>
        <w:rPr>
          <w:rFonts w:ascii="宋体" w:hAnsi="宋体" w:cs="宋体" w:eastAsia="宋体" w:hint="default"/>
        </w:rPr>
        <w:t>15</w:t>
      </w:r>
      <w:r>
        <w:rPr>
          <w:rFonts w:ascii="宋体" w:hAnsi="宋体" w:cs="宋体" w:eastAsia="宋体" w:hint="default"/>
          <w:spacing w:val="-49"/>
        </w:rPr>
        <w:t> </w:t>
      </w:r>
      <w:r>
        <w:rPr/>
        <w:t>日召</w:t>
      </w:r>
    </w:p>
    <w:p>
      <w:pPr>
        <w:pStyle w:val="BodyText"/>
        <w:spacing w:line="355" w:lineRule="auto" w:before="134"/>
        <w:ind w:left="317" w:right="1776"/>
        <w:jc w:val="left"/>
      </w:pPr>
      <w:r>
        <w:rPr/>
        <w:t>开</w:t>
      </w:r>
      <w:r>
        <w:rPr>
          <w:spacing w:val="-81"/>
        </w:rPr>
        <w:t> </w:t>
      </w:r>
      <w:r>
        <w:rPr>
          <w:rFonts w:ascii="宋体" w:hAnsi="宋体" w:cs="宋体" w:eastAsia="宋体" w:hint="default"/>
        </w:rPr>
        <w:t>2015</w:t>
      </w:r>
      <w:r>
        <w:rPr>
          <w:rFonts w:ascii="宋体" w:hAnsi="宋体" w:cs="宋体" w:eastAsia="宋体" w:hint="default"/>
          <w:spacing w:val="-81"/>
        </w:rPr>
        <w:t> </w:t>
      </w:r>
      <w:r>
        <w:rPr/>
        <w:t>年第一次临时股东大会，审议通过了《关于</w:t>
      </w:r>
      <w:r>
        <w:rPr>
          <w:rFonts w:ascii="宋体" w:hAnsi="宋体" w:cs="宋体" w:eastAsia="宋体" w:hint="default"/>
        </w:rPr>
        <w:t>&lt;</w:t>
      </w:r>
      <w:r>
        <w:rPr/>
        <w:t>利欧集团股份有限公司第一期员工持 </w:t>
      </w:r>
      <w:r>
        <w:rPr>
          <w:spacing w:val="-7"/>
        </w:rPr>
        <w:t>股计划（草案）</w:t>
      </w:r>
      <w:r>
        <w:rPr>
          <w:rFonts w:ascii="宋体" w:hAnsi="宋体" w:cs="宋体" w:eastAsia="宋体" w:hint="default"/>
          <w:spacing w:val="-7"/>
        </w:rPr>
        <w:t>&gt;</w:t>
      </w:r>
      <w:r>
        <w:rPr>
          <w:spacing w:val="-7"/>
        </w:rPr>
        <w:t>及其摘要的议案》。</w:t>
      </w:r>
    </w:p>
    <w:p>
      <w:pPr>
        <w:pStyle w:val="BodyText"/>
        <w:spacing w:line="357" w:lineRule="auto" w:before="32"/>
        <w:ind w:left="318" w:right="1793" w:firstLine="420"/>
        <w:jc w:val="both"/>
      </w:pPr>
      <w:r>
        <w:rPr>
          <w:spacing w:val="-2"/>
        </w:rPr>
        <w:t>本员工持股计划将委托广发证券资产管理（广东）有限公司管理，并全额认购由广发</w:t>
      </w:r>
      <w:r>
        <w:rPr/>
        <w:t> 证券资产管理（广东）有限公司设立的广发资管利欧投资</w:t>
      </w:r>
      <w:r>
        <w:rPr>
          <w:spacing w:val="-83"/>
        </w:rPr>
        <w:t> </w:t>
      </w:r>
      <w:r>
        <w:rPr>
          <w:rFonts w:ascii="宋体" w:hAnsi="宋体" w:cs="宋体" w:eastAsia="宋体" w:hint="default"/>
        </w:rPr>
        <w:t>1</w:t>
      </w:r>
      <w:r>
        <w:rPr>
          <w:rFonts w:ascii="宋体" w:hAnsi="宋体" w:cs="宋体" w:eastAsia="宋体" w:hint="default"/>
          <w:spacing w:val="-83"/>
        </w:rPr>
        <w:t> </w:t>
      </w:r>
      <w:r>
        <w:rPr/>
        <w:t>号集合资产管理计划（以下简</w:t>
      </w:r>
    </w:p>
    <w:p>
      <w:pPr>
        <w:pStyle w:val="BodyText"/>
        <w:spacing w:line="357" w:lineRule="auto"/>
        <w:ind w:left="317" w:right="1689"/>
        <w:jc w:val="both"/>
      </w:pPr>
      <w:r>
        <w:rPr>
          <w:spacing w:val="-3"/>
        </w:rPr>
        <w:t>称“利欧投资</w:t>
      </w:r>
      <w:r>
        <w:rPr>
          <w:spacing w:val="-52"/>
        </w:rPr>
        <w:t> </w:t>
      </w:r>
      <w:r>
        <w:rPr>
          <w:rFonts w:ascii="宋体" w:hAnsi="宋体" w:cs="宋体" w:eastAsia="宋体" w:hint="default"/>
        </w:rPr>
        <w:t>1</w:t>
      </w:r>
      <w:r>
        <w:rPr>
          <w:rFonts w:ascii="宋体" w:hAnsi="宋体" w:cs="宋体" w:eastAsia="宋体" w:hint="default"/>
          <w:spacing w:val="-51"/>
        </w:rPr>
        <w:t> </w:t>
      </w:r>
      <w:r>
        <w:rPr>
          <w:spacing w:val="-21"/>
        </w:rPr>
        <w:t>号”）的次级</w:t>
      </w:r>
      <w:r>
        <w:rPr>
          <w:spacing w:val="-52"/>
        </w:rPr>
        <w:t> </w:t>
      </w:r>
      <w:r>
        <w:rPr>
          <w:rFonts w:ascii="宋体" w:hAnsi="宋体" w:cs="宋体" w:eastAsia="宋体" w:hint="default"/>
        </w:rPr>
        <w:t>B</w:t>
      </w:r>
      <w:r>
        <w:rPr>
          <w:rFonts w:ascii="宋体" w:hAnsi="宋体" w:cs="宋体" w:eastAsia="宋体" w:hint="default"/>
          <w:spacing w:val="-51"/>
        </w:rPr>
        <w:t> </w:t>
      </w:r>
      <w:r>
        <w:rPr>
          <w:spacing w:val="-3"/>
        </w:rPr>
        <w:t>份额。利欧投资</w:t>
      </w:r>
      <w:r>
        <w:rPr>
          <w:spacing w:val="-51"/>
        </w:rPr>
        <w:t> </w:t>
      </w:r>
      <w:r>
        <w:rPr>
          <w:rFonts w:ascii="宋体" w:hAnsi="宋体" w:cs="宋体" w:eastAsia="宋体" w:hint="default"/>
        </w:rPr>
        <w:t>1</w:t>
      </w:r>
      <w:r>
        <w:rPr>
          <w:rFonts w:ascii="宋体" w:hAnsi="宋体" w:cs="宋体" w:eastAsia="宋体" w:hint="default"/>
          <w:spacing w:val="-51"/>
        </w:rPr>
        <w:t> </w:t>
      </w:r>
      <w:r>
        <w:rPr>
          <w:spacing w:val="-1"/>
        </w:rPr>
        <w:t>号份额上限为</w:t>
      </w:r>
      <w:r>
        <w:rPr>
          <w:spacing w:val="-52"/>
        </w:rPr>
        <w:t> </w:t>
      </w:r>
      <w:r>
        <w:rPr>
          <w:rFonts w:ascii="宋体" w:hAnsi="宋体" w:cs="宋体" w:eastAsia="宋体" w:hint="default"/>
        </w:rPr>
        <w:t>11,250</w:t>
      </w:r>
      <w:r>
        <w:rPr>
          <w:rFonts w:ascii="宋体" w:hAnsi="宋体" w:cs="宋体" w:eastAsia="宋体" w:hint="default"/>
          <w:spacing w:val="-51"/>
        </w:rPr>
        <w:t> </w:t>
      </w:r>
      <w:r>
        <w:rPr>
          <w:spacing w:val="-3"/>
        </w:rPr>
        <w:t>万份，按照不超过</w:t>
      </w:r>
      <w:r>
        <w:rPr>
          <w:spacing w:val="-101"/>
        </w:rPr>
        <w:t> </w:t>
      </w:r>
      <w:r>
        <w:rPr>
          <w:spacing w:val="-101"/>
        </w:rPr>
      </w:r>
      <w:r>
        <w:rPr>
          <w:rFonts w:ascii="宋体" w:hAnsi="宋体" w:cs="宋体" w:eastAsia="宋体" w:hint="default"/>
        </w:rPr>
        <w:t>2:1</w:t>
      </w:r>
      <w:r>
        <w:rPr>
          <w:rFonts w:ascii="宋体" w:hAnsi="宋体" w:cs="宋体" w:eastAsia="宋体" w:hint="default"/>
          <w:spacing w:val="-54"/>
        </w:rPr>
        <w:t> </w:t>
      </w:r>
      <w:r>
        <w:rPr/>
        <w:t>的比例设立优先级</w:t>
      </w:r>
      <w:r>
        <w:rPr>
          <w:spacing w:val="-55"/>
        </w:rPr>
        <w:t> </w:t>
      </w:r>
      <w:r>
        <w:rPr>
          <w:rFonts w:ascii="宋体" w:hAnsi="宋体" w:cs="宋体" w:eastAsia="宋体" w:hint="default"/>
        </w:rPr>
        <w:t>A</w:t>
      </w:r>
      <w:r>
        <w:rPr>
          <w:rFonts w:ascii="宋体" w:hAnsi="宋体" w:cs="宋体" w:eastAsia="宋体" w:hint="default"/>
          <w:spacing w:val="-55"/>
        </w:rPr>
        <w:t> </w:t>
      </w:r>
      <w:r>
        <w:rPr/>
        <w:t>份额和次级份额，次级份额又分为次级</w:t>
      </w:r>
      <w:r>
        <w:rPr>
          <w:spacing w:val="-54"/>
        </w:rPr>
        <w:t> </w:t>
      </w:r>
      <w:r>
        <w:rPr>
          <w:rFonts w:ascii="宋体" w:hAnsi="宋体" w:cs="宋体" w:eastAsia="宋体" w:hint="default"/>
        </w:rPr>
        <w:t>B</w:t>
      </w:r>
      <w:r>
        <w:rPr>
          <w:rFonts w:ascii="宋体" w:hAnsi="宋体" w:cs="宋体" w:eastAsia="宋体" w:hint="default"/>
          <w:spacing w:val="-54"/>
        </w:rPr>
        <w:t> </w:t>
      </w:r>
      <w:r>
        <w:rPr/>
        <w:t>份额和次级</w:t>
      </w:r>
      <w:r>
        <w:rPr>
          <w:spacing w:val="-54"/>
        </w:rPr>
        <w:t> </w:t>
      </w:r>
      <w:r>
        <w:rPr>
          <w:rFonts w:ascii="宋体" w:hAnsi="宋体" w:cs="宋体" w:eastAsia="宋体" w:hint="default"/>
        </w:rPr>
        <w:t>C</w:t>
      </w:r>
      <w:r>
        <w:rPr>
          <w:rFonts w:ascii="宋体" w:hAnsi="宋体" w:cs="宋体" w:eastAsia="宋体" w:hint="default"/>
          <w:spacing w:val="-54"/>
        </w:rPr>
        <w:t> </w:t>
      </w:r>
      <w:r>
        <w:rPr/>
        <w:t>份额。公 司控股股东、实际控制人王相荣先生以</w:t>
      </w:r>
      <w:r>
        <w:rPr>
          <w:spacing w:val="-56"/>
        </w:rPr>
        <w:t> </w:t>
      </w:r>
      <w:r>
        <w:rPr>
          <w:rFonts w:ascii="宋体" w:hAnsi="宋体" w:cs="宋体" w:eastAsia="宋体" w:hint="default"/>
        </w:rPr>
        <w:t>2,500</w:t>
      </w:r>
      <w:r>
        <w:rPr>
          <w:rFonts w:ascii="宋体" w:hAnsi="宋体" w:cs="宋体" w:eastAsia="宋体" w:hint="default"/>
          <w:spacing w:val="-57"/>
        </w:rPr>
        <w:t> </w:t>
      </w:r>
      <w:r>
        <w:rPr/>
        <w:t>万元全额认购利欧投资</w:t>
      </w:r>
      <w:r>
        <w:rPr>
          <w:spacing w:val="-56"/>
        </w:rPr>
        <w:t> </w:t>
      </w:r>
      <w:r>
        <w:rPr>
          <w:rFonts w:ascii="宋体" w:hAnsi="宋体" w:cs="宋体" w:eastAsia="宋体" w:hint="default"/>
        </w:rPr>
        <w:t>1</w:t>
      </w:r>
      <w:r>
        <w:rPr>
          <w:rFonts w:ascii="宋体" w:hAnsi="宋体" w:cs="宋体" w:eastAsia="宋体" w:hint="default"/>
          <w:spacing w:val="-56"/>
        </w:rPr>
        <w:t> </w:t>
      </w:r>
      <w:r>
        <w:rPr/>
        <w:t>号次级</w:t>
      </w:r>
      <w:r>
        <w:rPr>
          <w:spacing w:val="-58"/>
        </w:rPr>
        <w:t> </w:t>
      </w:r>
      <w:r>
        <w:rPr>
          <w:rFonts w:ascii="宋体" w:hAnsi="宋体" w:cs="宋体" w:eastAsia="宋体" w:hint="default"/>
        </w:rPr>
        <w:t>C</w:t>
      </w:r>
      <w:r>
        <w:rPr>
          <w:rFonts w:ascii="宋体" w:hAnsi="宋体" w:cs="宋体" w:eastAsia="宋体" w:hint="default"/>
          <w:spacing w:val="-56"/>
        </w:rPr>
        <w:t> </w:t>
      </w:r>
      <w:r>
        <w:rPr>
          <w:spacing w:val="-8"/>
        </w:rPr>
        <w:t>份额，与</w:t>
      </w:r>
      <w:r>
        <w:rPr/>
        <w:t> 次级</w:t>
      </w:r>
      <w:r>
        <w:rPr>
          <w:spacing w:val="-63"/>
        </w:rPr>
        <w:t> </w:t>
      </w:r>
      <w:r>
        <w:rPr>
          <w:rFonts w:ascii="宋体" w:hAnsi="宋体" w:cs="宋体" w:eastAsia="宋体" w:hint="default"/>
        </w:rPr>
        <w:t>B</w:t>
      </w:r>
      <w:r>
        <w:rPr>
          <w:rFonts w:ascii="宋体" w:hAnsi="宋体" w:cs="宋体" w:eastAsia="宋体" w:hint="default"/>
          <w:spacing w:val="-63"/>
        </w:rPr>
        <w:t> </w:t>
      </w:r>
      <w:r>
        <w:rPr/>
        <w:t>份额投资者认购的</w:t>
      </w:r>
      <w:r>
        <w:rPr>
          <w:spacing w:val="-63"/>
        </w:rPr>
        <w:t> </w:t>
      </w:r>
      <w:r>
        <w:rPr>
          <w:rFonts w:ascii="宋体" w:hAnsi="宋体" w:cs="宋体" w:eastAsia="宋体" w:hint="default"/>
        </w:rPr>
        <w:t>1,250</w:t>
      </w:r>
      <w:r>
        <w:rPr>
          <w:rFonts w:ascii="宋体" w:hAnsi="宋体" w:cs="宋体" w:eastAsia="宋体" w:hint="default"/>
          <w:spacing w:val="-62"/>
        </w:rPr>
        <w:t> </w:t>
      </w:r>
      <w:r>
        <w:rPr/>
        <w:t>万元共同以出资额为限承担对优先级</w:t>
      </w:r>
      <w:r>
        <w:rPr>
          <w:spacing w:val="-63"/>
        </w:rPr>
        <w:t> </w:t>
      </w:r>
      <w:r>
        <w:rPr>
          <w:rFonts w:ascii="宋体" w:hAnsi="宋体" w:cs="宋体" w:eastAsia="宋体" w:hint="default"/>
        </w:rPr>
        <w:t>A</w:t>
      </w:r>
      <w:r>
        <w:rPr>
          <w:rFonts w:ascii="宋体" w:hAnsi="宋体" w:cs="宋体" w:eastAsia="宋体" w:hint="default"/>
          <w:spacing w:val="-63"/>
        </w:rPr>
        <w:t> </w:t>
      </w:r>
      <w:r>
        <w:rPr/>
        <w:t>份额本金及预期年 化收益的担保责任。同时，公司控股股东、实际控制人王相荣先生承诺差额补足，提供连 </w:t>
      </w:r>
      <w:r>
        <w:rPr>
          <w:spacing w:val="-5"/>
        </w:rPr>
        <w:t>带担保责任。本员工持股计划存续期为不超过</w:t>
      </w:r>
      <w:r>
        <w:rPr>
          <w:spacing w:val="-48"/>
        </w:rPr>
        <w:t> </w:t>
      </w:r>
      <w:r>
        <w:rPr>
          <w:rFonts w:ascii="宋体" w:hAnsi="宋体" w:cs="宋体" w:eastAsia="宋体" w:hint="default"/>
        </w:rPr>
        <w:t>18</w:t>
      </w:r>
      <w:r>
        <w:rPr>
          <w:rFonts w:ascii="宋体" w:hAnsi="宋体" w:cs="宋体" w:eastAsia="宋体" w:hint="default"/>
          <w:spacing w:val="-49"/>
        </w:rPr>
        <w:t> </w:t>
      </w:r>
      <w:r>
        <w:rPr>
          <w:spacing w:val="-6"/>
        </w:rPr>
        <w:t>个月，所获标的股票的锁定期为</w:t>
      </w:r>
      <w:r>
        <w:rPr>
          <w:spacing w:val="-48"/>
        </w:rPr>
        <w:t> </w:t>
      </w:r>
      <w:r>
        <w:rPr>
          <w:rFonts w:ascii="宋体" w:hAnsi="宋体" w:cs="宋体" w:eastAsia="宋体" w:hint="default"/>
        </w:rPr>
        <w:t>12</w:t>
      </w:r>
      <w:r>
        <w:rPr>
          <w:rFonts w:ascii="宋体" w:hAnsi="宋体" w:cs="宋体" w:eastAsia="宋体" w:hint="default"/>
          <w:spacing w:val="-48"/>
        </w:rPr>
        <w:t> </w:t>
      </w:r>
      <w:r>
        <w:rPr/>
        <w:t>个月。</w:t>
      </w:r>
    </w:p>
    <w:p>
      <w:pPr>
        <w:pStyle w:val="BodyText"/>
        <w:spacing w:line="240" w:lineRule="auto" w:before="31"/>
        <w:ind w:left="737" w:right="0"/>
        <w:jc w:val="left"/>
      </w:pP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30</w:t>
      </w:r>
      <w:r>
        <w:rPr>
          <w:rFonts w:ascii="宋体" w:hAnsi="宋体" w:cs="宋体" w:eastAsia="宋体" w:hint="default"/>
          <w:spacing w:val="-55"/>
        </w:rPr>
        <w:t> </w:t>
      </w:r>
      <w:r>
        <w:rPr/>
        <w:t>日，公司收到广发证券资产管理（广东）有限公司完成本次员工持股</w:t>
      </w:r>
    </w:p>
    <w:p>
      <w:pPr>
        <w:pStyle w:val="BodyText"/>
        <w:spacing w:line="240" w:lineRule="auto" w:before="133"/>
        <w:ind w:left="317" w:right="0"/>
        <w:jc w:val="both"/>
      </w:pPr>
      <w:r>
        <w:rPr>
          <w:spacing w:val="-3"/>
        </w:rPr>
        <w:t>计划股票购买的通知：截至</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30</w:t>
      </w:r>
      <w:r>
        <w:rPr>
          <w:rFonts w:ascii="宋体" w:hAnsi="宋体" w:cs="宋体" w:eastAsia="宋体" w:hint="default"/>
          <w:spacing w:val="-57"/>
        </w:rPr>
        <w:t> </w:t>
      </w:r>
      <w:r>
        <w:rPr/>
        <w:t>日，公司第一期员工持股计划通过深圳证券交</w:t>
      </w:r>
    </w:p>
    <w:p>
      <w:pPr>
        <w:pStyle w:val="BodyText"/>
        <w:spacing w:line="355" w:lineRule="auto" w:before="134"/>
        <w:ind w:left="317" w:right="1784"/>
        <w:jc w:val="left"/>
      </w:pPr>
      <w:r>
        <w:rPr/>
        <w:t>易所证券交易系统完成股票购买，购买均价</w:t>
      </w:r>
      <w:r>
        <w:rPr>
          <w:spacing w:val="-59"/>
        </w:rPr>
        <w:t> </w:t>
      </w:r>
      <w:r>
        <w:rPr>
          <w:rFonts w:ascii="宋体" w:hAnsi="宋体" w:cs="宋体" w:eastAsia="宋体" w:hint="default"/>
        </w:rPr>
        <w:t>25.57</w:t>
      </w:r>
      <w:r>
        <w:rPr>
          <w:rFonts w:ascii="宋体" w:hAnsi="宋体" w:cs="宋体" w:eastAsia="宋体" w:hint="default"/>
          <w:spacing w:val="-59"/>
        </w:rPr>
        <w:t> </w:t>
      </w:r>
      <w:r>
        <w:rPr>
          <w:spacing w:val="-5"/>
        </w:rPr>
        <w:t>元</w:t>
      </w:r>
      <w:r>
        <w:rPr>
          <w:rFonts w:ascii="宋体" w:hAnsi="宋体" w:cs="宋体" w:eastAsia="宋体" w:hint="default"/>
          <w:spacing w:val="-5"/>
        </w:rPr>
        <w:t>/</w:t>
      </w:r>
      <w:r>
        <w:rPr>
          <w:spacing w:val="-5"/>
        </w:rPr>
        <w:t>股，购买数量</w:t>
      </w:r>
      <w:r>
        <w:rPr>
          <w:spacing w:val="-59"/>
        </w:rPr>
        <w:t> </w:t>
      </w:r>
      <w:r>
        <w:rPr>
          <w:rFonts w:ascii="宋体" w:hAnsi="宋体" w:cs="宋体" w:eastAsia="宋体" w:hint="default"/>
        </w:rPr>
        <w:t>4,351,500</w:t>
      </w:r>
      <w:r>
        <w:rPr>
          <w:rFonts w:ascii="宋体" w:hAnsi="宋体" w:cs="宋体" w:eastAsia="宋体" w:hint="default"/>
          <w:spacing w:val="-58"/>
        </w:rPr>
        <w:t> </w:t>
      </w:r>
      <w:r>
        <w:rPr/>
        <w:t>股</w:t>
      </w:r>
      <w:r>
        <w:rPr>
          <w:rFonts w:ascii="宋体" w:hAnsi="宋体" w:cs="宋体" w:eastAsia="宋体" w:hint="default"/>
        </w:rPr>
        <w:t>,</w:t>
      </w:r>
      <w:r>
        <w:rPr/>
        <w:t>占公司 总股本的比例为</w:t>
      </w:r>
      <w:r>
        <w:rPr>
          <w:spacing w:val="-53"/>
        </w:rPr>
        <w:t> </w:t>
      </w:r>
      <w:r>
        <w:rPr>
          <w:rFonts w:ascii="宋体" w:hAnsi="宋体" w:cs="宋体" w:eastAsia="宋体" w:hint="default"/>
        </w:rPr>
        <w:t>1.11%</w:t>
      </w:r>
      <w:r>
        <w:rPr/>
        <w:t>。</w:t>
      </w:r>
    </w:p>
    <w:p>
      <w:pPr>
        <w:spacing w:after="0" w:line="355" w:lineRule="auto"/>
        <w:jc w:val="left"/>
        <w:sectPr>
          <w:pgSz w:w="11910" w:h="16840"/>
          <w:pgMar w:header="0" w:footer="938" w:top="1100" w:bottom="1120" w:left="16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366" w:right="1684"/>
        <w:jc w:val="left"/>
        <w:rPr>
          <w:b w:val="0"/>
          <w:bCs w:val="0"/>
        </w:rPr>
      </w:pPr>
      <w:bookmarkStart w:name="第六节 股份变动及股东情况" w:id="68"/>
      <w:bookmarkEnd w:id="68"/>
      <w:r>
        <w:rPr>
          <w:b w:val="0"/>
          <w:bCs w:val="0"/>
        </w:rPr>
      </w:r>
      <w:bookmarkStart w:name="_bookmark5" w:id="69"/>
      <w:bookmarkEnd w:id="6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left="1217" w:right="1684"/>
        <w:jc w:val="left"/>
        <w:rPr>
          <w:b w:val="0"/>
          <w:bCs w:val="0"/>
        </w:rPr>
      </w:pPr>
      <w:bookmarkStart w:name="一、股份变动情况" w:id="70"/>
      <w:bookmarkEnd w:id="70"/>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010"/>
        <w:gridCol w:w="1082"/>
        <w:gridCol w:w="841"/>
        <w:gridCol w:w="995"/>
        <w:gridCol w:w="842"/>
        <w:gridCol w:w="844"/>
        <w:gridCol w:w="995"/>
        <w:gridCol w:w="995"/>
        <w:gridCol w:w="1118"/>
        <w:gridCol w:w="820"/>
      </w:tblGrid>
      <w:tr>
        <w:trPr>
          <w:trHeight w:val="324"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3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1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2010" w:type="dxa"/>
            <w:vMerge w:val="restart"/>
            <w:tcBorders>
              <w:top w:val="nil" w:sz="6" w:space="0" w:color="auto"/>
              <w:left w:val="single" w:sz="4" w:space="0" w:color="000000"/>
              <w:right w:val="single" w:sz="4" w:space="0" w:color="000000"/>
            </w:tcBorders>
            <w:shd w:val="clear" w:color="auto" w:fill="D2D2D2"/>
          </w:tcPr>
          <w:p>
            <w:pPr/>
          </w:p>
        </w:tc>
        <w:tc>
          <w:tcPr>
            <w:tcW w:w="1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2010" w:type="dxa"/>
            <w:vMerge/>
            <w:tcBorders>
              <w:left w:val="single" w:sz="4" w:space="0" w:color="000000"/>
              <w:bottom w:val="nil" w:sz="6" w:space="0" w:color="auto"/>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vMerge/>
            <w:tcBorders>
              <w:left w:val="single" w:sz="4" w:space="0" w:color="000000"/>
              <w:right w:val="single" w:sz="4" w:space="0" w:color="000000"/>
            </w:tcBorders>
            <w:shd w:val="clear" w:color="auto" w:fill="D2D2D2"/>
          </w:tcPr>
          <w:p>
            <w:pP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38" w:hRule="exact"/>
        </w:trPr>
        <w:tc>
          <w:tcPr>
            <w:tcW w:w="2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841"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r>
      <w:tr>
        <w:trPr>
          <w:trHeight w:val="381"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2"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136,767,303</w:t>
            </w:r>
          </w:p>
        </w:tc>
        <w:tc>
          <w:tcPr>
            <w:tcW w:w="84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42.79%</w:t>
            </w:r>
          </w:p>
        </w:tc>
        <w:tc>
          <w:tcPr>
            <w:tcW w:w="995"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
              <w:ind w:left="41" w:right="0"/>
              <w:jc w:val="left"/>
              <w:rPr>
                <w:rFonts w:ascii="宋体" w:hAnsi="宋体" w:cs="宋体" w:eastAsia="宋体" w:hint="default"/>
                <w:sz w:val="18"/>
                <w:szCs w:val="18"/>
              </w:rPr>
            </w:pPr>
            <w:r>
              <w:rPr>
                <w:rFonts w:ascii="宋体"/>
                <w:sz w:val="18"/>
              </w:rPr>
              <w:t>74,632,494</w:t>
            </w:r>
          </w:p>
        </w:tc>
        <w:tc>
          <w:tcPr>
            <w:tcW w:w="842" w:type="dxa"/>
            <w:tcBorders>
              <w:top w:val="single" w:sz="50" w:space="0" w:color="D2D2D2"/>
              <w:left w:val="single" w:sz="4" w:space="0" w:color="000000"/>
              <w:bottom w:val="single" w:sz="4" w:space="0" w:color="000000"/>
              <w:right w:val="single" w:sz="9" w:space="0" w:color="D2D2D2"/>
            </w:tcBorders>
          </w:tcPr>
          <w:p>
            <w:pPr/>
          </w:p>
        </w:tc>
        <w:tc>
          <w:tcPr>
            <w:tcW w:w="844" w:type="dxa"/>
            <w:tcBorders>
              <w:top w:val="single" w:sz="4" w:space="0" w:color="000000"/>
              <w:left w:val="single" w:sz="9" w:space="0" w:color="D2D2D2"/>
              <w:bottom w:val="single" w:sz="4" w:space="0" w:color="000000"/>
              <w:right w:val="single" w:sz="13" w:space="0" w:color="D2D2D2"/>
            </w:tcBorders>
          </w:tcPr>
          <w:p>
            <w:pPr/>
          </w:p>
        </w:tc>
        <w:tc>
          <w:tcPr>
            <w:tcW w:w="995"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10"/>
              <w:ind w:right="15"/>
              <w:jc w:val="center"/>
              <w:rPr>
                <w:rFonts w:ascii="宋体" w:hAnsi="宋体" w:cs="宋体" w:eastAsia="宋体" w:hint="default"/>
                <w:sz w:val="18"/>
                <w:szCs w:val="18"/>
              </w:rPr>
            </w:pPr>
            <w:r>
              <w:rPr>
                <w:rFonts w:ascii="宋体"/>
                <w:sz w:val="18"/>
              </w:rPr>
              <w:t>-5,630,625</w:t>
            </w:r>
          </w:p>
        </w:tc>
        <w:tc>
          <w:tcPr>
            <w:tcW w:w="995"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69,001,869</w:t>
            </w:r>
          </w:p>
        </w:tc>
        <w:tc>
          <w:tcPr>
            <w:tcW w:w="1118"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205,769,172</w:t>
            </w:r>
          </w:p>
        </w:tc>
        <w:tc>
          <w:tcPr>
            <w:tcW w:w="820"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52.57%</w:t>
            </w: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left"/>
              <w:rPr>
                <w:rFonts w:ascii="宋体" w:hAnsi="宋体" w:cs="宋体" w:eastAsia="宋体" w:hint="default"/>
                <w:sz w:val="18"/>
                <w:szCs w:val="18"/>
              </w:rPr>
            </w:pPr>
            <w:r>
              <w:rPr>
                <w:rFonts w:ascii="宋体"/>
                <w:sz w:val="18"/>
              </w:rPr>
              <w:t>5,019,685</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5,019,685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5,019,685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1.28%</w:t>
            </w: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136,767,303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42.79%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 w:right="0"/>
              <w:jc w:val="left"/>
              <w:rPr>
                <w:rFonts w:ascii="宋体" w:hAnsi="宋体" w:cs="宋体" w:eastAsia="宋体" w:hint="default"/>
                <w:sz w:val="18"/>
                <w:szCs w:val="18"/>
              </w:rPr>
            </w:pPr>
            <w:r>
              <w:rPr>
                <w:rFonts w:ascii="宋体"/>
                <w:sz w:val="18"/>
              </w:rPr>
              <w:t>69,612,809</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-5,630,625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63,982,184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200,749,487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51.29%</w:t>
            </w: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2,843,818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0.89%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 w:right="0"/>
              <w:jc w:val="left"/>
              <w:rPr>
                <w:rFonts w:ascii="宋体" w:hAnsi="宋体" w:cs="宋体" w:eastAsia="宋体" w:hint="default"/>
                <w:sz w:val="18"/>
                <w:szCs w:val="18"/>
              </w:rPr>
            </w:pPr>
            <w:r>
              <w:rPr>
                <w:rFonts w:ascii="宋体"/>
                <w:sz w:val="18"/>
              </w:rPr>
              <w:t>18,116,693</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-502,464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17,614,229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20,458,047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5.23%</w:t>
            </w: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8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133,923,485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41.90%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 w:right="0"/>
              <w:jc w:val="left"/>
              <w:rPr>
                <w:rFonts w:ascii="宋体" w:hAnsi="宋体" w:cs="宋体" w:eastAsia="宋体" w:hint="default"/>
                <w:sz w:val="18"/>
                <w:szCs w:val="18"/>
              </w:rPr>
            </w:pPr>
            <w:r>
              <w:rPr>
                <w:rFonts w:ascii="宋体"/>
                <w:sz w:val="18"/>
              </w:rPr>
              <w:t>51,496,116</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-5,128,161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46,367,955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180,291,440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46.06%</w:t>
            </w: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8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182,877,050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57.21%</w:t>
            </w: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sz w:val="18"/>
              </w:rPr>
              <w:t>2,778,228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2,778,228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185,655,278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47.43%</w:t>
            </w: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182,877,050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57.21%</w:t>
            </w: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2,778,228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2,778,228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185,655,278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47.43%</w:t>
            </w: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2" w:type="dxa"/>
            <w:tcBorders>
              <w:top w:val="single" w:sz="4" w:space="0" w:color="000000"/>
              <w:left w:val="single" w:sz="13" w:space="0" w:color="D2D2D2"/>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319,644,353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 w:right="0"/>
              <w:jc w:val="left"/>
              <w:rPr>
                <w:rFonts w:ascii="宋体" w:hAnsi="宋体" w:cs="宋体" w:eastAsia="宋体" w:hint="default"/>
                <w:sz w:val="18"/>
                <w:szCs w:val="18"/>
              </w:rPr>
            </w:pPr>
            <w:r>
              <w:rPr>
                <w:rFonts w:ascii="宋体"/>
                <w:sz w:val="18"/>
              </w:rPr>
              <w:t>74,632,494</w:t>
            </w: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sz w:val="18"/>
              </w:rPr>
              <w:t>-2,852,397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71,780,097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391,424,450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100.00%</w:t>
            </w:r>
          </w:p>
        </w:tc>
      </w:tr>
    </w:tbl>
    <w:p>
      <w:pPr>
        <w:pStyle w:val="Heading3"/>
        <w:spacing w:line="240" w:lineRule="auto" w:before="5"/>
        <w:ind w:left="1218" w:right="1684"/>
        <w:jc w:val="left"/>
        <w:rPr>
          <w:b w:val="0"/>
          <w:bCs w:val="0"/>
        </w:rPr>
      </w:pPr>
      <w:r>
        <w:rPr/>
        <w:t>股份变动的原因、批准情况及过户情况</w:t>
      </w:r>
      <w:r>
        <w:rPr>
          <w:b w:val="0"/>
          <w:bCs w:val="0"/>
        </w:rPr>
      </w:r>
    </w:p>
    <w:p>
      <w:pPr>
        <w:pStyle w:val="BodyText"/>
        <w:spacing w:line="357" w:lineRule="auto" w:before="174"/>
        <w:ind w:left="1217" w:right="1684" w:firstLine="420"/>
        <w:jc w:val="left"/>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日，中国证券监督管理委员会证监许可</w:t>
      </w:r>
      <w:r>
        <w:rPr>
          <w:rFonts w:ascii="宋体" w:hAnsi="宋体" w:cs="宋体" w:eastAsia="宋体" w:hint="default"/>
        </w:rPr>
        <w:t>[2013]1133</w:t>
      </w:r>
      <w:r>
        <w:rPr>
          <w:rFonts w:ascii="宋体" w:hAnsi="宋体" w:cs="宋体" w:eastAsia="宋体" w:hint="default"/>
          <w:spacing w:val="-53"/>
        </w:rPr>
        <w:t> </w:t>
      </w:r>
      <w:r>
        <w:rPr/>
        <w:t>号文核准，公司 </w:t>
      </w:r>
      <w:r>
        <w:rPr>
          <w:spacing w:val="-10"/>
        </w:rPr>
        <w:t>向王相荣、王壮利、王洪仁、梁小恩、林夏满、金纬资本（山南）一期合伙企业（有限合伙）、</w:t>
      </w:r>
      <w:r>
        <w:rPr>
          <w:spacing w:val="-94"/>
        </w:rPr>
        <w:t> </w:t>
      </w:r>
      <w:r>
        <w:rPr>
          <w:spacing w:val="-94"/>
        </w:rPr>
      </w:r>
      <w:r>
        <w:rPr/>
        <w:t>中国水务投资有限公司及西安海联房屋建设开发有限公司非公开发行股票</w:t>
      </w:r>
      <w:r>
        <w:rPr>
          <w:spacing w:val="-52"/>
        </w:rPr>
        <w:t> </w:t>
      </w:r>
      <w:r>
        <w:rPr>
          <w:rFonts w:ascii="宋体" w:hAnsi="宋体" w:cs="宋体" w:eastAsia="宋体" w:hint="default"/>
        </w:rPr>
        <w:t>55,944,035</w:t>
      </w:r>
      <w:r>
        <w:rPr>
          <w:rFonts w:ascii="宋体" w:hAnsi="宋体" w:cs="宋体" w:eastAsia="宋体" w:hint="default"/>
          <w:spacing w:val="-53"/>
        </w:rPr>
        <w:t> </w:t>
      </w:r>
      <w:r>
        <w:rPr/>
        <w:t>股。</w:t>
      </w:r>
    </w:p>
    <w:p>
      <w:pPr>
        <w:pStyle w:val="BodyText"/>
        <w:spacing w:line="240" w:lineRule="auto" w:before="31"/>
        <w:ind w:left="1217" w:right="1684"/>
        <w:jc w:val="left"/>
      </w:pP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26</w:t>
      </w:r>
      <w:r>
        <w:rPr>
          <w:rFonts w:ascii="宋体" w:hAnsi="宋体" w:cs="宋体" w:eastAsia="宋体" w:hint="default"/>
          <w:spacing w:val="-49"/>
        </w:rPr>
        <w:t> </w:t>
      </w:r>
      <w:r>
        <w:rPr>
          <w:spacing w:val="-3"/>
        </w:rPr>
        <w:t>日，天健会计师出具了《验资报告》（天健验（</w:t>
      </w:r>
      <w:r>
        <w:rPr>
          <w:rFonts w:ascii="宋体" w:hAnsi="宋体" w:cs="宋体" w:eastAsia="宋体" w:hint="default"/>
          <w:spacing w:val="-3"/>
        </w:rPr>
        <w:t>2013</w:t>
      </w:r>
      <w:r>
        <w:rPr>
          <w:spacing w:val="-3"/>
        </w:rPr>
        <w:t>）</w:t>
      </w:r>
      <w:r>
        <w:rPr>
          <w:rFonts w:ascii="宋体" w:hAnsi="宋体" w:cs="宋体" w:eastAsia="宋体" w:hint="default"/>
          <w:spacing w:val="-3"/>
        </w:rPr>
        <w:t>395</w:t>
      </w:r>
      <w:r>
        <w:rPr>
          <w:rFonts w:ascii="宋体" w:hAnsi="宋体" w:cs="宋体" w:eastAsia="宋体" w:hint="default"/>
          <w:spacing w:val="-49"/>
        </w:rPr>
        <w:t> </w:t>
      </w:r>
      <w:r>
        <w:rPr>
          <w:spacing w:val="-4"/>
        </w:rPr>
        <w:t>号），对募集资</w:t>
      </w:r>
    </w:p>
    <w:p>
      <w:pPr>
        <w:pStyle w:val="BodyText"/>
        <w:spacing w:line="240" w:lineRule="auto" w:before="133"/>
        <w:ind w:left="1218" w:right="1684"/>
        <w:jc w:val="left"/>
        <w:rPr>
          <w:rFonts w:ascii="宋体" w:hAnsi="宋体" w:cs="宋体" w:eastAsia="宋体" w:hint="default"/>
        </w:rPr>
      </w:pPr>
      <w:r>
        <w:rPr/>
        <w:t>金进行了审验</w:t>
      </w:r>
      <w:r>
        <w:rPr>
          <w:spacing w:val="-105"/>
        </w:rPr>
        <w:t>。</w:t>
      </w:r>
      <w:r>
        <w:rPr/>
        <w:t>所以</w:t>
      </w:r>
      <w:r>
        <w:rPr>
          <w:spacing w:val="-105"/>
        </w:rPr>
        <w:t>，</w:t>
      </w:r>
      <w:r>
        <w:rPr>
          <w:spacing w:val="-2"/>
        </w:rPr>
        <w:t>截</w:t>
      </w:r>
      <w:r>
        <w:rPr/>
        <w:t>止</w:t>
      </w:r>
      <w:r>
        <w:rPr>
          <w:spacing w:val="-57"/>
        </w:rPr>
        <w:t> </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7"/>
        </w:rPr>
        <w:t> </w:t>
      </w:r>
      <w:r>
        <w:rPr/>
        <w:t>月</w:t>
      </w:r>
      <w:r>
        <w:rPr>
          <w:spacing w:val="-59"/>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7"/>
        </w:rPr>
        <w:t> </w:t>
      </w:r>
      <w:r>
        <w:rPr/>
        <w:t>日</w:t>
      </w:r>
      <w:r>
        <w:rPr>
          <w:spacing w:val="-105"/>
        </w:rPr>
        <w:t>，</w:t>
      </w:r>
      <w:r>
        <w:rPr>
          <w:spacing w:val="-2"/>
        </w:rPr>
        <w:t>资</w:t>
      </w:r>
      <w:r>
        <w:rPr/>
        <w:t>产负债表上的股本总额增加至</w:t>
      </w:r>
      <w:r>
        <w:rPr>
          <w:spacing w:val="-57"/>
        </w:rPr>
        <w:t> </w:t>
      </w:r>
      <w:r>
        <w:rPr>
          <w:rFonts w:ascii="宋体" w:hAnsi="宋体" w:cs="宋体" w:eastAsia="宋体" w:hint="default"/>
        </w:rPr>
        <w:t>375,588,388</w:t>
      </w:r>
    </w:p>
    <w:p>
      <w:pPr>
        <w:pStyle w:val="BodyText"/>
        <w:spacing w:line="240" w:lineRule="auto" w:before="133"/>
        <w:ind w:left="1217" w:right="1684"/>
        <w:jc w:val="left"/>
      </w:pPr>
      <w:r>
        <w:rPr/>
        <w:t>元</w:t>
      </w:r>
      <w:r>
        <w:rPr>
          <w:spacing w:val="-88"/>
        </w:rPr>
        <w:t>。</w:t>
      </w:r>
      <w:r>
        <w:rPr/>
        <w:t>因上述新增</w:t>
      </w:r>
      <w:r>
        <w:rPr>
          <w:spacing w:val="-53"/>
        </w:rPr>
        <w:t> </w:t>
      </w:r>
      <w:r>
        <w:rPr>
          <w:rFonts w:ascii="宋体" w:hAnsi="宋体" w:cs="宋体" w:eastAsia="宋体" w:hint="default"/>
        </w:rPr>
        <w:t>55,944,035</w:t>
      </w:r>
      <w:r>
        <w:rPr>
          <w:rFonts w:ascii="宋体" w:hAnsi="宋体" w:cs="宋体" w:eastAsia="宋体" w:hint="default"/>
          <w:spacing w:val="-53"/>
        </w:rPr>
        <w:t> </w:t>
      </w:r>
      <w:r>
        <w:rPr/>
        <w:t>股股份于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日在中</w:t>
      </w:r>
      <w:r>
        <w:rPr>
          <w:spacing w:val="-2"/>
        </w:rPr>
        <w:t>国</w:t>
      </w:r>
      <w:r>
        <w:rPr/>
        <w:t>证券登记结算有限责任公司</w:t>
      </w:r>
    </w:p>
    <w:p>
      <w:pPr>
        <w:pStyle w:val="BodyText"/>
        <w:spacing w:line="357" w:lineRule="auto" w:before="134"/>
        <w:ind w:left="1217" w:right="1774"/>
        <w:jc w:val="left"/>
      </w:pPr>
      <w:r>
        <w:rPr/>
        <w:t>深圳分公司完成登记手续，并于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日在深圳证券交易所上市交易。所以，期初 的股份变动情况表中仍按中国证券登记结算有限责任公司深圳分公司出具股份总数 </w:t>
      </w:r>
      <w:r>
        <w:rPr>
          <w:rFonts w:ascii="宋体" w:hAnsi="宋体" w:cs="宋体" w:eastAsia="宋体" w:hint="default"/>
        </w:rPr>
        <w:t>319,644,353</w:t>
      </w:r>
      <w:r>
        <w:rPr>
          <w:rFonts w:ascii="宋体" w:hAnsi="宋体" w:cs="宋体" w:eastAsia="宋体" w:hint="default"/>
          <w:spacing w:val="-85"/>
        </w:rPr>
        <w:t> </w:t>
      </w:r>
      <w:r>
        <w:rPr/>
        <w:t>股统计股本结构。另外，本节及第八节“董事、监事、高级管理人员和员工情 </w:t>
      </w:r>
      <w:r>
        <w:rPr>
          <w:spacing w:val="-3"/>
        </w:rPr>
        <w:t>况”所涉及的股份数据均按中国证券登记结算有限责任公司深圳分公司出具的股份信息来统</w:t>
      </w:r>
      <w:r>
        <w:rPr>
          <w:spacing w:val="-73"/>
        </w:rPr>
        <w:t> </w:t>
      </w:r>
      <w:r>
        <w:rPr>
          <w:spacing w:val="-73"/>
        </w:rPr>
      </w:r>
      <w:r>
        <w:rPr/>
        <w:t>计。</w:t>
      </w:r>
    </w:p>
    <w:p>
      <w:pPr>
        <w:pStyle w:val="BodyText"/>
        <w:spacing w:line="357" w:lineRule="auto" w:before="70"/>
        <w:ind w:left="1217" w:right="1684" w:firstLine="420"/>
        <w:jc w:val="left"/>
      </w:pPr>
      <w:r>
        <w:rPr>
          <w:rFonts w:ascii="宋体" w:hAnsi="宋体" w:cs="宋体" w:eastAsia="宋体" w:hint="default"/>
          <w:spacing w:val="-3"/>
        </w:rPr>
        <w:t>2</w:t>
      </w:r>
      <w:r>
        <w:rPr>
          <w:spacing w:val="-3"/>
        </w:rPr>
        <w:t>、因长沙利欧天鹅工业泵有限公司</w:t>
      </w:r>
      <w:r>
        <w:rPr>
          <w:spacing w:val="-49"/>
        </w:rPr>
        <w:t> </w:t>
      </w:r>
      <w:r>
        <w:rPr>
          <w:rFonts w:ascii="宋体" w:hAnsi="宋体" w:cs="宋体" w:eastAsia="宋体" w:hint="default"/>
        </w:rPr>
        <w:t>2013</w:t>
      </w:r>
      <w:r>
        <w:rPr>
          <w:rFonts w:ascii="宋体" w:hAnsi="宋体" w:cs="宋体" w:eastAsia="宋体" w:hint="default"/>
          <w:spacing w:val="-50"/>
        </w:rPr>
        <w:t> </w:t>
      </w:r>
      <w:r>
        <w:rPr>
          <w:spacing w:val="-3"/>
        </w:rPr>
        <w:t>年度实现的净利润数低于《关于长沙天鹅工业</w:t>
      </w:r>
      <w:r>
        <w:rPr/>
        <w:t> </w:t>
      </w:r>
      <w:r>
        <w:rPr>
          <w:spacing w:val="-5"/>
        </w:rPr>
        <w:t>泵股份有限公司实际盈利数与净利润预测数差额的补偿协议》中的承诺数，欧亚云、欧亚峰、</w:t>
      </w:r>
    </w:p>
    <w:p>
      <w:pPr>
        <w:spacing w:after="0" w:line="357" w:lineRule="auto"/>
        <w:jc w:val="left"/>
        <w:sectPr>
          <w:pgSz w:w="11910" w:h="16840"/>
          <w:pgMar w:header="0" w:footer="938" w:top="1100" w:bottom="1120" w:left="580" w:right="0"/>
        </w:sectPr>
      </w:pPr>
    </w:p>
    <w:p>
      <w:pPr>
        <w:spacing w:line="240" w:lineRule="auto" w:before="2"/>
        <w:rPr>
          <w:rFonts w:ascii="宋体" w:hAnsi="宋体" w:cs="宋体" w:eastAsia="宋体" w:hint="default"/>
          <w:sz w:val="19"/>
          <w:szCs w:val="19"/>
        </w:rPr>
      </w:pPr>
    </w:p>
    <w:p>
      <w:pPr>
        <w:pStyle w:val="BodyText"/>
        <w:spacing w:line="357" w:lineRule="auto" w:before="35"/>
        <w:ind w:right="1689"/>
        <w:jc w:val="left"/>
        <w:rPr>
          <w:rFonts w:ascii="宋体" w:hAnsi="宋体" w:cs="宋体" w:eastAsia="宋体" w:hint="default"/>
        </w:rPr>
      </w:pPr>
      <w:r>
        <w:rPr>
          <w:spacing w:val="-8"/>
        </w:rPr>
        <w:t>罗兵辉、李洪辉、朱平正、胡观辉、周海蓉、吴波、郭华定和长沙瑞鹅投资管理有限公司（以</w:t>
      </w:r>
      <w:r>
        <w:rPr>
          <w:spacing w:val="-79"/>
        </w:rPr>
        <w:t> </w:t>
      </w:r>
      <w:r>
        <w:rPr>
          <w:spacing w:val="-79"/>
        </w:rPr>
      </w:r>
      <w:r>
        <w:rPr/>
        <w:t>上十方合成“长沙天鹅原股东”）</w:t>
      </w:r>
      <w:r>
        <w:rPr>
          <w:rFonts w:ascii="宋体" w:hAnsi="宋体" w:cs="宋体" w:eastAsia="宋体" w:hint="default"/>
        </w:rPr>
        <w:t>2013</w:t>
      </w:r>
      <w:r>
        <w:rPr>
          <w:rFonts w:ascii="宋体" w:hAnsi="宋体" w:cs="宋体" w:eastAsia="宋体" w:hint="default"/>
          <w:spacing w:val="-54"/>
        </w:rPr>
        <w:t> </w:t>
      </w:r>
      <w:r>
        <w:rPr/>
        <w:t>年度合计补偿股份数为</w:t>
      </w:r>
      <w:r>
        <w:rPr>
          <w:spacing w:val="-54"/>
        </w:rPr>
        <w:t> </w:t>
      </w:r>
      <w:r>
        <w:rPr>
          <w:rFonts w:ascii="宋体" w:hAnsi="宋体" w:cs="宋体" w:eastAsia="宋体" w:hint="default"/>
        </w:rPr>
        <w:t>2,853,397</w:t>
      </w:r>
      <w:r>
        <w:rPr>
          <w:rFonts w:ascii="宋体" w:hAnsi="宋体" w:cs="宋体" w:eastAsia="宋体" w:hint="default"/>
          <w:spacing w:val="-53"/>
        </w:rPr>
        <w:t> </w:t>
      </w:r>
      <w:r>
        <w:rPr/>
        <w:t>股（该部分股份 不拥有表决权且不享有股利分配的权利）。根据公司</w:t>
      </w:r>
      <w:r>
        <w:rPr>
          <w:spacing w:val="-60"/>
        </w:rPr>
        <w:t> </w:t>
      </w:r>
      <w:r>
        <w:rPr>
          <w:rFonts w:ascii="宋体" w:hAnsi="宋体" w:cs="宋体" w:eastAsia="宋体" w:hint="default"/>
        </w:rPr>
        <w:t>2013</w:t>
      </w:r>
      <w:r>
        <w:rPr>
          <w:rFonts w:ascii="宋体" w:hAnsi="宋体" w:cs="宋体" w:eastAsia="宋体" w:hint="default"/>
          <w:spacing w:val="-62"/>
        </w:rPr>
        <w:t> </w:t>
      </w:r>
      <w:r>
        <w:rPr/>
        <w:t>年度股东大会决议，公司以</w:t>
      </w:r>
      <w:r>
        <w:rPr>
          <w:spacing w:val="-60"/>
        </w:rPr>
        <w:t> </w:t>
      </w:r>
      <w:r>
        <w:rPr>
          <w:rFonts w:ascii="宋体" w:hAnsi="宋体" w:cs="宋体" w:eastAsia="宋体" w:hint="default"/>
        </w:rPr>
        <w:t>1.00 </w:t>
      </w:r>
      <w:r>
        <w:rPr/>
        <w:t>元人民币的价格回购并注销欧亚云、欧亚峰、罗兵辉、李洪辉、朱平正、胡观辉、周海蓉、 </w:t>
      </w:r>
      <w:r>
        <w:rPr>
          <w:spacing w:val="-2"/>
        </w:rPr>
        <w:t>吴波、郭华定等九名自然人和长沙瑞鹅投资管理有限公司持有的本公司股份合计</w:t>
      </w:r>
      <w:r>
        <w:rPr>
          <w:spacing w:val="-18"/>
        </w:rPr>
        <w:t> </w:t>
      </w:r>
      <w:r>
        <w:rPr>
          <w:rFonts w:ascii="宋体" w:hAnsi="宋体" w:cs="宋体" w:eastAsia="宋体" w:hint="default"/>
        </w:rPr>
        <w:t>2,852,397</w:t>
      </w:r>
    </w:p>
    <w:p>
      <w:pPr>
        <w:pStyle w:val="BodyText"/>
        <w:spacing w:line="240" w:lineRule="auto"/>
        <w:ind w:right="0"/>
        <w:jc w:val="left"/>
      </w:pPr>
      <w:r>
        <w:rPr/>
        <w:t>股</w:t>
      </w:r>
      <w:r>
        <w:rPr>
          <w:spacing w:val="-105"/>
        </w:rPr>
        <w:t>。</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59"/>
        </w:rPr>
        <w:t> </w:t>
      </w:r>
      <w:r>
        <w:rPr>
          <w:spacing w:val="-2"/>
        </w:rPr>
        <w:t>日</w:t>
      </w:r>
      <w:r>
        <w:rPr>
          <w:spacing w:val="-105"/>
        </w:rPr>
        <w:t>，</w:t>
      </w:r>
      <w:r>
        <w:rPr>
          <w:spacing w:val="-2"/>
        </w:rPr>
        <w:t>公</w:t>
      </w:r>
      <w:r>
        <w:rPr/>
        <w:t>司披露</w:t>
      </w:r>
      <w:r>
        <w:rPr>
          <w:spacing w:val="-105"/>
        </w:rPr>
        <w:t>了</w:t>
      </w:r>
      <w:r>
        <w:rPr/>
        <w:t>《</w:t>
      </w:r>
      <w:r>
        <w:rPr>
          <w:spacing w:val="-2"/>
        </w:rPr>
        <w:t>关</w:t>
      </w:r>
      <w:r>
        <w:rPr/>
        <w:t>于完成股份回购及注销的公告</w:t>
      </w:r>
      <w:r>
        <w:rPr>
          <w:spacing w:val="-209"/>
        </w:rPr>
        <w:t>》</w:t>
      </w:r>
      <w:r>
        <w:rPr/>
        <w:t>（</w:t>
      </w:r>
      <w:r>
        <w:rPr>
          <w:spacing w:val="-2"/>
        </w:rPr>
        <w:t>公</w:t>
      </w:r>
      <w:r>
        <w:rPr/>
        <w:t>告编号</w:t>
      </w:r>
      <w:r>
        <w:rPr>
          <w:spacing w:val="-104"/>
        </w:rPr>
        <w:t>：</w:t>
      </w:r>
      <w:r>
        <w:rPr>
          <w:rFonts w:ascii="宋体" w:hAnsi="宋体" w:cs="宋体" w:eastAsia="宋体" w:hint="default"/>
        </w:rPr>
        <w:t>201</w:t>
      </w:r>
      <w:r>
        <w:rPr>
          <w:rFonts w:ascii="宋体" w:hAnsi="宋体" w:cs="宋体" w:eastAsia="宋体" w:hint="default"/>
          <w:spacing w:val="-2"/>
        </w:rPr>
        <w:t>4</w:t>
      </w:r>
      <w:r>
        <w:rPr>
          <w:rFonts w:ascii="宋体" w:hAnsi="宋体" w:cs="宋体" w:eastAsia="宋体" w:hint="default"/>
        </w:rPr>
        <w:t>-05</w:t>
      </w:r>
      <w:r>
        <w:rPr>
          <w:rFonts w:ascii="宋体" w:hAnsi="宋体" w:cs="宋体" w:eastAsia="宋体" w:hint="default"/>
          <w:spacing w:val="-1"/>
        </w:rPr>
        <w:t>9</w:t>
      </w:r>
      <w:r>
        <w:rPr>
          <w:spacing w:val="-104"/>
        </w:rPr>
        <w:t>）。</w:t>
      </w:r>
      <w:r>
        <w:rPr/>
      </w:r>
    </w:p>
    <w:p>
      <w:pPr>
        <w:pStyle w:val="BodyText"/>
        <w:spacing w:line="240" w:lineRule="auto" w:before="174"/>
        <w:ind w:left="557" w:right="0"/>
        <w:jc w:val="left"/>
      </w:pPr>
      <w:r>
        <w:rPr>
          <w:rFonts w:ascii="宋体" w:hAnsi="宋体" w:cs="宋体" w:eastAsia="宋体" w:hint="default"/>
        </w:rPr>
        <w:t>3</w:t>
      </w:r>
      <w:r>
        <w:rPr/>
        <w:t>、因董事会换届，王洪仁于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日离任公司董事，其所持有的公司股份自</w:t>
      </w:r>
    </w:p>
    <w:p>
      <w:pPr>
        <w:pStyle w:val="BodyText"/>
        <w:spacing w:line="357" w:lineRule="auto" w:before="133"/>
        <w:ind w:right="1855"/>
        <w:jc w:val="left"/>
      </w:pPr>
      <w:r>
        <w:rPr/>
        <w:t>离任信息申报之日起六个月内将予以锁定。</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日，王洪仁所持有的公司股份 的</w:t>
      </w:r>
      <w:r>
        <w:rPr>
          <w:spacing w:val="-54"/>
        </w:rPr>
        <w:t> </w:t>
      </w:r>
      <w:r>
        <w:rPr>
          <w:rFonts w:ascii="宋体" w:hAnsi="宋体" w:cs="宋体" w:eastAsia="宋体" w:hint="default"/>
        </w:rPr>
        <w:t>1/2</w:t>
      </w:r>
      <w:r>
        <w:rPr>
          <w:rFonts w:ascii="宋体" w:hAnsi="宋体" w:cs="宋体" w:eastAsia="宋体" w:hint="default"/>
          <w:spacing w:val="-53"/>
        </w:rPr>
        <w:t> </w:t>
      </w:r>
      <w:r>
        <w:rPr/>
        <w:t>解除限售。</w:t>
      </w:r>
    </w:p>
    <w:p>
      <w:pPr>
        <w:pStyle w:val="BodyText"/>
        <w:spacing w:line="357" w:lineRule="auto" w:before="71"/>
        <w:ind w:right="1794" w:firstLine="420"/>
        <w:jc w:val="both"/>
      </w:pPr>
      <w:r>
        <w:rPr>
          <w:rFonts w:ascii="宋体" w:hAnsi="宋体" w:cs="宋体" w:eastAsia="宋体" w:hint="default"/>
        </w:rPr>
        <w:t>4</w:t>
      </w:r>
      <w:r>
        <w:rPr/>
        <w:t>、公司以发行股份和支付现金相结合的方式，购买詹嘉、李翔、张璐、李劼合计持有 的上海氩氪</w:t>
      </w:r>
      <w:r>
        <w:rPr>
          <w:spacing w:val="-54"/>
        </w:rPr>
        <w:t> </w:t>
      </w:r>
      <w:r>
        <w:rPr>
          <w:rFonts w:ascii="宋体" w:hAnsi="宋体" w:cs="宋体" w:eastAsia="宋体" w:hint="default"/>
        </w:rPr>
        <w:t>100%</w:t>
      </w:r>
      <w:r>
        <w:rPr/>
        <w:t>股权；购买刘阳、王英杰、孙唯一、田斌合计持有的琥珀传播</w:t>
      </w:r>
      <w:r>
        <w:rPr>
          <w:spacing w:val="-53"/>
        </w:rPr>
        <w:t> </w:t>
      </w:r>
      <w:r>
        <w:rPr>
          <w:rFonts w:ascii="宋体" w:hAnsi="宋体" w:cs="宋体" w:eastAsia="宋体" w:hint="default"/>
        </w:rPr>
        <w:t>100%</w:t>
      </w:r>
      <w:r>
        <w:rPr/>
        <w:t>股权。 上海氩氪、琥珀传播交易作价总额的</w:t>
      </w:r>
      <w:r>
        <w:rPr>
          <w:spacing w:val="-86"/>
        </w:rPr>
        <w:t> </w:t>
      </w:r>
      <w:r>
        <w:rPr>
          <w:rFonts w:ascii="宋体" w:hAnsi="宋体" w:cs="宋体" w:eastAsia="宋体" w:hint="default"/>
        </w:rPr>
        <w:t>50%</w:t>
      </w:r>
      <w:r>
        <w:rPr/>
        <w:t>通过发行股份的方式支付，交易作价总额的剩余部 </w:t>
      </w:r>
      <w:r>
        <w:rPr>
          <w:spacing w:val="-3"/>
        </w:rPr>
        <w:t>分以现金支付。公司以本次配套募集资金及自筹资金支付现金对价。公司向特定投资者郑晓</w:t>
      </w:r>
      <w:r>
        <w:rPr>
          <w:spacing w:val="-75"/>
        </w:rPr>
        <w:t> </w:t>
      </w:r>
      <w:r>
        <w:rPr>
          <w:spacing w:val="-75"/>
        </w:rPr>
      </w:r>
      <w:r>
        <w:rPr/>
        <w:t>东、段永玲、郭海发行股份募集配套资金。</w:t>
      </w:r>
    </w:p>
    <w:p>
      <w:pPr>
        <w:pStyle w:val="BodyText"/>
        <w:spacing w:line="357" w:lineRule="auto" w:before="71"/>
        <w:ind w:right="1688" w:firstLine="420"/>
        <w:jc w:val="both"/>
      </w:pP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spacing w:val="-3"/>
        </w:rPr>
        <w:t>月，经中国证监会证监许可</w:t>
      </w:r>
      <w:r>
        <w:rPr>
          <w:rFonts w:ascii="宋体" w:hAnsi="宋体" w:cs="宋体" w:eastAsia="宋体" w:hint="default"/>
          <w:spacing w:val="-3"/>
        </w:rPr>
        <w:t>[2014]1227</w:t>
      </w:r>
      <w:r>
        <w:rPr>
          <w:rFonts w:ascii="宋体" w:hAnsi="宋体" w:cs="宋体" w:eastAsia="宋体" w:hint="default"/>
          <w:spacing w:val="-49"/>
        </w:rPr>
        <w:t> </w:t>
      </w:r>
      <w:r>
        <w:rPr>
          <w:spacing w:val="-9"/>
        </w:rPr>
        <w:t>号文核准，公司向詹嘉、李翔、张璐、</w:t>
      </w:r>
      <w:r>
        <w:rPr/>
        <w:t> </w:t>
      </w:r>
      <w:r>
        <w:rPr>
          <w:spacing w:val="-4"/>
        </w:rPr>
        <w:t>李劼、刘阳、王英杰、孙唯一、田斌、郑晓东、段永玲、郭海发行</w:t>
      </w:r>
      <w:r>
        <w:rPr>
          <w:spacing w:val="-47"/>
        </w:rPr>
        <w:t> </w:t>
      </w:r>
      <w:r>
        <w:rPr>
          <w:rFonts w:ascii="宋体" w:hAnsi="宋体" w:cs="宋体" w:eastAsia="宋体" w:hint="default"/>
        </w:rPr>
        <w:t>18,688,459</w:t>
      </w:r>
      <w:r>
        <w:rPr>
          <w:rFonts w:ascii="宋体" w:hAnsi="宋体" w:cs="宋体" w:eastAsia="宋体" w:hint="default"/>
          <w:spacing w:val="-47"/>
        </w:rPr>
        <w:t> </w:t>
      </w:r>
      <w:r>
        <w:rPr/>
        <w:t>股</w:t>
      </w:r>
      <w:r>
        <w:rPr>
          <w:spacing w:val="-49"/>
        </w:rPr>
        <w:t> </w:t>
      </w:r>
      <w:r>
        <w:rPr>
          <w:rFonts w:ascii="宋体" w:hAnsi="宋体" w:cs="宋体" w:eastAsia="宋体" w:hint="default"/>
        </w:rPr>
        <w:t>A</w:t>
      </w:r>
      <w:r>
        <w:rPr>
          <w:rFonts w:ascii="宋体" w:hAnsi="宋体" w:cs="宋体" w:eastAsia="宋体" w:hint="default"/>
          <w:spacing w:val="-48"/>
        </w:rPr>
        <w:t> </w:t>
      </w:r>
      <w:r>
        <w:rPr/>
        <w:t>股股票， 上述股票已于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日在中登公司深圳分公司办理完毕登记手续。本次新增股份</w:t>
      </w:r>
    </w:p>
    <w:p>
      <w:pPr>
        <w:pStyle w:val="BodyText"/>
        <w:spacing w:line="374" w:lineRule="auto"/>
        <w:ind w:right="0"/>
        <w:jc w:val="left"/>
      </w:pPr>
      <w:r>
        <w:rPr/>
        <w:t>的性质为有限售条件流通股，限售期为</w:t>
      </w:r>
      <w:r>
        <w:rPr>
          <w:spacing w:val="-53"/>
        </w:rPr>
        <w:t> </w:t>
      </w:r>
      <w:r>
        <w:rPr>
          <w:rFonts w:ascii="宋体" w:hAnsi="宋体" w:cs="宋体" w:eastAsia="宋体" w:hint="default"/>
        </w:rPr>
        <w:t>36</w:t>
      </w:r>
      <w:r>
        <w:rPr>
          <w:rFonts w:ascii="宋体" w:hAnsi="宋体" w:cs="宋体" w:eastAsia="宋体" w:hint="default"/>
          <w:spacing w:val="-53"/>
        </w:rPr>
        <w:t> </w:t>
      </w:r>
      <w:r>
        <w:rPr/>
        <w:t>个月，上市日为</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 </w:t>
      </w:r>
      <w:r>
        <w:rPr>
          <w:spacing w:val="-3"/>
        </w:rPr>
        <w:t>股份变动对最近一年和最近一期基本每股收益和稀释每股收益、归属于公司普通股股东的每</w:t>
      </w:r>
      <w:r>
        <w:rPr>
          <w:spacing w:val="-73"/>
        </w:rPr>
        <w:t> </w:t>
      </w:r>
      <w:r>
        <w:rPr>
          <w:spacing w:val="-73"/>
        </w:rPr>
      </w:r>
      <w:r>
        <w:rPr/>
        <w:t>股净资产等财务指标的影响</w:t>
      </w:r>
    </w:p>
    <w:p>
      <w:pPr>
        <w:pStyle w:val="BodyText"/>
        <w:tabs>
          <w:tab w:pos="979" w:val="left" w:leader="none"/>
        </w:tabs>
        <w:spacing w:line="240" w:lineRule="auto" w:before="56"/>
        <w:ind w:left="138" w:right="0"/>
        <w:jc w:val="left"/>
      </w:pPr>
      <w:r>
        <w:rPr/>
        <w:t>√适用</w:t>
        <w:tab/>
        <w:t>□不适用</w:t>
      </w:r>
    </w:p>
    <w:p>
      <w:pPr>
        <w:pStyle w:val="BodyText"/>
        <w:spacing w:line="355" w:lineRule="auto" w:before="174"/>
        <w:ind w:left="138" w:right="1899" w:firstLine="420"/>
        <w:jc w:val="left"/>
      </w:pPr>
      <w:r>
        <w:rPr/>
        <w:t>回购并注销长沙天鹅原股东持有的本公司股份合计</w:t>
      </w:r>
      <w:r>
        <w:rPr>
          <w:spacing w:val="-53"/>
        </w:rPr>
        <w:t> </w:t>
      </w:r>
      <w:r>
        <w:rPr>
          <w:rFonts w:ascii="宋体" w:hAnsi="宋体" w:cs="宋体" w:eastAsia="宋体" w:hint="default"/>
        </w:rPr>
        <w:t>2,852,397</w:t>
      </w:r>
      <w:r>
        <w:rPr>
          <w:rFonts w:ascii="宋体" w:hAnsi="宋体" w:cs="宋体" w:eastAsia="宋体" w:hint="default"/>
          <w:spacing w:val="-53"/>
        </w:rPr>
        <w:t> </w:t>
      </w:r>
      <w:r>
        <w:rPr/>
        <w:t>股对最近一年和最近一 期基本每股收益的调整</w:t>
      </w:r>
    </w:p>
    <w:p>
      <w:pPr>
        <w:spacing w:line="240" w:lineRule="auto" w:before="3"/>
        <w:rPr>
          <w:rFonts w:ascii="宋体" w:hAnsi="宋体" w:cs="宋体" w:eastAsia="宋体" w:hint="default"/>
          <w:sz w:val="8"/>
          <w:szCs w:val="8"/>
        </w:rPr>
      </w:pPr>
    </w:p>
    <w:tbl>
      <w:tblPr>
        <w:tblW w:w="0" w:type="auto"/>
        <w:jc w:val="left"/>
        <w:tblInd w:w="435" w:type="dxa"/>
        <w:tblLayout w:type="fixed"/>
        <w:tblCellMar>
          <w:top w:w="0" w:type="dxa"/>
          <w:left w:w="0" w:type="dxa"/>
          <w:bottom w:w="0" w:type="dxa"/>
          <w:right w:w="0" w:type="dxa"/>
        </w:tblCellMar>
        <w:tblLook w:val="01E0"/>
      </w:tblPr>
      <w:tblGrid>
        <w:gridCol w:w="3719"/>
        <w:gridCol w:w="2003"/>
        <w:gridCol w:w="1985"/>
      </w:tblGrid>
      <w:tr>
        <w:trPr>
          <w:trHeight w:val="401" w:hRule="exact"/>
        </w:trPr>
        <w:tc>
          <w:tcPr>
            <w:tcW w:w="3719"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宋体" w:hAnsi="宋体" w:cs="宋体" w:eastAsia="宋体" w:hint="default"/>
                <w:b/>
                <w:bCs/>
                <w:sz w:val="21"/>
                <w:szCs w:val="21"/>
              </w:rPr>
              <w:t>年度</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宋体" w:hAnsi="宋体" w:cs="宋体" w:eastAsia="宋体" w:hint="default"/>
                <w:b/>
                <w:bCs/>
                <w:sz w:val="21"/>
                <w:szCs w:val="21"/>
              </w:rPr>
              <w:t>年</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季度</w:t>
            </w:r>
            <w:r>
              <w:rPr>
                <w:rFonts w:ascii="宋体" w:hAnsi="宋体" w:cs="宋体" w:eastAsia="宋体" w:hint="default"/>
                <w:sz w:val="21"/>
                <w:szCs w:val="21"/>
              </w:rPr>
            </w:r>
          </w:p>
        </w:tc>
      </w:tr>
      <w:tr>
        <w:trPr>
          <w:trHeight w:val="494"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本次回购前基本每股收益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21"/>
                <w:szCs w:val="21"/>
              </w:rPr>
            </w:pPr>
            <w:r>
              <w:rPr>
                <w:rFonts w:ascii="Times New Roman"/>
                <w:sz w:val="21"/>
              </w:rPr>
              <w:t>0.1752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1"/>
                <w:szCs w:val="21"/>
              </w:rPr>
            </w:pPr>
            <w:r>
              <w:rPr>
                <w:rFonts w:ascii="Times New Roman"/>
                <w:sz w:val="21"/>
              </w:rPr>
              <w:t>0.2411</w:t>
            </w:r>
          </w:p>
        </w:tc>
      </w:tr>
      <w:tr>
        <w:trPr>
          <w:trHeight w:val="446" w:hRule="exact"/>
        </w:trPr>
        <w:tc>
          <w:tcPr>
            <w:tcW w:w="3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本次回购后基本每股收益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0.1767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0.2429</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138" w:right="0"/>
        <w:jc w:val="left"/>
      </w:pPr>
      <w:r>
        <w:rPr/>
        <w:t>公司认为必要或证券监管机构要求披露的其他内容</w:t>
      </w:r>
    </w:p>
    <w:p>
      <w:pPr>
        <w:pStyle w:val="BodyText"/>
        <w:spacing w:line="240" w:lineRule="auto" w:before="172"/>
        <w:ind w:left="138" w:right="0"/>
        <w:jc w:val="left"/>
      </w:pPr>
      <w:r>
        <w:rPr/>
        <w:t>□ 适用 √</w:t>
      </w:r>
      <w:r>
        <w:rPr>
          <w:spacing w:val="-2"/>
        </w:rPr>
        <w:t> </w:t>
      </w:r>
      <w:r>
        <w:rPr/>
        <w:t>不适用</w:t>
      </w:r>
    </w:p>
    <w:p>
      <w:pPr>
        <w:spacing w:after="0" w:line="240" w:lineRule="auto"/>
        <w:jc w:val="left"/>
        <w:sectPr>
          <w:pgSz w:w="11910" w:h="16840"/>
          <w:pgMar w:header="0" w:footer="938" w:top="1100" w:bottom="1120" w:left="1660" w:right="0"/>
        </w:sectPr>
      </w:pPr>
    </w:p>
    <w:p>
      <w:pPr>
        <w:spacing w:line="240" w:lineRule="auto" w:before="7"/>
        <w:rPr>
          <w:rFonts w:ascii="宋体" w:hAnsi="宋体" w:cs="宋体" w:eastAsia="宋体" w:hint="default"/>
          <w:sz w:val="19"/>
          <w:szCs w:val="19"/>
        </w:rPr>
      </w:pPr>
    </w:p>
    <w:p>
      <w:pPr>
        <w:pStyle w:val="Heading2"/>
        <w:spacing w:line="240" w:lineRule="auto" w:before="26"/>
        <w:ind w:left="698" w:right="1794"/>
        <w:jc w:val="left"/>
        <w:rPr>
          <w:b w:val="0"/>
          <w:bCs w:val="0"/>
        </w:rPr>
      </w:pPr>
      <w:bookmarkStart w:name="二、证券发行与上市情况" w:id="71"/>
      <w:bookmarkEnd w:id="71"/>
      <w:r>
        <w:rPr>
          <w:b w:val="0"/>
          <w:bCs w:val="0"/>
        </w:rPr>
      </w:r>
      <w:r>
        <w:rPr/>
        <w:t>二、证券发行与上市情况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698" w:right="1794"/>
        <w:jc w:val="left"/>
        <w:rPr>
          <w:b w:val="0"/>
          <w:bCs w:val="0"/>
        </w:rPr>
      </w:pPr>
      <w:bookmarkStart w:name="1、报告期末近三年历次证券发行情况" w:id="72"/>
      <w:bookmarkEnd w:id="72"/>
      <w:r>
        <w:rPr>
          <w:b w:val="0"/>
          <w:bCs w:val="0"/>
        </w:rPr>
      </w:r>
      <w:r>
        <w:rPr>
          <w:rFonts w:ascii="宋体" w:hAnsi="宋体" w:cs="宋体" w:eastAsia="宋体" w:hint="default"/>
        </w:rPr>
        <w:t>1</w:t>
      </w:r>
      <w:r>
        <w:rPr/>
        <w:t>、报告期末近三年历次证券发行情况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tbl>
      <w:tblPr>
        <w:tblW w:w="0" w:type="auto"/>
        <w:jc w:val="left"/>
        <w:tblInd w:w="119" w:type="dxa"/>
        <w:tblLayout w:type="fixed"/>
        <w:tblCellMar>
          <w:top w:w="0" w:type="dxa"/>
          <w:left w:w="0" w:type="dxa"/>
          <w:bottom w:w="0" w:type="dxa"/>
          <w:right w:w="0" w:type="dxa"/>
        </w:tblCellMar>
        <w:tblLook w:val="01E0"/>
      </w:tblPr>
      <w:tblGrid>
        <w:gridCol w:w="1368"/>
        <w:gridCol w:w="1573"/>
        <w:gridCol w:w="1029"/>
        <w:gridCol w:w="1716"/>
        <w:gridCol w:w="1530"/>
        <w:gridCol w:w="1367"/>
        <w:gridCol w:w="877"/>
      </w:tblGrid>
      <w:tr>
        <w:trPr>
          <w:trHeight w:val="55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408" w:right="48"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14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34" w:lineRule="exact"/>
              <w:ind w:left="58"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1"/>
              <w:jc w:val="center"/>
              <w:rPr>
                <w:rFonts w:ascii="宋体" w:hAnsi="宋体" w:cs="宋体" w:eastAsia="宋体" w:hint="default"/>
                <w:sz w:val="18"/>
                <w:szCs w:val="18"/>
              </w:rPr>
            </w:pPr>
            <w:r>
              <w:rPr>
                <w:rFonts w:ascii="宋体" w:hAnsi="宋体" w:cs="宋体" w:eastAsia="宋体" w:hint="default"/>
                <w:sz w:val="18"/>
                <w:szCs w:val="18"/>
              </w:rPr>
              <w:t>发行数量</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9"/>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53" w:right="72"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323" w:hRule="exact"/>
        </w:trPr>
        <w:tc>
          <w:tcPr>
            <w:tcW w:w="946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14.58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sz w:val="18"/>
              </w:rPr>
              <w:t>18,524,353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01</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sz w:val="18"/>
              </w:rPr>
              <w:t>18,524,353</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1"/>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7.62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sz w:val="18"/>
              </w:rPr>
              <w:t>55,944,035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01</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7" w:right="0"/>
              <w:jc w:val="left"/>
              <w:rPr>
                <w:rFonts w:ascii="宋体" w:hAnsi="宋体" w:cs="宋体" w:eastAsia="宋体" w:hint="default"/>
                <w:sz w:val="18"/>
                <w:szCs w:val="18"/>
              </w:rPr>
            </w:pPr>
            <w:r>
              <w:rPr>
                <w:rFonts w:ascii="宋体"/>
                <w:sz w:val="18"/>
              </w:rPr>
              <w:t>55,944,035</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18.77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sz w:val="18"/>
              </w:rPr>
              <w:t>18,688,459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sz w:val="18"/>
              </w:rPr>
              <w:t>18,688,459</w:t>
            </w:r>
          </w:p>
        </w:tc>
        <w:tc>
          <w:tcPr>
            <w:tcW w:w="877" w:type="dxa"/>
            <w:tcBorders>
              <w:top w:val="single" w:sz="4" w:space="0" w:color="000000"/>
              <w:left w:val="single" w:sz="4" w:space="0" w:color="000000"/>
              <w:bottom w:val="single" w:sz="4" w:space="0" w:color="000000"/>
              <w:right w:val="single" w:sz="4" w:space="0" w:color="000000"/>
            </w:tcBorders>
          </w:tcPr>
          <w:p>
            <w:pPr/>
          </w:p>
        </w:tc>
      </w:tr>
    </w:tbl>
    <w:p>
      <w:pPr>
        <w:spacing w:line="355" w:lineRule="auto" w:before="5"/>
        <w:ind w:left="1117" w:right="1794" w:hanging="420"/>
        <w:jc w:val="left"/>
        <w:rPr>
          <w:rFonts w:ascii="宋体" w:hAnsi="宋体" w:cs="宋体" w:eastAsia="宋体" w:hint="default"/>
          <w:sz w:val="21"/>
          <w:szCs w:val="21"/>
        </w:rPr>
      </w:pPr>
      <w:r>
        <w:rPr>
          <w:rFonts w:ascii="宋体" w:hAnsi="宋体" w:cs="宋体" w:eastAsia="宋体" w:hint="default"/>
          <w:b/>
          <w:bCs/>
          <w:sz w:val="21"/>
          <w:szCs w:val="21"/>
        </w:rPr>
        <w:t>前三年历次证券发行情况的说明</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、公司向欧亚云、欧亚峰、罗兵辉、李洪辉、朱平正、胡观辉、周海蓉、吴波、郭华</w:t>
      </w:r>
    </w:p>
    <w:p>
      <w:pPr>
        <w:pStyle w:val="BodyText"/>
        <w:spacing w:line="357" w:lineRule="auto" w:before="33"/>
        <w:ind w:left="697" w:right="1789"/>
        <w:jc w:val="left"/>
      </w:pPr>
      <w:r>
        <w:rPr/>
        <w:t>定等九名自然人和长沙瑞鹅投资管理有限公司发行</w:t>
      </w:r>
      <w:r>
        <w:rPr>
          <w:rFonts w:ascii="宋体" w:hAnsi="宋体" w:cs="宋体" w:eastAsia="宋体" w:hint="default"/>
        </w:rPr>
        <w:t>A</w:t>
      </w:r>
      <w:r>
        <w:rPr/>
        <w:t>股股份</w:t>
      </w:r>
      <w:r>
        <w:rPr>
          <w:rFonts w:ascii="宋体" w:hAnsi="宋体" w:cs="宋体" w:eastAsia="宋体" w:hint="default"/>
        </w:rPr>
        <w:t>18,524,353</w:t>
      </w:r>
      <w:r>
        <w:rPr/>
        <w:t>股购买其合计持有的 </w:t>
      </w:r>
      <w:r>
        <w:rPr>
          <w:spacing w:val="-2"/>
        </w:rPr>
        <w:t>长沙天鹅</w:t>
      </w:r>
      <w:r>
        <w:rPr>
          <w:rFonts w:ascii="宋体" w:hAnsi="宋体" w:cs="宋体" w:eastAsia="宋体" w:hint="default"/>
          <w:spacing w:val="-2"/>
        </w:rPr>
        <w:t>92.61%</w:t>
      </w:r>
      <w:r>
        <w:rPr>
          <w:spacing w:val="-2"/>
        </w:rPr>
        <w:t>的股权于</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月经中国证监会证监许可〔</w:t>
      </w:r>
      <w:r>
        <w:rPr>
          <w:rFonts w:ascii="宋体" w:hAnsi="宋体" w:cs="宋体" w:eastAsia="宋体" w:hint="default"/>
          <w:spacing w:val="-2"/>
        </w:rPr>
        <w:t>2011</w:t>
      </w:r>
      <w:r>
        <w:rPr>
          <w:spacing w:val="-2"/>
        </w:rPr>
        <w:t>〕</w:t>
      </w:r>
      <w:r>
        <w:rPr>
          <w:rFonts w:ascii="宋体" w:hAnsi="宋体" w:cs="宋体" w:eastAsia="宋体" w:hint="default"/>
          <w:spacing w:val="-2"/>
        </w:rPr>
        <w:t>1916</w:t>
      </w:r>
      <w:r>
        <w:rPr>
          <w:spacing w:val="-2"/>
        </w:rPr>
        <w:t>号文核准。上述新</w:t>
      </w:r>
      <w:r>
        <w:rPr>
          <w:spacing w:val="-97"/>
        </w:rPr>
        <w:t> </w:t>
      </w:r>
      <w:r>
        <w:rPr>
          <w:spacing w:val="-97"/>
        </w:rPr>
      </w:r>
      <w:r>
        <w:rPr/>
        <w:t>增</w:t>
      </w:r>
      <w:r>
        <w:rPr>
          <w:rFonts w:ascii="宋体" w:hAnsi="宋体" w:cs="宋体" w:eastAsia="宋体" w:hint="default"/>
        </w:rPr>
        <w:t>18,524,353</w:t>
      </w:r>
      <w:r>
        <w:rPr/>
        <w:t>股股份于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9</w:t>
      </w:r>
      <w:r>
        <w:rPr/>
        <w:t>日在中国证券登记结算有限责任公司深圳分公司完成登 记手续，并于</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19</w:t>
      </w:r>
      <w:r>
        <w:rPr/>
        <w:t>日在深圳证券交易所上市。</w:t>
      </w:r>
    </w:p>
    <w:p>
      <w:pPr>
        <w:pStyle w:val="BodyText"/>
        <w:spacing w:line="357" w:lineRule="auto" w:before="31"/>
        <w:ind w:left="697" w:right="1689" w:firstLine="420"/>
        <w:jc w:val="left"/>
      </w:pPr>
      <w:r>
        <w:rPr>
          <w:rFonts w:ascii="宋体" w:hAnsi="宋体" w:cs="宋体" w:eastAsia="宋体" w:hint="default"/>
          <w:spacing w:val="-2"/>
        </w:rPr>
        <w:t>2</w:t>
      </w:r>
      <w:r>
        <w:rPr>
          <w:spacing w:val="-2"/>
        </w:rPr>
        <w:t>、</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日，中国证券监督管理委员会证监许可</w:t>
      </w:r>
      <w:r>
        <w:rPr>
          <w:rFonts w:ascii="宋体" w:hAnsi="宋体" w:cs="宋体" w:eastAsia="宋体" w:hint="default"/>
          <w:spacing w:val="-2"/>
        </w:rPr>
        <w:t>[2013]1133</w:t>
      </w:r>
      <w:r>
        <w:rPr>
          <w:spacing w:val="-2"/>
        </w:rPr>
        <w:t>号文核准，公司向王</w:t>
      </w:r>
      <w:r>
        <w:rPr/>
        <w:t> 相荣、王壮利、王洪仁、梁小恩、林夏满、金纬资本（山南）一期合伙企业（有限合伙）、 </w:t>
      </w:r>
      <w:r>
        <w:rPr>
          <w:spacing w:val="-2"/>
        </w:rPr>
        <w:t>中国水务投资有限公司及西安海联房屋建设开发有限公司非公开发行股票</w:t>
      </w:r>
      <w:r>
        <w:rPr>
          <w:rFonts w:ascii="宋体" w:hAnsi="宋体" w:cs="宋体" w:eastAsia="宋体" w:hint="default"/>
          <w:spacing w:val="-2"/>
        </w:rPr>
        <w:t>55,944,035</w:t>
      </w:r>
      <w:r>
        <w:rPr>
          <w:spacing w:val="-2"/>
        </w:rPr>
        <w:t>股。上</w:t>
      </w:r>
      <w:r>
        <w:rPr/>
        <w:t> 述新增</w:t>
      </w:r>
      <w:r>
        <w:rPr>
          <w:rFonts w:ascii="宋体" w:hAnsi="宋体" w:cs="宋体" w:eastAsia="宋体" w:hint="default"/>
        </w:rPr>
        <w:t>55,944,035</w:t>
      </w:r>
      <w:r>
        <w:rPr/>
        <w:t>股股份于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日在中国证券登记结算有限责任公司深圳分公司 完成登记手续，并于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8</w:t>
      </w:r>
      <w:r>
        <w:rPr/>
        <w:t>日在深圳证券交易所上市。</w:t>
      </w:r>
    </w:p>
    <w:p>
      <w:pPr>
        <w:pStyle w:val="BodyText"/>
        <w:spacing w:line="357" w:lineRule="auto" w:before="71"/>
        <w:ind w:left="698" w:right="1794" w:firstLine="420"/>
        <w:jc w:val="both"/>
      </w:pPr>
      <w:r>
        <w:rPr>
          <w:rFonts w:ascii="宋体" w:hAnsi="宋体" w:cs="宋体" w:eastAsia="宋体" w:hint="default"/>
        </w:rPr>
        <w:t>3</w:t>
      </w:r>
      <w:r>
        <w:rPr/>
        <w:t>、公司以发行股份和支付现金相结合的方式，购买詹嘉、李翔、张璐、李劼合计持有 的上海氩氪</w:t>
      </w:r>
      <w:r>
        <w:rPr>
          <w:spacing w:val="-54"/>
        </w:rPr>
        <w:t> </w:t>
      </w:r>
      <w:r>
        <w:rPr>
          <w:rFonts w:ascii="宋体" w:hAnsi="宋体" w:cs="宋体" w:eastAsia="宋体" w:hint="default"/>
        </w:rPr>
        <w:t>100%</w:t>
      </w:r>
      <w:r>
        <w:rPr/>
        <w:t>股权；购买刘阳、王英杰、孙唯一、田斌合计持有的琥珀传播</w:t>
      </w:r>
      <w:r>
        <w:rPr>
          <w:spacing w:val="-53"/>
        </w:rPr>
        <w:t> </w:t>
      </w:r>
      <w:r>
        <w:rPr>
          <w:rFonts w:ascii="宋体" w:hAnsi="宋体" w:cs="宋体" w:eastAsia="宋体" w:hint="default"/>
        </w:rPr>
        <w:t>100%</w:t>
      </w:r>
      <w:r>
        <w:rPr/>
        <w:t>股权。 上海氩氪、琥珀传播交易作价总额的</w:t>
      </w:r>
      <w:r>
        <w:rPr>
          <w:spacing w:val="-86"/>
        </w:rPr>
        <w:t> </w:t>
      </w:r>
      <w:r>
        <w:rPr>
          <w:rFonts w:ascii="宋体" w:hAnsi="宋体" w:cs="宋体" w:eastAsia="宋体" w:hint="default"/>
        </w:rPr>
        <w:t>50%</w:t>
      </w:r>
      <w:r>
        <w:rPr/>
        <w:t>通过发行股份的方式支付，交易作价总额的剩余部 </w:t>
      </w:r>
      <w:r>
        <w:rPr>
          <w:spacing w:val="-3"/>
        </w:rPr>
        <w:t>分以现金支付。公司以本次配套募集资金及自筹资金支付现金对价。公司向特定投资者郑晓</w:t>
      </w:r>
      <w:r>
        <w:rPr>
          <w:spacing w:val="-75"/>
        </w:rPr>
        <w:t> </w:t>
      </w:r>
      <w:r>
        <w:rPr>
          <w:spacing w:val="-75"/>
        </w:rPr>
      </w:r>
      <w:r>
        <w:rPr/>
        <w:t>东、段永玲、郭海发行股份募集配套资金。</w:t>
      </w:r>
    </w:p>
    <w:p>
      <w:pPr>
        <w:pStyle w:val="BodyText"/>
        <w:spacing w:line="355" w:lineRule="auto" w:before="71"/>
        <w:ind w:left="697" w:right="1683" w:firstLine="42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spacing w:val="-3"/>
        </w:rPr>
        <w:t>月，经中国证监会证监许可</w:t>
      </w:r>
      <w:r>
        <w:rPr>
          <w:rFonts w:ascii="宋体" w:hAnsi="宋体" w:cs="宋体" w:eastAsia="宋体" w:hint="default"/>
          <w:spacing w:val="-3"/>
        </w:rPr>
        <w:t>[2014]1227</w:t>
      </w:r>
      <w:r>
        <w:rPr>
          <w:rFonts w:ascii="宋体" w:hAnsi="宋体" w:cs="宋体" w:eastAsia="宋体" w:hint="default"/>
          <w:spacing w:val="-49"/>
        </w:rPr>
        <w:t> </w:t>
      </w:r>
      <w:r>
        <w:rPr>
          <w:spacing w:val="-9"/>
        </w:rPr>
        <w:t>号文核准，公司向詹嘉、李翔、张璐、</w:t>
      </w:r>
      <w:r>
        <w:rPr/>
        <w:t> 李劼、刘阳、王英杰、孙唯一、田斌、郑晓东、段永玲、郭海发行新增</w:t>
      </w:r>
      <w:r>
        <w:rPr>
          <w:spacing w:val="-52"/>
        </w:rPr>
        <w:t> </w:t>
      </w:r>
      <w:r>
        <w:rPr>
          <w:rFonts w:ascii="宋体" w:hAnsi="宋体" w:cs="宋体" w:eastAsia="宋体" w:hint="default"/>
        </w:rPr>
        <w:t>18,688,459</w:t>
      </w:r>
      <w:r>
        <w:rPr>
          <w:rFonts w:ascii="宋体" w:hAnsi="宋体" w:cs="宋体" w:eastAsia="宋体" w:hint="default"/>
          <w:spacing w:val="-53"/>
        </w:rPr>
        <w:t> </w:t>
      </w:r>
      <w:r>
        <w:rPr/>
        <w:t>股</w:t>
      </w:r>
      <w:r>
        <w:rPr>
          <w:spacing w:val="-54"/>
        </w:rPr>
        <w:t> </w:t>
      </w:r>
      <w:r>
        <w:rPr>
          <w:rFonts w:ascii="宋体" w:hAnsi="宋体" w:cs="宋体" w:eastAsia="宋体" w:hint="default"/>
        </w:rPr>
        <w:t>A</w:t>
      </w:r>
      <w:r>
        <w:rPr>
          <w:rFonts w:ascii="宋体" w:hAnsi="宋体" w:cs="宋体" w:eastAsia="宋体" w:hint="default"/>
          <w:spacing w:val="-52"/>
        </w:rPr>
        <w:t> </w:t>
      </w:r>
      <w:r>
        <w:rPr/>
        <w:t>股 </w:t>
      </w:r>
      <w:r>
        <w:rPr>
          <w:spacing w:val="-12"/>
        </w:rPr>
        <w:t>股票，上述股票已于</w:t>
      </w:r>
      <w:r>
        <w:rPr>
          <w:spacing w:val="-57"/>
        </w:rPr>
        <w:t> </w:t>
      </w:r>
      <w:r>
        <w:rPr>
          <w:rFonts w:ascii="宋体" w:hAnsi="宋体" w:cs="宋体" w:eastAsia="宋体" w:hint="default"/>
        </w:rPr>
        <w:t>2014</w:t>
      </w:r>
      <w:r>
        <w:rPr>
          <w:rFonts w:ascii="宋体" w:hAnsi="宋体" w:cs="宋体" w:eastAsia="宋体" w:hint="default"/>
          <w:spacing w:val="-59"/>
        </w:rPr>
        <w:t> </w:t>
      </w:r>
      <w:r>
        <w:rPr/>
        <w:t>年</w:t>
      </w:r>
      <w:r>
        <w:rPr>
          <w:spacing w:val="-57"/>
        </w:rPr>
        <w:t> </w:t>
      </w:r>
      <w:r>
        <w:rPr>
          <w:rFonts w:ascii="宋体" w:hAnsi="宋体" w:cs="宋体" w:eastAsia="宋体" w:hint="default"/>
          <w:spacing w:val="-1"/>
        </w:rPr>
        <w:t>12</w:t>
      </w:r>
      <w:r>
        <w:rPr>
          <w:rFonts w:ascii="宋体" w:hAnsi="宋体" w:cs="宋体" w:eastAsia="宋体" w:hint="default"/>
          <w:spacing w:val="-57"/>
        </w:rPr>
        <w:t> </w:t>
      </w:r>
      <w:r>
        <w:rPr/>
        <w:t>月</w:t>
      </w:r>
      <w:r>
        <w:rPr>
          <w:spacing w:val="-58"/>
        </w:rPr>
        <w:t> </w:t>
      </w:r>
      <w:r>
        <w:rPr>
          <w:rFonts w:ascii="宋体" w:hAnsi="宋体" w:cs="宋体" w:eastAsia="宋体" w:hint="default"/>
          <w:spacing w:val="-1"/>
        </w:rPr>
        <w:t>23</w:t>
      </w:r>
      <w:r>
        <w:rPr>
          <w:rFonts w:ascii="宋体" w:hAnsi="宋体" w:cs="宋体" w:eastAsia="宋体" w:hint="default"/>
          <w:spacing w:val="-58"/>
        </w:rPr>
        <w:t> </w:t>
      </w:r>
      <w:r>
        <w:rPr>
          <w:spacing w:val="-5"/>
        </w:rPr>
        <w:t>日在中登公司深圳分公司办理完毕登记手续，并于</w:t>
      </w:r>
      <w:r>
        <w:rPr>
          <w:spacing w:val="-57"/>
        </w:rPr>
        <w:t> </w:t>
      </w:r>
      <w:r>
        <w:rPr>
          <w:rFonts w:ascii="宋体" w:hAnsi="宋体" w:cs="宋体" w:eastAsia="宋体" w:hint="default"/>
        </w:rPr>
        <w:t>2014</w:t>
      </w:r>
    </w:p>
    <w:p>
      <w:pPr>
        <w:pStyle w:val="BodyText"/>
        <w:spacing w:line="240" w:lineRule="auto" w:before="33"/>
        <w:ind w:left="697" w:right="1794"/>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日在深圳证券交易所上市。</w:t>
      </w:r>
    </w:p>
    <w:p>
      <w:pPr>
        <w:spacing w:line="570" w:lineRule="atLeast" w:before="138"/>
        <w:ind w:left="1118" w:right="1789" w:hanging="420"/>
        <w:jc w:val="left"/>
        <w:rPr>
          <w:rFonts w:ascii="宋体" w:hAnsi="宋体" w:cs="宋体" w:eastAsia="宋体" w:hint="default"/>
          <w:sz w:val="21"/>
          <w:szCs w:val="21"/>
        </w:rPr>
      </w:pPr>
      <w:bookmarkStart w:name="2、公司股份总数及股东结构的变动、公司资产和负债结构的变动情况说明" w:id="73"/>
      <w:bookmarkEnd w:id="73"/>
      <w:r>
        <w:rPr/>
      </w:r>
      <w:r>
        <w:rPr>
          <w:rFonts w:ascii="宋体" w:hAnsi="宋体" w:cs="宋体" w:eastAsia="宋体"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99"/>
          <w:sz w:val="21"/>
          <w:szCs w:val="21"/>
        </w:rPr>
        <w:t> </w:t>
      </w:r>
      <w:r>
        <w:rPr>
          <w:rFonts w:ascii="宋体" w:hAnsi="宋体" w:cs="宋体" w:eastAsia="宋体" w:hint="default"/>
          <w:spacing w:val="-3"/>
          <w:sz w:val="21"/>
          <w:szCs w:val="21"/>
        </w:rPr>
        <w:t>本报告期，公司股份总数和股东结构均发生变化。股份总数及股东结构的变动情况见本</w:t>
      </w:r>
    </w:p>
    <w:p>
      <w:pPr>
        <w:pStyle w:val="BodyText"/>
        <w:spacing w:line="355" w:lineRule="auto" w:before="134"/>
        <w:ind w:left="698" w:right="1688"/>
        <w:jc w:val="left"/>
      </w:pPr>
      <w:r>
        <w:rPr/>
        <w:t>节“一、股份变动情况”。本报告期，公司因收购上海漫酷、上海氩氪和琥珀传播，资产、 负债结构发生了变化，资产、负债规模进一步扩大，抵御风险的能力增强。</w:t>
      </w:r>
    </w:p>
    <w:p>
      <w:pPr>
        <w:spacing w:after="0" w:line="355" w:lineRule="auto"/>
        <w:jc w:val="left"/>
        <w:sectPr>
          <w:pgSz w:w="11910" w:h="16840"/>
          <w:pgMar w:header="0" w:footer="938" w:top="1100" w:bottom="1120" w:left="1100" w:right="0"/>
        </w:sectPr>
      </w:pPr>
    </w:p>
    <w:p>
      <w:pPr>
        <w:spacing w:line="240" w:lineRule="auto" w:before="1"/>
        <w:rPr>
          <w:rFonts w:ascii="宋体" w:hAnsi="宋体" w:cs="宋体" w:eastAsia="宋体" w:hint="default"/>
          <w:sz w:val="19"/>
          <w:szCs w:val="19"/>
        </w:rPr>
      </w:pPr>
    </w:p>
    <w:p>
      <w:pPr>
        <w:pStyle w:val="Heading3"/>
        <w:spacing w:line="240" w:lineRule="auto" w:before="35"/>
        <w:ind w:left="1078" w:right="5598"/>
        <w:jc w:val="left"/>
        <w:rPr>
          <w:b w:val="0"/>
          <w:bCs w:val="0"/>
        </w:rPr>
      </w:pPr>
      <w:bookmarkStart w:name="3、现存的内部职工股情况" w:id="74"/>
      <w:bookmarkEnd w:id="74"/>
      <w:r>
        <w:rPr>
          <w:b w:val="0"/>
          <w:bCs w:val="0"/>
        </w:rPr>
      </w:r>
      <w:r>
        <w:rPr>
          <w:rFonts w:ascii="宋体" w:hAnsi="宋体" w:cs="宋体" w:eastAsia="宋体" w:hint="default"/>
        </w:rPr>
        <w:t>3</w:t>
      </w:r>
      <w:r>
        <w:rPr/>
        <w:t>、现存的内部职工股情况</w:t>
      </w:r>
      <w:r>
        <w:rPr>
          <w:b w:val="0"/>
          <w:bCs w:val="0"/>
        </w:rPr>
      </w:r>
    </w:p>
    <w:p>
      <w:pPr>
        <w:spacing w:line="240" w:lineRule="auto" w:before="12"/>
        <w:rPr>
          <w:rFonts w:ascii="宋体" w:hAnsi="宋体" w:cs="宋体" w:eastAsia="宋体" w:hint="default"/>
          <w:b/>
          <w:bCs/>
          <w:sz w:val="22"/>
          <w:szCs w:val="22"/>
        </w:rPr>
      </w:pPr>
    </w:p>
    <w:p>
      <w:pPr>
        <w:spacing w:line="482" w:lineRule="auto" w:before="0"/>
        <w:ind w:left="1078" w:right="559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三、股东和实际控制人情况" w:id="75"/>
      <w:bookmarkEnd w:id="75"/>
      <w:r>
        <w:rPr>
          <w:rFonts w:ascii="宋体" w:hAnsi="宋体" w:cs="宋体" w:eastAsia="宋体" w:hint="default"/>
          <w:sz w:val="21"/>
          <w:szCs w:val="21"/>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76"/>
      <w:bookmarkEnd w:id="76"/>
      <w:r>
        <w:rPr>
          <w:rFonts w:ascii="宋体" w:hAnsi="宋体" w:cs="宋体" w:eastAsia="宋体" w:hint="default"/>
          <w:b/>
          <w:bCs/>
          <w:spacing w:val="18"/>
          <w:w w:val="95"/>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91"/>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68"/>
        <w:gridCol w:w="1423"/>
        <w:gridCol w:w="767"/>
        <w:gridCol w:w="122"/>
        <w:gridCol w:w="1134"/>
        <w:gridCol w:w="401"/>
        <w:gridCol w:w="592"/>
        <w:gridCol w:w="1004"/>
        <w:gridCol w:w="589"/>
        <w:gridCol w:w="427"/>
        <w:gridCol w:w="795"/>
        <w:gridCol w:w="1020"/>
      </w:tblGrid>
      <w:tr>
        <w:trPr>
          <w:trHeight w:val="122" w:hRule="exact"/>
        </w:trPr>
        <w:tc>
          <w:tcPr>
            <w:tcW w:w="1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0" w:type="dxa"/>
            <w:gridSpan w:val="2"/>
            <w:vMerge w:val="restart"/>
            <w:tcBorders>
              <w:top w:val="single" w:sz="4" w:space="0" w:color="000000"/>
              <w:left w:val="single" w:sz="13" w:space="0" w:color="D2D2D2"/>
              <w:right w:val="single" w:sz="10" w:space="0" w:color="D2D2D2"/>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11,893</w:t>
            </w:r>
          </w:p>
        </w:tc>
        <w:tc>
          <w:tcPr>
            <w:tcW w:w="165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34" w:lineRule="exact" w:before="32"/>
              <w:ind w:left="11" w:right="13"/>
              <w:jc w:val="both"/>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个交易日末普通股 股东总数</w:t>
            </w:r>
          </w:p>
        </w:tc>
        <w:tc>
          <w:tcPr>
            <w:tcW w:w="2184" w:type="dxa"/>
            <w:gridSpan w:val="3"/>
            <w:vMerge w:val="restart"/>
            <w:tcBorders>
              <w:top w:val="single" w:sz="4" w:space="0" w:color="000000"/>
              <w:left w:val="single" w:sz="13" w:space="0" w:color="D2D2D2"/>
              <w:right w:val="single" w:sz="10" w:space="0" w:color="D2D2D2"/>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10,649</w:t>
            </w:r>
          </w:p>
        </w:tc>
        <w:tc>
          <w:tcPr>
            <w:tcW w:w="12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11" w:right="12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tc>
        <w:tc>
          <w:tcPr>
            <w:tcW w:w="1020" w:type="dxa"/>
            <w:vMerge w:val="restart"/>
            <w:tcBorders>
              <w:top w:val="single" w:sz="4" w:space="0" w:color="000000"/>
              <w:left w:val="single" w:sz="13" w:space="0" w:color="D2D2D2"/>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
              <w:jc w:val="center"/>
              <w:rPr>
                <w:rFonts w:ascii="Times New Roman" w:hAnsi="Times New Roman" w:cs="Times New Roman" w:eastAsia="Times New Roman" w:hint="default"/>
                <w:sz w:val="18"/>
                <w:szCs w:val="18"/>
              </w:rPr>
            </w:pPr>
            <w:r>
              <w:rPr>
                <w:rFonts w:ascii="Times New Roman"/>
                <w:sz w:val="18"/>
              </w:rPr>
              <w:t>0</w:t>
            </w:r>
          </w:p>
        </w:tc>
      </w:tr>
      <w:tr>
        <w:trPr>
          <w:trHeight w:val="673" w:hRule="exact"/>
        </w:trPr>
        <w:tc>
          <w:tcPr>
            <w:tcW w:w="196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33"/>
              <w:jc w:val="left"/>
              <w:rPr>
                <w:rFonts w:ascii="宋体" w:hAnsi="宋体" w:cs="宋体" w:eastAsia="宋体" w:hint="default"/>
                <w:sz w:val="18"/>
                <w:szCs w:val="18"/>
              </w:rPr>
            </w:pPr>
            <w:r>
              <w:rPr>
                <w:rFonts w:ascii="宋体" w:hAnsi="宋体" w:cs="宋体" w:eastAsia="宋体" w:hint="default"/>
                <w:sz w:val="18"/>
                <w:szCs w:val="18"/>
              </w:rPr>
              <w:t>报告期末普通股股东总 数</w:t>
            </w:r>
          </w:p>
        </w:tc>
        <w:tc>
          <w:tcPr>
            <w:tcW w:w="2190" w:type="dxa"/>
            <w:gridSpan w:val="2"/>
            <w:vMerge/>
            <w:tcBorders>
              <w:left w:val="single" w:sz="13" w:space="0" w:color="D2D2D2"/>
              <w:bottom w:val="single" w:sz="4" w:space="0" w:color="000000"/>
              <w:right w:val="single" w:sz="10" w:space="0" w:color="D2D2D2"/>
            </w:tcBorders>
          </w:tcPr>
          <w:p>
            <w:pPr/>
          </w:p>
        </w:tc>
        <w:tc>
          <w:tcPr>
            <w:tcW w:w="1657" w:type="dxa"/>
            <w:gridSpan w:val="3"/>
            <w:vMerge/>
            <w:tcBorders>
              <w:left w:val="single" w:sz="4" w:space="0" w:color="000000"/>
              <w:bottom w:val="single" w:sz="4" w:space="0" w:color="000000"/>
              <w:right w:val="single" w:sz="4" w:space="0" w:color="000000"/>
            </w:tcBorders>
            <w:shd w:val="clear" w:color="auto" w:fill="D2D2D2"/>
          </w:tcPr>
          <w:p>
            <w:pPr/>
          </w:p>
        </w:tc>
        <w:tc>
          <w:tcPr>
            <w:tcW w:w="2184" w:type="dxa"/>
            <w:gridSpan w:val="3"/>
            <w:vMerge/>
            <w:tcBorders>
              <w:left w:val="single" w:sz="13" w:space="0" w:color="D2D2D2"/>
              <w:bottom w:val="single" w:sz="4" w:space="0" w:color="000000"/>
              <w:right w:val="single" w:sz="10" w:space="0" w:color="D2D2D2"/>
            </w:tcBorders>
          </w:tcPr>
          <w:p>
            <w:pPr/>
          </w:p>
        </w:tc>
        <w:tc>
          <w:tcPr>
            <w:tcW w:w="1222" w:type="dxa"/>
            <w:gridSpan w:val="2"/>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13" w:space="0" w:color="D2D2D2"/>
              <w:bottom w:val="single" w:sz="4" w:space="0" w:color="000000"/>
              <w:right w:val="single" w:sz="4" w:space="0" w:color="000000"/>
            </w:tcBorders>
          </w:tcPr>
          <w:p>
            <w:pPr/>
          </w:p>
        </w:tc>
      </w:tr>
      <w:tr>
        <w:trPr>
          <w:trHeight w:val="313" w:hRule="exact"/>
        </w:trPr>
        <w:tc>
          <w:tcPr>
            <w:tcW w:w="1024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397"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44" w:hRule="exact"/>
        </w:trPr>
        <w:tc>
          <w:tcPr>
            <w:tcW w:w="1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1"/>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7"/>
              <w:ind w:left="45" w:right="46"/>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7"/>
              <w:ind w:left="51" w:right="5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27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21" w:hRule="exact"/>
        </w:trPr>
        <w:tc>
          <w:tcPr>
            <w:tcW w:w="19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1015" w:type="dxa"/>
            <w:gridSpan w:val="2"/>
            <w:vMerge/>
            <w:tcBorders>
              <w:left w:val="single" w:sz="4" w:space="0" w:color="000000"/>
              <w:right w:val="single" w:sz="4" w:space="0" w:color="000000"/>
            </w:tcBorders>
            <w:shd w:val="clear" w:color="auto" w:fill="D2D2D2"/>
          </w:tcPr>
          <w:p>
            <w:pPr/>
          </w:p>
        </w:tc>
        <w:tc>
          <w:tcPr>
            <w:tcW w:w="1816"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968" w:type="dxa"/>
            <w:vMerge/>
            <w:tcBorders>
              <w:left w:val="single" w:sz="4" w:space="0" w:color="000000"/>
              <w:bottom w:val="nil" w:sz="6" w:space="0" w:color="auto"/>
              <w:right w:val="single" w:sz="4" w:space="0" w:color="000000"/>
            </w:tcBorders>
            <w:shd w:val="clear" w:color="auto" w:fill="D2D2D2"/>
          </w:tcPr>
          <w:p>
            <w:pPr/>
          </w:p>
        </w:tc>
        <w:tc>
          <w:tcPr>
            <w:tcW w:w="1423" w:type="dxa"/>
            <w:vMerge/>
            <w:tcBorders>
              <w:left w:val="single" w:sz="4" w:space="0" w:color="000000"/>
              <w:bottom w:val="nil" w:sz="6" w:space="0" w:color="auto"/>
              <w:right w:val="single" w:sz="4" w:space="0" w:color="000000"/>
            </w:tcBorders>
            <w:shd w:val="clear" w:color="auto" w:fill="D2D2D2"/>
          </w:tcPr>
          <w:p>
            <w:pPr/>
          </w:p>
        </w:tc>
        <w:tc>
          <w:tcPr>
            <w:tcW w:w="888" w:type="dxa"/>
            <w:gridSpan w:val="2"/>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1015" w:type="dxa"/>
            <w:gridSpan w:val="2"/>
            <w:vMerge/>
            <w:tcBorders>
              <w:left w:val="single" w:sz="4" w:space="0" w:color="000000"/>
              <w:right w:val="single" w:sz="4" w:space="0" w:color="000000"/>
            </w:tcBorders>
            <w:shd w:val="clear" w:color="auto" w:fill="D2D2D2"/>
          </w:tcPr>
          <w:p>
            <w:pP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32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9" w:hRule="exact"/>
        </w:trPr>
        <w:tc>
          <w:tcPr>
            <w:tcW w:w="19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15" w:type="dxa"/>
            <w:gridSpan w:val="2"/>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 w:right="0"/>
              <w:jc w:val="left"/>
              <w:rPr>
                <w:rFonts w:ascii="宋体" w:hAnsi="宋体" w:cs="宋体" w:eastAsia="宋体" w:hint="default"/>
                <w:sz w:val="18"/>
                <w:szCs w:val="18"/>
              </w:rPr>
            </w:pPr>
            <w:r>
              <w:rPr>
                <w:rFonts w:ascii="宋体"/>
                <w:sz w:val="18"/>
              </w:rPr>
              <w:t>24.20%</w:t>
            </w:r>
          </w:p>
        </w:tc>
        <w:tc>
          <w:tcPr>
            <w:tcW w:w="1134" w:type="dxa"/>
            <w:tcBorders>
              <w:top w:val="single" w:sz="47" w:space="0" w:color="D2D2D2"/>
              <w:left w:val="single" w:sz="4" w:space="0" w:color="000000"/>
              <w:bottom w:val="single" w:sz="4" w:space="0" w:color="000000"/>
              <w:right w:val="single" w:sz="4" w:space="0" w:color="000000"/>
            </w:tcBorders>
          </w:tcPr>
          <w:p>
            <w:pPr>
              <w:pStyle w:val="TableParagraph"/>
              <w:spacing w:line="193" w:lineRule="exact"/>
              <w:ind w:left="111" w:right="0"/>
              <w:jc w:val="left"/>
              <w:rPr>
                <w:rFonts w:ascii="宋体" w:hAnsi="宋体" w:cs="宋体" w:eastAsia="宋体" w:hint="default"/>
                <w:sz w:val="18"/>
                <w:szCs w:val="18"/>
              </w:rPr>
            </w:pPr>
            <w:r>
              <w:rPr>
                <w:rFonts w:ascii="宋体"/>
                <w:sz w:val="18"/>
              </w:rPr>
              <w:t>94,714,205</w:t>
            </w:r>
          </w:p>
        </w:tc>
        <w:tc>
          <w:tcPr>
            <w:tcW w:w="992" w:type="dxa"/>
            <w:gridSpan w:val="2"/>
            <w:tcBorders>
              <w:top w:val="single" w:sz="47" w:space="0" w:color="D2D2D2"/>
              <w:left w:val="single" w:sz="4" w:space="0" w:color="000000"/>
              <w:bottom w:val="single" w:sz="4" w:space="0" w:color="000000"/>
              <w:right w:val="single" w:sz="4" w:space="0" w:color="000000"/>
            </w:tcBorders>
          </w:tcPr>
          <w:p>
            <w:pPr>
              <w:pStyle w:val="TableParagraph"/>
              <w:spacing w:line="193" w:lineRule="exact"/>
              <w:ind w:left="40" w:right="0"/>
              <w:jc w:val="left"/>
              <w:rPr>
                <w:rFonts w:ascii="宋体" w:hAnsi="宋体" w:cs="宋体" w:eastAsia="宋体" w:hint="default"/>
                <w:sz w:val="18"/>
                <w:szCs w:val="18"/>
              </w:rPr>
            </w:pPr>
            <w:r>
              <w:rPr>
                <w:rFonts w:ascii="宋体"/>
                <w:sz w:val="18"/>
              </w:rPr>
              <w:t>12,425,767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 w:right="0"/>
              <w:jc w:val="left"/>
              <w:rPr>
                <w:rFonts w:ascii="宋体" w:hAnsi="宋体" w:cs="宋体" w:eastAsia="宋体" w:hint="default"/>
                <w:sz w:val="18"/>
                <w:szCs w:val="18"/>
              </w:rPr>
            </w:pPr>
            <w:r>
              <w:rPr>
                <w:rFonts w:ascii="宋体"/>
                <w:sz w:val="18"/>
              </w:rPr>
              <w:t>78,742,095</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sz w:val="18"/>
              </w:rPr>
              <w:t>15,972,110</w:t>
            </w:r>
          </w:p>
        </w:tc>
        <w:tc>
          <w:tcPr>
            <w:tcW w:w="795" w:type="dxa"/>
            <w:tcBorders>
              <w:top w:val="single" w:sz="33" w:space="0" w:color="D2D2D2"/>
              <w:left w:val="single" w:sz="4" w:space="0" w:color="000000"/>
              <w:bottom w:val="single" w:sz="4" w:space="0" w:color="000000"/>
              <w:right w:val="single" w:sz="4" w:space="0" w:color="000000"/>
            </w:tcBorders>
          </w:tcPr>
          <w:p>
            <w:pPr>
              <w:pStyle w:val="TableParagraph"/>
              <w:spacing w:line="210" w:lineRule="exact"/>
              <w:ind w:left="21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33" w:space="0" w:color="D2D2D2"/>
              <w:left w:val="single" w:sz="4" w:space="0" w:color="000000"/>
              <w:bottom w:val="single" w:sz="4" w:space="0" w:color="000000"/>
              <w:right w:val="single" w:sz="4" w:space="0" w:color="000000"/>
            </w:tcBorders>
          </w:tcPr>
          <w:p>
            <w:pPr>
              <w:pStyle w:val="TableParagraph"/>
              <w:spacing w:line="210" w:lineRule="exact"/>
              <w:ind w:right="53"/>
              <w:jc w:val="right"/>
              <w:rPr>
                <w:rFonts w:ascii="宋体" w:hAnsi="宋体" w:cs="宋体" w:eastAsia="宋体" w:hint="default"/>
                <w:sz w:val="18"/>
                <w:szCs w:val="18"/>
              </w:rPr>
            </w:pPr>
            <w:r>
              <w:rPr>
                <w:rFonts w:ascii="宋体"/>
                <w:sz w:val="18"/>
              </w:rPr>
              <w:t>75,932,813</w:t>
            </w:r>
          </w:p>
        </w:tc>
      </w:tr>
      <w:tr>
        <w:trPr>
          <w:trHeight w:val="32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8" w:right="0"/>
              <w:jc w:val="left"/>
              <w:rPr>
                <w:rFonts w:ascii="宋体" w:hAnsi="宋体" w:cs="宋体" w:eastAsia="宋体" w:hint="default"/>
                <w:sz w:val="18"/>
                <w:szCs w:val="18"/>
              </w:rPr>
            </w:pPr>
            <w:r>
              <w:rPr>
                <w:rFonts w:ascii="宋体"/>
                <w:sz w:val="18"/>
              </w:rPr>
              <w:t>16.28%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 w:right="0"/>
              <w:jc w:val="left"/>
              <w:rPr>
                <w:rFonts w:ascii="宋体" w:hAnsi="宋体" w:cs="宋体" w:eastAsia="宋体" w:hint="default"/>
                <w:sz w:val="18"/>
                <w:szCs w:val="18"/>
              </w:rPr>
            </w:pPr>
            <w:r>
              <w:rPr>
                <w:rFonts w:ascii="宋体"/>
                <w:sz w:val="18"/>
              </w:rPr>
              <w:t>63,732,994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5" w:right="0"/>
              <w:jc w:val="left"/>
              <w:rPr>
                <w:rFonts w:ascii="宋体" w:hAnsi="宋体" w:cs="宋体" w:eastAsia="宋体" w:hint="default"/>
                <w:sz w:val="18"/>
                <w:szCs w:val="18"/>
              </w:rPr>
            </w:pPr>
            <w:r>
              <w:rPr>
                <w:rFonts w:ascii="宋体"/>
                <w:sz w:val="18"/>
              </w:rPr>
              <w:t>2,470,078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 w:right="0"/>
              <w:jc w:val="left"/>
              <w:rPr>
                <w:rFonts w:ascii="宋体" w:hAnsi="宋体" w:cs="宋体" w:eastAsia="宋体" w:hint="default"/>
                <w:sz w:val="18"/>
                <w:szCs w:val="18"/>
              </w:rPr>
            </w:pPr>
            <w:r>
              <w:rPr>
                <w:rFonts w:ascii="宋体"/>
                <w:sz w:val="18"/>
              </w:rPr>
              <w:t>58,717,265</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 w:right="0"/>
              <w:jc w:val="left"/>
              <w:rPr>
                <w:rFonts w:ascii="宋体" w:hAnsi="宋体" w:cs="宋体" w:eastAsia="宋体" w:hint="default"/>
                <w:sz w:val="18"/>
                <w:szCs w:val="18"/>
              </w:rPr>
            </w:pPr>
            <w:r>
              <w:rPr>
                <w:rFonts w:ascii="宋体"/>
                <w:sz w:val="18"/>
              </w:rPr>
              <w:t>5,015,729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3"/>
              <w:jc w:val="right"/>
              <w:rPr>
                <w:rFonts w:ascii="宋体" w:hAnsi="宋体" w:cs="宋体" w:eastAsia="宋体" w:hint="default"/>
                <w:sz w:val="18"/>
                <w:szCs w:val="18"/>
              </w:rPr>
            </w:pPr>
            <w:r>
              <w:rPr>
                <w:rFonts w:ascii="宋体"/>
                <w:sz w:val="18"/>
              </w:rPr>
              <w:t>58,707,265</w:t>
            </w: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sz w:val="18"/>
              </w:rPr>
              <w:t>16,119,685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sz w:val="18"/>
              </w:rPr>
              <w:t>-2,684,815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5,019,685</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 w:right="0"/>
              <w:jc w:val="left"/>
              <w:rPr>
                <w:rFonts w:ascii="宋体" w:hAnsi="宋体" w:cs="宋体" w:eastAsia="宋体" w:hint="default"/>
                <w:sz w:val="18"/>
                <w:szCs w:val="18"/>
              </w:rPr>
            </w:pPr>
            <w:r>
              <w:rPr>
                <w:rFonts w:ascii="宋体"/>
                <w:sz w:val="18"/>
              </w:rPr>
              <w:t>11,100,000</w:t>
            </w:r>
          </w:p>
        </w:tc>
        <w:tc>
          <w:tcPr>
            <w:tcW w:w="795"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3" w:right="0"/>
              <w:jc w:val="left"/>
              <w:rPr>
                <w:rFonts w:ascii="宋体" w:hAnsi="宋体" w:cs="宋体" w:eastAsia="宋体" w:hint="default"/>
                <w:sz w:val="18"/>
                <w:szCs w:val="18"/>
              </w:rPr>
            </w:pPr>
            <w:r>
              <w:rPr>
                <w:rFonts w:ascii="宋体"/>
                <w:sz w:val="18"/>
              </w:rPr>
              <w:t>3.81%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 w:right="0"/>
              <w:jc w:val="left"/>
              <w:rPr>
                <w:rFonts w:ascii="宋体" w:hAnsi="宋体" w:cs="宋体" w:eastAsia="宋体" w:hint="default"/>
                <w:sz w:val="18"/>
                <w:szCs w:val="18"/>
              </w:rPr>
            </w:pPr>
            <w:r>
              <w:rPr>
                <w:rFonts w:ascii="宋体"/>
                <w:sz w:val="18"/>
              </w:rPr>
              <w:t>14,900,004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 w:right="0"/>
              <w:jc w:val="left"/>
              <w:rPr>
                <w:rFonts w:ascii="宋体" w:hAnsi="宋体" w:cs="宋体" w:eastAsia="宋体" w:hint="default"/>
                <w:sz w:val="18"/>
                <w:szCs w:val="18"/>
              </w:rPr>
            </w:pPr>
            <w:r>
              <w:rPr>
                <w:rFonts w:ascii="宋体"/>
                <w:sz w:val="18"/>
              </w:rPr>
              <w:t>14,900,004</w:t>
            </w:r>
          </w:p>
        </w:tc>
        <w:tc>
          <w:tcPr>
            <w:tcW w:w="795"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
              <w:jc w:val="left"/>
              <w:rPr>
                <w:rFonts w:ascii="宋体" w:hAnsi="宋体" w:cs="宋体" w:eastAsia="宋体" w:hint="default"/>
                <w:sz w:val="18"/>
                <w:szCs w:val="18"/>
              </w:rPr>
            </w:pPr>
            <w:r>
              <w:rPr>
                <w:rFonts w:ascii="宋体" w:hAnsi="宋体" w:cs="宋体" w:eastAsia="宋体" w:hint="default"/>
                <w:spacing w:val="-6"/>
                <w:sz w:val="18"/>
                <w:szCs w:val="18"/>
              </w:rPr>
              <w:t>金纬资本（山南）一期合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伙企业（有限合伙）</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sz w:val="18"/>
              </w:rPr>
              <w:t>3.35%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11" w:right="0"/>
              <w:jc w:val="left"/>
              <w:rPr>
                <w:rFonts w:ascii="宋体" w:hAnsi="宋体" w:cs="宋体" w:eastAsia="宋体" w:hint="default"/>
                <w:sz w:val="18"/>
                <w:szCs w:val="18"/>
              </w:rPr>
            </w:pPr>
            <w:r>
              <w:rPr>
                <w:rFonts w:ascii="宋体"/>
                <w:sz w:val="18"/>
              </w:rPr>
              <w:t>13,097,008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0" w:right="0"/>
              <w:jc w:val="left"/>
              <w:rPr>
                <w:rFonts w:ascii="宋体" w:hAnsi="宋体" w:cs="宋体" w:eastAsia="宋体" w:hint="default"/>
                <w:sz w:val="18"/>
                <w:szCs w:val="18"/>
              </w:rPr>
            </w:pPr>
            <w:r>
              <w:rPr>
                <w:rFonts w:ascii="宋体"/>
                <w:sz w:val="18"/>
              </w:rPr>
              <w:t>13,097,008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sz w:val="18"/>
              </w:rPr>
              <w:t>13,097,008</w:t>
            </w:r>
          </w:p>
        </w:tc>
        <w:tc>
          <w:tcPr>
            <w:tcW w:w="1015" w:type="dxa"/>
            <w:gridSpan w:val="2"/>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3"/>
              <w:jc w:val="right"/>
              <w:rPr>
                <w:rFonts w:ascii="宋体" w:hAnsi="宋体" w:cs="宋体" w:eastAsia="宋体" w:hint="default"/>
                <w:sz w:val="18"/>
                <w:szCs w:val="18"/>
              </w:rPr>
            </w:pPr>
            <w:r>
              <w:rPr>
                <w:rFonts w:ascii="宋体"/>
                <w:sz w:val="18"/>
              </w:rPr>
              <w:t>13,097,008</w:t>
            </w:r>
          </w:p>
        </w:tc>
      </w:tr>
      <w:tr>
        <w:trPr>
          <w:trHeight w:val="32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2.58%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1" w:right="0"/>
              <w:jc w:val="left"/>
              <w:rPr>
                <w:rFonts w:ascii="宋体" w:hAnsi="宋体" w:cs="宋体" w:eastAsia="宋体" w:hint="default"/>
                <w:sz w:val="18"/>
                <w:szCs w:val="18"/>
              </w:rPr>
            </w:pPr>
            <w:r>
              <w:rPr>
                <w:rFonts w:ascii="宋体"/>
                <w:sz w:val="18"/>
              </w:rPr>
              <w:t>10,108,968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left"/>
              <w:rPr>
                <w:rFonts w:ascii="宋体" w:hAnsi="宋体" w:cs="宋体" w:eastAsia="宋体" w:hint="default"/>
                <w:sz w:val="18"/>
                <w:szCs w:val="18"/>
              </w:rPr>
            </w:pPr>
            <w:r>
              <w:rPr>
                <w:rFonts w:ascii="宋体"/>
                <w:sz w:val="18"/>
              </w:rPr>
              <w:t>1,003,937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5,054,484</w:t>
            </w: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sz w:val="18"/>
              </w:rPr>
              <w:t>5,054,484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0" w:right="0"/>
              <w:jc w:val="left"/>
              <w:rPr>
                <w:rFonts w:ascii="宋体" w:hAnsi="宋体" w:cs="宋体" w:eastAsia="宋体" w:hint="default"/>
                <w:sz w:val="18"/>
                <w:szCs w:val="18"/>
              </w:rPr>
            </w:pPr>
            <w:r>
              <w:rPr>
                <w:rFonts w:ascii="宋体"/>
                <w:sz w:val="18"/>
              </w:rPr>
              <w:t>200,000</w:t>
            </w: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欧亚云</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8,054,262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 w:right="0"/>
              <w:jc w:val="left"/>
              <w:rPr>
                <w:rFonts w:ascii="宋体" w:hAnsi="宋体" w:cs="宋体" w:eastAsia="宋体" w:hint="default"/>
                <w:sz w:val="18"/>
                <w:szCs w:val="18"/>
              </w:rPr>
            </w:pPr>
            <w:r>
              <w:rPr>
                <w:rFonts w:ascii="宋体"/>
                <w:sz w:val="18"/>
              </w:rPr>
              <w:t>-1,728,476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8,054,262</w:t>
            </w:r>
          </w:p>
        </w:tc>
        <w:tc>
          <w:tcPr>
            <w:tcW w:w="1015" w:type="dxa"/>
            <w:gridSpan w:val="2"/>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8,000,000</w:t>
            </w:r>
          </w:p>
        </w:tc>
      </w:tr>
      <w:tr>
        <w:trPr>
          <w:trHeight w:val="55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5"/>
              <w:jc w:val="left"/>
              <w:rPr>
                <w:rFonts w:ascii="宋体" w:hAnsi="宋体" w:cs="宋体" w:eastAsia="宋体" w:hint="default"/>
                <w:sz w:val="18"/>
                <w:szCs w:val="18"/>
              </w:rPr>
            </w:pPr>
            <w:r>
              <w:rPr>
                <w:rFonts w:ascii="宋体" w:hAnsi="宋体" w:cs="宋体" w:eastAsia="宋体" w:hint="default"/>
                <w:sz w:val="18"/>
                <w:szCs w:val="18"/>
              </w:rPr>
              <w:t>西安海联房屋建设开发 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sz w:val="18"/>
              </w:rPr>
              <w:t>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56" w:right="0"/>
              <w:jc w:val="left"/>
              <w:rPr>
                <w:rFonts w:ascii="宋体" w:hAnsi="宋体" w:cs="宋体" w:eastAsia="宋体" w:hint="default"/>
                <w:sz w:val="18"/>
                <w:szCs w:val="18"/>
              </w:rPr>
            </w:pPr>
            <w:r>
              <w:rPr>
                <w:rFonts w:ascii="宋体"/>
                <w:sz w:val="18"/>
              </w:rPr>
              <w:t>5,019,685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5" w:right="0"/>
              <w:jc w:val="left"/>
              <w:rPr>
                <w:rFonts w:ascii="宋体" w:hAnsi="宋体" w:cs="宋体" w:eastAsia="宋体" w:hint="default"/>
                <w:sz w:val="18"/>
                <w:szCs w:val="18"/>
              </w:rPr>
            </w:pPr>
            <w:r>
              <w:rPr>
                <w:rFonts w:ascii="宋体"/>
                <w:sz w:val="18"/>
              </w:rPr>
              <w:t>5,019,685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1" w:right="0"/>
              <w:jc w:val="left"/>
              <w:rPr>
                <w:rFonts w:ascii="宋体" w:hAnsi="宋体" w:cs="宋体" w:eastAsia="宋体" w:hint="default"/>
                <w:sz w:val="18"/>
                <w:szCs w:val="18"/>
              </w:rPr>
            </w:pPr>
            <w:r>
              <w:rPr>
                <w:rFonts w:ascii="宋体"/>
                <w:sz w:val="18"/>
              </w:rPr>
              <w:t>5,019,685</w:t>
            </w:r>
          </w:p>
        </w:tc>
        <w:tc>
          <w:tcPr>
            <w:tcW w:w="1015" w:type="dxa"/>
            <w:gridSpan w:val="2"/>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5,019,685</w:t>
            </w:r>
          </w:p>
        </w:tc>
      </w:tr>
      <w:tr>
        <w:trPr>
          <w:trHeight w:val="324"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4,275,380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left"/>
              <w:rPr>
                <w:rFonts w:ascii="宋体" w:hAnsi="宋体" w:cs="宋体" w:eastAsia="宋体" w:hint="default"/>
                <w:sz w:val="18"/>
                <w:szCs w:val="18"/>
              </w:rPr>
            </w:pPr>
            <w:r>
              <w:rPr>
                <w:rFonts w:ascii="宋体"/>
                <w:sz w:val="18"/>
              </w:rPr>
              <w:t>4,275,380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sz w:val="18"/>
              </w:rPr>
              <w:t>4,275,380</w:t>
            </w:r>
          </w:p>
        </w:tc>
        <w:tc>
          <w:tcPr>
            <w:tcW w:w="1015" w:type="dxa"/>
            <w:gridSpan w:val="2"/>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3"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6" w:right="0"/>
              <w:jc w:val="left"/>
              <w:rPr>
                <w:rFonts w:ascii="宋体" w:hAnsi="宋体" w:cs="宋体" w:eastAsia="宋体" w:hint="default"/>
                <w:sz w:val="18"/>
                <w:szCs w:val="18"/>
              </w:rPr>
            </w:pPr>
            <w:r>
              <w:rPr>
                <w:rFonts w:ascii="宋体"/>
                <w:sz w:val="18"/>
              </w:rPr>
              <w:t>3,910,765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 w:right="0"/>
              <w:jc w:val="left"/>
              <w:rPr>
                <w:rFonts w:ascii="宋体" w:hAnsi="宋体" w:cs="宋体" w:eastAsia="宋体" w:hint="default"/>
                <w:sz w:val="18"/>
                <w:szCs w:val="18"/>
              </w:rPr>
            </w:pPr>
            <w:r>
              <w:rPr>
                <w:rFonts w:ascii="宋体"/>
                <w:sz w:val="18"/>
              </w:rPr>
              <w:t>3,910,765</w:t>
            </w:r>
          </w:p>
        </w:tc>
        <w:tc>
          <w:tcPr>
            <w:tcW w:w="795"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33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9" w:type="dxa"/>
            <w:gridSpan w:val="10"/>
            <w:vMerge w:val="restart"/>
            <w:tcBorders>
              <w:top w:val="single" w:sz="4" w:space="0" w:color="000000"/>
              <w:left w:val="single" w:sz="9" w:space="0" w:color="D2D2D2"/>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32" w:lineRule="exact" w:before="49"/>
              <w:ind w:left="16"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、公司未知其它股东之间是否存在关联关系，也未知其它股东是否属于《上市公司股 东持股变动信息披露管理办法》中规定的一致行动人。</w:t>
            </w:r>
          </w:p>
        </w:tc>
      </w:tr>
      <w:tr>
        <w:trPr>
          <w:trHeight w:val="313" w:hRule="exact"/>
        </w:trPr>
        <w:tc>
          <w:tcPr>
            <w:tcW w:w="339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849" w:type="dxa"/>
            <w:gridSpan w:val="10"/>
            <w:vMerge/>
            <w:tcBorders>
              <w:left w:val="single" w:sz="9" w:space="0" w:color="D2D2D2"/>
              <w:right w:val="single" w:sz="4" w:space="0" w:color="000000"/>
            </w:tcBorders>
          </w:tcPr>
          <w:p>
            <w:pPr/>
          </w:p>
        </w:tc>
      </w:tr>
      <w:tr>
        <w:trPr>
          <w:trHeight w:val="258" w:hRule="exact"/>
        </w:trPr>
        <w:tc>
          <w:tcPr>
            <w:tcW w:w="33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9" w:type="dxa"/>
            <w:gridSpan w:val="10"/>
            <w:vMerge/>
            <w:tcBorders>
              <w:left w:val="single" w:sz="9" w:space="0" w:color="D2D2D2"/>
              <w:bottom w:val="single" w:sz="4" w:space="0" w:color="000000"/>
              <w:right w:val="single" w:sz="4" w:space="0" w:color="000000"/>
            </w:tcBorders>
          </w:tcPr>
          <w:p>
            <w:pPr/>
          </w:p>
        </w:tc>
      </w:tr>
      <w:tr>
        <w:trPr>
          <w:trHeight w:val="324" w:hRule="exact"/>
        </w:trPr>
        <w:tc>
          <w:tcPr>
            <w:tcW w:w="1024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7" w:hRule="exact"/>
        </w:trPr>
        <w:tc>
          <w:tcPr>
            <w:tcW w:w="33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34"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18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54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1" w:hRule="exact"/>
        </w:trPr>
        <w:tc>
          <w:tcPr>
            <w:tcW w:w="33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34"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16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1816"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3392" w:type="dxa"/>
            <w:gridSpan w:val="2"/>
            <w:vMerge/>
            <w:tcBorders>
              <w:left w:val="single" w:sz="4" w:space="0" w:color="000000"/>
              <w:bottom w:val="nil" w:sz="6" w:space="0" w:color="auto"/>
              <w:right w:val="single" w:sz="4" w:space="0" w:color="000000"/>
            </w:tcBorders>
            <w:shd w:val="clear" w:color="auto" w:fill="D2D2D2"/>
          </w:tcPr>
          <w:p>
            <w:pPr/>
          </w:p>
        </w:tc>
        <w:tc>
          <w:tcPr>
            <w:tcW w:w="5034" w:type="dxa"/>
            <w:gridSpan w:val="8"/>
            <w:vMerge/>
            <w:tcBorders>
              <w:left w:val="single" w:sz="4" w:space="0" w:color="000000"/>
              <w:bottom w:val="nil" w:sz="6" w:space="0" w:color="auto"/>
              <w:right w:val="single" w:sz="4" w:space="0" w:color="000000"/>
            </w:tcBorders>
            <w:shd w:val="clear" w:color="auto" w:fill="D2D2D2"/>
          </w:tcPr>
          <w:p>
            <w:pP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2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7" w:hRule="exact"/>
        </w:trPr>
        <w:tc>
          <w:tcPr>
            <w:tcW w:w="33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34"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15,972,110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15,972,110</w:t>
            </w: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14,900,004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14,900,004</w:t>
            </w: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11,100,000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11,100,000</w:t>
            </w: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5,054,484</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宋体" w:hAnsi="宋体" w:cs="宋体" w:eastAsia="宋体" w:hint="default"/>
                <w:sz w:val="18"/>
                <w:szCs w:val="18"/>
              </w:rPr>
            </w:pPr>
            <w:r>
              <w:rPr>
                <w:rFonts w:ascii="宋体"/>
                <w:sz w:val="18"/>
              </w:rPr>
              <w:t>5,054,484</w:t>
            </w: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5,015,729</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5,015,729</w:t>
            </w: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3,910,765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3,910,765</w:t>
            </w:r>
          </w:p>
        </w:tc>
      </w:tr>
      <w:tr>
        <w:trPr>
          <w:trHeight w:val="557" w:hRule="exact"/>
        </w:trPr>
        <w:tc>
          <w:tcPr>
            <w:tcW w:w="3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中国工商银行－东吴嘉禾优势精选混合型 开放式证券投资基金</w:t>
            </w:r>
          </w:p>
        </w:tc>
        <w:tc>
          <w:tcPr>
            <w:tcW w:w="503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3,602,498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0"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宋体" w:hAnsi="宋体" w:cs="宋体" w:eastAsia="宋体" w:hint="default"/>
                <w:sz w:val="18"/>
                <w:szCs w:val="18"/>
              </w:rPr>
            </w:pPr>
            <w:r>
              <w:rPr>
                <w:rFonts w:ascii="宋体"/>
                <w:sz w:val="18"/>
              </w:rPr>
              <w:t>3,602,498</w:t>
            </w:r>
          </w:p>
        </w:tc>
      </w:tr>
    </w:tbl>
    <w:p>
      <w:pPr>
        <w:spacing w:after="0" w:line="240" w:lineRule="auto"/>
        <w:jc w:val="right"/>
        <w:rPr>
          <w:rFonts w:ascii="宋体" w:hAnsi="宋体" w:cs="宋体" w:eastAsia="宋体" w:hint="default"/>
          <w:sz w:val="18"/>
          <w:szCs w:val="18"/>
        </w:rPr>
        <w:sectPr>
          <w:pgSz w:w="11910" w:h="16840"/>
          <w:pgMar w:header="0" w:footer="938" w:top="1100" w:bottom="1120" w:left="720" w:right="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92"/>
        <w:gridCol w:w="5034"/>
        <w:gridCol w:w="799"/>
        <w:gridCol w:w="1016"/>
      </w:tblGrid>
      <w:tr>
        <w:trPr>
          <w:trHeight w:val="557"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中国农业银行－宝盈策略增长股票型证券 投资基金</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06" w:right="0"/>
              <w:jc w:val="left"/>
              <w:rPr>
                <w:rFonts w:ascii="宋体" w:hAnsi="宋体" w:cs="宋体" w:eastAsia="宋体" w:hint="default"/>
                <w:sz w:val="18"/>
                <w:szCs w:val="18"/>
              </w:rPr>
            </w:pPr>
            <w:r>
              <w:rPr>
                <w:rFonts w:ascii="宋体"/>
                <w:sz w:val="18"/>
              </w:rPr>
              <w:t>2,635,784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2"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2,635,784</w:t>
            </w:r>
          </w:p>
        </w:tc>
      </w:tr>
      <w:tr>
        <w:trPr>
          <w:trHeight w:val="557"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19"/>
              <w:jc w:val="left"/>
              <w:rPr>
                <w:rFonts w:ascii="宋体" w:hAnsi="宋体" w:cs="宋体" w:eastAsia="宋体" w:hint="default"/>
                <w:sz w:val="18"/>
                <w:szCs w:val="18"/>
              </w:rPr>
            </w:pPr>
            <w:r>
              <w:rPr>
                <w:rFonts w:ascii="宋体" w:hAnsi="宋体" w:cs="宋体" w:eastAsia="宋体" w:hint="default"/>
                <w:sz w:val="18"/>
                <w:szCs w:val="18"/>
              </w:rPr>
              <w:t>东吴基金－光大银行－鼎利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号分级股票 型资产管理计划</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06" w:right="0"/>
              <w:jc w:val="left"/>
              <w:rPr>
                <w:rFonts w:ascii="宋体" w:hAnsi="宋体" w:cs="宋体" w:eastAsia="宋体" w:hint="default"/>
                <w:sz w:val="18"/>
                <w:szCs w:val="18"/>
              </w:rPr>
            </w:pPr>
            <w:r>
              <w:rPr>
                <w:rFonts w:ascii="宋体"/>
                <w:sz w:val="18"/>
              </w:rPr>
              <w:t>2,281,906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2"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2,281,906</w:t>
            </w:r>
          </w:p>
        </w:tc>
      </w:tr>
      <w:tr>
        <w:trPr>
          <w:trHeight w:val="557" w:hRule="exact"/>
        </w:trPr>
        <w:tc>
          <w:tcPr>
            <w:tcW w:w="339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
              <w:ind w:left="22" w:right="117"/>
              <w:jc w:val="left"/>
              <w:rPr>
                <w:rFonts w:ascii="宋体" w:hAnsi="宋体" w:cs="宋体" w:eastAsia="宋体" w:hint="default"/>
                <w:sz w:val="18"/>
                <w:szCs w:val="18"/>
              </w:rPr>
            </w:pPr>
            <w:r>
              <w:rPr>
                <w:rFonts w:ascii="宋体" w:hAnsi="宋体" w:cs="宋体" w:eastAsia="宋体" w:hint="default"/>
                <w:sz w:val="18"/>
                <w:szCs w:val="18"/>
              </w:rPr>
              <w:t>中国建设银行－宝盈资源优选股票型证券 投资基金</w:t>
            </w:r>
          </w:p>
        </w:tc>
        <w:tc>
          <w:tcPr>
            <w:tcW w:w="5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06" w:right="0"/>
              <w:jc w:val="left"/>
              <w:rPr>
                <w:rFonts w:ascii="宋体" w:hAnsi="宋体" w:cs="宋体" w:eastAsia="宋体" w:hint="default"/>
                <w:sz w:val="18"/>
                <w:szCs w:val="18"/>
              </w:rPr>
            </w:pPr>
            <w:r>
              <w:rPr>
                <w:rFonts w:ascii="宋体"/>
                <w:sz w:val="18"/>
              </w:rPr>
              <w:t>2,266,215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4" w:right="32"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2,266,215</w:t>
            </w:r>
          </w:p>
        </w:tc>
      </w:tr>
      <w:tr>
        <w:trPr>
          <w:trHeight w:val="830"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2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234" w:lineRule="exact" w:before="15"/>
              <w:ind w:left="22"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 间关联关系或一致行动的说明</w:t>
            </w:r>
          </w:p>
        </w:tc>
        <w:tc>
          <w:tcPr>
            <w:tcW w:w="684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、王相荣为公司控股股东和实际控制人，王壮利为其胞弟；</w:t>
            </w:r>
          </w:p>
          <w:p>
            <w:pPr>
              <w:pStyle w:val="TableParagraph"/>
              <w:spacing w:line="232" w:lineRule="exact" w:before="48"/>
              <w:ind w:left="-45"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、公司未知其它股东之间是否存在关联关系，也未知其它股东是否属于《上市公司股东</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持股变动信息披露管理办法》中规定的一致行动人。</w:t>
            </w:r>
          </w:p>
        </w:tc>
      </w:tr>
    </w:tbl>
    <w:p>
      <w:pPr>
        <w:pStyle w:val="BodyText"/>
        <w:spacing w:line="240" w:lineRule="auto" w:before="86"/>
        <w:ind w:left="1078" w:right="0"/>
        <w:jc w:val="left"/>
      </w:pPr>
      <w:r>
        <w:rPr/>
        <w:t>公司前</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spacing w:val="-2"/>
        </w:rPr>
        <w:t>名</w:t>
      </w:r>
      <w:r>
        <w:rPr/>
        <w:t>普通股股东</w:t>
      </w:r>
      <w:r>
        <w:rPr>
          <w:spacing w:val="-88"/>
        </w:rPr>
        <w:t>、</w:t>
      </w:r>
      <w:r>
        <w:rPr/>
        <w:t>前</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名无</w:t>
      </w:r>
      <w:r>
        <w:rPr>
          <w:spacing w:val="-2"/>
        </w:rPr>
        <w:t>限</w:t>
      </w:r>
      <w:r>
        <w:rPr/>
        <w:t>售条件普通股股东在报告期内是否进行约定购回交易</w:t>
      </w:r>
    </w:p>
    <w:p>
      <w:pPr>
        <w:spacing w:line="240" w:lineRule="auto" w:before="10"/>
        <w:rPr>
          <w:rFonts w:ascii="宋体" w:hAnsi="宋体" w:cs="宋体" w:eastAsia="宋体" w:hint="default"/>
          <w:sz w:val="19"/>
          <w:szCs w:val="19"/>
        </w:rPr>
      </w:pPr>
    </w:p>
    <w:p>
      <w:pPr>
        <w:spacing w:before="0"/>
        <w:ind w:left="1077" w:right="5598"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9"/>
        <w:rPr>
          <w:rFonts w:ascii="宋体" w:hAnsi="宋体" w:cs="宋体" w:eastAsia="宋体" w:hint="default"/>
          <w:sz w:val="17"/>
          <w:szCs w:val="17"/>
        </w:rPr>
      </w:pPr>
    </w:p>
    <w:p>
      <w:pPr>
        <w:pStyle w:val="BodyText"/>
        <w:spacing w:line="240" w:lineRule="auto" w:before="0"/>
        <w:ind w:left="1078" w:right="0"/>
        <w:jc w:val="left"/>
      </w:pPr>
      <w:r>
        <w:rPr/>
        <w:t>公司前</w:t>
      </w:r>
      <w:r>
        <w:rPr>
          <w:spacing w:val="-55"/>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名无限售条件普通股股东在报告期内未进行约定购回交易。</w:t>
      </w:r>
    </w:p>
    <w:p>
      <w:pPr>
        <w:spacing w:line="240" w:lineRule="auto" w:before="0"/>
        <w:rPr>
          <w:rFonts w:ascii="宋体" w:hAnsi="宋体" w:cs="宋体" w:eastAsia="宋体" w:hint="default"/>
          <w:sz w:val="20"/>
          <w:szCs w:val="20"/>
        </w:rPr>
      </w:pPr>
    </w:p>
    <w:p>
      <w:pPr>
        <w:pStyle w:val="Heading3"/>
        <w:spacing w:line="240" w:lineRule="auto" w:before="170"/>
        <w:ind w:left="1077" w:right="5598"/>
        <w:jc w:val="left"/>
        <w:rPr>
          <w:b w:val="0"/>
          <w:bCs w:val="0"/>
        </w:rPr>
      </w:pPr>
      <w:bookmarkStart w:name="2、公司控股股东情况" w:id="77"/>
      <w:bookmarkEnd w:id="77"/>
      <w:r>
        <w:rPr>
          <w:b w:val="0"/>
          <w:bCs w:val="0"/>
        </w:rPr>
      </w:r>
      <w:r>
        <w:rPr>
          <w:rFonts w:ascii="宋体" w:hAnsi="宋体" w:cs="宋体" w:eastAsia="宋体" w:hint="default"/>
        </w:rPr>
        <w:t>2</w:t>
      </w:r>
      <w:r>
        <w:rPr/>
        <w:t>、公司控股股东情况</w:t>
      </w:r>
      <w:r>
        <w:rPr>
          <w:b w:val="0"/>
          <w:bCs w:val="0"/>
        </w:rPr>
      </w:r>
    </w:p>
    <w:p>
      <w:pPr>
        <w:spacing w:line="240" w:lineRule="auto" w:before="3"/>
        <w:rPr>
          <w:rFonts w:ascii="宋体" w:hAnsi="宋体" w:cs="宋体" w:eastAsia="宋体" w:hint="default"/>
          <w:b/>
          <w:bCs/>
          <w:sz w:val="23"/>
          <w:szCs w:val="23"/>
        </w:rPr>
      </w:pPr>
    </w:p>
    <w:p>
      <w:pPr>
        <w:spacing w:before="0"/>
        <w:ind w:left="1077" w:right="5598" w:firstLine="0"/>
        <w:jc w:val="left"/>
        <w:rPr>
          <w:rFonts w:ascii="宋体" w:hAnsi="宋体" w:cs="宋体" w:eastAsia="宋体" w:hint="default"/>
          <w:sz w:val="18"/>
          <w:szCs w:val="18"/>
        </w:rPr>
      </w:pPr>
      <w:r>
        <w:rPr>
          <w:rFonts w:ascii="宋体" w:hAnsi="宋体" w:cs="宋体" w:eastAsia="宋体" w:hint="default"/>
          <w:b/>
          <w:bCs/>
          <w:sz w:val="18"/>
          <w:szCs w:val="18"/>
        </w:rPr>
        <w:t>自然人</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445" w:type="dxa"/>
        <w:tblLayout w:type="fixed"/>
        <w:tblCellMar>
          <w:top w:w="0" w:type="dxa"/>
          <w:left w:w="0" w:type="dxa"/>
          <w:bottom w:w="0" w:type="dxa"/>
          <w:right w:w="0" w:type="dxa"/>
        </w:tblCellMar>
        <w:tblLook w:val="01E0"/>
      </w:tblPr>
      <w:tblGrid>
        <w:gridCol w:w="3335"/>
        <w:gridCol w:w="2058"/>
        <w:gridCol w:w="4176"/>
      </w:tblGrid>
      <w:tr>
        <w:trPr>
          <w:trHeight w:val="32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新加坡</w:t>
            </w:r>
          </w:p>
        </w:tc>
      </w:tr>
      <w:tr>
        <w:trPr>
          <w:trHeight w:val="188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before="10"/>
              <w:ind w:left="23" w:right="23"/>
              <w:jc w:val="both"/>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z w:val="18"/>
                <w:szCs w:val="18"/>
              </w:rPr>
              <w:t>月至今任公司董事长，</w:t>
            </w: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日至今兼任公司总经理，现同时 担任浙江利欧控股集团有限公司董事长，浙江大农实业股份有限公司董事，温 岭市利欧小额贷款有限公司董事长，台州新科环保研究所有限公司执行董事， 温岭市利恒机械有限公司执行董事，温岭利欧贸易有限公司执行董事，台州利 欧矿业投资有限公司执行董事，温岭市广源房地产开发有限公司董事，上海磊 利汽车贸易有限公司监、上海漫酷广告有限公司董事长、上海氩氪广告有限公 司董事长、银色琥珀文化传播（北京）有限公司董事长。</w:t>
            </w:r>
          </w:p>
        </w:tc>
      </w:tr>
      <w:tr>
        <w:trPr>
          <w:trHeight w:val="32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pStyle w:val="BodyText"/>
        <w:spacing w:line="240" w:lineRule="auto" w:before="86"/>
        <w:ind w:left="1078" w:right="5598"/>
        <w:jc w:val="left"/>
      </w:pPr>
      <w:r>
        <w:rPr/>
        <w:t>报告期控股股东变更</w:t>
      </w:r>
    </w:p>
    <w:p>
      <w:pPr>
        <w:pStyle w:val="BodyText"/>
        <w:spacing w:line="240" w:lineRule="auto" w:before="172"/>
        <w:ind w:left="1078" w:right="5598"/>
        <w:jc w:val="left"/>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3"/>
        <w:spacing w:line="240" w:lineRule="auto" w:before="171"/>
        <w:ind w:left="1078" w:right="5598"/>
        <w:jc w:val="left"/>
        <w:rPr>
          <w:b w:val="0"/>
          <w:bCs w:val="0"/>
        </w:rPr>
      </w:pPr>
      <w:bookmarkStart w:name="3、公司实际控制人情况" w:id="78"/>
      <w:bookmarkEnd w:id="78"/>
      <w:r>
        <w:rPr>
          <w:b w:val="0"/>
          <w:bCs w:val="0"/>
        </w:rPr>
      </w:r>
      <w:r>
        <w:rPr>
          <w:rFonts w:ascii="宋体" w:hAnsi="宋体" w:cs="宋体" w:eastAsia="宋体" w:hint="default"/>
        </w:rPr>
        <w:t>3</w:t>
      </w:r>
      <w:r>
        <w:rPr/>
        <w:t>、公司实际控制人情况</w:t>
      </w:r>
      <w:r>
        <w:rPr>
          <w:b w:val="0"/>
          <w:bCs w:val="0"/>
        </w:rPr>
      </w:r>
    </w:p>
    <w:p>
      <w:pPr>
        <w:spacing w:line="240" w:lineRule="auto" w:before="3"/>
        <w:rPr>
          <w:rFonts w:ascii="宋体" w:hAnsi="宋体" w:cs="宋体" w:eastAsia="宋体" w:hint="default"/>
          <w:b/>
          <w:bCs/>
          <w:sz w:val="23"/>
          <w:szCs w:val="23"/>
        </w:rPr>
      </w:pPr>
    </w:p>
    <w:p>
      <w:pPr>
        <w:spacing w:before="0"/>
        <w:ind w:left="1078" w:right="5598" w:firstLine="0"/>
        <w:jc w:val="left"/>
        <w:rPr>
          <w:rFonts w:ascii="宋体" w:hAnsi="宋体" w:cs="宋体" w:eastAsia="宋体" w:hint="default"/>
          <w:sz w:val="18"/>
          <w:szCs w:val="18"/>
        </w:rPr>
      </w:pPr>
      <w:r>
        <w:rPr>
          <w:rFonts w:ascii="宋体" w:hAnsi="宋体" w:cs="宋体" w:eastAsia="宋体" w:hint="default"/>
          <w:b/>
          <w:bCs/>
          <w:sz w:val="18"/>
          <w:szCs w:val="18"/>
        </w:rPr>
        <w:t>自然人</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445" w:type="dxa"/>
        <w:tblLayout w:type="fixed"/>
        <w:tblCellMar>
          <w:top w:w="0" w:type="dxa"/>
          <w:left w:w="0" w:type="dxa"/>
          <w:bottom w:w="0" w:type="dxa"/>
          <w:right w:w="0" w:type="dxa"/>
        </w:tblCellMar>
        <w:tblLook w:val="01E0"/>
      </w:tblPr>
      <w:tblGrid>
        <w:gridCol w:w="3335"/>
        <w:gridCol w:w="2058"/>
        <w:gridCol w:w="4176"/>
      </w:tblGrid>
      <w:tr>
        <w:trPr>
          <w:trHeight w:val="32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王相荣</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新加坡</w:t>
            </w:r>
          </w:p>
        </w:tc>
      </w:tr>
      <w:tr>
        <w:trPr>
          <w:trHeight w:val="1888"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before="10"/>
              <w:ind w:left="23" w:right="22"/>
              <w:jc w:val="both"/>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50"/>
                <w:sz w:val="18"/>
                <w:szCs w:val="18"/>
              </w:rPr>
              <w:t> </w:t>
            </w:r>
            <w:r>
              <w:rPr>
                <w:rFonts w:ascii="宋体" w:hAnsi="宋体" w:cs="宋体" w:eastAsia="宋体" w:hint="default"/>
                <w:sz w:val="18"/>
                <w:szCs w:val="18"/>
              </w:rPr>
              <w:t>月至今任公司董事长，</w:t>
            </w: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8</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50"/>
                <w:sz w:val="18"/>
                <w:szCs w:val="18"/>
              </w:rPr>
              <w:t> </w:t>
            </w:r>
            <w:r>
              <w:rPr>
                <w:rFonts w:ascii="宋体" w:hAnsi="宋体" w:cs="宋体" w:eastAsia="宋体" w:hint="default"/>
                <w:sz w:val="18"/>
                <w:szCs w:val="18"/>
              </w:rPr>
              <w:t>日至今兼任公司总经理，现同时 担任浙江利欧控股集团有限公司董事长，浙江大农实业股份有限公司董事，温 岭市利欧小额贷款有限公司董事长，台州新科环保研究所有限公司执行董事， 温岭市利恒机械有限公司执行董事，温岭利欧贸易有限公司执行董事，台州利 欧矿业投资有限公司执行董事，温岭市广源房地产开发有限公司董事，上海磊 利汽车贸易有限公司监、上海漫酷广告有限公司董事长、上海氩氪广告有限公 司董事长、银色琥珀文化传播（北京）有限公司董事长。</w:t>
            </w:r>
          </w:p>
        </w:tc>
      </w:tr>
      <w:tr>
        <w:trPr>
          <w:trHeight w:val="347"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pStyle w:val="BodyText"/>
        <w:spacing w:line="241" w:lineRule="exact" w:before="0"/>
        <w:ind w:left="1078" w:right="5598"/>
        <w:jc w:val="left"/>
      </w:pPr>
      <w:r>
        <w:rPr/>
        <w:t>报告期实际控制人变更</w:t>
      </w:r>
    </w:p>
    <w:p>
      <w:pPr>
        <w:pStyle w:val="BodyText"/>
        <w:spacing w:line="240" w:lineRule="auto" w:before="133"/>
        <w:ind w:left="1078" w:right="5598"/>
        <w:jc w:val="left"/>
      </w:pPr>
      <w:r>
        <w:rPr/>
        <w:t>□ 适用 √</w:t>
      </w:r>
      <w:r>
        <w:rPr>
          <w:spacing w:val="-2"/>
        </w:rPr>
        <w:t> </w:t>
      </w:r>
      <w:r>
        <w:rPr/>
        <w:t>不适用</w:t>
      </w:r>
    </w:p>
    <w:p>
      <w:pPr>
        <w:spacing w:after="0" w:line="240" w:lineRule="auto"/>
        <w:jc w:val="left"/>
        <w:sectPr>
          <w:pgSz w:w="11910" w:h="16840"/>
          <w:pgMar w:header="0" w:footer="938" w:top="1100" w:bottom="1120" w:left="720" w:right="0"/>
        </w:sectPr>
      </w:pPr>
    </w:p>
    <w:p>
      <w:pPr>
        <w:spacing w:line="240" w:lineRule="auto" w:before="2"/>
        <w:rPr>
          <w:rFonts w:ascii="宋体" w:hAnsi="宋体" w:cs="宋体" w:eastAsia="宋体" w:hint="default"/>
          <w:sz w:val="19"/>
          <w:szCs w:val="19"/>
        </w:rPr>
      </w:pPr>
    </w:p>
    <w:p>
      <w:pPr>
        <w:pStyle w:val="Heading3"/>
        <w:spacing w:line="240" w:lineRule="auto" w:before="35"/>
        <w:ind w:left="138" w:right="0"/>
        <w:jc w:val="left"/>
        <w:rPr>
          <w:b w:val="0"/>
          <w:bCs w:val="0"/>
        </w:rPr>
      </w:pPr>
      <w:r>
        <w:rPr/>
        <w:t>截止本报告披露日，公司与实际控制人之间的产权及控制关系的方框图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0"/>
        <w:ind w:left="2509" w:right="1666" w:firstLine="0"/>
        <w:jc w:val="center"/>
        <w:rPr>
          <w:rFonts w:ascii="Times New Roman" w:hAnsi="Times New Roman" w:cs="Times New Roman" w:eastAsia="Times New Roman" w:hint="default"/>
          <w:sz w:val="18"/>
          <w:szCs w:val="18"/>
        </w:rPr>
      </w:pPr>
      <w:r>
        <w:rPr/>
        <w:pict>
          <v:group style="position:absolute;margin-left:288.450012pt;margin-top:-37.327652pt;width:71.8pt;height:67.8pt;mso-position-horizontal-relative:page;mso-position-vertical-relative:paragraph;z-index:-906928" coordorigin="5769,-747" coordsize="1436,1356">
            <v:group style="position:absolute;left:6355;top:-276;width:314;height:877" coordorigin="6355,-276" coordsize="314,877">
              <v:shape style="position:absolute;left:6355;top:-276;width:314;height:877" coordorigin="6355,-276" coordsize="314,877" path="m6355,382l6433,382,6433,-276,6590,-276,6590,382,6669,382,6512,601,6355,382xe" filled="false" stroked="true" strokeweight=".75pt" strokecolor="#000000">
                <v:path arrowok="t"/>
              </v:shape>
              <v:shape style="position:absolute;left:5769;top:-747;width:1436;height:469" type="#_x0000_t202" filled="false" stroked="true" strokeweight=".75pt" strokecolor="#000000">
                <v:textbox inset="0,0,0,0">
                  <w:txbxContent>
                    <w:p>
                      <w:pPr>
                        <w:spacing w:before="83"/>
                        <w:ind w:left="440" w:right="0" w:firstLine="0"/>
                        <w:jc w:val="left"/>
                        <w:rPr>
                          <w:rFonts w:ascii="宋体" w:hAnsi="宋体" w:cs="宋体" w:eastAsia="宋体" w:hint="default"/>
                          <w:sz w:val="18"/>
                          <w:szCs w:val="18"/>
                        </w:rPr>
                      </w:pPr>
                      <w:r>
                        <w:rPr>
                          <w:rFonts w:ascii="宋体" w:hAnsi="宋体" w:cs="宋体" w:eastAsia="宋体" w:hint="default"/>
                          <w:b/>
                          <w:bCs/>
                          <w:sz w:val="18"/>
                          <w:szCs w:val="18"/>
                        </w:rPr>
                        <w:t>王相荣</w:t>
                      </w:r>
                      <w:r>
                        <w:rPr>
                          <w:rFonts w:ascii="宋体" w:hAnsi="宋体" w:cs="宋体" w:eastAsia="宋体" w:hint="default"/>
                          <w:sz w:val="18"/>
                          <w:szCs w:val="18"/>
                        </w:rPr>
                      </w:r>
                    </w:p>
                  </w:txbxContent>
                </v:textbox>
                <w10:wrap type="none"/>
              </v:shape>
            </v:group>
            <w10:wrap type="none"/>
          </v:group>
        </w:pict>
      </w:r>
      <w:r>
        <w:rPr>
          <w:rFonts w:ascii="Times New Roman"/>
          <w:sz w:val="18"/>
        </w:rPr>
        <w:t>20.39%</w: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469" w:lineRule="exact"/>
        <w:ind w:left="26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206.25pt;height:23.45pt;mso-position-horizontal-relative:char;mso-position-vertical-relative:line" type="#_x0000_t202" filled="false" stroked="true" strokeweight=".75pt" strokecolor="#000000">
            <w10:anchorlock/>
            <v:textbox inset="0,0,0,0">
              <w:txbxContent>
                <w:p>
                  <w:pPr>
                    <w:spacing w:before="75"/>
                    <w:ind w:left="851" w:right="0" w:firstLine="0"/>
                    <w:jc w:val="left"/>
                    <w:rPr>
                      <w:rFonts w:ascii="宋体" w:hAnsi="宋体" w:cs="宋体" w:eastAsia="宋体" w:hint="default"/>
                      <w:sz w:val="24"/>
                      <w:szCs w:val="24"/>
                    </w:rPr>
                  </w:pPr>
                  <w:r>
                    <w:rPr>
                      <w:rFonts w:ascii="宋体" w:hAnsi="宋体" w:cs="宋体" w:eastAsia="宋体" w:hint="default"/>
                      <w:b/>
                      <w:bCs/>
                      <w:sz w:val="24"/>
                      <w:szCs w:val="24"/>
                    </w:rPr>
                    <w:t>利欧集团股份有限公司</w:t>
                  </w:r>
                  <w:r>
                    <w:rPr>
                      <w:rFonts w:ascii="宋体" w:hAnsi="宋体" w:cs="宋体" w:eastAsia="宋体" w:hint="default"/>
                      <w:sz w:val="24"/>
                      <w:szCs w:val="24"/>
                    </w:rPr>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63"/>
        <w:ind w:left="138" w:right="0"/>
        <w:jc w:val="left"/>
      </w:pPr>
      <w:r>
        <w:rPr/>
        <w:t>实际控制人通过信托或其他资产管理方式控制公司</w:t>
      </w:r>
    </w:p>
    <w:p>
      <w:pPr>
        <w:spacing w:line="240" w:lineRule="auto" w:before="3"/>
        <w:rPr>
          <w:rFonts w:ascii="宋体" w:hAnsi="宋体" w:cs="宋体" w:eastAsia="宋体" w:hint="default"/>
          <w:sz w:val="15"/>
          <w:szCs w:val="15"/>
        </w:rPr>
      </w:pPr>
    </w:p>
    <w:p>
      <w:pPr>
        <w:pStyle w:val="BodyText"/>
        <w:spacing w:line="240" w:lineRule="auto" w:before="0"/>
        <w:ind w:left="138" w:right="0"/>
        <w:jc w:val="left"/>
      </w:pPr>
      <w:r>
        <w:rPr/>
        <w:t>□ 适用 √</w:t>
      </w:r>
      <w:r>
        <w:rPr>
          <w:spacing w:val="-2"/>
        </w:rPr>
        <w:t> </w:t>
      </w:r>
      <w:r>
        <w:rPr/>
        <w:t>不适用</w:t>
      </w:r>
    </w:p>
    <w:p>
      <w:pPr>
        <w:spacing w:line="240" w:lineRule="auto" w:before="9"/>
        <w:rPr>
          <w:rFonts w:ascii="宋体" w:hAnsi="宋体" w:cs="宋体" w:eastAsia="宋体" w:hint="default"/>
          <w:sz w:val="24"/>
          <w:szCs w:val="24"/>
        </w:rPr>
      </w:pPr>
    </w:p>
    <w:p>
      <w:pPr>
        <w:pStyle w:val="Heading2"/>
        <w:spacing w:line="312" w:lineRule="exact"/>
        <w:ind w:left="138" w:right="1684"/>
        <w:jc w:val="left"/>
        <w:rPr>
          <w:b w:val="0"/>
          <w:bCs w:val="0"/>
        </w:rPr>
      </w:pPr>
      <w:bookmarkStart w:name="四、 在公司所知的范围内，没有公司股东及其一致行动人在报告期提出或实施股份增持计" w:id="79"/>
      <w:bookmarkEnd w:id="79"/>
      <w:r>
        <w:rPr>
          <w:b w:val="0"/>
          <w:bCs w:val="0"/>
        </w:rPr>
      </w:r>
      <w:r>
        <w:rPr/>
        <w:t>四、</w:t>
      </w:r>
      <w:r>
        <w:rPr>
          <w:spacing w:val="-24"/>
        </w:rPr>
        <w:t> </w:t>
      </w:r>
      <w:r>
        <w:rPr/>
        <w:t>在公司所知的范围内，没有公司股东及其一致行动人在报告期提出或实施</w:t>
      </w:r>
      <w:r>
        <w:rPr>
          <w:w w:val="99"/>
        </w:rPr>
        <w:t> </w:t>
      </w:r>
      <w:r>
        <w:rPr/>
        <w:t>股份增持计划。</w:t>
      </w:r>
      <w:r>
        <w:rPr>
          <w:b w:val="0"/>
          <w:bCs w:val="0"/>
        </w:rPr>
      </w:r>
    </w:p>
    <w:p>
      <w:pPr>
        <w:spacing w:after="0" w:line="312" w:lineRule="exact"/>
        <w:jc w:val="left"/>
        <w:sectPr>
          <w:pgSz w:w="11910" w:h="16840"/>
          <w:pgMar w:header="0" w:footer="938" w:top="1100" w:bottom="1120" w:left="166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607" w:right="0"/>
        <w:jc w:val="left"/>
        <w:rPr>
          <w:b w:val="0"/>
          <w:bCs w:val="0"/>
        </w:rPr>
      </w:pPr>
      <w:bookmarkStart w:name="第七节 优先股相关情况" w:id="80"/>
      <w:bookmarkEnd w:id="80"/>
      <w:r>
        <w:rPr>
          <w:b w:val="0"/>
          <w:bCs w:val="0"/>
        </w:rPr>
      </w:r>
      <w:bookmarkStart w:name="_bookmark6" w:id="81"/>
      <w:bookmarkEnd w:id="8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left="138" w:right="0"/>
        <w:jc w:val="left"/>
        <w:rPr>
          <w:b w:val="0"/>
          <w:bCs w:val="0"/>
        </w:rPr>
      </w:pPr>
      <w:r>
        <w:rPr/>
        <w:t>公司在报告期内不存在优先股。</w:t>
      </w:r>
      <w:r>
        <w:rPr>
          <w:b w:val="0"/>
          <w:bCs w:val="0"/>
        </w:rPr>
      </w:r>
    </w:p>
    <w:p>
      <w:pPr>
        <w:spacing w:after="0" w:line="240" w:lineRule="auto"/>
        <w:jc w:val="left"/>
        <w:sectPr>
          <w:pgSz w:w="11910" w:h="16840"/>
          <w:pgMar w:header="0" w:footer="938" w:top="1100" w:bottom="1120" w:left="1660" w:right="0"/>
        </w:sectPr>
      </w:pPr>
    </w:p>
    <w:p>
      <w:pPr>
        <w:spacing w:line="240" w:lineRule="auto" w:before="0"/>
        <w:rPr>
          <w:rFonts w:ascii="宋体" w:hAnsi="宋体" w:cs="宋体" w:eastAsia="宋体" w:hint="default"/>
          <w:b/>
          <w:bCs/>
          <w:sz w:val="20"/>
          <w:szCs w:val="20"/>
        </w:rPr>
      </w:pPr>
    </w:p>
    <w:p>
      <w:pPr>
        <w:pStyle w:val="Heading1"/>
        <w:spacing w:line="240" w:lineRule="auto" w:before="145"/>
        <w:ind w:left="2022" w:right="0"/>
        <w:jc w:val="left"/>
        <w:rPr>
          <w:b w:val="0"/>
          <w:bCs w:val="0"/>
        </w:rPr>
      </w:pPr>
      <w:bookmarkStart w:name="第八节 董事、监事、高级管理人员和员工情况" w:id="82"/>
      <w:bookmarkEnd w:id="82"/>
      <w:r>
        <w:rPr>
          <w:b w:val="0"/>
          <w:bCs w:val="0"/>
        </w:rPr>
      </w:r>
      <w:bookmarkStart w:name="_bookmark7" w:id="83"/>
      <w:bookmarkEnd w:id="83"/>
      <w:r>
        <w:rPr>
          <w:b w:val="0"/>
          <w:bCs w:val="0"/>
        </w:rPr>
      </w:r>
      <w:r>
        <w:rPr/>
        <w:t>第八节</w:t>
      </w:r>
      <w:r>
        <w:rPr>
          <w:spacing w:val="-16"/>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left="1158" w:right="0"/>
        <w:jc w:val="left"/>
        <w:rPr>
          <w:b w:val="0"/>
          <w:bCs w:val="0"/>
        </w:rPr>
      </w:pPr>
      <w:bookmarkStart w:name="一、董事、监事和高级管理人员持股变动" w:id="84"/>
      <w:bookmarkEnd w:id="84"/>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870"/>
        <w:gridCol w:w="870"/>
        <w:gridCol w:w="510"/>
        <w:gridCol w:w="360"/>
        <w:gridCol w:w="360"/>
        <w:gridCol w:w="1560"/>
        <w:gridCol w:w="1548"/>
        <w:gridCol w:w="1102"/>
        <w:gridCol w:w="1022"/>
        <w:gridCol w:w="1097"/>
        <w:gridCol w:w="1097"/>
      </w:tblGrid>
      <w:tr>
        <w:trPr>
          <w:trHeight w:val="557"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8" w:right="71"/>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2" w:right="85"/>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2" w:right="85"/>
              <w:jc w:val="left"/>
              <w:rPr>
                <w:rFonts w:ascii="宋体" w:hAnsi="宋体" w:cs="宋体" w:eastAsia="宋体" w:hint="default"/>
                <w:sz w:val="18"/>
                <w:szCs w:val="18"/>
              </w:rPr>
            </w:pPr>
            <w:r>
              <w:rPr>
                <w:rFonts w:ascii="宋体" w:hAnsi="宋体" w:cs="宋体" w:eastAsia="宋体" w:hint="default"/>
                <w:sz w:val="18"/>
                <w:szCs w:val="18"/>
              </w:rPr>
              <w:t>年 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33" w:firstLine="32"/>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0"/>
                <w:sz w:val="18"/>
                <w:szCs w:val="18"/>
              </w:rPr>
              <w:t>份数量（股）</w:t>
            </w:r>
            <w:r>
              <w:rPr>
                <w:rFonts w:ascii="宋体" w:hAnsi="宋体" w:cs="宋体" w:eastAsia="宋体" w:hint="default"/>
                <w:sz w:val="18"/>
                <w:szCs w:val="18"/>
              </w:rPr>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6" w:firstLine="70"/>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57"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2" w:right="0"/>
              <w:jc w:val="left"/>
              <w:rPr>
                <w:rFonts w:ascii="宋体" w:hAnsi="宋体" w:cs="宋体" w:eastAsia="宋体" w:hint="default"/>
                <w:sz w:val="18"/>
                <w:szCs w:val="18"/>
              </w:rPr>
            </w:pPr>
            <w:r>
              <w:rPr>
                <w:rFonts w:ascii="宋体"/>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82,288,438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17,025,767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4,600,000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1"/>
              <w:jc w:val="right"/>
              <w:rPr>
                <w:rFonts w:ascii="宋体" w:hAnsi="宋体" w:cs="宋体" w:eastAsia="宋体" w:hint="default"/>
                <w:sz w:val="18"/>
                <w:szCs w:val="18"/>
              </w:rPr>
            </w:pPr>
            <w:r>
              <w:rPr>
                <w:rFonts w:ascii="宋体"/>
                <w:sz w:val="18"/>
              </w:rPr>
              <w:t>94,714,205</w:t>
            </w: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61,262,916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12,770,078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10,300,000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63,732,994</w:t>
            </w:r>
          </w:p>
        </w:tc>
      </w:tr>
      <w:tr>
        <w:trPr>
          <w:trHeight w:val="557"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23"/>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副总</w:t>
            </w:r>
            <w:r>
              <w:rPr>
                <w:rFonts w:ascii="宋体" w:hAnsi="宋体" w:cs="宋体" w:eastAsia="宋体" w:hint="default"/>
                <w:sz w:val="18"/>
                <w:szCs w:val="18"/>
              </w:rPr>
              <w:t> 经理</w:t>
            </w:r>
            <w:r>
              <w:rPr>
                <w:rFonts w:ascii="宋体" w:hAnsi="宋体" w:cs="宋体" w:eastAsia="宋体" w:hint="default"/>
                <w:spacing w:val="-87"/>
                <w:sz w:val="18"/>
                <w:szCs w:val="18"/>
              </w:rPr>
              <w:t>、</w:t>
            </w:r>
            <w:r>
              <w:rPr>
                <w:rFonts w:ascii="宋体" w:hAnsi="宋体" w:cs="宋体" w:eastAsia="宋体" w:hint="default"/>
                <w:sz w:val="18"/>
                <w:szCs w:val="18"/>
              </w:rPr>
              <w:t>董秘</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2" w:right="0"/>
              <w:jc w:val="left"/>
              <w:rPr>
                <w:rFonts w:ascii="宋体" w:hAnsi="宋体" w:cs="宋体" w:eastAsia="宋体" w:hint="default"/>
                <w:sz w:val="18"/>
                <w:szCs w:val="18"/>
              </w:rPr>
            </w:pPr>
            <w:r>
              <w:rPr>
                <w:rFonts w:ascii="宋体"/>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2,268,997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37"/>
              <w:jc w:val="right"/>
              <w:rPr>
                <w:rFonts w:ascii="宋体" w:hAnsi="宋体" w:cs="宋体" w:eastAsia="宋体" w:hint="default"/>
                <w:sz w:val="18"/>
                <w:szCs w:val="18"/>
              </w:rPr>
            </w:pPr>
            <w:r>
              <w:rPr>
                <w:rFonts w:ascii="宋体"/>
                <w:sz w:val="18"/>
              </w:rPr>
              <w:t>2,268,997</w:t>
            </w: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05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30</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9,105,031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1,003,937</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宋体" w:hAnsi="宋体" w:cs="宋体" w:eastAsia="宋体" w:hint="default"/>
                <w:sz w:val="18"/>
                <w:szCs w:val="18"/>
              </w:rPr>
            </w:pPr>
            <w:r>
              <w:rPr>
                <w:rFonts w:ascii="宋体"/>
                <w:sz w:val="18"/>
              </w:rPr>
              <w:t>10,108,968</w:t>
            </w: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陈德平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 w:right="0"/>
              <w:jc w:val="left"/>
              <w:rPr>
                <w:rFonts w:ascii="宋体" w:hAnsi="宋体" w:cs="宋体" w:eastAsia="宋体" w:hint="default"/>
                <w:sz w:val="18"/>
                <w:szCs w:val="18"/>
              </w:rPr>
            </w:pPr>
            <w:r>
              <w:rPr>
                <w:rFonts w:ascii="宋体"/>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 w:right="0"/>
              <w:jc w:val="left"/>
              <w:rPr>
                <w:rFonts w:ascii="宋体" w:hAnsi="宋体" w:cs="宋体" w:eastAsia="宋体" w:hint="default"/>
                <w:sz w:val="18"/>
                <w:szCs w:val="18"/>
              </w:rPr>
            </w:pPr>
            <w:r>
              <w:rPr>
                <w:rFonts w:ascii="宋体"/>
                <w:sz w:val="18"/>
              </w:rPr>
              <w:t>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吴郁龙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 w:right="0"/>
              <w:jc w:val="left"/>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 w:right="0"/>
              <w:jc w:val="left"/>
              <w:rPr>
                <w:rFonts w:ascii="宋体" w:hAnsi="宋体" w:cs="宋体" w:eastAsia="宋体" w:hint="default"/>
                <w:sz w:val="18"/>
                <w:szCs w:val="18"/>
              </w:rPr>
            </w:pPr>
            <w:r>
              <w:rPr>
                <w:rFonts w:ascii="宋体"/>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靳明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 w:right="11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82" w:right="0"/>
              <w:jc w:val="left"/>
              <w:rPr>
                <w:rFonts w:ascii="宋体" w:hAnsi="宋体" w:cs="宋体" w:eastAsia="宋体" w:hint="default"/>
                <w:sz w:val="18"/>
                <w:szCs w:val="18"/>
              </w:rPr>
            </w:pPr>
            <w:r>
              <w:rPr>
                <w:rFonts w:ascii="宋体"/>
                <w:sz w:val="18"/>
              </w:rPr>
              <w:t>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2,923</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7" w:right="0"/>
              <w:jc w:val="left"/>
              <w:rPr>
                <w:rFonts w:ascii="宋体" w:hAnsi="宋体" w:cs="宋体" w:eastAsia="宋体" w:hint="default"/>
                <w:sz w:val="18"/>
                <w:szCs w:val="18"/>
              </w:rPr>
            </w:pPr>
            <w:r>
              <w:rPr>
                <w:rFonts w:ascii="宋体"/>
                <w:color w:val="434343"/>
                <w:sz w:val="18"/>
              </w:rPr>
              <w:t>2,192</w:t>
            </w:r>
            <w:r>
              <w:rPr>
                <w:rFonts w:ascii="宋体"/>
                <w:sz w:val="18"/>
              </w:rPr>
            </w: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2,268,997</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31,900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2,237,097</w:t>
            </w: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1,551,866</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1,521,866</w:t>
            </w: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2,082,111</w:t>
            </w: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2,052,111</w:t>
            </w: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2" w:right="0"/>
              <w:jc w:val="left"/>
              <w:rPr>
                <w:rFonts w:ascii="宋体" w:hAnsi="宋体" w:cs="宋体" w:eastAsia="宋体" w:hint="default"/>
                <w:sz w:val="18"/>
                <w:szCs w:val="18"/>
              </w:rPr>
            </w:pPr>
            <w:r>
              <w:rPr>
                <w:rFonts w:ascii="宋体"/>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 w:right="0"/>
              <w:jc w:val="left"/>
              <w:rPr>
                <w:rFonts w:ascii="宋体" w:hAnsi="宋体" w:cs="宋体" w:eastAsia="宋体" w:hint="default"/>
                <w:sz w:val="18"/>
                <w:szCs w:val="18"/>
              </w:rPr>
            </w:pPr>
            <w:r>
              <w:rPr>
                <w:rFonts w:ascii="宋体"/>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4,275,380</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宋体" w:hAnsi="宋体" w:cs="宋体" w:eastAsia="宋体" w:hint="default"/>
                <w:sz w:val="18"/>
                <w:szCs w:val="18"/>
              </w:rPr>
            </w:pPr>
            <w:r>
              <w:rPr>
                <w:rFonts w:ascii="宋体"/>
                <w:sz w:val="18"/>
              </w:rPr>
              <w:t>4,275,380</w:t>
            </w:r>
          </w:p>
        </w:tc>
      </w:tr>
      <w:tr>
        <w:trPr>
          <w:trHeight w:val="324"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 w:right="0"/>
              <w:jc w:val="lef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sz w:val="18"/>
              </w:rPr>
              <w:t>--</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sz w:val="18"/>
              </w:rPr>
              <w:t>--</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160,831,279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35,075,162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14,992,631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7"/>
              <w:jc w:val="right"/>
              <w:rPr>
                <w:rFonts w:ascii="宋体" w:hAnsi="宋体" w:cs="宋体" w:eastAsia="宋体" w:hint="default"/>
                <w:sz w:val="18"/>
                <w:szCs w:val="18"/>
              </w:rPr>
            </w:pPr>
            <w:r>
              <w:rPr>
                <w:rFonts w:ascii="宋体"/>
                <w:sz w:val="18"/>
              </w:rPr>
              <w:t>180,913,810</w:t>
            </w:r>
          </w:p>
        </w:tc>
      </w:tr>
    </w:tbl>
    <w:p>
      <w:pPr>
        <w:spacing w:line="240" w:lineRule="auto" w:before="12"/>
        <w:rPr>
          <w:rFonts w:ascii="宋体" w:hAnsi="宋体" w:cs="宋体" w:eastAsia="宋体" w:hint="default"/>
          <w:b/>
          <w:bCs/>
          <w:sz w:val="17"/>
          <w:szCs w:val="17"/>
        </w:rPr>
      </w:pPr>
    </w:p>
    <w:p>
      <w:pPr>
        <w:pStyle w:val="Heading2"/>
        <w:spacing w:line="240" w:lineRule="auto" w:before="26"/>
        <w:ind w:left="1158" w:right="0"/>
        <w:jc w:val="both"/>
        <w:rPr>
          <w:b w:val="0"/>
          <w:bCs w:val="0"/>
        </w:rPr>
      </w:pPr>
      <w:bookmarkStart w:name="二、任职情况" w:id="85"/>
      <w:bookmarkEnd w:id="85"/>
      <w:r>
        <w:rPr>
          <w:b w:val="0"/>
          <w:bCs w:val="0"/>
        </w:rPr>
      </w:r>
      <w:r>
        <w:rPr/>
        <w:t>二、任职情况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0"/>
        <w:ind w:left="1157" w:right="0"/>
        <w:jc w:val="both"/>
      </w:pPr>
      <w:r>
        <w:rPr/>
        <w:t>公司现任董事、监事、高级管理人员最近</w:t>
      </w:r>
      <w:r>
        <w:rPr>
          <w:spacing w:val="-54"/>
        </w:rPr>
        <w:t> </w:t>
      </w:r>
      <w:r>
        <w:rPr>
          <w:rFonts w:ascii="宋体" w:hAnsi="宋体" w:cs="宋体" w:eastAsia="宋体" w:hint="default"/>
        </w:rPr>
        <w:t>5</w:t>
      </w:r>
      <w:r>
        <w:rPr>
          <w:rFonts w:ascii="宋体" w:hAnsi="宋体" w:cs="宋体" w:eastAsia="宋体" w:hint="default"/>
          <w:spacing w:val="-53"/>
        </w:rPr>
        <w:t> </w:t>
      </w:r>
      <w:r>
        <w:rPr/>
        <w:t>年的主要工作经历</w:t>
      </w:r>
    </w:p>
    <w:p>
      <w:pPr>
        <w:pStyle w:val="Heading3"/>
        <w:spacing w:line="240" w:lineRule="auto" w:before="172"/>
        <w:ind w:left="1158" w:right="0"/>
        <w:jc w:val="both"/>
        <w:rPr>
          <w:b w:val="0"/>
          <w:bCs w:val="0"/>
        </w:rPr>
      </w:pPr>
      <w:r>
        <w:rPr/>
        <w:t>（一）董事</w:t>
      </w:r>
      <w:r>
        <w:rPr>
          <w:b w:val="0"/>
          <w:bCs w:val="0"/>
        </w:rPr>
      </w:r>
    </w:p>
    <w:p>
      <w:pPr>
        <w:pStyle w:val="BodyText"/>
        <w:spacing w:line="355" w:lineRule="auto" w:before="134"/>
        <w:ind w:left="1577" w:right="0"/>
        <w:jc w:val="left"/>
      </w:pPr>
      <w:r>
        <w:rPr/>
        <w:t>公司现有董事</w:t>
      </w:r>
      <w:r>
        <w:rPr>
          <w:rFonts w:ascii="宋体" w:hAnsi="宋体" w:cs="宋体" w:eastAsia="宋体" w:hint="default"/>
        </w:rPr>
        <w:t>9</w:t>
      </w:r>
      <w:r>
        <w:rPr/>
        <w:t>名，其中独立董事</w:t>
      </w:r>
      <w:r>
        <w:rPr>
          <w:rFonts w:ascii="宋体" w:hAnsi="宋体" w:cs="宋体" w:eastAsia="宋体" w:hint="default"/>
        </w:rPr>
        <w:t>3</w:t>
      </w:r>
      <w:r>
        <w:rPr/>
        <w:t>名。各董事的基本情况如下： </w:t>
      </w:r>
      <w:r>
        <w:rPr>
          <w:rFonts w:ascii="宋体" w:hAnsi="宋体" w:cs="宋体" w:eastAsia="宋体" w:hint="default"/>
          <w:spacing w:val="-3"/>
        </w:rPr>
        <w:t>1</w:t>
      </w:r>
      <w:r>
        <w:rPr>
          <w:spacing w:val="-3"/>
        </w:rPr>
        <w:t>、</w:t>
      </w:r>
      <w:r>
        <w:rPr>
          <w:rFonts w:ascii="宋体" w:hAnsi="宋体" w:cs="宋体" w:eastAsia="宋体" w:hint="default"/>
          <w:b/>
          <w:bCs/>
          <w:spacing w:val="-3"/>
        </w:rPr>
        <w:t>王相荣</w:t>
      </w:r>
      <w:r>
        <w:rPr>
          <w:spacing w:val="-3"/>
        </w:rPr>
        <w:t>，男，中国国籍，获新加坡永久居留权。</w:t>
      </w:r>
      <w:r>
        <w:rPr>
          <w:rFonts w:ascii="宋体" w:hAnsi="宋体" w:cs="宋体" w:eastAsia="宋体" w:hint="default"/>
          <w:spacing w:val="-3"/>
        </w:rPr>
        <w:t>1972</w:t>
      </w:r>
      <w:r>
        <w:rPr>
          <w:spacing w:val="-3"/>
        </w:rPr>
        <w:t>年</w:t>
      </w:r>
      <w:r>
        <w:rPr>
          <w:rFonts w:ascii="宋体" w:hAnsi="宋体" w:cs="宋体" w:eastAsia="宋体" w:hint="default"/>
          <w:spacing w:val="-3"/>
        </w:rPr>
        <w:t>2</w:t>
      </w:r>
      <w:r>
        <w:rPr>
          <w:spacing w:val="-3"/>
        </w:rPr>
        <w:t>月生，大学本科学历，工程</w:t>
      </w:r>
    </w:p>
    <w:p>
      <w:pPr>
        <w:pStyle w:val="BodyText"/>
        <w:spacing w:line="357" w:lineRule="auto" w:before="34"/>
        <w:ind w:left="1158" w:right="1688"/>
        <w:jc w:val="both"/>
      </w:pPr>
      <w:r>
        <w:rPr>
          <w:spacing w:val="-3"/>
        </w:rPr>
        <w:t>师。全国农业机械标准化技术委员会委员、中国农业机械协会排灌机械分会副会长、中国农</w:t>
      </w:r>
      <w:r>
        <w:rPr>
          <w:spacing w:val="-72"/>
        </w:rPr>
        <w:t> </w:t>
      </w:r>
      <w:r>
        <w:rPr>
          <w:spacing w:val="-72"/>
        </w:rPr>
      </w:r>
      <w:r>
        <w:rPr>
          <w:spacing w:val="-3"/>
        </w:rPr>
        <w:t>业机械学会理事、中水网专家委员会副主任委员、浙江农业机械工业行业协会副理事长；中</w:t>
      </w:r>
      <w:r>
        <w:rPr>
          <w:spacing w:val="-72"/>
        </w:rPr>
        <w:t> </w:t>
      </w:r>
      <w:r>
        <w:rPr>
          <w:spacing w:val="-72"/>
        </w:rPr>
      </w:r>
      <w:r>
        <w:rPr>
          <w:spacing w:val="-5"/>
        </w:rPr>
        <w:t>国青联第十一届委员会委员、中国青年企业家协会常务理事、浙江省青年企业家协会副会长；</w:t>
      </w:r>
    </w:p>
    <w:p>
      <w:pPr>
        <w:spacing w:after="0" w:line="357" w:lineRule="auto"/>
        <w:jc w:val="both"/>
        <w:sectPr>
          <w:pgSz w:w="11910" w:h="16840"/>
          <w:pgMar w:header="0" w:footer="938" w:top="1100" w:bottom="1120" w:left="640" w:right="0"/>
        </w:sectPr>
      </w:pPr>
    </w:p>
    <w:p>
      <w:pPr>
        <w:spacing w:line="240" w:lineRule="auto" w:before="2"/>
        <w:rPr>
          <w:rFonts w:ascii="宋体" w:hAnsi="宋体" w:cs="宋体" w:eastAsia="宋体" w:hint="default"/>
          <w:sz w:val="19"/>
          <w:szCs w:val="19"/>
        </w:rPr>
      </w:pPr>
    </w:p>
    <w:p>
      <w:pPr>
        <w:pStyle w:val="BodyText"/>
        <w:spacing w:line="357" w:lineRule="auto" w:before="35"/>
        <w:ind w:right="1684"/>
        <w:jc w:val="left"/>
      </w:pPr>
      <w:r>
        <w:rPr>
          <w:spacing w:val="-7"/>
        </w:rPr>
        <w:t>台州市人大代表。</w:t>
      </w:r>
      <w:r>
        <w:rPr>
          <w:rFonts w:ascii="宋体" w:hAnsi="宋体" w:cs="宋体" w:eastAsia="宋体" w:hint="default"/>
          <w:spacing w:val="-7"/>
        </w:rPr>
        <w:t>2001</w:t>
      </w:r>
      <w:r>
        <w:rPr>
          <w:spacing w:val="-7"/>
        </w:rPr>
        <w:t>年</w:t>
      </w:r>
      <w:r>
        <w:rPr>
          <w:rFonts w:ascii="宋体" w:hAnsi="宋体" w:cs="宋体" w:eastAsia="宋体" w:hint="default"/>
          <w:spacing w:val="-7"/>
        </w:rPr>
        <w:t>5</w:t>
      </w:r>
      <w:r>
        <w:rPr>
          <w:spacing w:val="-7"/>
        </w:rPr>
        <w:t>月至</w:t>
      </w:r>
      <w:r>
        <w:rPr>
          <w:rFonts w:ascii="宋体" w:hAnsi="宋体" w:cs="宋体" w:eastAsia="宋体" w:hint="default"/>
          <w:spacing w:val="-7"/>
        </w:rPr>
        <w:t>2005</w:t>
      </w:r>
      <w:r>
        <w:rPr>
          <w:spacing w:val="-7"/>
        </w:rPr>
        <w:t>年</w:t>
      </w:r>
      <w:r>
        <w:rPr>
          <w:rFonts w:ascii="宋体" w:hAnsi="宋体" w:cs="宋体" w:eastAsia="宋体" w:hint="default"/>
          <w:spacing w:val="-7"/>
        </w:rPr>
        <w:t>1</w:t>
      </w:r>
      <w:r>
        <w:rPr>
          <w:spacing w:val="-7"/>
        </w:rPr>
        <w:t>月，任浙江利欧电气有限公司执行董事兼总经理，</w:t>
      </w:r>
      <w:r>
        <w:rPr>
          <w:rFonts w:ascii="宋体" w:hAnsi="宋体" w:cs="宋体" w:eastAsia="宋体" w:hint="default"/>
          <w:spacing w:val="-7"/>
        </w:rPr>
        <w:t>2005</w:t>
      </w:r>
      <w:r>
        <w:rPr>
          <w:rFonts w:ascii="宋体" w:hAnsi="宋体" w:cs="宋体" w:eastAsia="宋体" w:hint="default"/>
          <w:spacing w:val="-73"/>
        </w:rPr>
        <w:t> </w:t>
      </w:r>
      <w:r>
        <w:rPr>
          <w:rFonts w:ascii="宋体" w:hAnsi="宋体" w:cs="宋体" w:eastAsia="宋体" w:hint="default"/>
          <w:spacing w:val="-73"/>
        </w:rPr>
      </w:r>
      <w:r>
        <w:rPr/>
        <w:t>年</w:t>
      </w:r>
      <w:r>
        <w:rPr>
          <w:rFonts w:ascii="宋体" w:hAnsi="宋体" w:cs="宋体" w:eastAsia="宋体" w:hint="default"/>
        </w:rPr>
        <w:t>2</w:t>
      </w:r>
      <w:r>
        <w:rPr/>
        <w:t>月至今任公司董事长，</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8</w:t>
      </w:r>
      <w:r>
        <w:rPr/>
        <w:t>日至今兼任公司总经理，现同时担任浙江利欧控股集 </w:t>
      </w:r>
      <w:r>
        <w:rPr>
          <w:spacing w:val="-5"/>
        </w:rPr>
        <w:t>团有限公司董事长，浙江大农实业股份有限公司董事，温岭市利欧小额贷款有限公司董事长，</w:t>
      </w:r>
      <w:r>
        <w:rPr>
          <w:spacing w:val="-92"/>
        </w:rPr>
        <w:t> </w:t>
      </w:r>
      <w:r>
        <w:rPr>
          <w:spacing w:val="-92"/>
        </w:rPr>
      </w:r>
      <w:r>
        <w:rPr>
          <w:spacing w:val="-3"/>
        </w:rPr>
        <w:t>台州新科环保研究所有限公司执行董事，温岭市利恒机械有限公司的执行董事，温岭利欧贸</w:t>
      </w:r>
      <w:r>
        <w:rPr>
          <w:spacing w:val="-75"/>
        </w:rPr>
        <w:t> </w:t>
      </w:r>
      <w:r>
        <w:rPr>
          <w:spacing w:val="-75"/>
        </w:rPr>
      </w:r>
      <w:r>
        <w:rPr>
          <w:spacing w:val="-3"/>
        </w:rPr>
        <w:t>易有限公司执行董事，台州利欧矿业投资有限公司执行董事，温岭市广源房地产开发有限公</w:t>
      </w:r>
      <w:r>
        <w:rPr>
          <w:spacing w:val="-75"/>
        </w:rPr>
        <w:t> </w:t>
      </w:r>
      <w:r>
        <w:rPr>
          <w:spacing w:val="-75"/>
        </w:rPr>
      </w:r>
      <w:r>
        <w:rPr>
          <w:spacing w:val="-3"/>
        </w:rPr>
        <w:t>司董事，上海磊利汽车贸易有限公司的监事、上海漫酷广告有限公司董事长、上海氩氪广告</w:t>
      </w:r>
      <w:r>
        <w:rPr>
          <w:spacing w:val="-72"/>
        </w:rPr>
        <w:t> </w:t>
      </w:r>
      <w:r>
        <w:rPr>
          <w:spacing w:val="-72"/>
        </w:rPr>
      </w:r>
      <w:r>
        <w:rPr/>
        <w:t>有限公司董事长、银色琥珀文化传播（北京）有限公司董事长。</w:t>
      </w:r>
    </w:p>
    <w:p>
      <w:pPr>
        <w:pStyle w:val="BodyText"/>
        <w:spacing w:line="357" w:lineRule="auto"/>
        <w:ind w:right="1792" w:firstLine="420"/>
        <w:jc w:val="both"/>
      </w:pPr>
      <w:r>
        <w:rPr>
          <w:rFonts w:ascii="宋体" w:hAnsi="宋体" w:cs="宋体" w:eastAsia="宋体" w:hint="default"/>
          <w:spacing w:val="-7"/>
        </w:rPr>
        <w:t>2</w:t>
      </w:r>
      <w:r>
        <w:rPr>
          <w:spacing w:val="-7"/>
        </w:rPr>
        <w:t>、</w:t>
      </w:r>
      <w:r>
        <w:rPr>
          <w:rFonts w:ascii="宋体" w:hAnsi="宋体" w:cs="宋体" w:eastAsia="宋体" w:hint="default"/>
          <w:b/>
          <w:bCs/>
          <w:spacing w:val="-7"/>
        </w:rPr>
        <w:t>王壮利</w:t>
      </w:r>
      <w:r>
        <w:rPr>
          <w:spacing w:val="-7"/>
        </w:rPr>
        <w:t>，男，中国国籍，无境外永久居留权。</w:t>
      </w:r>
      <w:r>
        <w:rPr>
          <w:rFonts w:ascii="宋体" w:hAnsi="宋体" w:cs="宋体" w:eastAsia="宋体" w:hint="default"/>
          <w:spacing w:val="-7"/>
        </w:rPr>
        <w:t>1974</w:t>
      </w:r>
      <w:r>
        <w:rPr>
          <w:spacing w:val="-7"/>
        </w:rPr>
        <w:t>年</w:t>
      </w:r>
      <w:r>
        <w:rPr>
          <w:rFonts w:ascii="宋体" w:hAnsi="宋体" w:cs="宋体" w:eastAsia="宋体" w:hint="default"/>
          <w:spacing w:val="-7"/>
        </w:rPr>
        <w:t>7</w:t>
      </w:r>
      <w:r>
        <w:rPr>
          <w:spacing w:val="-7"/>
        </w:rPr>
        <w:t>月生，大学学历，工程师。</w:t>
      </w:r>
      <w:r>
        <w:rPr>
          <w:rFonts w:ascii="宋体" w:hAnsi="宋体" w:cs="宋体" w:eastAsia="宋体" w:hint="default"/>
          <w:spacing w:val="-7"/>
        </w:rPr>
        <w:t>2001</w:t>
      </w:r>
      <w:r>
        <w:rPr>
          <w:rFonts w:ascii="宋体" w:hAnsi="宋体" w:cs="宋体" w:eastAsia="宋体" w:hint="default"/>
        </w:rPr>
        <w:t> </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1</w:t>
      </w:r>
      <w:r>
        <w:rPr>
          <w:spacing w:val="-2"/>
        </w:rPr>
        <w:t>月，任浙江利欧电气有限公司监事、副总经理，</w:t>
      </w:r>
      <w:r>
        <w:rPr>
          <w:rFonts w:ascii="宋体" w:hAnsi="宋体" w:cs="宋体" w:eastAsia="宋体" w:hint="default"/>
          <w:spacing w:val="-2"/>
        </w:rPr>
        <w:t>2005</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月任公</w:t>
      </w:r>
      <w:r>
        <w:rPr/>
        <w:t> 司董事、副总经理，</w:t>
      </w:r>
      <w:r>
        <w:rPr>
          <w:rFonts w:ascii="宋体" w:hAnsi="宋体" w:cs="宋体" w:eastAsia="宋体" w:hint="default"/>
        </w:rPr>
        <w:t>2011</w:t>
      </w:r>
      <w:r>
        <w:rPr/>
        <w:t>年</w:t>
      </w:r>
      <w:r>
        <w:rPr>
          <w:rFonts w:ascii="宋体" w:hAnsi="宋体" w:cs="宋体" w:eastAsia="宋体" w:hint="default"/>
        </w:rPr>
        <w:t>5</w:t>
      </w:r>
      <w:r>
        <w:rPr/>
        <w:t>月至今任公司副董事长，同时担任浙江利欧控股集团有限公司 </w:t>
      </w:r>
      <w:r>
        <w:rPr>
          <w:spacing w:val="-3"/>
        </w:rPr>
        <w:t>董事，湖南利欧泵业有限公司董事长，长沙利欧天鹅工业泵有限公司董事长，大连利欧华能</w:t>
      </w:r>
      <w:r>
        <w:rPr>
          <w:spacing w:val="-72"/>
        </w:rPr>
        <w:t> </w:t>
      </w:r>
      <w:r>
        <w:rPr>
          <w:spacing w:val="-72"/>
        </w:rPr>
      </w:r>
      <w:r>
        <w:rPr>
          <w:spacing w:val="-3"/>
        </w:rPr>
        <w:t>泵业有限公司董事长，台州新科环保研究所有限公司监事，温岭利欧技术检测服务有限公司</w:t>
      </w:r>
      <w:r>
        <w:rPr>
          <w:spacing w:val="-75"/>
        </w:rPr>
        <w:t> </w:t>
      </w:r>
      <w:r>
        <w:rPr>
          <w:spacing w:val="-75"/>
        </w:rPr>
      </w:r>
      <w:r>
        <w:rPr>
          <w:spacing w:val="-3"/>
        </w:rPr>
        <w:t>监事，温岭利欧贸易有限公司监事，温岭市利恒机械有限公司监事，台州利欧矿业投资有限</w:t>
      </w:r>
      <w:r>
        <w:rPr>
          <w:spacing w:val="-72"/>
        </w:rPr>
        <w:t> </w:t>
      </w:r>
      <w:r>
        <w:rPr>
          <w:spacing w:val="-72"/>
        </w:rPr>
      </w:r>
      <w:r>
        <w:rPr/>
        <w:t>公司监事，长沙美能电力设备股份有限公司董事。</w:t>
      </w:r>
    </w:p>
    <w:p>
      <w:pPr>
        <w:pStyle w:val="BodyText"/>
        <w:spacing w:line="357" w:lineRule="auto"/>
        <w:ind w:right="1689" w:firstLine="420"/>
        <w:jc w:val="left"/>
      </w:pPr>
      <w:r>
        <w:rPr>
          <w:rFonts w:ascii="宋体" w:hAnsi="宋体" w:cs="宋体" w:eastAsia="宋体" w:hint="default"/>
          <w:spacing w:val="-3"/>
        </w:rPr>
        <w:t>3</w:t>
      </w:r>
      <w:r>
        <w:rPr>
          <w:spacing w:val="-3"/>
        </w:rPr>
        <w:t>、</w:t>
      </w:r>
      <w:r>
        <w:rPr>
          <w:rFonts w:ascii="宋体" w:hAnsi="宋体" w:cs="宋体" w:eastAsia="宋体" w:hint="default"/>
          <w:b/>
          <w:bCs/>
          <w:spacing w:val="-3"/>
        </w:rPr>
        <w:t>张旭波，</w:t>
      </w:r>
      <w:r>
        <w:rPr>
          <w:spacing w:val="-3"/>
        </w:rPr>
        <w:t>男，中国国籍，获匈牙利永久居留权。</w:t>
      </w:r>
      <w:r>
        <w:rPr>
          <w:rFonts w:ascii="宋体" w:hAnsi="宋体" w:cs="宋体" w:eastAsia="宋体" w:hint="default"/>
          <w:spacing w:val="-3"/>
        </w:rPr>
        <w:t>1969</w:t>
      </w:r>
      <w:r>
        <w:rPr>
          <w:spacing w:val="-3"/>
        </w:rPr>
        <w:t>年</w:t>
      </w:r>
      <w:r>
        <w:rPr>
          <w:rFonts w:ascii="宋体" w:hAnsi="宋体" w:cs="宋体" w:eastAsia="宋体" w:hint="default"/>
          <w:spacing w:val="-3"/>
        </w:rPr>
        <w:t>9</w:t>
      </w:r>
      <w:r>
        <w:rPr>
          <w:spacing w:val="-3"/>
        </w:rPr>
        <w:t>月生，硕士研究生学历。曾</w:t>
      </w:r>
      <w:r>
        <w:rPr/>
        <w:t> </w:t>
      </w:r>
      <w:r>
        <w:rPr>
          <w:spacing w:val="-3"/>
        </w:rPr>
        <w:t>任广发证券股份有限公司投资银行部高级经理、中银国际证券有限责任公司投资银行部副总</w:t>
      </w:r>
      <w:r>
        <w:rPr>
          <w:spacing w:val="-73"/>
        </w:rPr>
        <w:t> </w:t>
      </w:r>
      <w:r>
        <w:rPr>
          <w:spacing w:val="-73"/>
        </w:rPr>
      </w:r>
      <w:r>
        <w:rPr>
          <w:spacing w:val="-3"/>
        </w:rPr>
        <w:t>裁，现任公司董事、副总经理、董事会秘书，公司上海分公司总经理，现同时担任浙江大农</w:t>
      </w:r>
      <w:r>
        <w:rPr>
          <w:spacing w:val="-78"/>
        </w:rPr>
        <w:t> </w:t>
      </w:r>
      <w:r>
        <w:rPr>
          <w:spacing w:val="-78"/>
        </w:rPr>
      </w:r>
      <w:r>
        <w:rPr/>
        <w:t>实业有限公司董事，长沙利欧天鹅工业泵有限公司董事，无锡利欧锡泵制造有限公司董事， </w:t>
      </w:r>
      <w:r>
        <w:rPr>
          <w:spacing w:val="-3"/>
        </w:rPr>
        <w:t>温岭市利欧小额贷款有限公司董事，温岭市信合担保有限公司副董事长、上海漫酷广告有限</w:t>
      </w:r>
      <w:r>
        <w:rPr>
          <w:spacing w:val="-75"/>
        </w:rPr>
        <w:t> </w:t>
      </w:r>
      <w:r>
        <w:rPr>
          <w:spacing w:val="-75"/>
        </w:rPr>
      </w:r>
      <w:r>
        <w:rPr/>
        <w:t>公司董事、上海氩氪广告有限公司董事、银色琥珀文化传播（北京）有限公司董事。</w:t>
      </w:r>
    </w:p>
    <w:p>
      <w:pPr>
        <w:pStyle w:val="BodyText"/>
        <w:spacing w:line="357" w:lineRule="auto" w:before="31"/>
        <w:ind w:right="1684" w:firstLine="420"/>
        <w:jc w:val="left"/>
      </w:pPr>
      <w:r>
        <w:rPr>
          <w:rFonts w:ascii="宋体" w:hAnsi="宋体" w:cs="宋体" w:eastAsia="宋体" w:hint="default"/>
          <w:spacing w:val="-3"/>
        </w:rPr>
        <w:t>4</w:t>
      </w:r>
      <w:r>
        <w:rPr>
          <w:spacing w:val="-3"/>
        </w:rPr>
        <w:t>、</w:t>
      </w:r>
      <w:r>
        <w:rPr>
          <w:rFonts w:ascii="宋体" w:hAnsi="宋体" w:cs="宋体" w:eastAsia="宋体" w:hint="default"/>
          <w:b/>
          <w:bCs/>
          <w:spacing w:val="-3"/>
        </w:rPr>
        <w:t>陈德平</w:t>
      </w:r>
      <w:r>
        <w:rPr>
          <w:spacing w:val="-3"/>
        </w:rPr>
        <w:t>，男，中国国籍，无境外永久居留权。</w:t>
      </w:r>
      <w:r>
        <w:rPr>
          <w:rFonts w:ascii="宋体" w:hAnsi="宋体" w:cs="宋体" w:eastAsia="宋体" w:hint="default"/>
          <w:spacing w:val="-3"/>
        </w:rPr>
        <w:t>1965</w:t>
      </w:r>
      <w:r>
        <w:rPr>
          <w:spacing w:val="-3"/>
        </w:rPr>
        <w:t>年</w:t>
      </w:r>
      <w:r>
        <w:rPr>
          <w:rFonts w:ascii="宋体" w:hAnsi="宋体" w:cs="宋体" w:eastAsia="宋体" w:hint="default"/>
          <w:spacing w:val="-3"/>
        </w:rPr>
        <w:t>1</w:t>
      </w:r>
      <w:r>
        <w:rPr>
          <w:spacing w:val="-3"/>
        </w:rPr>
        <w:t>月生，硕士研究生学历，一级</w:t>
      </w:r>
      <w:r>
        <w:rPr/>
        <w:t> 高级经济师（教授级高级经济师），中国注册资产评估师。曾任南昌工程学院管理系讲师； </w:t>
      </w:r>
      <w:r>
        <w:rPr>
          <w:spacing w:val="-5"/>
        </w:rPr>
        <w:t>江南信托投资股份有限公司投资银行一部、研究发展一部、基金管理部总经理（同时兼任）；</w:t>
      </w:r>
      <w:r>
        <w:rPr>
          <w:spacing w:val="-96"/>
        </w:rPr>
        <w:t> </w:t>
      </w:r>
      <w:r>
        <w:rPr>
          <w:spacing w:val="-96"/>
        </w:rPr>
      </w:r>
      <w:r>
        <w:rPr>
          <w:spacing w:val="-5"/>
        </w:rPr>
        <w:t>江南信托投资股份有限公司信托部、市场部总经理，现任中国水务投资有限公司副总经济师、</w:t>
      </w:r>
      <w:r>
        <w:rPr>
          <w:spacing w:val="-92"/>
        </w:rPr>
        <w:t> </w:t>
      </w:r>
      <w:r>
        <w:rPr>
          <w:spacing w:val="-92"/>
        </w:rPr>
      </w:r>
      <w:r>
        <w:rPr/>
        <w:t>监事，江西财经大学金融学院客座教授。</w:t>
      </w:r>
    </w:p>
    <w:p>
      <w:pPr>
        <w:pStyle w:val="BodyText"/>
        <w:spacing w:line="357" w:lineRule="auto" w:before="31"/>
        <w:ind w:right="1792" w:firstLine="420"/>
        <w:jc w:val="both"/>
      </w:pPr>
      <w:r>
        <w:rPr>
          <w:rFonts w:ascii="宋体" w:hAnsi="宋体" w:cs="宋体" w:eastAsia="宋体" w:hint="default"/>
          <w:spacing w:val="-7"/>
        </w:rPr>
        <w:t>5</w:t>
      </w:r>
      <w:r>
        <w:rPr>
          <w:spacing w:val="-7"/>
        </w:rPr>
        <w:t>、</w:t>
      </w:r>
      <w:r>
        <w:rPr>
          <w:rFonts w:ascii="宋体" w:hAnsi="宋体" w:cs="宋体" w:eastAsia="宋体" w:hint="default"/>
          <w:b/>
          <w:bCs/>
          <w:spacing w:val="-7"/>
        </w:rPr>
        <w:t>莫康孙</w:t>
      </w:r>
      <w:r>
        <w:rPr>
          <w:spacing w:val="-7"/>
        </w:rPr>
        <w:t>（英文名：</w:t>
      </w:r>
      <w:r>
        <w:rPr>
          <w:rFonts w:ascii="宋体" w:hAnsi="宋体" w:cs="宋体" w:eastAsia="宋体" w:hint="default"/>
          <w:spacing w:val="-7"/>
        </w:rPr>
        <w:t>Tomaz Mok</w:t>
      </w:r>
      <w:r>
        <w:rPr>
          <w:spacing w:val="-7"/>
        </w:rPr>
        <w:t>）</w:t>
      </w:r>
      <w:r>
        <w:rPr>
          <w:rFonts w:ascii="宋体" w:hAnsi="宋体" w:cs="宋体" w:eastAsia="宋体" w:hint="default"/>
          <w:spacing w:val="-7"/>
        </w:rPr>
        <w:t>, </w:t>
      </w:r>
      <w:r>
        <w:rPr>
          <w:spacing w:val="-4"/>
        </w:rPr>
        <w:t>男，葡萄牙籍，获中国香港与澳门永久居留权</w:t>
      </w:r>
      <w:r>
        <w:rPr>
          <w:rFonts w:ascii="宋体" w:hAnsi="宋体" w:cs="宋体" w:eastAsia="宋体" w:hint="default"/>
          <w:spacing w:val="-4"/>
        </w:rPr>
        <w:t>,</w:t>
      </w:r>
      <w:r>
        <w:rPr>
          <w:rFonts w:ascii="宋体" w:hAnsi="宋体" w:cs="宋体" w:eastAsia="宋体" w:hint="default"/>
          <w:spacing w:val="-69"/>
        </w:rPr>
        <w:t> </w:t>
      </w:r>
      <w:r>
        <w:rPr>
          <w:rFonts w:ascii="宋体" w:hAnsi="宋体" w:cs="宋体" w:eastAsia="宋体" w:hint="default"/>
        </w:rPr>
        <w:t>1952</w:t>
      </w:r>
      <w:r>
        <w:rPr>
          <w:rFonts w:ascii="宋体" w:hAnsi="宋体" w:cs="宋体" w:eastAsia="宋体" w:hint="default"/>
        </w:rPr>
        <w:t> </w:t>
      </w:r>
      <w:r>
        <w:rPr>
          <w:spacing w:val="-3"/>
        </w:rPr>
        <w:t>年</w:t>
      </w:r>
      <w:r>
        <w:rPr>
          <w:rFonts w:ascii="宋体" w:hAnsi="宋体" w:cs="宋体" w:eastAsia="宋体" w:hint="default"/>
          <w:spacing w:val="-3"/>
        </w:rPr>
        <w:t>10</w:t>
      </w:r>
      <w:r>
        <w:rPr>
          <w:spacing w:val="-3"/>
        </w:rPr>
        <w:t>月生。莫先生在广告业从业</w:t>
      </w:r>
      <w:r>
        <w:rPr>
          <w:rFonts w:ascii="宋体" w:hAnsi="宋体" w:cs="宋体" w:eastAsia="宋体" w:hint="default"/>
          <w:spacing w:val="-3"/>
        </w:rPr>
        <w:t>40</w:t>
      </w:r>
      <w:r>
        <w:rPr>
          <w:spacing w:val="-3"/>
        </w:rPr>
        <w:t>年，先后担任麦肯（</w:t>
      </w:r>
      <w:r>
        <w:rPr>
          <w:rFonts w:ascii="宋体" w:hAnsi="宋体" w:cs="宋体" w:eastAsia="宋体" w:hint="default"/>
          <w:spacing w:val="-3"/>
        </w:rPr>
        <w:t>McCANN</w:t>
      </w:r>
      <w:r>
        <w:rPr>
          <w:spacing w:val="-3"/>
        </w:rPr>
        <w:t>）香港、新加坡、纽约、台北</w:t>
      </w:r>
      <w:r>
        <w:rPr>
          <w:spacing w:val="-64"/>
        </w:rPr>
        <w:t> </w:t>
      </w:r>
      <w:r>
        <w:rPr>
          <w:spacing w:val="-64"/>
        </w:rPr>
      </w:r>
      <w:r>
        <w:rPr>
          <w:spacing w:val="-2"/>
        </w:rPr>
        <w:t>和中国大陆的创意总监；自</w:t>
      </w:r>
      <w:r>
        <w:rPr>
          <w:rFonts w:ascii="宋体" w:hAnsi="宋体" w:cs="宋体" w:eastAsia="宋体" w:hint="default"/>
          <w:spacing w:val="-2"/>
        </w:rPr>
        <w:t>1996</w:t>
      </w:r>
      <w:r>
        <w:rPr>
          <w:spacing w:val="-2"/>
        </w:rPr>
        <w:t>年起担任麦肯亚太地区副总监；</w:t>
      </w:r>
      <w:r>
        <w:rPr>
          <w:rFonts w:ascii="宋体" w:hAnsi="宋体" w:cs="宋体" w:eastAsia="宋体" w:hint="default"/>
          <w:spacing w:val="-2"/>
        </w:rPr>
        <w:t>1998</w:t>
      </w:r>
      <w:r>
        <w:rPr>
          <w:spacing w:val="-2"/>
        </w:rPr>
        <w:t>年至</w:t>
      </w:r>
      <w:r>
        <w:rPr>
          <w:rFonts w:ascii="宋体" w:hAnsi="宋体" w:cs="宋体" w:eastAsia="宋体" w:hint="default"/>
          <w:spacing w:val="-2"/>
        </w:rPr>
        <w:t>2006</w:t>
      </w:r>
      <w:r>
        <w:rPr>
          <w:spacing w:val="-2"/>
        </w:rPr>
        <w:t>年，曾两度担</w:t>
      </w:r>
      <w:r>
        <w:rPr>
          <w:spacing w:val="-102"/>
        </w:rPr>
        <w:t> </w:t>
      </w:r>
      <w:r>
        <w:rPr>
          <w:spacing w:val="-102"/>
        </w:rPr>
      </w:r>
      <w:r>
        <w:rPr>
          <w:spacing w:val="-3"/>
        </w:rPr>
        <w:t>任麦肯光明北京办公室总经理兼中国地区执行创意总监，之后在上海开拓通用汽车广告专户</w:t>
      </w:r>
    </w:p>
    <w:p>
      <w:pPr>
        <w:pStyle w:val="BodyText"/>
        <w:spacing w:line="357" w:lineRule="auto"/>
        <w:ind w:right="1669"/>
        <w:jc w:val="left"/>
      </w:pPr>
      <w:r>
        <w:rPr/>
        <w:t>（</w:t>
      </w:r>
      <w:r>
        <w:rPr>
          <w:rFonts w:ascii="宋体" w:hAnsi="宋体" w:cs="宋体" w:eastAsia="宋体" w:hint="default"/>
        </w:rPr>
        <w:t>SGM</w:t>
      </w:r>
      <w:r>
        <w:rPr>
          <w:rFonts w:ascii="宋体" w:hAnsi="宋体" w:cs="宋体" w:eastAsia="宋体" w:hint="default"/>
          <w:spacing w:val="-85"/>
        </w:rPr>
        <w:t> </w:t>
      </w:r>
      <w:r>
        <w:rPr>
          <w:rFonts w:ascii="宋体" w:hAnsi="宋体" w:cs="宋体" w:eastAsia="宋体" w:hint="default"/>
        </w:rPr>
        <w:t>WORKS</w:t>
      </w:r>
      <w:r>
        <w:rPr/>
        <w:t>）至今；自</w:t>
      </w:r>
      <w:r>
        <w:rPr>
          <w:rFonts w:ascii="宋体" w:hAnsi="宋体" w:cs="宋体" w:eastAsia="宋体" w:hint="default"/>
        </w:rPr>
        <w:t>2011</w:t>
      </w:r>
      <w:r>
        <w:rPr/>
        <w:t>年起担任麦肯光明广告有限公司董事长。在</w:t>
      </w:r>
      <w:r>
        <w:rPr>
          <w:rFonts w:ascii="宋体" w:hAnsi="宋体" w:cs="宋体" w:eastAsia="宋体" w:hint="default"/>
        </w:rPr>
        <w:t>40</w:t>
      </w:r>
      <w:r>
        <w:rPr/>
        <w:t>年的职业生涯中， 莫先生服务过通用汽车、雀巢咖啡、可口可乐、联合包裹快递（</w:t>
      </w:r>
      <w:r>
        <w:rPr>
          <w:rFonts w:ascii="宋体" w:hAnsi="宋体" w:cs="宋体" w:eastAsia="宋体" w:hint="default"/>
        </w:rPr>
        <w:t>UPS</w:t>
      </w:r>
      <w:r>
        <w:rPr/>
        <w:t>）、万事达卡、微软、 英特尔、摩托罗拉、强生、费列罗、联合利华、吉列、利维士牛仔裤（</w:t>
      </w:r>
      <w:r>
        <w:rPr>
          <w:rFonts w:ascii="宋体" w:hAnsi="宋体" w:cs="宋体" w:eastAsia="宋体" w:hint="default"/>
        </w:rPr>
        <w:t>Levi</w:t>
      </w:r>
      <w:r>
        <w:rPr/>
        <w:t>’</w:t>
      </w:r>
      <w:r>
        <w:rPr>
          <w:rFonts w:ascii="宋体" w:hAnsi="宋体" w:cs="宋体" w:eastAsia="宋体" w:hint="default"/>
        </w:rPr>
        <w:t>s</w:t>
      </w:r>
      <w:r>
        <w:rPr/>
        <w:t>）、百加得 朗姆（</w:t>
      </w:r>
      <w:r>
        <w:rPr>
          <w:rFonts w:ascii="宋体" w:hAnsi="宋体" w:cs="宋体" w:eastAsia="宋体" w:hint="default"/>
        </w:rPr>
        <w:t>Bacardi</w:t>
      </w:r>
      <w:r>
        <w:rPr>
          <w:rFonts w:ascii="宋体" w:hAnsi="宋体" w:cs="宋体" w:eastAsia="宋体" w:hint="default"/>
          <w:spacing w:val="-2"/>
        </w:rPr>
        <w:t> </w:t>
      </w:r>
      <w:r>
        <w:rPr>
          <w:rFonts w:ascii="宋体" w:hAnsi="宋体" w:cs="宋体" w:eastAsia="宋体" w:hint="default"/>
        </w:rPr>
        <w:t>Rum</w:t>
      </w:r>
      <w:r>
        <w:rPr/>
        <w:t>）等国际知名品牌，创意工作得到了戛纳</w:t>
      </w:r>
      <w:r>
        <w:rPr>
          <w:rFonts w:ascii="宋体" w:hAnsi="宋体" w:cs="宋体" w:eastAsia="宋体" w:hint="default"/>
        </w:rPr>
        <w:t>Cannes</w:t>
      </w:r>
      <w:r>
        <w:rPr/>
        <w:t>、卡里奥</w:t>
      </w:r>
      <w:r>
        <w:rPr>
          <w:rFonts w:ascii="宋体" w:hAnsi="宋体" w:cs="宋体" w:eastAsia="宋体" w:hint="default"/>
        </w:rPr>
        <w:t>Clio</w:t>
      </w:r>
      <w:r>
        <w:rPr/>
        <w:t>、纽约和 </w:t>
      </w:r>
      <w:r>
        <w:rPr>
          <w:spacing w:val="-3"/>
        </w:rPr>
        <w:t>伦敦广告节等多项国际性奖项，并先后多次为戛纳、卡里奥、纽约、以至亚太区的各大广告</w:t>
      </w:r>
    </w:p>
    <w:p>
      <w:pPr>
        <w:spacing w:after="0" w:line="357"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240" w:lineRule="auto" w:before="35"/>
        <w:ind w:left="138" w:right="0"/>
        <w:jc w:val="left"/>
      </w:pPr>
      <w:r>
        <w:rPr/>
        <w:t>节担任评委。</w:t>
      </w:r>
    </w:p>
    <w:p>
      <w:pPr>
        <w:pStyle w:val="BodyText"/>
        <w:spacing w:line="357" w:lineRule="auto" w:before="133"/>
        <w:ind w:right="1684" w:firstLine="420"/>
        <w:jc w:val="left"/>
      </w:pPr>
      <w:r>
        <w:rPr>
          <w:rFonts w:ascii="宋体" w:hAnsi="宋体" w:cs="宋体" w:eastAsia="宋体" w:hint="default"/>
        </w:rPr>
        <w:t>6</w:t>
      </w:r>
      <w:r>
        <w:rPr>
          <w:rFonts w:ascii="宋体" w:hAnsi="宋体" w:cs="宋体" w:eastAsia="宋体" w:hint="default"/>
          <w:b/>
          <w:bCs/>
        </w:rPr>
        <w:t>、刘春</w:t>
      </w:r>
      <w:r>
        <w:rPr/>
        <w:t>，男，中国国籍，</w:t>
      </w:r>
      <w:r>
        <w:rPr>
          <w:rFonts w:ascii="宋体" w:hAnsi="宋体" w:cs="宋体" w:eastAsia="宋体" w:hint="default"/>
        </w:rPr>
        <w:t>1967</w:t>
      </w:r>
      <w:r>
        <w:rPr/>
        <w:t>年</w:t>
      </w:r>
      <w:r>
        <w:rPr>
          <w:rFonts w:ascii="宋体" w:hAnsi="宋体" w:cs="宋体" w:eastAsia="宋体" w:hint="default"/>
        </w:rPr>
        <w:t>12</w:t>
      </w:r>
      <w:r>
        <w:rPr/>
        <w:t>月生，无境外永久居留权，硕士研究生学历。曾任 </w:t>
      </w:r>
      <w:r>
        <w:rPr>
          <w:spacing w:val="-5"/>
        </w:rPr>
        <w:t>中央电视台新闻中心执行制片人、策划、编导，凤凰卫视中文台执行台长，搜狐公司副总裁、</w:t>
      </w:r>
      <w:r>
        <w:rPr>
          <w:spacing w:val="-96"/>
        </w:rPr>
        <w:t> </w:t>
      </w:r>
      <w:r>
        <w:rPr>
          <w:spacing w:val="-96"/>
        </w:rPr>
      </w:r>
      <w:r>
        <w:rPr>
          <w:spacing w:val="-3"/>
        </w:rPr>
        <w:t>搜狐网总编辑、搜狐视频公司总裁、爱奇艺高级副总裁，现任中南影视总裁。刘春先生长期</w:t>
      </w:r>
      <w:r>
        <w:rPr>
          <w:spacing w:val="-73"/>
        </w:rPr>
        <w:t> </w:t>
      </w:r>
      <w:r>
        <w:rPr>
          <w:spacing w:val="-73"/>
        </w:rPr>
      </w:r>
      <w:r>
        <w:rPr/>
        <w:t>任职于传媒和互联网行业，是电视界和视频网站的领军人物。</w:t>
      </w:r>
    </w:p>
    <w:p>
      <w:pPr>
        <w:pStyle w:val="BodyText"/>
        <w:spacing w:line="357" w:lineRule="auto"/>
        <w:ind w:right="1791" w:firstLine="420"/>
        <w:jc w:val="both"/>
      </w:pPr>
      <w:r>
        <w:rPr>
          <w:rFonts w:ascii="宋体" w:hAnsi="宋体" w:cs="宋体" w:eastAsia="宋体" w:hint="default"/>
          <w:spacing w:val="-3"/>
        </w:rPr>
        <w:t>7</w:t>
      </w:r>
      <w:r>
        <w:rPr>
          <w:spacing w:val="-3"/>
        </w:rPr>
        <w:t>、</w:t>
      </w:r>
      <w:r>
        <w:rPr>
          <w:rFonts w:ascii="宋体" w:hAnsi="宋体" w:cs="宋体" w:eastAsia="宋体" w:hint="default"/>
          <w:b/>
          <w:bCs/>
          <w:spacing w:val="-3"/>
        </w:rPr>
        <w:t>马骏</w:t>
      </w:r>
      <w:r>
        <w:rPr>
          <w:spacing w:val="-3"/>
        </w:rPr>
        <w:t>，男，中国国籍，无境外永久居留权。</w:t>
      </w:r>
      <w:r>
        <w:rPr>
          <w:rFonts w:ascii="宋体" w:hAnsi="宋体" w:cs="宋体" w:eastAsia="宋体" w:hint="default"/>
          <w:spacing w:val="-3"/>
        </w:rPr>
        <w:t>1968</w:t>
      </w:r>
      <w:r>
        <w:rPr>
          <w:spacing w:val="-3"/>
        </w:rPr>
        <w:t>年</w:t>
      </w:r>
      <w:r>
        <w:rPr>
          <w:rFonts w:ascii="宋体" w:hAnsi="宋体" w:cs="宋体" w:eastAsia="宋体" w:hint="default"/>
          <w:spacing w:val="-3"/>
        </w:rPr>
        <w:t>6</w:t>
      </w:r>
      <w:r>
        <w:rPr>
          <w:spacing w:val="-3"/>
        </w:rPr>
        <w:t>月生，法律硕士学位。现任国浩</w:t>
      </w:r>
      <w:r>
        <w:rPr/>
        <w:t> </w:t>
      </w:r>
      <w:r>
        <w:rPr>
          <w:spacing w:val="-3"/>
        </w:rPr>
        <w:t>律师集团（杭州）事务所合伙人、杭州仲裁委员会仲裁员等职。同时担任杭州中瑞思创科技</w:t>
      </w:r>
      <w:r>
        <w:rPr>
          <w:spacing w:val="-73"/>
        </w:rPr>
        <w:t> </w:t>
      </w:r>
      <w:r>
        <w:rPr>
          <w:spacing w:val="-73"/>
        </w:rPr>
      </w:r>
      <w:r>
        <w:rPr>
          <w:spacing w:val="-3"/>
        </w:rPr>
        <w:t>股份有限公司、浙江方正电机股份有限公司、百大集团股份有限公司的独立董事。马骏先生</w:t>
      </w:r>
      <w:r>
        <w:rPr>
          <w:spacing w:val="-72"/>
        </w:rPr>
        <w:t> </w:t>
      </w:r>
      <w:r>
        <w:rPr>
          <w:spacing w:val="-72"/>
        </w:rPr>
      </w:r>
      <w:r>
        <w:rPr/>
        <w:t>为浙江省九届、十届、十一届人大代表。</w:t>
      </w:r>
    </w:p>
    <w:p>
      <w:pPr>
        <w:pStyle w:val="BodyText"/>
        <w:spacing w:line="357" w:lineRule="auto" w:before="31"/>
        <w:ind w:right="1792" w:firstLine="420"/>
        <w:jc w:val="both"/>
      </w:pPr>
      <w:r>
        <w:rPr>
          <w:rFonts w:ascii="宋体" w:hAnsi="宋体" w:cs="宋体" w:eastAsia="宋体" w:hint="default"/>
        </w:rPr>
        <w:t>8</w:t>
      </w:r>
      <w:r>
        <w:rPr/>
        <w:t>、</w:t>
      </w:r>
      <w:r>
        <w:rPr>
          <w:rFonts w:ascii="宋体" w:hAnsi="宋体" w:cs="宋体" w:eastAsia="宋体" w:hint="default"/>
          <w:b/>
          <w:bCs/>
        </w:rPr>
        <w:t>赵保卿</w:t>
      </w:r>
      <w:r>
        <w:rPr/>
        <w:t>，男，中国国籍，无境外永久居留权。</w:t>
      </w:r>
      <w:r>
        <w:rPr>
          <w:rFonts w:ascii="宋体" w:hAnsi="宋体" w:cs="宋体" w:eastAsia="宋体" w:hint="default"/>
        </w:rPr>
        <w:t>1958</w:t>
      </w:r>
      <w:r>
        <w:rPr/>
        <w:t>年</w:t>
      </w:r>
      <w:r>
        <w:rPr>
          <w:rFonts w:ascii="宋体" w:hAnsi="宋体" w:cs="宋体" w:eastAsia="宋体" w:hint="default"/>
        </w:rPr>
        <w:t>11</w:t>
      </w:r>
      <w:r>
        <w:rPr/>
        <w:t>月生，博士研究生学历。现 </w:t>
      </w:r>
      <w:r>
        <w:rPr>
          <w:spacing w:val="-3"/>
        </w:rPr>
        <w:t>任北京工商大学商学院会计学教授，中国审计学会理事，北京审计学会理事，中央广播电视</w:t>
      </w:r>
      <w:r>
        <w:rPr>
          <w:spacing w:val="-72"/>
        </w:rPr>
        <w:t> </w:t>
      </w:r>
      <w:r>
        <w:rPr>
          <w:spacing w:val="-72"/>
        </w:rPr>
      </w:r>
      <w:r>
        <w:rPr>
          <w:spacing w:val="-3"/>
        </w:rPr>
        <w:t>大学“审计案例研究”课程主讲与教材主编，审计署高级审计师评审委员会委员。现同时担</w:t>
      </w:r>
      <w:r>
        <w:rPr>
          <w:spacing w:val="-72"/>
        </w:rPr>
        <w:t> </w:t>
      </w:r>
      <w:r>
        <w:rPr>
          <w:spacing w:val="-72"/>
        </w:rPr>
      </w:r>
      <w:r>
        <w:rPr/>
        <w:t>任武汉达明科技股份有限公司独立董事。</w:t>
      </w:r>
    </w:p>
    <w:p>
      <w:pPr>
        <w:pStyle w:val="BodyText"/>
        <w:spacing w:line="357" w:lineRule="auto" w:before="31"/>
        <w:ind w:right="1689" w:firstLine="420"/>
        <w:jc w:val="left"/>
      </w:pPr>
      <w:r>
        <w:rPr>
          <w:rFonts w:ascii="宋体" w:hAnsi="宋体" w:cs="宋体" w:eastAsia="宋体" w:hint="default"/>
          <w:spacing w:val="-3"/>
        </w:rPr>
        <w:t>9</w:t>
      </w:r>
      <w:r>
        <w:rPr>
          <w:spacing w:val="-3"/>
        </w:rPr>
        <w:t>、</w:t>
      </w:r>
      <w:r>
        <w:rPr>
          <w:rFonts w:ascii="宋体" w:hAnsi="宋体" w:cs="宋体" w:eastAsia="宋体" w:hint="default"/>
          <w:b/>
          <w:bCs/>
          <w:spacing w:val="-3"/>
        </w:rPr>
        <w:t>张翔</w:t>
      </w:r>
      <w:r>
        <w:rPr>
          <w:spacing w:val="-3"/>
        </w:rPr>
        <w:t>，男，中国国籍，无境外永久居留权。</w:t>
      </w:r>
      <w:r>
        <w:rPr>
          <w:rFonts w:ascii="宋体" w:hAnsi="宋体" w:cs="宋体" w:eastAsia="宋体" w:hint="default"/>
          <w:spacing w:val="-3"/>
        </w:rPr>
        <w:t>1962</w:t>
      </w:r>
      <w:r>
        <w:rPr>
          <w:spacing w:val="-3"/>
        </w:rPr>
        <w:t>年</w:t>
      </w:r>
      <w:r>
        <w:rPr>
          <w:rFonts w:ascii="宋体" w:hAnsi="宋体" w:cs="宋体" w:eastAsia="宋体" w:hint="default"/>
          <w:spacing w:val="-3"/>
        </w:rPr>
        <w:t>3</w:t>
      </w:r>
      <w:r>
        <w:rPr>
          <w:spacing w:val="-3"/>
        </w:rPr>
        <w:t>月出生，本科学历，经济学学士</w:t>
      </w:r>
      <w:r>
        <w:rPr/>
        <w:t> </w:t>
      </w:r>
      <w:r>
        <w:rPr>
          <w:spacing w:val="-3"/>
        </w:rPr>
        <w:t>学位，在读博士，现任中国传媒大学广告学院教授、国家广告研究院副院长，中国商业企业</w:t>
      </w:r>
      <w:r>
        <w:rPr>
          <w:spacing w:val="-73"/>
        </w:rPr>
        <w:t> </w:t>
      </w:r>
      <w:r>
        <w:rPr>
          <w:spacing w:val="-73"/>
        </w:rPr>
      </w:r>
      <w:r>
        <w:rPr/>
        <w:t>管理协会市场营销分会常务理事，中国高等教学学会广告专业委员会常务理事、副秘书长， </w:t>
      </w:r>
      <w:r>
        <w:rPr>
          <w:spacing w:val="-3"/>
        </w:rPr>
        <w:t>中国广告协会学术委员会委员、一级广告企业资质评委，中国商务广告协会委员、中国广告</w:t>
      </w:r>
      <w:r>
        <w:rPr>
          <w:spacing w:val="-72"/>
        </w:rPr>
        <w:t> </w:t>
      </w:r>
      <w:r>
        <w:rPr>
          <w:spacing w:val="-72"/>
        </w:rPr>
      </w:r>
      <w:r>
        <w:rPr>
          <w:spacing w:val="-3"/>
        </w:rPr>
        <w:t>主协会专家咨询委员会委员，《广告大观》杂志社出版的《广告研究》副主任编委，日本吉</w:t>
      </w:r>
      <w:r>
        <w:rPr>
          <w:spacing w:val="-74"/>
        </w:rPr>
        <w:t> </w:t>
      </w:r>
      <w:r>
        <w:rPr>
          <w:spacing w:val="-74"/>
        </w:rPr>
      </w:r>
      <w:r>
        <w:rPr/>
        <w:t>田秀雄纪念事业财团客座研究员，中央电视台广告策略顾问。</w:t>
      </w:r>
    </w:p>
    <w:p>
      <w:pPr>
        <w:spacing w:line="357" w:lineRule="auto" w:before="30"/>
        <w:ind w:left="557" w:right="5574" w:firstLine="2"/>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99"/>
          <w:sz w:val="21"/>
          <w:szCs w:val="21"/>
        </w:rPr>
        <w:t> </w:t>
      </w:r>
      <w:r>
        <w:rPr>
          <w:rFonts w:ascii="宋体" w:hAnsi="宋体" w:cs="宋体" w:eastAsia="宋体" w:hint="default"/>
          <w:sz w:val="21"/>
          <w:szCs w:val="21"/>
        </w:rPr>
        <w:t>公司共有监事</w:t>
      </w:r>
      <w:r>
        <w:rPr>
          <w:rFonts w:ascii="宋体" w:hAnsi="宋体" w:cs="宋体" w:eastAsia="宋体" w:hint="default"/>
          <w:sz w:val="21"/>
          <w:szCs w:val="21"/>
        </w:rPr>
        <w:t>3</w:t>
      </w:r>
      <w:r>
        <w:rPr>
          <w:rFonts w:ascii="宋体" w:hAnsi="宋体" w:cs="宋体" w:eastAsia="宋体" w:hint="default"/>
          <w:sz w:val="21"/>
          <w:szCs w:val="21"/>
        </w:rPr>
        <w:t>名。各监事的基本情况如下：</w:t>
      </w:r>
    </w:p>
    <w:p>
      <w:pPr>
        <w:pStyle w:val="BodyText"/>
        <w:spacing w:line="357" w:lineRule="auto"/>
        <w:ind w:right="1794" w:firstLine="420"/>
        <w:jc w:val="left"/>
      </w:pPr>
      <w:r>
        <w:rPr>
          <w:rFonts w:ascii="宋体" w:hAnsi="宋体" w:cs="宋体" w:eastAsia="宋体" w:hint="default"/>
        </w:rPr>
        <w:t>1</w:t>
      </w:r>
      <w:r>
        <w:rPr/>
        <w:t>、</w:t>
      </w:r>
      <w:r>
        <w:rPr>
          <w:rFonts w:ascii="宋体" w:hAnsi="宋体" w:cs="宋体" w:eastAsia="宋体" w:hint="default"/>
          <w:b/>
          <w:bCs/>
        </w:rPr>
        <w:t>林仁勇</w:t>
      </w:r>
      <w:r>
        <w:rPr/>
        <w:t>，男，中国国籍，无境外永久居留权。</w:t>
      </w:r>
      <w:r>
        <w:rPr>
          <w:rFonts w:ascii="宋体" w:hAnsi="宋体" w:cs="宋体" w:eastAsia="宋体" w:hint="default"/>
        </w:rPr>
        <w:t>1981</w:t>
      </w:r>
      <w:r>
        <w:rPr/>
        <w:t>年</w:t>
      </w:r>
      <w:r>
        <w:rPr>
          <w:rFonts w:ascii="宋体" w:hAnsi="宋体" w:cs="宋体" w:eastAsia="宋体" w:hint="default"/>
        </w:rPr>
        <w:t>7</w:t>
      </w:r>
      <w:r>
        <w:rPr/>
        <w:t>月生，大学本科学历。</w:t>
      </w:r>
      <w:r>
        <w:rPr>
          <w:rFonts w:ascii="宋体" w:hAnsi="宋体" w:cs="宋体" w:eastAsia="宋体" w:hint="default"/>
        </w:rPr>
        <w:t>2002 </w:t>
      </w:r>
      <w:r>
        <w:rPr/>
        <w:t>年</w:t>
      </w:r>
      <w:r>
        <w:rPr>
          <w:rFonts w:ascii="宋体" w:hAnsi="宋体" w:cs="宋体" w:eastAsia="宋体" w:hint="default"/>
        </w:rPr>
        <w:t>7</w:t>
      </w:r>
      <w:r>
        <w:rPr/>
        <w:t>月，进入台州利欧电气有限公司工作。现任公司监事会主席、第三届中共利欧集团股份 有限公司委员会组织委员、工会副主席、办公室主任。</w:t>
      </w:r>
    </w:p>
    <w:p>
      <w:pPr>
        <w:pStyle w:val="BodyText"/>
        <w:spacing w:line="357" w:lineRule="auto"/>
        <w:ind w:left="138" w:right="1677" w:firstLine="420"/>
        <w:jc w:val="left"/>
      </w:pPr>
      <w:r>
        <w:rPr>
          <w:rFonts w:ascii="宋体" w:hAnsi="宋体" w:cs="宋体" w:eastAsia="宋体" w:hint="default"/>
          <w:spacing w:val="-3"/>
        </w:rPr>
        <w:t>2</w:t>
      </w:r>
      <w:r>
        <w:rPr>
          <w:spacing w:val="-3"/>
        </w:rPr>
        <w:t>、</w:t>
      </w:r>
      <w:r>
        <w:rPr>
          <w:rFonts w:ascii="宋体" w:hAnsi="宋体" w:cs="宋体" w:eastAsia="宋体" w:hint="default"/>
          <w:b/>
          <w:bCs/>
          <w:spacing w:val="-3"/>
        </w:rPr>
        <w:t>程衍</w:t>
      </w:r>
      <w:r>
        <w:rPr>
          <w:spacing w:val="-3"/>
        </w:rPr>
        <w:t>，女，中国国籍，无境外永久居留权。</w:t>
      </w:r>
      <w:r>
        <w:rPr>
          <w:rFonts w:ascii="宋体" w:hAnsi="宋体" w:cs="宋体" w:eastAsia="宋体" w:hint="default"/>
          <w:spacing w:val="-3"/>
        </w:rPr>
        <w:t>1979 </w:t>
      </w:r>
      <w:r>
        <w:rPr/>
        <w:t>年</w:t>
      </w:r>
      <w:r>
        <w:rPr>
          <w:rFonts w:ascii="宋体" w:hAnsi="宋体" w:cs="宋体" w:eastAsia="宋体" w:hint="default"/>
        </w:rPr>
        <w:t>4</w:t>
      </w:r>
      <w:r>
        <w:rPr>
          <w:rFonts w:ascii="宋体" w:hAnsi="宋体" w:cs="宋体" w:eastAsia="宋体" w:hint="default"/>
          <w:spacing w:val="-18"/>
        </w:rPr>
        <w:t> </w:t>
      </w:r>
      <w:r>
        <w:rPr/>
        <w:t>月生，大专学历。</w:t>
      </w:r>
      <w:r>
        <w:rPr>
          <w:rFonts w:ascii="宋体" w:hAnsi="宋体" w:cs="宋体" w:eastAsia="宋体" w:hint="default"/>
        </w:rPr>
        <w:t>2001</w:t>
      </w:r>
      <w:r>
        <w:rPr/>
        <w:t>年</w:t>
      </w:r>
      <w:r>
        <w:rPr>
          <w:rFonts w:ascii="宋体" w:hAnsi="宋体" w:cs="宋体" w:eastAsia="宋体" w:hint="default"/>
        </w:rPr>
        <w:t>5</w:t>
      </w:r>
      <w:r>
        <w:rPr/>
        <w:t>月，</w:t>
      </w:r>
      <w:r>
        <w:rPr>
          <w:spacing w:val="1"/>
        </w:rPr>
        <w:t> </w:t>
      </w:r>
      <w:r>
        <w:rPr/>
        <w:t>进入台州利欧电气有限公司工作。现任公司监事。</w:t>
      </w:r>
    </w:p>
    <w:p>
      <w:pPr>
        <w:pStyle w:val="BodyText"/>
        <w:spacing w:line="357" w:lineRule="auto"/>
        <w:ind w:left="138" w:right="1792" w:firstLine="420"/>
        <w:jc w:val="both"/>
      </w:pPr>
      <w:r>
        <w:rPr>
          <w:rFonts w:ascii="宋体" w:hAnsi="宋体" w:cs="宋体" w:eastAsia="宋体" w:hint="default"/>
          <w:spacing w:val="-3"/>
        </w:rPr>
        <w:t>3</w:t>
      </w:r>
      <w:r>
        <w:rPr>
          <w:spacing w:val="-3"/>
        </w:rPr>
        <w:t>、</w:t>
      </w:r>
      <w:r>
        <w:rPr>
          <w:rFonts w:ascii="宋体" w:hAnsi="宋体" w:cs="宋体" w:eastAsia="宋体" w:hint="default"/>
          <w:b/>
          <w:bCs/>
          <w:spacing w:val="-3"/>
        </w:rPr>
        <w:t>颜灵强</w:t>
      </w:r>
      <w:r>
        <w:rPr>
          <w:spacing w:val="-3"/>
        </w:rPr>
        <w:t>，男，中国国籍，无境外永久居留权。</w:t>
      </w:r>
      <w:r>
        <w:rPr>
          <w:rFonts w:ascii="宋体" w:hAnsi="宋体" w:cs="宋体" w:eastAsia="宋体" w:hint="default"/>
          <w:spacing w:val="-3"/>
        </w:rPr>
        <w:t>1982</w:t>
      </w:r>
      <w:r>
        <w:rPr>
          <w:spacing w:val="-3"/>
        </w:rPr>
        <w:t>年</w:t>
      </w:r>
      <w:r>
        <w:rPr>
          <w:rFonts w:ascii="宋体" w:hAnsi="宋体" w:cs="宋体" w:eastAsia="宋体" w:hint="default"/>
          <w:spacing w:val="-3"/>
        </w:rPr>
        <w:t>1</w:t>
      </w:r>
      <w:r>
        <w:rPr>
          <w:spacing w:val="-3"/>
        </w:rPr>
        <w:t>月生，中专学历。</w:t>
      </w:r>
      <w:r>
        <w:rPr>
          <w:rFonts w:ascii="宋体" w:hAnsi="宋体" w:cs="宋体" w:eastAsia="宋体" w:hint="default"/>
          <w:spacing w:val="-3"/>
        </w:rPr>
        <w:t>2001</w:t>
      </w:r>
      <w:r>
        <w:rPr>
          <w:spacing w:val="-3"/>
        </w:rPr>
        <w:t>年，进</w:t>
      </w:r>
      <w:r>
        <w:rPr/>
        <w:t> </w:t>
      </w:r>
      <w:r>
        <w:rPr>
          <w:spacing w:val="-3"/>
        </w:rPr>
        <w:t>入台州利欧电气有限公司工作。现任公司职工监事、第三届中共利欧集团股份有限公司委员</w:t>
      </w:r>
      <w:r>
        <w:rPr>
          <w:spacing w:val="-75"/>
        </w:rPr>
        <w:t> </w:t>
      </w:r>
      <w:r>
        <w:rPr>
          <w:spacing w:val="-75"/>
        </w:rPr>
      </w:r>
      <w:r>
        <w:rPr/>
        <w:t>会生产、安全委员、中共利欧集团股份有限公司滨海党支部书记、水泵厂长。</w:t>
      </w:r>
    </w:p>
    <w:p>
      <w:pPr>
        <w:pStyle w:val="BodyText"/>
        <w:spacing w:line="357" w:lineRule="auto"/>
        <w:ind w:left="557" w:right="3261" w:firstLine="2"/>
        <w:jc w:val="left"/>
      </w:pPr>
      <w:r>
        <w:rPr>
          <w:rFonts w:ascii="宋体" w:hAnsi="宋体" w:cs="宋体" w:eastAsia="宋体" w:hint="default"/>
          <w:b/>
          <w:bCs/>
        </w:rPr>
        <w:t>（三）高级管理人员</w:t>
      </w:r>
      <w:r>
        <w:rPr>
          <w:rFonts w:ascii="宋体" w:hAnsi="宋体" w:cs="宋体" w:eastAsia="宋体" w:hint="default"/>
          <w:b/>
          <w:bCs/>
          <w:w w:val="99"/>
        </w:rPr>
        <w:t> </w:t>
      </w:r>
      <w:r>
        <w:rPr/>
        <w:t>公司共有高级管理人员</w:t>
      </w:r>
      <w:r>
        <w:rPr>
          <w:rFonts w:ascii="宋体" w:hAnsi="宋体" w:cs="宋体" w:eastAsia="宋体" w:hint="default"/>
        </w:rPr>
        <w:t>7</w:t>
      </w:r>
      <w:r>
        <w:rPr/>
        <w:t>名。各高级管理人员基本情况如下： </w:t>
      </w:r>
      <w:r>
        <w:rPr>
          <w:rFonts w:ascii="宋体" w:hAnsi="宋体" w:cs="宋体" w:eastAsia="宋体" w:hint="default"/>
        </w:rPr>
        <w:t>1</w:t>
      </w:r>
      <w:r>
        <w:rPr/>
        <w:t>、</w:t>
      </w:r>
      <w:r>
        <w:rPr>
          <w:rFonts w:ascii="宋体" w:hAnsi="宋体" w:cs="宋体" w:eastAsia="宋体" w:hint="default"/>
          <w:b/>
          <w:bCs/>
        </w:rPr>
        <w:t>王相荣</w:t>
      </w:r>
      <w:r>
        <w:rPr/>
        <w:t>，本公司董事长兼总经理，请参见“董事成员简介”部分。</w:t>
      </w:r>
    </w:p>
    <w:p>
      <w:pPr>
        <w:pStyle w:val="BodyText"/>
        <w:spacing w:line="355" w:lineRule="auto" w:before="31"/>
        <w:ind w:right="1779" w:firstLine="420"/>
        <w:jc w:val="left"/>
      </w:pPr>
      <w:r>
        <w:rPr>
          <w:rFonts w:ascii="宋体" w:hAnsi="宋体" w:cs="宋体" w:eastAsia="宋体" w:hint="default"/>
          <w:spacing w:val="-4"/>
        </w:rPr>
        <w:t>2</w:t>
      </w:r>
      <w:r>
        <w:rPr>
          <w:spacing w:val="-4"/>
        </w:rPr>
        <w:t>、</w:t>
      </w:r>
      <w:r>
        <w:rPr>
          <w:rFonts w:ascii="宋体" w:hAnsi="宋体" w:cs="宋体" w:eastAsia="宋体" w:hint="default"/>
          <w:b/>
          <w:bCs/>
          <w:spacing w:val="-4"/>
        </w:rPr>
        <w:t>颜土富</w:t>
      </w:r>
      <w:r>
        <w:rPr>
          <w:spacing w:val="-4"/>
        </w:rPr>
        <w:t>，男，中国国籍</w:t>
      </w:r>
      <w:r>
        <w:rPr>
          <w:rFonts w:ascii="宋体" w:hAnsi="宋体" w:cs="宋体" w:eastAsia="宋体" w:hint="default"/>
          <w:spacing w:val="-4"/>
        </w:rPr>
        <w:t>,</w:t>
      </w:r>
      <w:r>
        <w:rPr>
          <w:rFonts w:ascii="宋体" w:hAnsi="宋体" w:cs="宋体" w:eastAsia="宋体" w:hint="default"/>
          <w:spacing w:val="-41"/>
        </w:rPr>
        <w:t> </w:t>
      </w:r>
      <w:r>
        <w:rPr/>
        <w:t>无境外永久居留权。</w:t>
      </w:r>
      <w:r>
        <w:rPr>
          <w:rFonts w:ascii="宋体" w:hAnsi="宋体" w:cs="宋体" w:eastAsia="宋体" w:hint="default"/>
        </w:rPr>
        <w:t>1979</w:t>
      </w:r>
      <w:r>
        <w:rPr/>
        <w:t>年</w:t>
      </w:r>
      <w:r>
        <w:rPr>
          <w:rFonts w:ascii="宋体" w:hAnsi="宋体" w:cs="宋体" w:eastAsia="宋体" w:hint="default"/>
        </w:rPr>
        <w:t>8</w:t>
      </w:r>
      <w:r>
        <w:rPr/>
        <w:t>月生，中专学历，曾任浙江利 </w:t>
      </w:r>
      <w:r>
        <w:rPr>
          <w:spacing w:val="-3"/>
        </w:rPr>
        <w:t>欧电气有限公司总经理助理，现任公司副总经理，现同时担任温岭利欧园林机械有限公司董</w:t>
      </w:r>
    </w:p>
    <w:p>
      <w:pPr>
        <w:spacing w:after="0" w:line="355"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738" w:right="1689"/>
        <w:jc w:val="left"/>
      </w:pPr>
      <w:r>
        <w:rPr>
          <w:spacing w:val="-8"/>
        </w:rPr>
        <w:t>事长、浙江利欧友林供水系统有限公司董事长、意大利利欧董事长、利普诺持之水泵系统（上</w:t>
      </w:r>
      <w:r>
        <w:rPr>
          <w:spacing w:val="-77"/>
        </w:rPr>
        <w:t> </w:t>
      </w:r>
      <w:r>
        <w:rPr>
          <w:spacing w:val="-77"/>
        </w:rPr>
      </w:r>
      <w:r>
        <w:rPr/>
        <w:t>海）有限公司董事长。</w:t>
      </w:r>
    </w:p>
    <w:p>
      <w:pPr>
        <w:pStyle w:val="BodyText"/>
        <w:spacing w:line="240" w:lineRule="auto" w:before="33"/>
        <w:ind w:left="1158" w:right="1689"/>
        <w:jc w:val="left"/>
      </w:pPr>
      <w:r>
        <w:rPr>
          <w:rFonts w:ascii="宋体" w:hAnsi="宋体" w:cs="宋体" w:eastAsia="宋体" w:hint="default"/>
          <w:spacing w:val="-9"/>
        </w:rPr>
        <w:t>3</w:t>
      </w:r>
      <w:r>
        <w:rPr>
          <w:spacing w:val="-9"/>
        </w:rPr>
        <w:t>、</w:t>
      </w:r>
      <w:r>
        <w:rPr>
          <w:rFonts w:ascii="宋体" w:hAnsi="宋体" w:cs="宋体" w:eastAsia="宋体" w:hint="default"/>
          <w:b/>
          <w:bCs/>
          <w:spacing w:val="-9"/>
        </w:rPr>
        <w:t>张旭波</w:t>
      </w:r>
      <w:r>
        <w:rPr>
          <w:spacing w:val="-9"/>
        </w:rPr>
        <w:t>，本公司董事、副总经理、董事会秘书（个人简况参见本节“（一）董事”）。</w:t>
      </w:r>
      <w:r>
        <w:rPr/>
      </w:r>
    </w:p>
    <w:p>
      <w:pPr>
        <w:pStyle w:val="BodyText"/>
        <w:spacing w:line="357" w:lineRule="auto" w:before="133"/>
        <w:ind w:left="737" w:right="1689" w:firstLine="420"/>
        <w:jc w:val="left"/>
      </w:pPr>
      <w:r>
        <w:rPr>
          <w:rFonts w:ascii="宋体" w:hAnsi="宋体" w:cs="宋体" w:eastAsia="宋体" w:hint="default"/>
        </w:rPr>
        <w:t>4</w:t>
      </w:r>
      <w:r>
        <w:rPr/>
        <w:t>、</w:t>
      </w:r>
      <w:r>
        <w:rPr>
          <w:rFonts w:ascii="宋体" w:hAnsi="宋体" w:cs="宋体" w:eastAsia="宋体" w:hint="default"/>
          <w:b/>
          <w:bCs/>
        </w:rPr>
        <w:t>曾钦民</w:t>
      </w:r>
      <w:r>
        <w:rPr/>
        <w:t>，男，中国国籍</w:t>
      </w:r>
      <w:r>
        <w:rPr>
          <w:rFonts w:ascii="宋体" w:hAnsi="宋体" w:cs="宋体" w:eastAsia="宋体" w:hint="default"/>
        </w:rPr>
        <w:t>,</w:t>
      </w:r>
      <w:r>
        <w:rPr>
          <w:rFonts w:ascii="宋体" w:hAnsi="宋体" w:cs="宋体" w:eastAsia="宋体" w:hint="default"/>
          <w:spacing w:val="-2"/>
        </w:rPr>
        <w:t> </w:t>
      </w:r>
      <w:r>
        <w:rPr/>
        <w:t>无境外永久居留权。</w:t>
      </w:r>
      <w:r>
        <w:rPr>
          <w:rFonts w:ascii="宋体" w:hAnsi="宋体" w:cs="宋体" w:eastAsia="宋体" w:hint="default"/>
        </w:rPr>
        <w:t>1973</w:t>
      </w:r>
      <w:r>
        <w:rPr/>
        <w:t>年</w:t>
      </w:r>
      <w:r>
        <w:rPr>
          <w:rFonts w:ascii="宋体" w:hAnsi="宋体" w:cs="宋体" w:eastAsia="宋体" w:hint="default"/>
        </w:rPr>
        <w:t>8</w:t>
      </w:r>
      <w:r>
        <w:rPr/>
        <w:t>月生，大学本科学历，</w:t>
      </w:r>
      <w:r>
        <w:rPr>
          <w:rFonts w:ascii="宋体" w:hAnsi="宋体" w:cs="宋体" w:eastAsia="宋体" w:hint="default"/>
        </w:rPr>
        <w:t>2009 </w:t>
      </w:r>
      <w:r>
        <w:rPr>
          <w:spacing w:val="-3"/>
        </w:rPr>
        <w:t>年浙江省十佳人力资源经理人获得者，曾任台州新视野管理顾问有限公司总经理，现任本公</w:t>
      </w:r>
      <w:r>
        <w:rPr>
          <w:spacing w:val="-75"/>
        </w:rPr>
        <w:t> </w:t>
      </w:r>
      <w:r>
        <w:rPr>
          <w:spacing w:val="-75"/>
        </w:rPr>
      </w:r>
      <w:r>
        <w:rPr>
          <w:spacing w:val="-3"/>
        </w:rPr>
        <w:t>司副总经理，现同时担任长沙利欧天鹅工业泵有限公司董事，无锡利欧锡泵制造有限公司董</w:t>
      </w:r>
      <w:r>
        <w:rPr>
          <w:spacing w:val="-75"/>
        </w:rPr>
        <w:t> </w:t>
      </w:r>
      <w:r>
        <w:rPr>
          <w:spacing w:val="-75"/>
        </w:rPr>
      </w:r>
      <w:r>
        <w:rPr/>
        <w:t>事，利普诺持之水泵系统（上海）有限公司董事。</w:t>
      </w:r>
    </w:p>
    <w:p>
      <w:pPr>
        <w:pStyle w:val="BodyText"/>
        <w:spacing w:line="357" w:lineRule="auto"/>
        <w:ind w:left="737" w:right="1687" w:firstLine="420"/>
        <w:jc w:val="both"/>
      </w:pPr>
      <w:r>
        <w:rPr>
          <w:rFonts w:ascii="宋体" w:hAnsi="宋体" w:cs="宋体" w:eastAsia="宋体" w:hint="default"/>
        </w:rPr>
        <w:t>5</w:t>
      </w:r>
      <w:r>
        <w:rPr/>
        <w:t>、</w:t>
      </w:r>
      <w:r>
        <w:rPr>
          <w:rFonts w:ascii="宋体" w:hAnsi="宋体" w:cs="宋体" w:eastAsia="宋体" w:hint="default"/>
          <w:b/>
          <w:bCs/>
        </w:rPr>
        <w:t>黄卿文</w:t>
      </w:r>
      <w:r>
        <w:rPr/>
        <w:t>，男，中国国籍</w:t>
      </w:r>
      <w:r>
        <w:rPr>
          <w:rFonts w:ascii="宋体" w:hAnsi="宋体" w:cs="宋体" w:eastAsia="宋体" w:hint="default"/>
        </w:rPr>
        <w:t>,</w:t>
      </w:r>
      <w:r>
        <w:rPr>
          <w:rFonts w:ascii="宋体" w:hAnsi="宋体" w:cs="宋体" w:eastAsia="宋体" w:hint="default"/>
          <w:spacing w:val="-2"/>
        </w:rPr>
        <w:t> </w:t>
      </w:r>
      <w:r>
        <w:rPr/>
        <w:t>无境外永久居留权。</w:t>
      </w:r>
      <w:r>
        <w:rPr>
          <w:rFonts w:ascii="宋体" w:hAnsi="宋体" w:cs="宋体" w:eastAsia="宋体" w:hint="default"/>
        </w:rPr>
        <w:t>1968</w:t>
      </w:r>
      <w:r>
        <w:rPr/>
        <w:t>年</w:t>
      </w:r>
      <w:r>
        <w:rPr>
          <w:rFonts w:ascii="宋体" w:hAnsi="宋体" w:cs="宋体" w:eastAsia="宋体" w:hint="default"/>
        </w:rPr>
        <w:t>11</w:t>
      </w:r>
      <w:r>
        <w:rPr/>
        <w:t>月生，大学本科学历，曾任 </w:t>
      </w:r>
      <w:r>
        <w:rPr>
          <w:spacing w:val="-3"/>
        </w:rPr>
        <w:t>温岭对外贸易公司太平分公司销售部经理，浙江利欧电气有限公司营销部经理，浙江利欧股</w:t>
      </w:r>
      <w:r>
        <w:rPr>
          <w:spacing w:val="-75"/>
        </w:rPr>
        <w:t> </w:t>
      </w:r>
      <w:r>
        <w:rPr>
          <w:spacing w:val="-75"/>
        </w:rPr>
      </w:r>
      <w:r>
        <w:rPr>
          <w:spacing w:val="-5"/>
        </w:rPr>
        <w:t>份有限公司监事会主席、董事长助理。现任本公司副总经理、美国利欧董事、利欧友林董事。</w:t>
      </w:r>
    </w:p>
    <w:p>
      <w:pPr>
        <w:pStyle w:val="BodyText"/>
        <w:spacing w:line="357" w:lineRule="auto"/>
        <w:ind w:left="737" w:right="1792" w:firstLine="420"/>
        <w:jc w:val="both"/>
      </w:pPr>
      <w:r>
        <w:rPr>
          <w:rFonts w:ascii="宋体" w:hAnsi="宋体" w:cs="宋体" w:eastAsia="宋体" w:hint="default"/>
        </w:rPr>
        <w:t>6</w:t>
      </w:r>
      <w:r>
        <w:rPr/>
        <w:t>、</w:t>
      </w:r>
      <w:r>
        <w:rPr>
          <w:rFonts w:ascii="宋体" w:hAnsi="宋体" w:cs="宋体" w:eastAsia="宋体" w:hint="default"/>
          <w:b/>
          <w:bCs/>
        </w:rPr>
        <w:t>陈林富</w:t>
      </w:r>
      <w:r>
        <w:rPr/>
        <w:t>，男，中国国籍</w:t>
      </w:r>
      <w:r>
        <w:rPr>
          <w:rFonts w:ascii="宋体" w:hAnsi="宋体" w:cs="宋体" w:eastAsia="宋体" w:hint="default"/>
        </w:rPr>
        <w:t>,</w:t>
      </w:r>
      <w:r>
        <w:rPr>
          <w:rFonts w:ascii="宋体" w:hAnsi="宋体" w:cs="宋体" w:eastAsia="宋体" w:hint="default"/>
          <w:spacing w:val="-4"/>
        </w:rPr>
        <w:t> </w:t>
      </w:r>
      <w:r>
        <w:rPr/>
        <w:t>无境外永久居留权。</w:t>
      </w:r>
      <w:r>
        <w:rPr>
          <w:rFonts w:ascii="宋体" w:hAnsi="宋体" w:cs="宋体" w:eastAsia="宋体" w:hint="default"/>
        </w:rPr>
        <w:t>1963</w:t>
      </w:r>
      <w:r>
        <w:rPr/>
        <w:t>年</w:t>
      </w:r>
      <w:r>
        <w:rPr>
          <w:rFonts w:ascii="宋体" w:hAnsi="宋体" w:cs="宋体" w:eastAsia="宋体" w:hint="default"/>
        </w:rPr>
        <w:t>10</w:t>
      </w:r>
      <w:r>
        <w:rPr/>
        <w:t>月生，大专学历，曾任温岭 </w:t>
      </w:r>
      <w:r>
        <w:rPr>
          <w:spacing w:val="-3"/>
        </w:rPr>
        <w:t>市新河供销社主办会计、温岭市财政局委派会计、浙江利欧电气有限公司财务部经理，现任</w:t>
      </w:r>
      <w:r>
        <w:rPr>
          <w:spacing w:val="-72"/>
        </w:rPr>
        <w:t> </w:t>
      </w:r>
      <w:r>
        <w:rPr>
          <w:spacing w:val="-72"/>
        </w:rPr>
      </w:r>
      <w:r>
        <w:rPr>
          <w:spacing w:val="-3"/>
        </w:rPr>
        <w:t>本公司财务总监。现同时担任浙江利欧（香港）有限公司执行董事、温岭利欧园林机械有限</w:t>
      </w:r>
      <w:r>
        <w:rPr>
          <w:spacing w:val="-74"/>
        </w:rPr>
        <w:t> </w:t>
      </w:r>
      <w:r>
        <w:rPr>
          <w:spacing w:val="-74"/>
        </w:rPr>
      </w:r>
      <w:r>
        <w:rPr>
          <w:spacing w:val="-8"/>
        </w:rPr>
        <w:t>公司董事、浙江利欧友林供水系统有限公司董事、意大利利欧董事、利普诺持之水泵系统（上</w:t>
      </w:r>
      <w:r>
        <w:rPr>
          <w:spacing w:val="-77"/>
        </w:rPr>
        <w:t> </w:t>
      </w:r>
      <w:r>
        <w:rPr>
          <w:spacing w:val="-77"/>
        </w:rPr>
      </w:r>
      <w:r>
        <w:rPr/>
        <w:t>海）有限公司董事。</w:t>
      </w:r>
    </w:p>
    <w:p>
      <w:pPr>
        <w:pStyle w:val="BodyText"/>
        <w:spacing w:line="357" w:lineRule="auto"/>
        <w:ind w:left="737" w:right="1689" w:firstLine="420"/>
        <w:jc w:val="left"/>
      </w:pPr>
      <w:r>
        <w:rPr>
          <w:rFonts w:ascii="宋体" w:hAnsi="宋体" w:cs="宋体" w:eastAsia="宋体" w:hint="default"/>
          <w:spacing w:val="-3"/>
        </w:rPr>
        <w:t>7</w:t>
      </w:r>
      <w:r>
        <w:rPr>
          <w:spacing w:val="-3"/>
        </w:rPr>
        <w:t>、</w:t>
      </w:r>
      <w:r>
        <w:rPr>
          <w:rFonts w:ascii="宋体" w:hAnsi="宋体" w:cs="宋体" w:eastAsia="宋体" w:hint="default"/>
          <w:b/>
          <w:bCs/>
          <w:spacing w:val="-3"/>
        </w:rPr>
        <w:t>郑晓东</w:t>
      </w:r>
      <w:r>
        <w:rPr>
          <w:spacing w:val="-3"/>
        </w:rPr>
        <w:t>，男，中国国籍，无境外永久居留权。</w:t>
      </w:r>
      <w:r>
        <w:rPr>
          <w:rFonts w:ascii="宋体" w:hAnsi="宋体" w:cs="宋体" w:eastAsia="宋体" w:hint="default"/>
          <w:spacing w:val="-3"/>
        </w:rPr>
        <w:t>1976</w:t>
      </w:r>
      <w:r>
        <w:rPr>
          <w:spacing w:val="-3"/>
        </w:rPr>
        <w:t>年</w:t>
      </w:r>
      <w:r>
        <w:rPr>
          <w:rFonts w:ascii="宋体" w:hAnsi="宋体" w:cs="宋体" w:eastAsia="宋体" w:hint="default"/>
          <w:spacing w:val="-3"/>
        </w:rPr>
        <w:t>9</w:t>
      </w:r>
      <w:r>
        <w:rPr>
          <w:spacing w:val="-3"/>
        </w:rPr>
        <w:t>月生，硕士研究生学历。曾任</w:t>
      </w:r>
      <w:r>
        <w:rPr/>
        <w:t> </w:t>
      </w:r>
      <w:r>
        <w:rPr>
          <w:spacing w:val="-3"/>
        </w:rPr>
        <w:t>职于长城宽带，好耶网络等网络与营销公司，并曾担任好耶广告网络华东区总经理，副总裁</w:t>
      </w:r>
      <w:r>
        <w:rPr>
          <w:spacing w:val="-72"/>
        </w:rPr>
        <w:t> </w:t>
      </w:r>
      <w:r>
        <w:rPr>
          <w:spacing w:val="-72"/>
        </w:rPr>
      </w:r>
      <w:r>
        <w:rPr/>
        <w:t>等职务。</w:t>
      </w:r>
      <w:r>
        <w:rPr>
          <w:rFonts w:ascii="宋体" w:hAnsi="宋体" w:cs="宋体" w:eastAsia="宋体" w:hint="default"/>
        </w:rPr>
        <w:t>2009</w:t>
      </w:r>
      <w:r>
        <w:rPr/>
        <w:t>年底联合创办上海聚胜万合广告有限公司（</w:t>
      </w:r>
      <w:r>
        <w:rPr>
          <w:rFonts w:ascii="宋体" w:hAnsi="宋体" w:cs="宋体" w:eastAsia="宋体" w:hint="default"/>
        </w:rPr>
        <w:t>Media</w:t>
      </w:r>
      <w:r>
        <w:rPr>
          <w:rFonts w:ascii="宋体" w:hAnsi="宋体" w:cs="宋体" w:eastAsia="宋体" w:hint="default"/>
          <w:spacing w:val="-2"/>
        </w:rPr>
        <w:t> </w:t>
      </w:r>
      <w:r>
        <w:rPr>
          <w:rFonts w:ascii="宋体" w:hAnsi="宋体" w:cs="宋体" w:eastAsia="宋体" w:hint="default"/>
        </w:rPr>
        <w:t>V</w:t>
      </w:r>
      <w:r>
        <w:rPr/>
        <w:t>）。十几年来在数字营销 </w:t>
      </w:r>
      <w:r>
        <w:rPr>
          <w:spacing w:val="-3"/>
        </w:rPr>
        <w:t>领域成功服务过包括索尼、百事、飞利浦、西门子、联合利华、雅培、京东等数十家国内外</w:t>
      </w:r>
      <w:r>
        <w:rPr>
          <w:spacing w:val="-75"/>
        </w:rPr>
        <w:t> </w:t>
      </w:r>
      <w:r>
        <w:rPr>
          <w:spacing w:val="-75"/>
        </w:rPr>
      </w:r>
      <w:r>
        <w:rPr>
          <w:spacing w:val="-3"/>
        </w:rPr>
        <w:t>知名企业，数字营销实战领军人物，获金鼠标“年度网络营销杰出贡献人物”、“虎啸年度</w:t>
      </w:r>
      <w:r>
        <w:rPr>
          <w:spacing w:val="-76"/>
        </w:rPr>
        <w:t> </w:t>
      </w:r>
      <w:r>
        <w:rPr>
          <w:spacing w:val="-76"/>
        </w:rPr>
      </w:r>
      <w:r>
        <w:rPr/>
        <w:t>人物大奖”等多项大奖。现任上海聚胜万合广告有限公司（</w:t>
      </w:r>
      <w:r>
        <w:rPr>
          <w:rFonts w:ascii="宋体" w:hAnsi="宋体" w:cs="宋体" w:eastAsia="宋体" w:hint="default"/>
        </w:rPr>
        <w:t>Media</w:t>
      </w:r>
      <w:r>
        <w:rPr>
          <w:rFonts w:ascii="宋体" w:hAnsi="宋体" w:cs="宋体" w:eastAsia="宋体" w:hint="default"/>
          <w:spacing w:val="-1"/>
        </w:rPr>
        <w:t> </w:t>
      </w:r>
      <w:r>
        <w:rPr>
          <w:rFonts w:ascii="宋体" w:hAnsi="宋体" w:cs="宋体" w:eastAsia="宋体" w:hint="default"/>
        </w:rPr>
        <w:t>V</w:t>
      </w:r>
      <w:r>
        <w:rPr/>
        <w:t>）执行董事、总裁、上 海漫酷广告有限公司董事、总裁、上海氩氪广告有限公司董事、银色琥珀文化传播（北京） 有限公司董事。</w:t>
      </w:r>
    </w:p>
    <w:p>
      <w:pPr>
        <w:spacing w:line="240" w:lineRule="auto" w:before="2"/>
        <w:rPr>
          <w:rFonts w:ascii="宋体" w:hAnsi="宋体" w:cs="宋体" w:eastAsia="宋体" w:hint="default"/>
          <w:sz w:val="29"/>
          <w:szCs w:val="29"/>
        </w:rPr>
      </w:pPr>
    </w:p>
    <w:p>
      <w:pPr>
        <w:pStyle w:val="BodyText"/>
        <w:spacing w:line="240" w:lineRule="auto" w:before="0"/>
        <w:ind w:left="738" w:right="1689"/>
        <w:jc w:val="left"/>
      </w:pPr>
      <w:r>
        <w:rPr/>
        <w:t>在股东单位任职情况</w:t>
      </w:r>
    </w:p>
    <w:p>
      <w:pPr>
        <w:pStyle w:val="BodyText"/>
        <w:spacing w:line="240" w:lineRule="auto" w:before="172"/>
        <w:ind w:left="738" w:right="1689"/>
        <w:jc w:val="left"/>
      </w:pPr>
      <w:r>
        <w:rPr/>
        <w:t>√ 适用 □</w:t>
      </w:r>
      <w:r>
        <w:rPr>
          <w:spacing w:val="-2"/>
        </w:rPr>
        <w:t> </w:t>
      </w:r>
      <w:r>
        <w:rPr/>
        <w:t>不适用</w:t>
      </w:r>
    </w:p>
    <w:p>
      <w:pPr>
        <w:spacing w:line="240" w:lineRule="auto" w:before="7"/>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02"/>
        <w:gridCol w:w="3189"/>
        <w:gridCol w:w="1064"/>
        <w:gridCol w:w="1195"/>
        <w:gridCol w:w="1331"/>
        <w:gridCol w:w="1588"/>
      </w:tblGrid>
      <w:tr>
        <w:trPr>
          <w:trHeight w:val="55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4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50" w:space="0" w:color="FFFFFF"/>
              <w:right w:val="single" w:sz="4" w:space="0" w:color="000000"/>
            </w:tcBorders>
            <w:shd w:val="clear" w:color="auto" w:fill="D2D2D2"/>
          </w:tcPr>
          <w:p>
            <w:pPr>
              <w:pStyle w:val="TableParagraph"/>
              <w:spacing w:line="240" w:lineRule="auto" w:before="127"/>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56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宋体" w:hAnsi="宋体" w:cs="宋体" w:eastAsia="宋体" w:hint="default"/>
                <w:sz w:val="18"/>
                <w:szCs w:val="18"/>
              </w:rPr>
              <w:t>陈德平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1"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1064"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14"/>
              <w:ind w:left="22" w:right="-56"/>
              <w:jc w:val="left"/>
              <w:rPr>
                <w:rFonts w:ascii="宋体" w:hAnsi="宋体" w:cs="宋体" w:eastAsia="宋体" w:hint="default"/>
                <w:sz w:val="18"/>
                <w:szCs w:val="18"/>
              </w:rPr>
            </w:pPr>
            <w:r>
              <w:rPr>
                <w:rFonts w:ascii="宋体" w:hAnsi="宋体" w:cs="宋体" w:eastAsia="宋体" w:hint="default"/>
                <w:sz w:val="18"/>
                <w:szCs w:val="18"/>
              </w:rPr>
              <w:t>副总经济师、 监事</w:t>
            </w:r>
          </w:p>
        </w:tc>
        <w:tc>
          <w:tcPr>
            <w:tcW w:w="1195" w:type="dxa"/>
            <w:tcBorders>
              <w:top w:val="single" w:sz="50" w:space="0" w:color="FFFFFF"/>
              <w:left w:val="single" w:sz="10" w:space="0" w:color="FFFFFF"/>
              <w:bottom w:val="single" w:sz="4" w:space="0" w:color="000000"/>
              <w:right w:val="single" w:sz="4" w:space="0" w:color="000000"/>
            </w:tcBorders>
          </w:tcPr>
          <w:p>
            <w:pPr>
              <w:pStyle w:val="TableParagraph"/>
              <w:spacing w:line="240" w:lineRule="auto" w:before="73"/>
              <w:ind w:left="1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
        <w:ind w:left="738" w:right="1689"/>
        <w:jc w:val="left"/>
      </w:pPr>
      <w:r>
        <w:rPr/>
        <w:t>在其他单位任职情况</w:t>
      </w:r>
    </w:p>
    <w:p>
      <w:pPr>
        <w:pStyle w:val="BodyText"/>
        <w:spacing w:line="240" w:lineRule="auto" w:before="38"/>
        <w:ind w:left="738" w:right="1689"/>
        <w:jc w:val="left"/>
      </w:pPr>
      <w:r>
        <w:rPr/>
        <w:t>√ 适用 □</w:t>
      </w:r>
      <w:r>
        <w:rPr>
          <w:spacing w:val="-2"/>
        </w:rPr>
        <w:t> </w:t>
      </w:r>
      <w:r>
        <w:rPr/>
        <w:t>不适用</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02"/>
        <w:gridCol w:w="3190"/>
        <w:gridCol w:w="1063"/>
        <w:gridCol w:w="1195"/>
        <w:gridCol w:w="1325"/>
        <w:gridCol w:w="1594"/>
      </w:tblGrid>
      <w:tr>
        <w:trPr>
          <w:trHeight w:val="55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32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202"/>
        <w:gridCol w:w="3190"/>
        <w:gridCol w:w="1063"/>
        <w:gridCol w:w="1195"/>
        <w:gridCol w:w="1325"/>
        <w:gridCol w:w="1594"/>
      </w:tblGrid>
      <w:tr>
        <w:trPr>
          <w:trHeight w:val="324" w:hRule="exact"/>
        </w:trPr>
        <w:tc>
          <w:tcPr>
            <w:tcW w:w="1202" w:type="dxa"/>
            <w:vMerge w:val="restart"/>
            <w:tcBorders>
              <w:top w:val="nil" w:sz="6" w:space="0" w:color="auto"/>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温岭市广源房地产开发有限公司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上海磊利汽车贸易有限公司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浙江利欧控股集团有限公司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台州新科环保研究所有限公司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温岭利欧技术检测服务有限公司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温岭利欧贸易有限公司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温岭市利恒机械有限公司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台州利欧矿业投资有限公司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325"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莫康孙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麦肯光明广告有限公司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刘春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中南影视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马骏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国浩律师集团（杭州）事务所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杭州仲裁委员会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杭州中瑞思创科技股份有限公司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百大集团股份有限公司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浙江方正电机股份有限公司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北京工商大学商学院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1983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中国审计学会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北京审计学会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审计署高级审计师评审委员会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武汉达明科技股份有限公司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张翔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中国传媒大学国家广告研究院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中国商业企业管理协会市场营销分会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中国高等教育学会广告专业委员会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常务理事</w:t>
            </w:r>
            <w:r>
              <w:rPr>
                <w:rFonts w:ascii="宋体" w:hAnsi="宋体" w:cs="宋体" w:eastAsia="宋体" w:hint="default"/>
                <w:spacing w:val="-74"/>
                <w:sz w:val="18"/>
                <w:szCs w:val="18"/>
              </w:rPr>
              <w:t>、</w:t>
            </w:r>
            <w:r>
              <w:rPr>
                <w:rFonts w:ascii="宋体" w:hAnsi="宋体" w:cs="宋体" w:eastAsia="宋体" w:hint="default"/>
                <w:sz w:val="18"/>
                <w:szCs w:val="18"/>
              </w:rPr>
              <w:t>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202"/>
        <w:gridCol w:w="3190"/>
        <w:gridCol w:w="1063"/>
        <w:gridCol w:w="1195"/>
        <w:gridCol w:w="1325"/>
        <w:gridCol w:w="1594"/>
      </w:tblGrid>
      <w:tr>
        <w:trPr>
          <w:trHeight w:val="283" w:hRule="exact"/>
        </w:trPr>
        <w:tc>
          <w:tcPr>
            <w:tcW w:w="1202" w:type="dxa"/>
            <w:vMerge w:val="restart"/>
            <w:tcBorders>
              <w:top w:val="nil" w:sz="6" w:space="0" w:color="auto"/>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中国广告协会学术委员会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3"/>
              <w:jc w:val="left"/>
              <w:rPr>
                <w:rFonts w:ascii="宋体" w:hAnsi="宋体" w:cs="宋体" w:eastAsia="宋体" w:hint="default"/>
                <w:sz w:val="18"/>
                <w:szCs w:val="18"/>
              </w:rPr>
            </w:pPr>
            <w:r>
              <w:rPr>
                <w:rFonts w:ascii="宋体" w:hAnsi="宋体" w:cs="宋体" w:eastAsia="宋体" w:hint="default"/>
                <w:spacing w:val="-13"/>
                <w:sz w:val="18"/>
                <w:szCs w:val="18"/>
              </w:rPr>
              <w:t>委员、一级广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告企业资质 评委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中国商务广告协会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中国广告协会专家咨询委员会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《广告研究》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副主任编委</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日本吉田秀雄纪念事业财团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客座研究员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8"/>
              <w:jc w:val="left"/>
              <w:rPr>
                <w:rFonts w:ascii="宋体" w:hAnsi="宋体" w:cs="宋体" w:eastAsia="宋体" w:hint="default"/>
                <w:sz w:val="18"/>
                <w:szCs w:val="18"/>
              </w:rPr>
            </w:pPr>
            <w:r>
              <w:rPr>
                <w:rFonts w:ascii="宋体" w:hAnsi="宋体" w:cs="宋体" w:eastAsia="宋体" w:hint="default"/>
                <w:sz w:val="18"/>
                <w:szCs w:val="18"/>
              </w:rPr>
              <w:t>广告策略顾 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浙江利欧（香港）有限公司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Leo Italia S.R.L.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Leo Italia S.R.L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sz w:val="18"/>
              </w:rPr>
              <w:t>Crystal Water Products 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325"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利普诺持之水泵系统（上海）有限公司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202"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银色琥珀文化传播（北京）有限公司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上海聚胜万合广告有限公司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9" w:right="0"/>
              <w:jc w:val="left"/>
              <w:rPr>
                <w:rFonts w:ascii="宋体" w:hAnsi="宋体" w:cs="宋体" w:eastAsia="宋体" w:hint="default"/>
                <w:sz w:val="18"/>
                <w:szCs w:val="18"/>
              </w:rPr>
            </w:pPr>
            <w:r>
              <w:rPr>
                <w:rFonts w:ascii="宋体" w:hAnsi="宋体" w:cs="宋体" w:eastAsia="宋体" w:hint="default"/>
                <w:sz w:val="18"/>
                <w:szCs w:val="18"/>
              </w:rPr>
              <w:t>董事、监事和高管在其他单位任职情况，只包括其截至报告期仍然在职的情况。</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董事、监事、高级管理人员报酬情况" w:id="86"/>
      <w:bookmarkEnd w:id="86"/>
      <w:r>
        <w:rPr>
          <w:b w:val="0"/>
          <w:bCs w:val="0"/>
        </w:rPr>
      </w:r>
      <w:r>
        <w:rPr/>
        <w:t>三、董事、监事、高级管理人员报酬情况</w:t>
      </w:r>
      <w:r>
        <w:rPr>
          <w:b w:val="0"/>
          <w:bCs w:val="0"/>
        </w:rPr>
      </w:r>
    </w:p>
    <w:p>
      <w:pPr>
        <w:spacing w:line="240" w:lineRule="auto" w:before="3"/>
        <w:rPr>
          <w:rFonts w:ascii="宋体" w:hAnsi="宋体" w:cs="宋体" w:eastAsia="宋体" w:hint="default"/>
          <w:b/>
          <w:bCs/>
          <w:sz w:val="23"/>
          <w:szCs w:val="23"/>
        </w:rPr>
      </w:pPr>
    </w:p>
    <w:p>
      <w:pPr>
        <w:pStyle w:val="BodyText"/>
        <w:spacing w:line="343" w:lineRule="auto" w:before="0"/>
        <w:ind w:left="1157" w:right="1689" w:hanging="420"/>
        <w:jc w:val="left"/>
      </w:pPr>
      <w:r>
        <w:rPr/>
        <w:t>董事、监事、高级管理人员报酬的决策程序、确定依据 </w:t>
      </w:r>
      <w:r>
        <w:rPr>
          <w:spacing w:val="-3"/>
        </w:rPr>
        <w:t>公司董事、监事的报酬由股东大会决定，高级管理人员的报酬由董事会决定，独立董事</w:t>
      </w:r>
    </w:p>
    <w:p>
      <w:pPr>
        <w:pStyle w:val="BodyText"/>
        <w:spacing w:line="357" w:lineRule="auto" w:before="43"/>
        <w:ind w:left="737" w:right="1794"/>
        <w:jc w:val="both"/>
      </w:pPr>
      <w:r>
        <w:rPr>
          <w:spacing w:val="-3"/>
        </w:rPr>
        <w:t>津贴标准由公司股东大会决议通过，独立董事参加会议发生的差旅费、办公费等履职费用由</w:t>
      </w:r>
      <w:r>
        <w:rPr>
          <w:spacing w:val="-75"/>
        </w:rPr>
        <w:t> </w:t>
      </w:r>
      <w:r>
        <w:rPr>
          <w:spacing w:val="-75"/>
        </w:rPr>
      </w:r>
      <w:r>
        <w:rPr>
          <w:spacing w:val="-3"/>
        </w:rPr>
        <w:t>公司承担。公司董事会下设薪酬与考核委员会，其主要职责为：（一）根据董事及高级管理</w:t>
      </w:r>
      <w:r>
        <w:rPr>
          <w:spacing w:val="-76"/>
        </w:rPr>
        <w:t> </w:t>
      </w:r>
      <w:r>
        <w:rPr>
          <w:spacing w:val="-76"/>
        </w:rPr>
      </w:r>
      <w:r>
        <w:rPr>
          <w:spacing w:val="-3"/>
        </w:rPr>
        <w:t>人员管理岗位的主要范围、职责、重要性制定薪酬计划或方案；（二）审查公司董事（非独</w:t>
      </w:r>
      <w:r>
        <w:rPr>
          <w:spacing w:val="-75"/>
        </w:rPr>
        <w:t> </w:t>
      </w:r>
      <w:r>
        <w:rPr>
          <w:spacing w:val="-75"/>
        </w:rPr>
      </w:r>
      <w:r>
        <w:rPr>
          <w:spacing w:val="-3"/>
        </w:rPr>
        <w:t>立董事）及高级管理人员履行职责的情况并对其进行年度绩效考评；（三）负责对公司薪酬</w:t>
      </w:r>
      <w:r>
        <w:rPr>
          <w:spacing w:val="-75"/>
        </w:rPr>
        <w:t> </w:t>
      </w:r>
      <w:r>
        <w:rPr>
          <w:spacing w:val="-75"/>
        </w:rPr>
      </w:r>
      <w:r>
        <w:rPr/>
        <w:t>制度执行情况进行监督。</w:t>
      </w:r>
    </w:p>
    <w:p>
      <w:pPr>
        <w:pStyle w:val="BodyText"/>
        <w:spacing w:line="240" w:lineRule="auto" w:before="70"/>
        <w:ind w:left="738" w:right="0"/>
        <w:jc w:val="both"/>
      </w:pPr>
      <w:r>
        <w:rPr/>
        <w:t>公司报告期内董事、监事和高级管理人员报酬情况</w:t>
      </w:r>
    </w:p>
    <w:p>
      <w:pPr>
        <w:spacing w:after="0" w:line="240" w:lineRule="auto"/>
        <w:jc w:val="both"/>
        <w:sectPr>
          <w:pgSz w:w="11910" w:h="16840"/>
          <w:pgMar w:header="0"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197"/>
        <w:gridCol w:w="1804"/>
        <w:gridCol w:w="597"/>
        <w:gridCol w:w="596"/>
        <w:gridCol w:w="1195"/>
        <w:gridCol w:w="1196"/>
        <w:gridCol w:w="1197"/>
        <w:gridCol w:w="1195"/>
      </w:tblGrid>
      <w:tr>
        <w:trPr>
          <w:trHeight w:val="55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2"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2" w:right="52"/>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1"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王相荣</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28.90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28.90</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26.90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张旭波</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董事、副总经理、董秘</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5" w:right="0"/>
              <w:jc w:val="left"/>
              <w:rPr>
                <w:rFonts w:ascii="宋体" w:hAnsi="宋体" w:cs="宋体" w:eastAsia="宋体" w:hint="default"/>
                <w:sz w:val="18"/>
                <w:szCs w:val="18"/>
              </w:rPr>
            </w:pPr>
            <w:r>
              <w:rPr>
                <w:rFonts w:ascii="宋体"/>
                <w:sz w:val="18"/>
              </w:rPr>
              <w:t>26.90</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王洪仁</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26.90</w:t>
            </w:r>
            <w:r>
              <w:rPr>
                <w:rFonts w:ascii="宋体" w:hAnsi="宋体" w:cs="宋体" w:eastAsia="宋体" w:hint="default"/>
                <w:sz w:val="18"/>
                <w:szCs w:val="18"/>
              </w:rPr>
              <w:t>【注】</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26.90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陈德平</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刘春</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3.67</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莫康孙</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1" w:right="0"/>
              <w:jc w:val="left"/>
              <w:rPr>
                <w:rFonts w:ascii="宋体" w:hAnsi="宋体" w:cs="宋体" w:eastAsia="宋体" w:hint="default"/>
                <w:sz w:val="18"/>
                <w:szCs w:val="18"/>
              </w:rPr>
            </w:pPr>
            <w:r>
              <w:rPr>
                <w:rFonts w:ascii="宋体"/>
                <w:sz w:val="18"/>
              </w:rPr>
              <w:t>3.67</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吴郁龙</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3.50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1" w:right="0"/>
              <w:jc w:val="left"/>
              <w:rPr>
                <w:rFonts w:ascii="宋体" w:hAnsi="宋体" w:cs="宋体" w:eastAsia="宋体" w:hint="default"/>
                <w:sz w:val="18"/>
                <w:szCs w:val="18"/>
              </w:rPr>
            </w:pPr>
            <w:r>
              <w:rPr>
                <w:rFonts w:ascii="宋体"/>
                <w:sz w:val="18"/>
              </w:rPr>
              <w:t>6.92</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6.92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6.92</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3.67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1" w:right="0"/>
              <w:jc w:val="left"/>
              <w:rPr>
                <w:rFonts w:ascii="宋体" w:hAnsi="宋体" w:cs="宋体" w:eastAsia="宋体" w:hint="default"/>
                <w:sz w:val="18"/>
                <w:szCs w:val="18"/>
              </w:rPr>
            </w:pPr>
            <w:r>
              <w:rPr>
                <w:rFonts w:ascii="宋体"/>
                <w:sz w:val="18"/>
              </w:rPr>
              <w:t>3.67</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靳明</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3.50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3.50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林仁勇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8.23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1" w:right="0"/>
              <w:jc w:val="left"/>
              <w:rPr>
                <w:rFonts w:ascii="宋体" w:hAnsi="宋体" w:cs="宋体" w:eastAsia="宋体" w:hint="default"/>
                <w:sz w:val="18"/>
                <w:szCs w:val="18"/>
              </w:rPr>
            </w:pPr>
            <w:r>
              <w:rPr>
                <w:rFonts w:ascii="宋体"/>
                <w:sz w:val="18"/>
              </w:rPr>
              <w:t>8.23</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颜灵强</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9.68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9.68</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程衍</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6.23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1" w:right="0"/>
              <w:jc w:val="left"/>
              <w:rPr>
                <w:rFonts w:ascii="宋体" w:hAnsi="宋体" w:cs="宋体" w:eastAsia="宋体" w:hint="default"/>
                <w:sz w:val="18"/>
                <w:szCs w:val="18"/>
              </w:rPr>
            </w:pPr>
            <w:r>
              <w:rPr>
                <w:rFonts w:ascii="宋体"/>
                <w:sz w:val="18"/>
              </w:rPr>
              <w:t>6.23</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陈林富</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26.90</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颜土富</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26.90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黄卿文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26.90</w:t>
            </w:r>
          </w:p>
        </w:tc>
      </w:tr>
      <w:tr>
        <w:trPr>
          <w:trHeight w:val="32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曾钦民</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26.90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26.90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25.40</w:t>
            </w:r>
            <w:r>
              <w:rPr>
                <w:rFonts w:ascii="宋体" w:hAnsi="宋体" w:cs="宋体" w:eastAsia="宋体" w:hint="default"/>
                <w:sz w:val="18"/>
                <w:szCs w:val="18"/>
              </w:rPr>
              <w:t>【注】</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sz w:val="18"/>
              </w:rPr>
              <w:t>25.40</w:t>
            </w:r>
          </w:p>
        </w:tc>
      </w:tr>
      <w:tr>
        <w:trPr>
          <w:trHeight w:val="32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298.59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1" w:right="0"/>
              <w:jc w:val="left"/>
              <w:rPr>
                <w:rFonts w:ascii="宋体" w:hAnsi="宋体" w:cs="宋体" w:eastAsia="宋体" w:hint="default"/>
                <w:sz w:val="18"/>
                <w:szCs w:val="18"/>
              </w:rPr>
            </w:pPr>
            <w:r>
              <w:rPr>
                <w:rFonts w:ascii="宋体"/>
                <w:sz w:val="18"/>
              </w:rPr>
              <w:t>298.59</w:t>
            </w:r>
          </w:p>
        </w:tc>
      </w:tr>
    </w:tbl>
    <w:p>
      <w:pPr>
        <w:pStyle w:val="BodyText"/>
        <w:spacing w:line="357" w:lineRule="auto" w:before="5"/>
        <w:ind w:left="438" w:right="1705"/>
        <w:jc w:val="both"/>
      </w:pPr>
      <w:r>
        <w:rPr>
          <w:spacing w:val="-3"/>
        </w:rPr>
        <w:t>【注】：离任董事王洪仁未在母公司领取报酬，而在控股子公司大农实业领取报酬，目前担</w:t>
      </w:r>
      <w:r>
        <w:rPr>
          <w:spacing w:val="-93"/>
        </w:rPr>
        <w:t> </w:t>
      </w:r>
      <w:r>
        <w:rPr>
          <w:spacing w:val="-93"/>
        </w:rPr>
      </w:r>
      <w:r>
        <w:rPr>
          <w:spacing w:val="-3"/>
        </w:rPr>
        <w:t>任大农实业董事长、总经理；副总经理郑晓东未在母公司领取报酬，而在控股子公司上海漫</w:t>
      </w:r>
      <w:r>
        <w:rPr>
          <w:spacing w:val="-73"/>
        </w:rPr>
        <w:t> </w:t>
      </w:r>
      <w:r>
        <w:rPr>
          <w:spacing w:val="-73"/>
        </w:rPr>
      </w:r>
      <w:r>
        <w:rPr/>
        <w:t>酷领取报酬；董事陈德平未在公司领取报酬，在公司股东单位中国水务投资有限公司领薪。</w:t>
      </w:r>
    </w:p>
    <w:p>
      <w:pPr>
        <w:pStyle w:val="BodyText"/>
        <w:spacing w:line="240" w:lineRule="auto" w:before="151"/>
        <w:ind w:left="438" w:right="0"/>
        <w:jc w:val="both"/>
      </w:pPr>
      <w:r>
        <w:rPr/>
        <w:t>公司董事、监事、高级管理人员报告期内被授予的股权激励情况</w:t>
      </w:r>
    </w:p>
    <w:p>
      <w:pPr>
        <w:pStyle w:val="BodyText"/>
        <w:spacing w:line="240" w:lineRule="auto" w:before="172"/>
        <w:ind w:left="438" w:right="0"/>
        <w:jc w:val="both"/>
      </w:pPr>
      <w:r>
        <w:rPr/>
        <w:t>□ 适用 √</w:t>
      </w:r>
      <w:r>
        <w:rPr>
          <w:spacing w:val="-2"/>
        </w:rPr>
        <w:t> </w:t>
      </w:r>
      <w:r>
        <w:rPr/>
        <w:t>不适用</w:t>
      </w:r>
    </w:p>
    <w:p>
      <w:pPr>
        <w:spacing w:line="240" w:lineRule="auto" w:before="0"/>
        <w:rPr>
          <w:rFonts w:ascii="宋体" w:hAnsi="宋体" w:cs="宋体" w:eastAsia="宋体" w:hint="default"/>
          <w:sz w:val="20"/>
          <w:szCs w:val="20"/>
        </w:rPr>
      </w:pPr>
    </w:p>
    <w:p>
      <w:pPr>
        <w:pStyle w:val="Heading2"/>
        <w:spacing w:line="240" w:lineRule="auto" w:before="167"/>
        <w:ind w:left="438" w:right="0"/>
        <w:jc w:val="both"/>
        <w:rPr>
          <w:b w:val="0"/>
          <w:bCs w:val="0"/>
        </w:rPr>
      </w:pPr>
      <w:bookmarkStart w:name="四、公司董事、监事、高级管理人员变动情况" w:id="87"/>
      <w:bookmarkEnd w:id="87"/>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433" w:type="dxa"/>
        <w:tblLayout w:type="fixed"/>
        <w:tblCellMar>
          <w:top w:w="0" w:type="dxa"/>
          <w:left w:w="0" w:type="dxa"/>
          <w:bottom w:w="0" w:type="dxa"/>
          <w:right w:w="0" w:type="dxa"/>
        </w:tblCellMar>
        <w:tblLook w:val="01E0"/>
      </w:tblPr>
      <w:tblGrid>
        <w:gridCol w:w="1330"/>
        <w:gridCol w:w="1331"/>
        <w:gridCol w:w="1330"/>
        <w:gridCol w:w="1482"/>
        <w:gridCol w:w="4248"/>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王洪仁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董事会换届及公司发展需要</w:t>
            </w: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吴郁龙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董事会换届及公司发展需要</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靳明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董事会换届及公司发展需要</w:t>
            </w: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董事会换届及公司发展需要</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莫康孙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董事会换届及公司发展需要</w:t>
            </w:r>
          </w:p>
        </w:tc>
      </w:tr>
      <w:tr>
        <w:trPr>
          <w:trHeight w:val="32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张翔</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董事会换届及公司发展需要</w:t>
            </w:r>
          </w:p>
        </w:tc>
      </w:tr>
      <w:tr>
        <w:trPr>
          <w:trHeight w:val="32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郑晓东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公司发展需要</w:t>
            </w:r>
          </w:p>
        </w:tc>
      </w:tr>
    </w:tbl>
    <w:p>
      <w:pPr>
        <w:spacing w:after="0" w:line="240" w:lineRule="auto"/>
        <w:jc w:val="left"/>
        <w:rPr>
          <w:rFonts w:ascii="宋体" w:hAnsi="宋体" w:cs="宋体" w:eastAsia="宋体" w:hint="default"/>
          <w:sz w:val="18"/>
          <w:szCs w:val="18"/>
        </w:rPr>
        <w:sectPr>
          <w:pgSz w:w="11910" w:h="16840"/>
          <w:pgMar w:header="0" w:footer="938" w:top="1100" w:bottom="1120" w:left="1360" w:right="0"/>
        </w:sectPr>
      </w:pPr>
    </w:p>
    <w:p>
      <w:pPr>
        <w:spacing w:line="240" w:lineRule="auto" w:before="7"/>
        <w:rPr>
          <w:rFonts w:ascii="宋体" w:hAnsi="宋体" w:cs="宋体" w:eastAsia="宋体" w:hint="default"/>
          <w:b/>
          <w:bCs/>
          <w:sz w:val="19"/>
          <w:szCs w:val="19"/>
        </w:rPr>
      </w:pPr>
    </w:p>
    <w:p>
      <w:pPr>
        <w:pStyle w:val="Heading2"/>
        <w:spacing w:line="312" w:lineRule="exact" w:before="56"/>
        <w:ind w:left="137" w:right="1795"/>
        <w:jc w:val="left"/>
        <w:rPr>
          <w:b w:val="0"/>
          <w:bCs w:val="0"/>
        </w:rPr>
      </w:pPr>
      <w:bookmarkStart w:name="五、报告期核心技术团队或关键技术人员变动情况（非董事、监事、高级管理人员）" w:id="88"/>
      <w:bookmarkEnd w:id="88"/>
      <w:r>
        <w:rPr>
          <w:b w:val="0"/>
          <w:bCs w:val="0"/>
        </w:rPr>
      </w:r>
      <w:r>
        <w:rPr>
          <w:spacing w:val="3"/>
        </w:rPr>
        <w:t>五、报告期核心技术团队或关键技术人员变动情况（非董事、监事、高级管理</w:t>
      </w:r>
      <w:r>
        <w:rPr>
          <w:w w:val="99"/>
        </w:rPr>
        <w:t> </w:t>
      </w:r>
      <w:r>
        <w:rPr/>
        <w:t>人员）</w:t>
      </w:r>
      <w:r>
        <w:rPr>
          <w:b w:val="0"/>
          <w:bCs w:val="0"/>
        </w:rPr>
      </w:r>
    </w:p>
    <w:p>
      <w:pPr>
        <w:spacing w:line="240" w:lineRule="auto" w:before="1"/>
        <w:rPr>
          <w:rFonts w:ascii="宋体" w:hAnsi="宋体" w:cs="宋体" w:eastAsia="宋体" w:hint="default"/>
          <w:b/>
          <w:bCs/>
          <w:sz w:val="21"/>
          <w:szCs w:val="21"/>
        </w:rPr>
      </w:pPr>
    </w:p>
    <w:p>
      <w:pPr>
        <w:pStyle w:val="BodyText"/>
        <w:spacing w:line="357" w:lineRule="auto" w:before="0"/>
        <w:ind w:right="1684" w:firstLine="420"/>
        <w:jc w:val="left"/>
      </w:pPr>
      <w:r>
        <w:rPr>
          <w:spacing w:val="-3"/>
        </w:rPr>
        <w:t>报告期内，公司核心技术团队及关键技术人员等对公司核心竞争力有重大影响的人员未</w:t>
      </w:r>
      <w:r>
        <w:rPr/>
        <w:t> 发生变动。</w:t>
      </w:r>
    </w:p>
    <w:p>
      <w:pPr>
        <w:spacing w:line="240" w:lineRule="auto" w:before="12"/>
        <w:rPr>
          <w:rFonts w:ascii="宋体" w:hAnsi="宋体" w:cs="宋体" w:eastAsia="宋体" w:hint="default"/>
          <w:sz w:val="24"/>
          <w:szCs w:val="24"/>
        </w:rPr>
      </w:pPr>
    </w:p>
    <w:p>
      <w:pPr>
        <w:pStyle w:val="Heading2"/>
        <w:spacing w:line="240" w:lineRule="auto"/>
        <w:ind w:left="138" w:right="0"/>
        <w:jc w:val="left"/>
        <w:rPr>
          <w:b w:val="0"/>
          <w:bCs w:val="0"/>
        </w:rPr>
      </w:pPr>
      <w:bookmarkStart w:name="六、公司员工情况" w:id="89"/>
      <w:bookmarkEnd w:id="89"/>
      <w:r>
        <w:rPr>
          <w:b w:val="0"/>
          <w:bCs w:val="0"/>
        </w:rPr>
      </w:r>
      <w:r>
        <w:rPr/>
        <w:t>六、公司员工情况</w:t>
      </w:r>
      <w:r>
        <w:rPr>
          <w:b w:val="0"/>
          <w:bCs w:val="0"/>
        </w:rPr>
      </w:r>
    </w:p>
    <w:p>
      <w:pPr>
        <w:spacing w:line="240" w:lineRule="auto" w:before="2"/>
        <w:rPr>
          <w:rFonts w:ascii="宋体" w:hAnsi="宋体" w:cs="宋体" w:eastAsia="宋体" w:hint="default"/>
          <w:b/>
          <w:bCs/>
          <w:sz w:val="23"/>
          <w:szCs w:val="23"/>
        </w:rPr>
      </w:pPr>
    </w:p>
    <w:p>
      <w:pPr>
        <w:pStyle w:val="BodyText"/>
        <w:spacing w:line="391" w:lineRule="auto" w:before="0"/>
        <w:ind w:left="560" w:right="1700" w:hanging="3"/>
        <w:jc w:val="left"/>
        <w:rPr>
          <w:rFonts w:ascii="宋体" w:hAnsi="宋体" w:cs="宋体" w:eastAsia="宋体" w:hint="default"/>
        </w:rPr>
      </w:pPr>
      <w:r>
        <w:rPr/>
        <w:t>截止</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2"/>
        </w:rPr>
        <w:t> </w:t>
      </w:r>
      <w:r>
        <w:rPr/>
        <w:t>月</w:t>
      </w:r>
      <w:r>
        <w:rPr>
          <w:spacing w:val="-54"/>
        </w:rPr>
        <w:t> </w:t>
      </w:r>
      <w:r>
        <w:rPr>
          <w:rFonts w:ascii="宋体" w:hAnsi="宋体" w:cs="宋体" w:eastAsia="宋体" w:hint="default"/>
        </w:rPr>
        <w:t>31</w:t>
      </w:r>
      <w:r>
        <w:rPr>
          <w:rFonts w:ascii="宋体" w:hAnsi="宋体" w:cs="宋体" w:eastAsia="宋体" w:hint="default"/>
          <w:spacing w:val="-2"/>
        </w:rPr>
        <w:t> </w:t>
      </w:r>
      <w:r>
        <w:rPr/>
        <w:t>日，公司及子公司在职员工合计</w:t>
      </w:r>
      <w:r>
        <w:rPr>
          <w:spacing w:val="-53"/>
        </w:rPr>
        <w:t> </w:t>
      </w:r>
      <w:r>
        <w:rPr>
          <w:rFonts w:ascii="宋体" w:hAnsi="宋体" w:cs="宋体" w:eastAsia="宋体" w:hint="default"/>
        </w:rPr>
        <w:t>4,699</w:t>
      </w:r>
      <w:r>
        <w:rPr>
          <w:rFonts w:ascii="宋体" w:hAnsi="宋体" w:cs="宋体" w:eastAsia="宋体" w:hint="default"/>
          <w:spacing w:val="-53"/>
        </w:rPr>
        <w:t> </w:t>
      </w:r>
      <w:r>
        <w:rPr/>
        <w:t>人。员工构成情况如下： </w:t>
      </w:r>
      <w:r>
        <w:rPr>
          <w:rFonts w:ascii="宋体" w:hAnsi="宋体" w:cs="宋体" w:eastAsia="宋体" w:hint="default"/>
          <w:b/>
          <w:bCs/>
        </w:rPr>
        <w:t>1</w:t>
      </w:r>
      <w:r>
        <w:rPr>
          <w:rFonts w:ascii="宋体" w:hAnsi="宋体" w:cs="宋体" w:eastAsia="宋体" w:hint="default"/>
          <w:b/>
          <w:bCs/>
        </w:rPr>
        <w:t>、专业构成</w:t>
      </w:r>
      <w:r>
        <w:rPr>
          <w:rFonts w:ascii="宋体" w:hAnsi="宋体" w:cs="宋体" w:eastAsia="宋体" w:hint="default"/>
        </w:rPr>
      </w:r>
    </w:p>
    <w:p>
      <w:pPr>
        <w:spacing w:line="240" w:lineRule="auto" w:before="10"/>
        <w:rPr>
          <w:rFonts w:ascii="宋体" w:hAnsi="宋体" w:cs="宋体" w:eastAsia="宋体" w:hint="default"/>
          <w:b/>
          <w:bCs/>
          <w:sz w:val="5"/>
          <w:szCs w:val="5"/>
        </w:rPr>
      </w:pPr>
    </w:p>
    <w:tbl>
      <w:tblPr>
        <w:tblW w:w="0" w:type="auto"/>
        <w:jc w:val="left"/>
        <w:tblInd w:w="1213" w:type="dxa"/>
        <w:tblLayout w:type="fixed"/>
        <w:tblCellMar>
          <w:top w:w="0" w:type="dxa"/>
          <w:left w:w="0" w:type="dxa"/>
          <w:bottom w:w="0" w:type="dxa"/>
          <w:right w:w="0" w:type="dxa"/>
        </w:tblCellMar>
        <w:tblLook w:val="01E0"/>
      </w:tblPr>
      <w:tblGrid>
        <w:gridCol w:w="3201"/>
        <w:gridCol w:w="1295"/>
        <w:gridCol w:w="1661"/>
      </w:tblGrid>
      <w:tr>
        <w:trPr>
          <w:trHeight w:val="402" w:hRule="exact"/>
        </w:trPr>
        <w:tc>
          <w:tcPr>
            <w:tcW w:w="3201"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1295"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1661"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402" w:hRule="exact"/>
        </w:trPr>
        <w:tc>
          <w:tcPr>
            <w:tcW w:w="3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3,090</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65.76%</w:t>
            </w:r>
          </w:p>
        </w:tc>
      </w:tr>
      <w:tr>
        <w:trPr>
          <w:trHeight w:val="402" w:hRule="exact"/>
        </w:trPr>
        <w:tc>
          <w:tcPr>
            <w:tcW w:w="3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642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13.66%</w:t>
            </w:r>
          </w:p>
        </w:tc>
      </w:tr>
      <w:tr>
        <w:trPr>
          <w:trHeight w:val="402" w:hRule="exact"/>
        </w:trPr>
        <w:tc>
          <w:tcPr>
            <w:tcW w:w="3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91</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1.94%</w:t>
            </w:r>
          </w:p>
        </w:tc>
      </w:tr>
      <w:tr>
        <w:trPr>
          <w:trHeight w:val="402" w:hRule="exact"/>
        </w:trPr>
        <w:tc>
          <w:tcPr>
            <w:tcW w:w="3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324</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sz w:val="18"/>
              </w:rPr>
              <w:t>6.90%</w:t>
            </w:r>
          </w:p>
        </w:tc>
      </w:tr>
      <w:tr>
        <w:trPr>
          <w:trHeight w:val="402" w:hRule="exact"/>
        </w:trPr>
        <w:tc>
          <w:tcPr>
            <w:tcW w:w="3201" w:type="dxa"/>
            <w:tcBorders>
              <w:top w:val="single" w:sz="2" w:space="0" w:color="000000"/>
              <w:left w:val="single" w:sz="2" w:space="0" w:color="000000"/>
              <w:bottom w:val="single" w:sz="2" w:space="0" w:color="000000"/>
              <w:right w:val="single" w:sz="2" w:space="0" w:color="000000"/>
            </w:tcBorders>
          </w:tcPr>
          <w:p>
            <w:pPr>
              <w:pStyle w:val="TableParagraph"/>
              <w:tabs>
                <w:tab w:pos="539" w:val="left" w:leader="none"/>
              </w:tabs>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w:t>
              <w:tab/>
              <w:t>他</w:t>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552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sz w:val="18"/>
              </w:rPr>
              <w:t>11.75%</w:t>
            </w:r>
          </w:p>
        </w:tc>
      </w:tr>
      <w:tr>
        <w:trPr>
          <w:trHeight w:val="402" w:hRule="exact"/>
        </w:trPr>
        <w:tc>
          <w:tcPr>
            <w:tcW w:w="32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2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4,699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100.00%</w:t>
            </w:r>
          </w:p>
        </w:tc>
      </w:tr>
    </w:tbl>
    <w:p>
      <w:pPr>
        <w:spacing w:line="240" w:lineRule="auto" w:before="10"/>
        <w:rPr>
          <w:rFonts w:ascii="宋体" w:hAnsi="宋体" w:cs="宋体" w:eastAsia="宋体" w:hint="default"/>
          <w:b/>
          <w:bCs/>
          <w:sz w:val="17"/>
          <w:szCs w:val="17"/>
        </w:rPr>
      </w:pPr>
    </w:p>
    <w:p>
      <w:pPr>
        <w:spacing w:line="4070" w:lineRule="exact"/>
        <w:ind w:left="68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84024" cy="2584704"/>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2" cstate="print"/>
                    <a:stretch>
                      <a:fillRect/>
                    </a:stretch>
                  </pic:blipFill>
                  <pic:spPr>
                    <a:xfrm>
                      <a:off x="0" y="0"/>
                      <a:ext cx="4584024" cy="2584704"/>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10"/>
        <w:rPr>
          <w:rFonts w:ascii="宋体" w:hAnsi="宋体" w:cs="宋体" w:eastAsia="宋体" w:hint="default"/>
          <w:b/>
          <w:bCs/>
          <w:sz w:val="15"/>
          <w:szCs w:val="15"/>
        </w:rPr>
      </w:pPr>
    </w:p>
    <w:p>
      <w:pPr>
        <w:pStyle w:val="Heading3"/>
        <w:spacing w:line="240" w:lineRule="auto" w:before="35"/>
        <w:ind w:left="560" w:right="0"/>
        <w:jc w:val="left"/>
        <w:rPr>
          <w:b w:val="0"/>
          <w:bCs w:val="0"/>
        </w:rPr>
      </w:pPr>
      <w:r>
        <w:rPr>
          <w:rFonts w:ascii="宋体" w:hAnsi="宋体" w:cs="宋体" w:eastAsia="宋体" w:hint="default"/>
        </w:rPr>
        <w:t>2</w:t>
      </w:r>
      <w:r>
        <w:rPr/>
        <w:t>、教育程度</w:t>
      </w:r>
      <w:r>
        <w:rPr>
          <w:b w:val="0"/>
          <w:bCs w:val="0"/>
        </w:rPr>
      </w:r>
    </w:p>
    <w:p>
      <w:pPr>
        <w:spacing w:line="240" w:lineRule="auto" w:before="12"/>
        <w:rPr>
          <w:rFonts w:ascii="宋体" w:hAnsi="宋体" w:cs="宋体" w:eastAsia="宋体" w:hint="default"/>
          <w:b/>
          <w:bCs/>
          <w:sz w:val="15"/>
          <w:szCs w:val="15"/>
        </w:rPr>
      </w:pPr>
    </w:p>
    <w:tbl>
      <w:tblPr>
        <w:tblW w:w="0" w:type="auto"/>
        <w:jc w:val="left"/>
        <w:tblInd w:w="1063" w:type="dxa"/>
        <w:tblLayout w:type="fixed"/>
        <w:tblCellMar>
          <w:top w:w="0" w:type="dxa"/>
          <w:left w:w="0" w:type="dxa"/>
          <w:bottom w:w="0" w:type="dxa"/>
          <w:right w:w="0" w:type="dxa"/>
        </w:tblCellMar>
        <w:tblLook w:val="01E0"/>
      </w:tblPr>
      <w:tblGrid>
        <w:gridCol w:w="3216"/>
        <w:gridCol w:w="1578"/>
        <w:gridCol w:w="1662"/>
      </w:tblGrid>
      <w:tr>
        <w:trPr>
          <w:trHeight w:val="402" w:hRule="exact"/>
        </w:trPr>
        <w:tc>
          <w:tcPr>
            <w:tcW w:w="3216"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学历程度构成</w:t>
            </w:r>
            <w:r>
              <w:rPr>
                <w:rFonts w:ascii="宋体" w:hAnsi="宋体" w:cs="宋体" w:eastAsia="宋体" w:hint="default"/>
                <w:sz w:val="18"/>
                <w:szCs w:val="18"/>
              </w:rPr>
            </w:r>
          </w:p>
        </w:tc>
        <w:tc>
          <w:tcPr>
            <w:tcW w:w="1578"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1662" w:type="dxa"/>
            <w:tcBorders>
              <w:top w:val="single" w:sz="2" w:space="0" w:color="000000"/>
              <w:left w:val="single" w:sz="2" w:space="0" w:color="000000"/>
              <w:bottom w:val="single" w:sz="2" w:space="0" w:color="000000"/>
              <w:right w:val="single" w:sz="2" w:space="0" w:color="000000"/>
            </w:tcBorders>
            <w:shd w:val="clear" w:color="auto" w:fill="DFDFD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占总人数的比例</w:t>
            </w:r>
            <w:r>
              <w:rPr>
                <w:rFonts w:ascii="宋体" w:hAnsi="宋体" w:cs="宋体" w:eastAsia="宋体" w:hint="default"/>
                <w:sz w:val="18"/>
                <w:szCs w:val="18"/>
              </w:rPr>
            </w:r>
          </w:p>
        </w:tc>
      </w:tr>
      <w:tr>
        <w:trPr>
          <w:trHeight w:val="402" w:hRule="exact"/>
        </w:trPr>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中专及中专以上</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2,651</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56.42%</w:t>
            </w:r>
          </w:p>
        </w:tc>
      </w:tr>
      <w:tr>
        <w:trPr>
          <w:trHeight w:val="402" w:hRule="exact"/>
        </w:trPr>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2,048</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43.58%</w:t>
            </w:r>
          </w:p>
        </w:tc>
      </w:tr>
      <w:tr>
        <w:trPr>
          <w:trHeight w:val="402" w:hRule="exact"/>
        </w:trPr>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5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4,699</w:t>
            </w:r>
          </w:p>
        </w:tc>
        <w:tc>
          <w:tcPr>
            <w:tcW w:w="16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100.00%</w:t>
            </w:r>
          </w:p>
        </w:tc>
      </w:tr>
    </w:tbl>
    <w:p>
      <w:pPr>
        <w:spacing w:after="0" w:line="240" w:lineRule="auto"/>
        <w:jc w:val="center"/>
        <w:rPr>
          <w:rFonts w:ascii="宋体" w:hAnsi="宋体" w:cs="宋体" w:eastAsia="宋体" w:hint="default"/>
          <w:sz w:val="18"/>
          <w:szCs w:val="18"/>
        </w:rPr>
        <w:sectPr>
          <w:pgSz w:w="11910" w:h="16840"/>
          <w:pgMar w:header="0" w:footer="938" w:top="1100" w:bottom="1120" w:left="1660" w:right="0"/>
        </w:sectPr>
      </w:pPr>
    </w:p>
    <w:p>
      <w:pPr>
        <w:spacing w:line="240" w:lineRule="auto" w:before="6"/>
        <w:rPr>
          <w:rFonts w:ascii="宋体" w:hAnsi="宋体" w:cs="宋体" w:eastAsia="宋体" w:hint="default"/>
          <w:b/>
          <w:bCs/>
          <w:sz w:val="24"/>
          <w:szCs w:val="24"/>
        </w:rPr>
      </w:pPr>
    </w:p>
    <w:p>
      <w:pPr>
        <w:spacing w:line="4339" w:lineRule="exact"/>
        <w:ind w:left="68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3854" cy="2755392"/>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4583854" cy="2755392"/>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2"/>
        <w:rPr>
          <w:rFonts w:ascii="宋体" w:hAnsi="宋体" w:cs="宋体" w:eastAsia="宋体" w:hint="default"/>
          <w:b/>
          <w:bCs/>
          <w:sz w:val="13"/>
          <w:szCs w:val="13"/>
        </w:rPr>
      </w:pPr>
    </w:p>
    <w:p>
      <w:pPr>
        <w:pStyle w:val="BodyText"/>
        <w:spacing w:line="240" w:lineRule="auto" w:before="35"/>
        <w:ind w:left="557" w:right="0"/>
        <w:jc w:val="left"/>
      </w:pPr>
      <w:r>
        <w:rPr/>
        <w:t>注：公司需要承担费用的离退休职工</w:t>
      </w:r>
      <w:r>
        <w:rPr>
          <w:spacing w:val="-52"/>
        </w:rPr>
        <w:t> </w:t>
      </w:r>
      <w:r>
        <w:rPr>
          <w:rFonts w:ascii="宋体" w:hAnsi="宋体" w:cs="宋体" w:eastAsia="宋体" w:hint="default"/>
        </w:rPr>
        <w:t>0</w:t>
      </w:r>
      <w:r>
        <w:rPr>
          <w:rFonts w:ascii="宋体" w:hAnsi="宋体" w:cs="宋体" w:eastAsia="宋体" w:hint="default"/>
          <w:spacing w:val="-52"/>
        </w:rPr>
        <w:t> </w:t>
      </w:r>
      <w:r>
        <w:rPr/>
        <w:t>人。</w:t>
      </w:r>
    </w:p>
    <w:p>
      <w:pPr>
        <w:spacing w:line="240" w:lineRule="auto" w:before="7"/>
        <w:rPr>
          <w:rFonts w:ascii="宋体" w:hAnsi="宋体" w:cs="宋体" w:eastAsia="宋体" w:hint="default"/>
          <w:sz w:val="28"/>
          <w:szCs w:val="28"/>
        </w:rPr>
      </w:pPr>
    </w:p>
    <w:p>
      <w:pPr>
        <w:pStyle w:val="BodyText"/>
        <w:spacing w:line="357" w:lineRule="auto" w:before="0"/>
        <w:ind w:right="1792" w:firstLine="420"/>
        <w:jc w:val="both"/>
      </w:pPr>
      <w:r>
        <w:rPr>
          <w:spacing w:val="-3"/>
        </w:rPr>
        <w:t>公司及控股子公司实行劳动合同制，与员工签订《劳动合同》，员工按照与公司签订的</w:t>
      </w:r>
      <w:r>
        <w:rPr/>
        <w:t> </w:t>
      </w:r>
      <w:r>
        <w:rPr>
          <w:spacing w:val="-3"/>
        </w:rPr>
        <w:t>劳动合同承担义务和享受权利。公司根据相关法律、法规之规定执行劳动保护制度、社会保</w:t>
      </w:r>
      <w:r>
        <w:rPr>
          <w:spacing w:val="-72"/>
        </w:rPr>
        <w:t> </w:t>
      </w:r>
      <w:r>
        <w:rPr>
          <w:spacing w:val="-72"/>
        </w:rPr>
      </w:r>
      <w:r>
        <w:rPr>
          <w:spacing w:val="-3"/>
        </w:rPr>
        <w:t>障制度，公司员工参加基本养老保险、基本医疗保险、失业保险、生育保险、工伤保险等各</w:t>
      </w:r>
      <w:r>
        <w:rPr>
          <w:spacing w:val="-78"/>
        </w:rPr>
        <w:t> </w:t>
      </w:r>
      <w:r>
        <w:rPr>
          <w:spacing w:val="-78"/>
        </w:rPr>
      </w:r>
      <w:r>
        <w:rPr/>
        <w:t>类社会保险。</w:t>
      </w:r>
    </w:p>
    <w:p>
      <w:pPr>
        <w:spacing w:line="240" w:lineRule="auto" w:before="10"/>
        <w:rPr>
          <w:rFonts w:ascii="宋体" w:hAnsi="宋体" w:cs="宋体" w:eastAsia="宋体" w:hint="default"/>
          <w:sz w:val="20"/>
          <w:szCs w:val="20"/>
        </w:rPr>
      </w:pPr>
    </w:p>
    <w:p>
      <w:pPr>
        <w:pStyle w:val="BodyText"/>
        <w:spacing w:line="357" w:lineRule="auto" w:before="0"/>
        <w:ind w:left="138" w:right="1673" w:firstLine="420"/>
        <w:jc w:val="left"/>
      </w:pPr>
      <w:r>
        <w:rPr>
          <w:spacing w:val="-5"/>
        </w:rPr>
        <w:t>公司建立了员工培训机制，并根据生产经营的需要、员工业务、管理素质提升的需求等，</w:t>
      </w:r>
      <w:r>
        <w:rPr/>
        <w:t> </w:t>
      </w:r>
      <w:r>
        <w:rPr>
          <w:spacing w:val="-3"/>
        </w:rPr>
        <w:t>采取内部培训与外派培训相结合的方式，制定培训计划，提升团队素质，以保证既定经营目</w:t>
      </w:r>
      <w:r>
        <w:rPr>
          <w:spacing w:val="-72"/>
        </w:rPr>
        <w:t> </w:t>
      </w:r>
      <w:r>
        <w:rPr>
          <w:spacing w:val="-72"/>
        </w:rPr>
      </w:r>
      <w:r>
        <w:rPr/>
        <w:t>标的实现以及企业、员工的双向可持续发展。</w:t>
      </w:r>
    </w:p>
    <w:p>
      <w:pPr>
        <w:spacing w:after="0" w:line="357" w:lineRule="auto"/>
        <w:jc w:val="left"/>
        <w:sectPr>
          <w:pgSz w:w="11910" w:h="16840"/>
          <w:pgMar w:header="0" w:footer="938" w:top="1100" w:bottom="1120" w:left="16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88" w:right="0"/>
        <w:jc w:val="left"/>
        <w:rPr>
          <w:b w:val="0"/>
          <w:bCs w:val="0"/>
        </w:rPr>
      </w:pPr>
      <w:bookmarkStart w:name="第九节 公司治理" w:id="90"/>
      <w:bookmarkEnd w:id="90"/>
      <w:r>
        <w:rPr>
          <w:b w:val="0"/>
          <w:bCs w:val="0"/>
        </w:rPr>
      </w:r>
      <w:bookmarkStart w:name="_bookmark8" w:id="91"/>
      <w:bookmarkEnd w:id="9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left="137" w:right="0"/>
        <w:jc w:val="both"/>
        <w:rPr>
          <w:b w:val="0"/>
          <w:bCs w:val="0"/>
        </w:rPr>
      </w:pPr>
      <w:bookmarkStart w:name="一、公司治理的基本状况" w:id="92"/>
      <w:bookmarkEnd w:id="92"/>
      <w:r>
        <w:rPr>
          <w:b w:val="0"/>
          <w:bCs w:val="0"/>
        </w:rPr>
      </w:r>
      <w:r>
        <w:rPr/>
        <w:t>一、公司治理的基本状况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792" w:firstLine="420"/>
        <w:jc w:val="both"/>
      </w:pPr>
      <w:r>
        <w:rPr>
          <w:spacing w:val="-3"/>
        </w:rPr>
        <w:t>公司上市以来，严格按照《公司法》、《证券法》及《上市公司治理准则》、《上市公</w:t>
      </w:r>
      <w:r>
        <w:rPr/>
        <w:t> </w:t>
      </w:r>
      <w:r>
        <w:rPr>
          <w:spacing w:val="-3"/>
        </w:rPr>
        <w:t>司章程指引》、《深圳证券交易所股票上市规则》、《深圳证券交易所中小企业板上市公司</w:t>
      </w:r>
      <w:r>
        <w:rPr>
          <w:spacing w:val="-77"/>
        </w:rPr>
        <w:t> </w:t>
      </w:r>
      <w:r>
        <w:rPr>
          <w:spacing w:val="-77"/>
        </w:rPr>
      </w:r>
      <w:r>
        <w:rPr>
          <w:spacing w:val="-3"/>
        </w:rPr>
        <w:t>规范运作指引》等法律法规的要求，不断完善公司法人治理结构，建立现代企业制度，自觉</w:t>
      </w:r>
      <w:r>
        <w:rPr>
          <w:spacing w:val="-73"/>
        </w:rPr>
        <w:t> </w:t>
      </w:r>
      <w:r>
        <w:rPr>
          <w:spacing w:val="-73"/>
        </w:rPr>
      </w:r>
      <w:r>
        <w:rPr/>
        <w:t>履行信息披露义务，做好投资者关系管理，促进企业规范运作水平的不断提升。</w:t>
      </w:r>
    </w:p>
    <w:p>
      <w:pPr>
        <w:pStyle w:val="BodyText"/>
        <w:spacing w:line="355" w:lineRule="auto"/>
        <w:ind w:right="1794" w:firstLine="420"/>
        <w:jc w:val="both"/>
      </w:pPr>
      <w:r>
        <w:rPr>
          <w:spacing w:val="-8"/>
        </w:rPr>
        <w:t>报告期内，公司根据相关法律法规的规定，结合公司的实际情况，对《公司章程》、《股</w:t>
      </w:r>
      <w:r>
        <w:rPr/>
        <w:t> 东大会议事规则》和《募集资金管理制度》进行了修订。</w:t>
      </w:r>
    </w:p>
    <w:p>
      <w:pPr>
        <w:pStyle w:val="BodyText"/>
        <w:spacing w:line="355" w:lineRule="auto" w:before="33"/>
        <w:ind w:left="558" w:right="0"/>
        <w:jc w:val="left"/>
      </w:pPr>
      <w:r>
        <w:rPr>
          <w:rFonts w:ascii="宋体" w:hAnsi="宋体" w:cs="宋体" w:eastAsia="宋体" w:hint="default"/>
        </w:rPr>
        <w:t>1</w:t>
      </w:r>
      <w:r>
        <w:rPr/>
        <w:t>、关于股东和股东大会 </w:t>
      </w:r>
      <w:r>
        <w:rPr>
          <w:spacing w:val="-3"/>
        </w:rPr>
        <w:t>报告期内，公司严格按照《公司法》、《上市公司股东大会规则》、《上市公司治理准</w:t>
      </w:r>
    </w:p>
    <w:p>
      <w:pPr>
        <w:pStyle w:val="BodyText"/>
        <w:spacing w:line="357" w:lineRule="auto" w:before="33"/>
        <w:ind w:left="138" w:right="1793"/>
        <w:jc w:val="both"/>
      </w:pPr>
      <w:r>
        <w:rPr>
          <w:spacing w:val="-3"/>
        </w:rPr>
        <w:t>则》等法律、法规的规定和《公司章程》、《股东大会议事规则》的规定，规范股东大会召</w:t>
      </w:r>
      <w:r>
        <w:rPr>
          <w:spacing w:val="-75"/>
        </w:rPr>
        <w:t> </w:t>
      </w:r>
      <w:r>
        <w:rPr>
          <w:spacing w:val="-75"/>
        </w:rPr>
      </w:r>
      <w:r>
        <w:rPr>
          <w:spacing w:val="-3"/>
        </w:rPr>
        <w:t>集、召开、表决程序，聘请律师列席股东大会并对股东大会的召开和表决程序出具法律意见</w:t>
      </w:r>
      <w:r>
        <w:rPr>
          <w:spacing w:val="-74"/>
        </w:rPr>
        <w:t> </w:t>
      </w:r>
      <w:r>
        <w:rPr>
          <w:spacing w:val="-74"/>
        </w:rPr>
      </w:r>
      <w:r>
        <w:rPr/>
        <w:t>书，确保所有股东特别是中小股东享有平等地位，充分行使权利。</w:t>
      </w:r>
    </w:p>
    <w:p>
      <w:pPr>
        <w:pStyle w:val="BodyText"/>
        <w:spacing w:line="357" w:lineRule="auto"/>
        <w:ind w:left="558" w:right="0"/>
        <w:jc w:val="left"/>
      </w:pPr>
      <w:r>
        <w:rPr>
          <w:rFonts w:ascii="宋体" w:hAnsi="宋体" w:cs="宋体" w:eastAsia="宋体" w:hint="default"/>
        </w:rPr>
        <w:t>2</w:t>
      </w:r>
      <w:r>
        <w:rPr/>
        <w:t>、关于董事和董事会 </w:t>
      </w:r>
      <w:r>
        <w:rPr>
          <w:spacing w:val="-3"/>
        </w:rPr>
        <w:t>报告期末，公司董事会有</w:t>
      </w:r>
      <w:r>
        <w:rPr>
          <w:rFonts w:ascii="宋体" w:hAnsi="宋体" w:cs="宋体" w:eastAsia="宋体" w:hint="default"/>
          <w:spacing w:val="-3"/>
        </w:rPr>
        <w:t>9</w:t>
      </w:r>
      <w:r>
        <w:rPr>
          <w:spacing w:val="-3"/>
        </w:rPr>
        <w:t>名董事，其中独立董事</w:t>
      </w:r>
      <w:r>
        <w:rPr>
          <w:rFonts w:ascii="宋体" w:hAnsi="宋体" w:cs="宋体" w:eastAsia="宋体" w:hint="default"/>
          <w:spacing w:val="-3"/>
        </w:rPr>
        <w:t>3</w:t>
      </w:r>
      <w:r>
        <w:rPr>
          <w:spacing w:val="-3"/>
        </w:rPr>
        <w:t>名，董事会的人数及人员构成符合法</w:t>
      </w:r>
    </w:p>
    <w:p>
      <w:pPr>
        <w:pStyle w:val="BodyText"/>
        <w:spacing w:line="357" w:lineRule="auto" w:before="31"/>
        <w:ind w:left="138" w:right="1792"/>
        <w:jc w:val="both"/>
      </w:pPr>
      <w:r>
        <w:rPr>
          <w:spacing w:val="-3"/>
        </w:rPr>
        <w:t>律法规和《公司章程》的要求。公司严格按照《公司法》、《公司章程》、《董事会议事规</w:t>
      </w:r>
      <w:r>
        <w:rPr>
          <w:spacing w:val="-78"/>
        </w:rPr>
        <w:t> </w:t>
      </w:r>
      <w:r>
        <w:rPr>
          <w:spacing w:val="-78"/>
        </w:rPr>
      </w:r>
      <w:r>
        <w:rPr>
          <w:spacing w:val="-3"/>
        </w:rPr>
        <w:t>则》的规定召开会议。公司各位董事能够勤勉尽责，按时参加报告期内的董事会会议，科学</w:t>
      </w:r>
      <w:r>
        <w:rPr>
          <w:spacing w:val="-73"/>
        </w:rPr>
        <w:t> </w:t>
      </w:r>
      <w:r>
        <w:rPr>
          <w:spacing w:val="-73"/>
        </w:rPr>
      </w:r>
      <w:r>
        <w:rPr>
          <w:spacing w:val="-3"/>
        </w:rPr>
        <w:t>决策，维护公司和股东利益。董事会下设的专门委员会，各尽其责。独立董事能够独立、公</w:t>
      </w:r>
      <w:r>
        <w:rPr>
          <w:spacing w:val="-78"/>
        </w:rPr>
        <w:t> </w:t>
      </w:r>
      <w:r>
        <w:rPr>
          <w:spacing w:val="-78"/>
        </w:rPr>
      </w:r>
      <w:r>
        <w:rPr/>
        <w:t>正的履行职责。</w:t>
      </w:r>
    </w:p>
    <w:p>
      <w:pPr>
        <w:pStyle w:val="BodyText"/>
        <w:spacing w:line="355" w:lineRule="auto" w:before="31"/>
        <w:ind w:left="558" w:right="0"/>
        <w:jc w:val="left"/>
      </w:pPr>
      <w:r>
        <w:rPr>
          <w:rFonts w:ascii="宋体" w:hAnsi="宋体" w:cs="宋体" w:eastAsia="宋体" w:hint="default"/>
        </w:rPr>
        <w:t>3</w:t>
      </w:r>
      <w:r>
        <w:rPr/>
        <w:t>、关于监事和监事会 </w:t>
      </w:r>
      <w:r>
        <w:rPr>
          <w:spacing w:val="-3"/>
        </w:rPr>
        <w:t>公司监事会有</w:t>
      </w:r>
      <w:r>
        <w:rPr>
          <w:rFonts w:ascii="宋体" w:hAnsi="宋体" w:cs="宋体" w:eastAsia="宋体" w:hint="default"/>
          <w:spacing w:val="-3"/>
        </w:rPr>
        <w:t>3</w:t>
      </w:r>
      <w:r>
        <w:rPr>
          <w:spacing w:val="-3"/>
        </w:rPr>
        <w:t>名监事，其中职工监事</w:t>
      </w:r>
      <w:r>
        <w:rPr>
          <w:rFonts w:ascii="宋体" w:hAnsi="宋体" w:cs="宋体" w:eastAsia="宋体" w:hint="default"/>
          <w:spacing w:val="-3"/>
        </w:rPr>
        <w:t>1</w:t>
      </w:r>
      <w:r>
        <w:rPr>
          <w:spacing w:val="-3"/>
        </w:rPr>
        <w:t>名，人员和人数构成符合法律、法规的要求。公</w:t>
      </w:r>
    </w:p>
    <w:p>
      <w:pPr>
        <w:pStyle w:val="BodyText"/>
        <w:spacing w:line="355" w:lineRule="auto" w:before="33"/>
        <w:ind w:right="1792"/>
        <w:jc w:val="both"/>
      </w:pPr>
      <w:r>
        <w:rPr>
          <w:spacing w:val="-3"/>
        </w:rPr>
        <w:t>司监事会严格执行《公司法》、《公司章程》、《监事会议事规则》的有关规定，各位监事</w:t>
      </w:r>
      <w:r>
        <w:rPr>
          <w:spacing w:val="-75"/>
        </w:rPr>
        <w:t> </w:t>
      </w:r>
      <w:r>
        <w:rPr>
          <w:spacing w:val="-75"/>
        </w:rPr>
      </w:r>
      <w:r>
        <w:rPr>
          <w:spacing w:val="-3"/>
        </w:rPr>
        <w:t>能够认真履行职责，对公司财务状况、关联交易、重大事项以及董事和高级管理人员履行职</w:t>
      </w:r>
      <w:r>
        <w:rPr>
          <w:spacing w:val="-72"/>
        </w:rPr>
        <w:t> </w:t>
      </w:r>
      <w:r>
        <w:rPr>
          <w:spacing w:val="-72"/>
        </w:rPr>
      </w:r>
      <w:r>
        <w:rPr/>
        <w:t>责的情况进行有效监督，并发表独立意见。</w:t>
      </w:r>
    </w:p>
    <w:p>
      <w:pPr>
        <w:pStyle w:val="BodyText"/>
        <w:spacing w:line="355" w:lineRule="auto" w:before="33"/>
        <w:ind w:left="557" w:right="0"/>
        <w:jc w:val="left"/>
      </w:pPr>
      <w:r>
        <w:rPr>
          <w:rFonts w:ascii="宋体" w:hAnsi="宋体" w:cs="宋体" w:eastAsia="宋体" w:hint="default"/>
        </w:rPr>
        <w:t>4</w:t>
      </w:r>
      <w:r>
        <w:rPr/>
        <w:t>、关于公司与控股股东 </w:t>
      </w:r>
      <w:r>
        <w:rPr>
          <w:spacing w:val="-3"/>
        </w:rPr>
        <w:t>公司控股股东为自然人，控股股东同时担任公司董事长和总经理职务。控股股东严格按</w:t>
      </w:r>
    </w:p>
    <w:p>
      <w:pPr>
        <w:pStyle w:val="BodyText"/>
        <w:spacing w:line="357" w:lineRule="auto" w:before="33"/>
        <w:ind w:right="1793"/>
        <w:jc w:val="both"/>
      </w:pPr>
      <w:r>
        <w:rPr>
          <w:spacing w:val="-3"/>
        </w:rPr>
        <w:t>照上市公司有关要求规范自己的行为，公司重大经营决策均按照规范程序作出，未损害公司</w:t>
      </w:r>
      <w:r>
        <w:rPr>
          <w:spacing w:val="-75"/>
        </w:rPr>
        <w:t> </w:t>
      </w:r>
      <w:r>
        <w:rPr>
          <w:spacing w:val="-75"/>
        </w:rPr>
      </w:r>
      <w:r>
        <w:rPr>
          <w:spacing w:val="-3"/>
        </w:rPr>
        <w:t>及其他股东的利益。公司在业务、人员、资产、机构、财务等方面完全独立于控股股东，具</w:t>
      </w:r>
      <w:r>
        <w:rPr>
          <w:spacing w:val="-75"/>
        </w:rPr>
        <w:t> </w:t>
      </w:r>
      <w:r>
        <w:rPr>
          <w:spacing w:val="-75"/>
        </w:rPr>
      </w:r>
      <w:r>
        <w:rPr>
          <w:spacing w:val="-3"/>
        </w:rPr>
        <w:t>有独立完整的业务体系及自主经营能力。有关情况详见本节“六、公司相对于控股股东在业</w:t>
      </w:r>
      <w:r>
        <w:rPr>
          <w:spacing w:val="-75"/>
        </w:rPr>
        <w:t> </w:t>
      </w:r>
      <w:r>
        <w:rPr>
          <w:spacing w:val="-75"/>
        </w:rPr>
      </w:r>
      <w:r>
        <w:rPr/>
        <w:t>务、人员、资产、机构、财务等方面的独立完整情况”。</w:t>
      </w:r>
    </w:p>
    <w:p>
      <w:pPr>
        <w:pStyle w:val="BodyText"/>
        <w:spacing w:line="240" w:lineRule="auto"/>
        <w:ind w:left="558" w:right="0"/>
        <w:jc w:val="left"/>
      </w:pPr>
      <w:r>
        <w:rPr>
          <w:rFonts w:ascii="宋体" w:hAnsi="宋体" w:cs="宋体" w:eastAsia="宋体" w:hint="default"/>
        </w:rPr>
        <w:t>5</w:t>
      </w:r>
      <w:r>
        <w:rPr/>
        <w:t>、内部审计制度的建立和执行情况</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0" w:firstLine="420"/>
        <w:jc w:val="left"/>
      </w:pPr>
      <w:r>
        <w:rPr>
          <w:spacing w:val="-6"/>
        </w:rPr>
        <w:t>公司设立了内部审计部门并制定了《内部审计制度》，对审计部的人员构成、职责权限、</w:t>
      </w:r>
      <w:r>
        <w:rPr/>
        <w:t> 审计工作程序等进行了详细规定。</w:t>
      </w:r>
    </w:p>
    <w:p>
      <w:pPr>
        <w:pStyle w:val="BodyText"/>
        <w:spacing w:line="357" w:lineRule="auto" w:before="33"/>
        <w:ind w:left="138" w:right="1792" w:firstLine="420"/>
        <w:jc w:val="both"/>
      </w:pPr>
      <w:r>
        <w:rPr>
          <w:spacing w:val="-3"/>
        </w:rPr>
        <w:t>审计部对审计委员会负责，向审计委员会报告工作，行使审计监督权，依法检查公司会</w:t>
      </w:r>
      <w:r>
        <w:rPr/>
        <w:t> </w:t>
      </w:r>
      <w:r>
        <w:rPr>
          <w:spacing w:val="-3"/>
        </w:rPr>
        <w:t>计账目及其相关资产，对财务收支的真实性、合法性、有效性进行监督和评价，对公司的资</w:t>
      </w:r>
      <w:r>
        <w:rPr>
          <w:spacing w:val="-73"/>
        </w:rPr>
        <w:t> </w:t>
      </w:r>
      <w:r>
        <w:rPr>
          <w:spacing w:val="-73"/>
        </w:rPr>
      </w:r>
      <w:r>
        <w:rPr>
          <w:spacing w:val="-3"/>
        </w:rPr>
        <w:t>金运作、资产利用情况及其他财务运作情况进行分析评价，保证公司资产的真实和完整。在</w:t>
      </w:r>
      <w:r>
        <w:rPr>
          <w:spacing w:val="-72"/>
        </w:rPr>
        <w:t> </w:t>
      </w:r>
      <w:r>
        <w:rPr>
          <w:spacing w:val="-72"/>
        </w:rPr>
      </w:r>
      <w:r>
        <w:rPr/>
        <w:t>强化内部控制、改善经营管理、提高经济效益等方面，公司审计部发挥了重要作用。</w:t>
      </w:r>
    </w:p>
    <w:p>
      <w:pPr>
        <w:pStyle w:val="BodyText"/>
        <w:spacing w:line="355" w:lineRule="auto" w:before="31"/>
        <w:ind w:left="558" w:right="1673"/>
        <w:jc w:val="left"/>
      </w:pPr>
      <w:r>
        <w:rPr>
          <w:rFonts w:ascii="宋体" w:hAnsi="宋体" w:cs="宋体" w:eastAsia="宋体" w:hint="default"/>
        </w:rPr>
        <w:t>6</w:t>
      </w:r>
      <w:r>
        <w:rPr/>
        <w:t>、关于信息披露和投资者关系管理 </w:t>
      </w:r>
      <w:r>
        <w:rPr>
          <w:spacing w:val="-5"/>
        </w:rPr>
        <w:t>报告期内，公司严格按照有关法律法规的规定和公司《信息披露事务管理制度》的规定，</w:t>
      </w:r>
    </w:p>
    <w:p>
      <w:pPr>
        <w:pStyle w:val="BodyText"/>
        <w:spacing w:line="357" w:lineRule="auto" w:before="32"/>
        <w:ind w:left="138" w:right="1706"/>
        <w:jc w:val="both"/>
      </w:pPr>
      <w:r>
        <w:rPr>
          <w:spacing w:val="-3"/>
        </w:rPr>
        <w:t>加强信息披露事务管理，履行信息披露义务，并指定《证券时报》、《上海证券报》、《证</w:t>
      </w:r>
      <w:r>
        <w:rPr>
          <w:spacing w:val="-75"/>
        </w:rPr>
        <w:t> </w:t>
      </w:r>
      <w:r>
        <w:rPr>
          <w:spacing w:val="-75"/>
        </w:rPr>
      </w:r>
      <w:r>
        <w:rPr/>
        <w:t>券日报》、《中国证券报》和巨潮资讯网（</w:t>
      </w:r>
      <w:hyperlink r:id="rId12">
        <w:r>
          <w:rPr>
            <w:rFonts w:ascii="宋体" w:hAnsi="宋体" w:cs="宋体" w:eastAsia="宋体" w:hint="default"/>
          </w:rPr>
          <w:t>www.cninfo.com.cn</w:t>
        </w:r>
      </w:hyperlink>
      <w:r>
        <w:rPr/>
        <w:t>）为公司信息披露的媒体， </w:t>
      </w:r>
      <w:r>
        <w:rPr>
          <w:spacing w:val="-3"/>
        </w:rPr>
        <w:t>真实、准确、及时、完整地披露信息，确保所有投资者公平获取公司信息。为了加强与投资</w:t>
      </w:r>
      <w:r>
        <w:rPr>
          <w:spacing w:val="-78"/>
        </w:rPr>
        <w:t> </w:t>
      </w:r>
      <w:r>
        <w:rPr>
          <w:spacing w:val="-78"/>
        </w:rPr>
      </w:r>
      <w:r>
        <w:rPr>
          <w:spacing w:val="-3"/>
        </w:rPr>
        <w:t>者的沟通，在公司网站上设立了投资者关系栏目，并明确公司董事会秘书为投资者关系管理</w:t>
      </w:r>
      <w:r>
        <w:rPr>
          <w:spacing w:val="-75"/>
        </w:rPr>
        <w:t> </w:t>
      </w:r>
      <w:r>
        <w:rPr>
          <w:spacing w:val="-75"/>
        </w:rPr>
      </w:r>
      <w:r>
        <w:rPr>
          <w:spacing w:val="-3"/>
        </w:rPr>
        <w:t>负责人，组织实施投资者关系的日常管理工作。公司还建立了《年报信息披露重大差错责任</w:t>
      </w:r>
      <w:r>
        <w:rPr>
          <w:spacing w:val="-72"/>
        </w:rPr>
        <w:t> </w:t>
      </w:r>
      <w:r>
        <w:rPr>
          <w:spacing w:val="-72"/>
        </w:rPr>
      </w:r>
      <w:r>
        <w:rPr/>
        <w:t>追究制度》，加大对年报信息披露责任人的问责力度，提高年报信息披露的质量和透明度。</w:t>
      </w:r>
    </w:p>
    <w:p>
      <w:pPr>
        <w:pStyle w:val="BodyText"/>
        <w:spacing w:line="355" w:lineRule="auto"/>
        <w:ind w:left="558" w:right="0"/>
        <w:jc w:val="left"/>
      </w:pPr>
      <w:r>
        <w:rPr>
          <w:rFonts w:ascii="宋体" w:hAnsi="宋体" w:cs="宋体" w:eastAsia="宋体" w:hint="default"/>
        </w:rPr>
        <w:t>7</w:t>
      </w:r>
      <w:r>
        <w:rPr/>
        <w:t>、关于绩效评价与激励约束机制 </w:t>
      </w:r>
      <w:r>
        <w:rPr>
          <w:spacing w:val="-3"/>
        </w:rPr>
        <w:t>公司建立了自己的企业绩效评价与激励体系，使经营者的收入与企业经营业绩挂钩，人</w:t>
      </w:r>
    </w:p>
    <w:p>
      <w:pPr>
        <w:pStyle w:val="BodyText"/>
        <w:spacing w:line="357" w:lineRule="auto" w:before="33"/>
        <w:ind w:left="558" w:right="7883" w:hanging="420"/>
        <w:jc w:val="left"/>
      </w:pPr>
      <w:r>
        <w:rPr/>
        <w:t>员招聘公开、透明。 </w:t>
      </w:r>
      <w:r>
        <w:rPr>
          <w:rFonts w:ascii="宋体" w:hAnsi="宋体" w:cs="宋体" w:eastAsia="宋体" w:hint="default"/>
        </w:rPr>
        <w:t>8</w:t>
      </w:r>
      <w:r>
        <w:rPr/>
        <w:t>、关于利益相关者</w:t>
      </w:r>
    </w:p>
    <w:p>
      <w:pPr>
        <w:pStyle w:val="BodyText"/>
        <w:spacing w:line="357" w:lineRule="auto" w:before="31"/>
        <w:ind w:left="138" w:right="1794" w:firstLine="420"/>
        <w:jc w:val="both"/>
      </w:pPr>
      <w:r>
        <w:rPr>
          <w:spacing w:val="-3"/>
        </w:rPr>
        <w:t>公司能够充分尊重和维护相关利益者的合法权益，以回馈员工、股东、社会为使命，积</w:t>
      </w:r>
      <w:r>
        <w:rPr/>
        <w:t> </w:t>
      </w:r>
      <w:r>
        <w:rPr>
          <w:spacing w:val="-3"/>
        </w:rPr>
        <w:t>极与相关利益者沟通与交流，并主动承担更多的社会责任，努力实现股东、社会、员工等各</w:t>
      </w:r>
      <w:r>
        <w:rPr>
          <w:spacing w:val="-74"/>
        </w:rPr>
        <w:t> </w:t>
      </w:r>
      <w:r>
        <w:rPr>
          <w:spacing w:val="-74"/>
        </w:rPr>
      </w:r>
      <w:r>
        <w:rPr/>
        <w:t>方利益的均衡。</w:t>
      </w:r>
    </w:p>
    <w:p>
      <w:pPr>
        <w:spacing w:line="357"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截至报告期末，公司治理的实际状况基本符合中国证监会发布的有关上市公司治理的规</w:t>
      </w:r>
      <w:r>
        <w:rPr>
          <w:rFonts w:ascii="宋体" w:hAnsi="宋体" w:cs="宋体" w:eastAsia="宋体" w:hint="default"/>
          <w:sz w:val="21"/>
          <w:szCs w:val="21"/>
        </w:rPr>
        <w:t> </w:t>
      </w:r>
      <w:r>
        <w:rPr>
          <w:rFonts w:ascii="宋体" w:hAnsi="宋体" w:cs="宋体" w:eastAsia="宋体" w:hint="default"/>
          <w:spacing w:val="-3"/>
          <w:sz w:val="21"/>
          <w:szCs w:val="21"/>
        </w:rPr>
        <w:t>范性文件的要求。公司今后将持续强化公司治理工作，建立公司治理的长效机制，更好地完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善内控制度建设，加强执行力度，为公司持续、健康、稳步发展夯实基础。 </w:t>
      </w:r>
      <w:r>
        <w:rPr>
          <w:rFonts w:ascii="宋体" w:hAnsi="宋体" w:cs="宋体" w:eastAsia="宋体" w:hint="default"/>
          <w:b/>
          <w:bCs/>
          <w:sz w:val="21"/>
          <w:szCs w:val="21"/>
        </w:rPr>
        <w:t>公司治理与《公司法》和中国证监会相关规定的要求是否存在差异</w:t>
      </w:r>
      <w:r>
        <w:rPr>
          <w:rFonts w:ascii="宋体" w:hAnsi="宋体" w:cs="宋体" w:eastAsia="宋体" w:hint="default"/>
          <w:sz w:val="21"/>
          <w:szCs w:val="21"/>
        </w:rPr>
      </w:r>
    </w:p>
    <w:p>
      <w:pPr>
        <w:pStyle w:val="BodyText"/>
        <w:spacing w:line="273" w:lineRule="auto" w:before="71"/>
        <w:ind w:left="138" w:right="3998"/>
        <w:jc w:val="left"/>
      </w:pPr>
      <w:r>
        <w:rPr/>
        <w:t>□ 是 √</w:t>
      </w:r>
      <w:r>
        <w:rPr>
          <w:spacing w:val="45"/>
        </w:rPr>
        <w:t> </w:t>
      </w:r>
      <w:r>
        <w:rPr/>
        <w:t>否</w:t>
      </w:r>
      <w:r>
        <w:rPr/>
        <w:t> 公司治理与《公司法》和中国证监会相关规定的要求不存在差异。</w:t>
      </w:r>
    </w:p>
    <w:p>
      <w:pPr>
        <w:spacing w:line="240" w:lineRule="auto" w:before="3"/>
        <w:rPr>
          <w:rFonts w:ascii="宋体" w:hAnsi="宋体" w:cs="宋体" w:eastAsia="宋体" w:hint="default"/>
          <w:sz w:val="17"/>
          <w:szCs w:val="17"/>
        </w:rPr>
      </w:pPr>
    </w:p>
    <w:p>
      <w:pPr>
        <w:spacing w:line="355" w:lineRule="auto" w:before="0"/>
        <w:ind w:left="557" w:right="1903" w:hanging="420"/>
        <w:jc w:val="left"/>
        <w:rPr>
          <w:rFonts w:ascii="宋体" w:hAnsi="宋体" w:cs="宋体" w:eastAsia="宋体" w:hint="default"/>
          <w:sz w:val="21"/>
          <w:szCs w:val="21"/>
        </w:rPr>
      </w:pP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b/>
          <w:bCs/>
          <w:w w:val="99"/>
          <w:sz w:val="21"/>
          <w:szCs w:val="21"/>
        </w:rPr>
        <w:t> </w:t>
      </w:r>
      <w:r>
        <w:rPr>
          <w:rFonts w:ascii="宋体" w:hAnsi="宋体" w:cs="宋体" w:eastAsia="宋体" w:hint="default"/>
          <w:sz w:val="21"/>
          <w:szCs w:val="21"/>
        </w:rPr>
        <w:t>公司于</w:t>
      </w:r>
      <w:r>
        <w:rPr>
          <w:rFonts w:ascii="宋体" w:hAnsi="宋体" w:cs="宋体" w:eastAsia="宋体" w:hint="default"/>
          <w:sz w:val="21"/>
          <w:szCs w:val="21"/>
        </w:rPr>
        <w:t>2007</w:t>
      </w:r>
      <w:r>
        <w:rPr>
          <w:rFonts w:ascii="宋体" w:hAnsi="宋体" w:cs="宋体" w:eastAsia="宋体" w:hint="default"/>
          <w:sz w:val="21"/>
          <w:szCs w:val="21"/>
        </w:rPr>
        <w:t>年开展公司治理专项活动，具体内容详见公司于</w:t>
      </w:r>
      <w:r>
        <w:rPr>
          <w:rFonts w:ascii="宋体" w:hAnsi="宋体" w:cs="宋体" w:eastAsia="宋体" w:hint="default"/>
          <w:sz w:val="21"/>
          <w:szCs w:val="21"/>
        </w:rPr>
        <w:t>2007 </w:t>
      </w:r>
      <w:r>
        <w:rPr>
          <w:rFonts w:ascii="宋体" w:hAnsi="宋体" w:cs="宋体" w:eastAsia="宋体" w:hint="default"/>
          <w:sz w:val="21"/>
          <w:szCs w:val="21"/>
        </w:rPr>
        <w:t>年</w:t>
      </w:r>
      <w:r>
        <w:rPr>
          <w:rFonts w:ascii="宋体" w:hAnsi="宋体" w:cs="宋体" w:eastAsia="宋体" w:hint="default"/>
          <w:sz w:val="21"/>
          <w:szCs w:val="21"/>
        </w:rPr>
        <w:t>6 </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pacing w:val="-4"/>
          <w:sz w:val="21"/>
          <w:szCs w:val="21"/>
        </w:rPr>
        <w:t> </w:t>
      </w:r>
      <w:r>
        <w:rPr>
          <w:rFonts w:ascii="宋体" w:hAnsi="宋体" w:cs="宋体" w:eastAsia="宋体" w:hint="default"/>
          <w:sz w:val="21"/>
          <w:szCs w:val="21"/>
        </w:rPr>
        <w:t>日公告的</w:t>
      </w:r>
    </w:p>
    <w:p>
      <w:pPr>
        <w:pStyle w:val="BodyText"/>
        <w:spacing w:line="355" w:lineRule="auto" w:before="33"/>
        <w:ind w:right="1793"/>
        <w:jc w:val="both"/>
      </w:pPr>
      <w:r>
        <w:rPr>
          <w:spacing w:val="-3"/>
        </w:rPr>
        <w:t>《浙江利欧股份有限公司关于加强上市公司治理专项活动的自查报告和整改计划》及公司于</w:t>
      </w:r>
      <w:r>
        <w:rPr>
          <w:spacing w:val="-73"/>
        </w:rPr>
        <w:t> </w:t>
      </w:r>
      <w:r>
        <w:rPr>
          <w:spacing w:val="-73"/>
        </w:rPr>
      </w:r>
      <w:r>
        <w:rPr>
          <w:rFonts w:ascii="宋体" w:hAnsi="宋体" w:cs="宋体" w:eastAsia="宋体" w:hint="default"/>
        </w:rPr>
        <w:t>2007</w:t>
      </w:r>
      <w:r>
        <w:rPr/>
        <w:t>年</w:t>
      </w:r>
      <w:r>
        <w:rPr>
          <w:rFonts w:ascii="宋体" w:hAnsi="宋体" w:cs="宋体" w:eastAsia="宋体" w:hint="default"/>
        </w:rPr>
        <w:t>10</w:t>
      </w:r>
      <w:r>
        <w:rPr/>
        <w:t>月</w:t>
      </w:r>
      <w:r>
        <w:rPr>
          <w:rFonts w:ascii="宋体" w:hAnsi="宋体" w:cs="宋体" w:eastAsia="宋体" w:hint="default"/>
        </w:rPr>
        <w:t>16</w:t>
      </w:r>
      <w:r>
        <w:rPr/>
        <w:t>日公告的《关于加强上市公司治理专项活动的整改报告》。</w:t>
      </w:r>
    </w:p>
    <w:p>
      <w:pPr>
        <w:pStyle w:val="BodyText"/>
        <w:spacing w:line="355" w:lineRule="auto" w:before="34"/>
        <w:ind w:left="138" w:right="1793" w:firstLine="420"/>
        <w:jc w:val="both"/>
      </w:pPr>
      <w:r>
        <w:rPr>
          <w:spacing w:val="-3"/>
        </w:rPr>
        <w:t>经</w:t>
      </w:r>
      <w:r>
        <w:rPr>
          <w:rFonts w:ascii="宋体" w:hAnsi="宋体" w:cs="宋体" w:eastAsia="宋体" w:hint="default"/>
          <w:spacing w:val="-3"/>
        </w:rPr>
        <w:t>2009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25</w:t>
      </w:r>
      <w:r>
        <w:rPr>
          <w:spacing w:val="-3"/>
        </w:rPr>
        <w:t>日公司召开的第二届董事会第十八次会议审议通过了《关于制定内幕信</w:t>
      </w:r>
      <w:r>
        <w:rPr/>
        <w:t> </w:t>
      </w:r>
      <w:r>
        <w:rPr>
          <w:spacing w:val="-3"/>
        </w:rPr>
        <w:t>息知情人登记备案制度的议案》，《公司内幕信息知情人登记备案制度》全文见巨潮资讯网</w:t>
      </w:r>
    </w:p>
    <w:p>
      <w:pPr>
        <w:pStyle w:val="BodyText"/>
        <w:spacing w:line="240" w:lineRule="auto" w:before="32"/>
        <w:ind w:right="0"/>
        <w:jc w:val="left"/>
      </w:pPr>
      <w:r>
        <w:rPr/>
        <w:t>（</w:t>
      </w:r>
      <w:hyperlink r:id="rId12">
        <w:r>
          <w:rPr>
            <w:rFonts w:ascii="宋体" w:hAnsi="宋体" w:cs="宋体" w:eastAsia="宋体" w:hint="default"/>
          </w:rPr>
          <w:t>www.cninfo.com.cn</w:t>
        </w:r>
      </w:hyperlink>
      <w:r>
        <w:rPr/>
        <w:t>）。</w:t>
      </w:r>
    </w:p>
    <w:p>
      <w:pPr>
        <w:spacing w:after="0" w:line="240" w:lineRule="auto"/>
        <w:jc w:val="left"/>
        <w:sectPr>
          <w:pgSz w:w="11910" w:h="16840"/>
          <w:pgMar w:header="0" w:footer="938" w:top="1100" w:bottom="1120" w:left="1660" w:right="0"/>
        </w:sectPr>
      </w:pPr>
    </w:p>
    <w:p>
      <w:pPr>
        <w:spacing w:line="240" w:lineRule="auto" w:before="7"/>
        <w:rPr>
          <w:rFonts w:ascii="宋体" w:hAnsi="宋体" w:cs="宋体" w:eastAsia="宋体" w:hint="default"/>
          <w:sz w:val="19"/>
          <w:szCs w:val="19"/>
        </w:rPr>
      </w:pPr>
      <w:r>
        <w:rPr/>
        <w:pict>
          <v:group style="position:absolute;margin-left:337.600006pt;margin-top:497.139984pt;width:55.7pt;height:13.7pt;mso-position-horizontal-relative:page;mso-position-vertical-relative:page;z-index:-906880" coordorigin="6752,9943" coordsize="1114,274">
            <v:shape style="position:absolute;left:6752;top:9943;width:1114;height:274" coordorigin="6752,9943" coordsize="1114,274" path="m6752,10216l7866,10216,7866,9943,6752,9943,6752,10216xe" filled="true" fillcolor="#ffffff" stroked="false">
              <v:path arrowok="t"/>
              <v:fill type="solid"/>
            </v:shape>
            <w10:wrap type="none"/>
          </v:group>
        </w:pict>
      </w:r>
    </w:p>
    <w:p>
      <w:pPr>
        <w:pStyle w:val="Heading2"/>
        <w:spacing w:line="240" w:lineRule="auto" w:before="26"/>
        <w:ind w:left="898" w:right="0"/>
        <w:jc w:val="left"/>
        <w:rPr>
          <w:b w:val="0"/>
          <w:bCs w:val="0"/>
        </w:rPr>
      </w:pPr>
      <w:bookmarkStart w:name="二、报告期内召开的年度股东大会和临时股东大会的有关情况" w:id="93"/>
      <w:bookmarkEnd w:id="93"/>
      <w:r>
        <w:rPr>
          <w:b w:val="0"/>
          <w:bCs w:val="0"/>
        </w:rPr>
      </w:r>
      <w:r>
        <w:rPr/>
        <w:t>二、报告期内召开的年度股东大会和临时股东大会的有关情况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897" w:right="0"/>
        <w:jc w:val="left"/>
        <w:rPr>
          <w:b w:val="0"/>
          <w:bCs w:val="0"/>
        </w:rPr>
      </w:pPr>
      <w:bookmarkStart w:name="1、本报告期年度股东大会情况" w:id="94"/>
      <w:bookmarkEnd w:id="94"/>
      <w:r>
        <w:rPr>
          <w:b w:val="0"/>
          <w:bCs w:val="0"/>
        </w:rPr>
      </w:r>
      <w:r>
        <w:rPr>
          <w:rFonts w:ascii="宋体" w:hAnsi="宋体" w:cs="宋体" w:eastAsia="宋体"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213" w:type="dxa"/>
        <w:tblLayout w:type="fixed"/>
        <w:tblCellMar>
          <w:top w:w="0" w:type="dxa"/>
          <w:left w:w="0" w:type="dxa"/>
          <w:bottom w:w="0" w:type="dxa"/>
          <w:right w:w="0" w:type="dxa"/>
        </w:tblCellMar>
        <w:tblLook w:val="01E0"/>
      </w:tblPr>
      <w:tblGrid>
        <w:gridCol w:w="1596"/>
        <w:gridCol w:w="1595"/>
        <w:gridCol w:w="2582"/>
        <w:gridCol w:w="1067"/>
        <w:gridCol w:w="1722"/>
        <w:gridCol w:w="1109"/>
      </w:tblGrid>
      <w:tr>
        <w:trPr>
          <w:trHeight w:val="32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15"/>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w:t>
            </w:r>
          </w:p>
          <w:p>
            <w:pPr>
              <w:pStyle w:val="TableParagraph"/>
              <w:spacing w:line="240" w:lineRule="auto" w:before="37"/>
              <w:ind w:left="21" w:right="-15"/>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年度监事会工作报告》</w:t>
            </w:r>
          </w:p>
          <w:p>
            <w:pPr>
              <w:pStyle w:val="TableParagraph"/>
              <w:spacing w:line="240" w:lineRule="auto" w:before="38"/>
              <w:ind w:left="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年度财务决算报告》</w:t>
            </w:r>
          </w:p>
          <w:p>
            <w:pPr>
              <w:pStyle w:val="TableParagraph"/>
              <w:spacing w:line="240" w:lineRule="auto" w:before="38"/>
              <w:ind w:left="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年年度报告及摘要》</w:t>
            </w:r>
          </w:p>
          <w:p>
            <w:pPr>
              <w:pStyle w:val="TableParagraph"/>
              <w:spacing w:line="240" w:lineRule="auto" w:before="38"/>
              <w:ind w:left="2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年度利润分配方案》</w:t>
            </w:r>
          </w:p>
          <w:p>
            <w:pPr>
              <w:pStyle w:val="TableParagraph"/>
              <w:spacing w:line="237" w:lineRule="auto" w:before="40"/>
              <w:ind w:left="21" w:right="28"/>
              <w:jc w:val="both"/>
              <w:rPr>
                <w:rFonts w:ascii="宋体" w:hAnsi="宋体" w:cs="宋体" w:eastAsia="宋体" w:hint="default"/>
                <w:sz w:val="18"/>
                <w:szCs w:val="18"/>
              </w:rPr>
            </w:pPr>
            <w:r>
              <w:rPr>
                <w:rFonts w:ascii="宋体" w:hAnsi="宋体" w:cs="宋体" w:eastAsia="宋体" w:hint="default"/>
                <w:spacing w:val="-6"/>
                <w:sz w:val="18"/>
                <w:szCs w:val="18"/>
              </w:rPr>
              <w:t>6</w:t>
            </w:r>
            <w:r>
              <w:rPr>
                <w:rFonts w:ascii="宋体" w:hAnsi="宋体" w:cs="宋体" w:eastAsia="宋体" w:hint="default"/>
                <w:spacing w:val="-6"/>
                <w:sz w:val="18"/>
                <w:szCs w:val="18"/>
              </w:rPr>
              <w:t>、《关于会计师事务所年度审计</w:t>
            </w:r>
            <w:r>
              <w:rPr>
                <w:rFonts w:ascii="宋体" w:hAnsi="宋体" w:cs="宋体" w:eastAsia="宋体" w:hint="default"/>
                <w:sz w:val="18"/>
                <w:szCs w:val="18"/>
              </w:rPr>
              <w:t> 工作的总结报告及续聘会计师事 务所的议案》</w:t>
            </w:r>
          </w:p>
          <w:p>
            <w:pPr>
              <w:pStyle w:val="TableParagraph"/>
              <w:spacing w:line="232" w:lineRule="exact" w:before="63"/>
              <w:ind w:left="21" w:right="23"/>
              <w:jc w:val="left"/>
              <w:rPr>
                <w:rFonts w:ascii="宋体" w:hAnsi="宋体" w:cs="宋体" w:eastAsia="宋体" w:hint="default"/>
                <w:sz w:val="18"/>
                <w:szCs w:val="18"/>
              </w:rPr>
            </w:pPr>
            <w:r>
              <w:rPr>
                <w:rFonts w:ascii="宋体" w:hAnsi="宋体" w:cs="宋体" w:eastAsia="宋体" w:hint="default"/>
                <w:spacing w:val="-35"/>
                <w:sz w:val="18"/>
                <w:szCs w:val="18"/>
              </w:rPr>
              <w:t>7</w:t>
            </w:r>
            <w:r>
              <w:rPr>
                <w:rFonts w:ascii="宋体" w:hAnsi="宋体" w:cs="宋体" w:eastAsia="宋体" w:hint="default"/>
                <w:spacing w:val="-35"/>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年度授信规模及对 外担保额度的议案》</w:t>
            </w:r>
          </w:p>
          <w:p>
            <w:pPr>
              <w:pStyle w:val="TableParagraph"/>
              <w:spacing w:line="240" w:lineRule="auto" w:before="17"/>
              <w:ind w:left="21" w:right="23"/>
              <w:jc w:val="left"/>
              <w:rPr>
                <w:rFonts w:ascii="宋体" w:hAnsi="宋体" w:cs="宋体" w:eastAsia="宋体" w:hint="default"/>
                <w:sz w:val="18"/>
                <w:szCs w:val="18"/>
              </w:rPr>
            </w:pPr>
            <w:r>
              <w:rPr>
                <w:rFonts w:ascii="宋体" w:hAnsi="宋体" w:cs="宋体" w:eastAsia="宋体" w:hint="default"/>
                <w:spacing w:val="-19"/>
                <w:sz w:val="18"/>
                <w:szCs w:val="18"/>
              </w:rPr>
              <w:t>8</w:t>
            </w:r>
            <w:r>
              <w:rPr>
                <w:rFonts w:ascii="宋体" w:hAnsi="宋体" w:cs="宋体" w:eastAsia="宋体" w:hint="default"/>
                <w:spacing w:val="-19"/>
                <w:sz w:val="18"/>
                <w:szCs w:val="18"/>
              </w:rPr>
              <w:t>、《</w:t>
            </w:r>
            <w:r>
              <w:rPr>
                <w:rFonts w:ascii="宋体" w:hAnsi="宋体" w:cs="宋体" w:eastAsia="宋体" w:hint="default"/>
                <w:spacing w:val="-19"/>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年度募集资金存放与使 用情况的专项报告》</w:t>
            </w:r>
          </w:p>
          <w:p>
            <w:pPr>
              <w:pStyle w:val="TableParagraph"/>
              <w:spacing w:line="256" w:lineRule="auto" w:before="38"/>
              <w:ind w:left="21" w:right="22"/>
              <w:jc w:val="left"/>
              <w:rPr>
                <w:rFonts w:ascii="宋体" w:hAnsi="宋体" w:cs="宋体" w:eastAsia="宋体" w:hint="default"/>
                <w:sz w:val="18"/>
                <w:szCs w:val="18"/>
              </w:rPr>
            </w:pPr>
            <w:r>
              <w:rPr>
                <w:rFonts w:ascii="宋体" w:hAnsi="宋体" w:cs="宋体" w:eastAsia="宋体" w:hint="default"/>
                <w:spacing w:val="-6"/>
                <w:sz w:val="18"/>
                <w:szCs w:val="18"/>
              </w:rPr>
              <w:t>9</w:t>
            </w:r>
            <w:r>
              <w:rPr>
                <w:rFonts w:ascii="宋体" w:hAnsi="宋体" w:cs="宋体" w:eastAsia="宋体" w:hint="default"/>
                <w:spacing w:val="-6"/>
                <w:sz w:val="18"/>
                <w:szCs w:val="18"/>
              </w:rPr>
              <w:t>、《关于定向回购长沙天鹅原股</w:t>
            </w:r>
            <w:r>
              <w:rPr>
                <w:rFonts w:ascii="宋体" w:hAnsi="宋体" w:cs="宋体" w:eastAsia="宋体" w:hint="default"/>
                <w:sz w:val="18"/>
                <w:szCs w:val="18"/>
              </w:rPr>
              <w:t> 东</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年度应补偿股份的议案 </w:t>
            </w:r>
            <w:r>
              <w:rPr>
                <w:rFonts w:ascii="宋体" w:hAnsi="宋体" w:cs="宋体" w:eastAsia="宋体" w:hint="default"/>
                <w:spacing w:val="-11"/>
                <w:sz w:val="18"/>
                <w:szCs w:val="18"/>
              </w:rPr>
              <w:t>10</w:t>
            </w:r>
            <w:r>
              <w:rPr>
                <w:rFonts w:ascii="宋体" w:hAnsi="宋体" w:cs="宋体" w:eastAsia="宋体" w:hint="default"/>
                <w:spacing w:val="-11"/>
                <w:sz w:val="18"/>
                <w:szCs w:val="18"/>
              </w:rPr>
              <w:t>、《关于重大资产重组资产减值</w:t>
            </w:r>
          </w:p>
          <w:p>
            <w:pPr>
              <w:pStyle w:val="TableParagraph"/>
              <w:spacing w:line="221" w:lineRule="exact"/>
              <w:ind w:left="21" w:right="0"/>
              <w:jc w:val="left"/>
              <w:rPr>
                <w:rFonts w:ascii="宋体" w:hAnsi="宋体" w:cs="宋体" w:eastAsia="宋体" w:hint="default"/>
                <w:sz w:val="18"/>
                <w:szCs w:val="18"/>
              </w:rPr>
            </w:pPr>
            <w:r>
              <w:rPr>
                <w:rFonts w:ascii="宋体" w:hAnsi="宋体" w:cs="宋体" w:eastAsia="宋体" w:hint="default"/>
                <w:sz w:val="18"/>
                <w:szCs w:val="18"/>
              </w:rPr>
              <w:t>测试的议案》</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2" w:right="132"/>
              <w:jc w:val="left"/>
              <w:rPr>
                <w:rFonts w:ascii="宋体" w:hAnsi="宋体" w:cs="宋体" w:eastAsia="宋体" w:hint="default"/>
                <w:sz w:val="18"/>
                <w:szCs w:val="18"/>
              </w:rPr>
            </w:pPr>
            <w:r>
              <w:rPr>
                <w:rFonts w:ascii="宋体" w:hAnsi="宋体" w:cs="宋体" w:eastAsia="宋体" w:hint="default"/>
                <w:sz w:val="18"/>
                <w:szCs w:val="18"/>
              </w:rPr>
              <w:t>审议通过全 部议案</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37" w:lineRule="auto"/>
              <w:ind w:left="21" w:right="-3"/>
              <w:jc w:val="left"/>
              <w:rPr>
                <w:rFonts w:ascii="宋体" w:hAnsi="宋体" w:cs="宋体" w:eastAsia="宋体" w:hint="default"/>
                <w:sz w:val="18"/>
                <w:szCs w:val="18"/>
              </w:rPr>
            </w:pPr>
            <w:r>
              <w:rPr>
                <w:rFonts w:ascii="宋体" w:hAnsi="宋体" w:cs="宋体" w:eastAsia="宋体" w:hint="default"/>
                <w:sz w:val="18"/>
                <w:szCs w:val="18"/>
              </w:rPr>
              <w:t>巨潮资讯网：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年度股 东大会决议 </w:t>
            </w:r>
            <w:r>
              <w:rPr>
                <w:rFonts w:ascii="宋体" w:hAnsi="宋体" w:cs="宋体" w:eastAsia="宋体" w:hint="default"/>
                <w:spacing w:val="-5"/>
                <w:sz w:val="18"/>
                <w:szCs w:val="18"/>
              </w:rPr>
              <w:t>公告（公告编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号为</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2014-038</w:t>
            </w:r>
            <w:r>
              <w:rPr>
                <w:rFonts w:ascii="宋体" w:hAnsi="宋体" w:cs="宋体" w:eastAsia="宋体" w:hint="default"/>
                <w:sz w:val="18"/>
                <w:szCs w:val="18"/>
              </w:rPr>
              <w:t>）</w:t>
            </w:r>
          </w:p>
        </w:tc>
      </w:tr>
    </w:tbl>
    <w:p>
      <w:pPr>
        <w:spacing w:line="240" w:lineRule="auto" w:before="7"/>
        <w:rPr>
          <w:rFonts w:ascii="宋体" w:hAnsi="宋体" w:cs="宋体" w:eastAsia="宋体" w:hint="default"/>
          <w:b/>
          <w:bCs/>
          <w:sz w:val="17"/>
          <w:szCs w:val="17"/>
        </w:rPr>
      </w:pPr>
    </w:p>
    <w:p>
      <w:pPr>
        <w:pStyle w:val="Heading3"/>
        <w:spacing w:line="240" w:lineRule="auto" w:before="35"/>
        <w:ind w:left="898" w:right="0"/>
        <w:jc w:val="left"/>
        <w:rPr>
          <w:b w:val="0"/>
          <w:bCs w:val="0"/>
        </w:rPr>
      </w:pPr>
      <w:r>
        <w:rPr/>
        <w:pict>
          <v:group style="position:absolute;margin-left:344.799988pt;margin-top:-102.686325pt;width:52.9pt;height:90.7pt;mso-position-horizontal-relative:page;mso-position-vertical-relative:paragraph;z-index:-906904" coordorigin="6896,-2054" coordsize="1058,1814">
            <v:shape style="position:absolute;left:6896;top:-2054;width:1058;height:1814" coordorigin="6896,-2054" coordsize="1058,1814" path="m6896,-241l7953,-241,7953,-2054,6896,-2054,6896,-241xe" filled="true" fillcolor="#ffffff" stroked="false">
              <v:path arrowok="t"/>
              <v:fill type="solid"/>
            </v:shape>
            <w10:wrap type="none"/>
          </v:group>
        </w:pict>
      </w:r>
      <w:bookmarkStart w:name="2、本报告期临时股东大会情况" w:id="95"/>
      <w:bookmarkEnd w:id="95"/>
      <w:r>
        <w:rPr>
          <w:b w:val="0"/>
          <w:bCs w:val="0"/>
        </w:rPr>
      </w:r>
      <w:r>
        <w:rPr>
          <w:rFonts w:ascii="宋体" w:hAnsi="宋体" w:cs="宋体" w:eastAsia="宋体"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1596"/>
        <w:gridCol w:w="1594"/>
        <w:gridCol w:w="2516"/>
        <w:gridCol w:w="1170"/>
        <w:gridCol w:w="1402"/>
        <w:gridCol w:w="1594"/>
      </w:tblGrid>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1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6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9"/>
              <w:ind w:left="22" w:right="23"/>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、《关于修订</w:t>
            </w:r>
            <w:r>
              <w:rPr>
                <w:rFonts w:ascii="宋体" w:hAnsi="宋体" w:cs="宋体" w:eastAsia="宋体" w:hint="default"/>
                <w:spacing w:val="-6"/>
                <w:sz w:val="18"/>
                <w:szCs w:val="18"/>
              </w:rPr>
              <w:t>&lt;</w:t>
            </w:r>
            <w:r>
              <w:rPr>
                <w:rFonts w:ascii="宋体" w:hAnsi="宋体" w:cs="宋体" w:eastAsia="宋体" w:hint="default"/>
                <w:spacing w:val="-6"/>
                <w:sz w:val="18"/>
                <w:szCs w:val="18"/>
              </w:rPr>
              <w:t>公司章程</w:t>
            </w:r>
            <w:r>
              <w:rPr>
                <w:rFonts w:ascii="宋体" w:hAnsi="宋体" w:cs="宋体" w:eastAsia="宋体" w:hint="default"/>
                <w:spacing w:val="-6"/>
                <w:sz w:val="18"/>
                <w:szCs w:val="18"/>
              </w:rPr>
              <w:t>&gt;</w:t>
            </w:r>
            <w:r>
              <w:rPr>
                <w:rFonts w:ascii="宋体" w:hAnsi="宋体" w:cs="宋体" w:eastAsia="宋体" w:hint="default"/>
                <w:spacing w:val="-6"/>
                <w:sz w:val="18"/>
                <w:szCs w:val="18"/>
              </w:rPr>
              <w:t>的议</w:t>
            </w:r>
            <w:r>
              <w:rPr>
                <w:rFonts w:ascii="宋体" w:hAnsi="宋体" w:cs="宋体" w:eastAsia="宋体" w:hint="default"/>
                <w:sz w:val="18"/>
                <w:szCs w:val="18"/>
              </w:rPr>
              <w:t> 案》 </w:t>
            </w:r>
            <w:r>
              <w:rPr>
                <w:rFonts w:ascii="宋体" w:hAnsi="宋体" w:cs="宋体" w:eastAsia="宋体" w:hint="default"/>
                <w:spacing w:val="-10"/>
                <w:sz w:val="18"/>
                <w:szCs w:val="18"/>
              </w:rPr>
              <w:t>2</w:t>
            </w:r>
            <w:r>
              <w:rPr>
                <w:rFonts w:ascii="宋体" w:hAnsi="宋体" w:cs="宋体" w:eastAsia="宋体" w:hint="default"/>
                <w:spacing w:val="-10"/>
                <w:sz w:val="18"/>
                <w:szCs w:val="18"/>
              </w:rPr>
              <w:t>、《关于修订</w:t>
            </w:r>
            <w:r>
              <w:rPr>
                <w:rFonts w:ascii="宋体" w:hAnsi="宋体" w:cs="宋体" w:eastAsia="宋体" w:hint="default"/>
                <w:spacing w:val="-10"/>
                <w:sz w:val="18"/>
                <w:szCs w:val="18"/>
              </w:rPr>
              <w:t>&lt;</w:t>
            </w:r>
            <w:r>
              <w:rPr>
                <w:rFonts w:ascii="宋体" w:hAnsi="宋体" w:cs="宋体" w:eastAsia="宋体" w:hint="default"/>
                <w:spacing w:val="-10"/>
                <w:sz w:val="18"/>
                <w:szCs w:val="18"/>
              </w:rPr>
              <w:t>董事会议事规则</w:t>
            </w:r>
            <w:r>
              <w:rPr>
                <w:rFonts w:ascii="宋体" w:hAnsi="宋体" w:cs="宋体" w:eastAsia="宋体" w:hint="default"/>
                <w:spacing w:val="-10"/>
                <w:sz w:val="18"/>
                <w:szCs w:val="18"/>
              </w:rPr>
              <w:t>&gt;</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的议案》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2"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2013-006</w:t>
            </w:r>
            <w:r>
              <w:rPr>
                <w:rFonts w:ascii="宋体" w:hAnsi="宋体" w:cs="宋体" w:eastAsia="宋体" w:hint="default"/>
                <w:sz w:val="18"/>
                <w:szCs w:val="18"/>
              </w:rPr>
              <w:t>）</w:t>
            </w:r>
          </w:p>
        </w:tc>
      </w:tr>
      <w:tr>
        <w:trPr>
          <w:trHeight w:val="10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9"/>
              <w:ind w:left="22" w:right="-39"/>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、《关于签署</w:t>
            </w:r>
            <w:r>
              <w:rPr>
                <w:rFonts w:ascii="宋体" w:hAnsi="宋体" w:cs="宋体" w:eastAsia="宋体" w:hint="default"/>
                <w:spacing w:val="-6"/>
                <w:sz w:val="18"/>
                <w:szCs w:val="18"/>
              </w:rPr>
              <w:t>&lt;</w:t>
            </w:r>
            <w:r>
              <w:rPr>
                <w:rFonts w:ascii="宋体" w:hAnsi="宋体" w:cs="宋体" w:eastAsia="宋体" w:hint="default"/>
                <w:spacing w:val="-6"/>
                <w:sz w:val="18"/>
                <w:szCs w:val="18"/>
              </w:rPr>
              <w:t>和解协议</w:t>
            </w:r>
            <w:r>
              <w:rPr>
                <w:rFonts w:ascii="宋体" w:hAnsi="宋体" w:cs="宋体" w:eastAsia="宋体" w:hint="default"/>
                <w:spacing w:val="-6"/>
                <w:sz w:val="18"/>
                <w:szCs w:val="18"/>
              </w:rPr>
              <w:t>&gt;</w:t>
            </w:r>
            <w:r>
              <w:rPr>
                <w:rFonts w:ascii="宋体" w:hAnsi="宋体" w:cs="宋体" w:eastAsia="宋体" w:hint="default"/>
                <w:spacing w:val="-6"/>
                <w:sz w:val="18"/>
                <w:szCs w:val="18"/>
              </w:rPr>
              <w:t>的议</w:t>
            </w:r>
            <w:r>
              <w:rPr>
                <w:rFonts w:ascii="宋体" w:hAnsi="宋体" w:cs="宋体" w:eastAsia="宋体" w:hint="default"/>
                <w:sz w:val="18"/>
                <w:szCs w:val="18"/>
              </w:rPr>
              <w:t> 案》</w:t>
            </w:r>
          </w:p>
          <w:p>
            <w:pPr>
              <w:pStyle w:val="TableParagraph"/>
              <w:spacing w:line="232" w:lineRule="exact" w:before="62"/>
              <w:ind w:left="22" w:right="-39"/>
              <w:jc w:val="left"/>
              <w:rPr>
                <w:rFonts w:ascii="宋体" w:hAnsi="宋体" w:cs="宋体" w:eastAsia="宋体" w:hint="default"/>
                <w:sz w:val="18"/>
                <w:szCs w:val="18"/>
              </w:rPr>
            </w:pPr>
            <w:r>
              <w:rPr>
                <w:rFonts w:ascii="宋体" w:hAnsi="宋体" w:cs="宋体" w:eastAsia="宋体" w:hint="default"/>
                <w:spacing w:val="-18"/>
                <w:sz w:val="18"/>
                <w:szCs w:val="18"/>
              </w:rPr>
              <w:t>2</w:t>
            </w:r>
            <w:r>
              <w:rPr>
                <w:rFonts w:ascii="宋体" w:hAnsi="宋体" w:cs="宋体" w:eastAsia="宋体" w:hint="default"/>
                <w:spacing w:val="-18"/>
                <w:sz w:val="18"/>
                <w:szCs w:val="18"/>
              </w:rPr>
              <w:t>、《关于出售日立泵制造（无锡）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有限公司股权的议案》</w:t>
            </w:r>
          </w:p>
        </w:tc>
        <w:tc>
          <w:tcPr>
            <w:tcW w:w="11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6"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2014-035</w:t>
            </w:r>
            <w:r>
              <w:rPr>
                <w:rFonts w:ascii="宋体" w:hAnsi="宋体" w:cs="宋体" w:eastAsia="宋体" w:hint="default"/>
                <w:sz w:val="18"/>
                <w:szCs w:val="18"/>
              </w:rPr>
              <w:t>）</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141"/>
              <w:jc w:val="left"/>
              <w:rPr>
                <w:rFonts w:ascii="宋体" w:hAnsi="宋体" w:cs="宋体" w:eastAsia="宋体" w:hint="default"/>
                <w:sz w:val="18"/>
                <w:szCs w:val="18"/>
              </w:rPr>
            </w:pPr>
            <w:r>
              <w:rPr>
                <w:rFonts w:ascii="宋体" w:hAnsi="宋体" w:cs="宋体" w:eastAsia="宋体" w:hint="default"/>
                <w:sz w:val="18"/>
                <w:szCs w:val="18"/>
              </w:rPr>
              <w:t>《关于收购上海漫酷广告有限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股权的议案》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年第三次临时股东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2014-041</w:t>
            </w:r>
            <w:r>
              <w:rPr>
                <w:rFonts w:ascii="宋体" w:hAnsi="宋体" w:cs="宋体" w:eastAsia="宋体" w:hint="default"/>
                <w:sz w:val="18"/>
                <w:szCs w:val="18"/>
              </w:rPr>
              <w:t>）</w:t>
            </w:r>
          </w:p>
        </w:tc>
      </w:tr>
      <w:tr>
        <w:trPr>
          <w:trHeight w:val="157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、《关于选举第四届董事会董事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的议案》</w:t>
            </w:r>
          </w:p>
          <w:p>
            <w:pPr>
              <w:pStyle w:val="TableParagraph"/>
              <w:spacing w:line="234" w:lineRule="exact" w:before="40"/>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、《关于选举第四届监事会监事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的议案》</w:t>
            </w:r>
          </w:p>
          <w:p>
            <w:pPr>
              <w:pStyle w:val="TableParagraph"/>
              <w:spacing w:line="232" w:lineRule="exact" w:before="4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、《关于调整独立董事及外部董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事津贴的议案》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37" w:lineRule="auto"/>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年第四次临时股东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2014-063</w:t>
            </w:r>
            <w:r>
              <w:rPr>
                <w:rFonts w:ascii="宋体" w:hAnsi="宋体" w:cs="宋体" w:eastAsia="宋体" w:hint="default"/>
                <w:sz w:val="18"/>
                <w:szCs w:val="18"/>
              </w:rPr>
              <w:t>）</w:t>
            </w:r>
          </w:p>
        </w:tc>
      </w:tr>
      <w:tr>
        <w:trPr>
          <w:trHeight w:val="18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、《关于继续开展远期外汇交易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的议案》</w:t>
            </w:r>
          </w:p>
          <w:p>
            <w:pPr>
              <w:pStyle w:val="TableParagraph"/>
              <w:spacing w:line="230" w:lineRule="auto" w:before="25"/>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、《关于公司为温岭市利欧小额</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贷款有限公司提供担保的关联 交易议案》</w:t>
            </w:r>
          </w:p>
          <w:p>
            <w:pPr>
              <w:pStyle w:val="TableParagraph"/>
              <w:spacing w:line="234" w:lineRule="exact" w:before="62"/>
              <w:ind w:left="22" w:right="116"/>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、《关于修改</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公司章程</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w:t>
            </w:r>
            <w:r>
              <w:rPr>
                <w:rFonts w:ascii="宋体" w:hAnsi="宋体" w:cs="宋体" w:eastAsia="宋体" w:hint="default"/>
                <w:sz w:val="18"/>
                <w:szCs w:val="18"/>
              </w:rPr>
              <w:t> 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37" w:lineRule="auto"/>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年第五次临时股东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2014-077</w:t>
            </w:r>
            <w:r>
              <w:rPr>
                <w:rFonts w:ascii="宋体" w:hAnsi="宋体" w:cs="宋体" w:eastAsia="宋体" w:hint="default"/>
                <w:sz w:val="18"/>
                <w:szCs w:val="18"/>
              </w:rPr>
              <w:t>）</w:t>
            </w:r>
          </w:p>
        </w:tc>
      </w:tr>
      <w:tr>
        <w:trPr>
          <w:trHeight w:val="51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4"/>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年第六次临时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2"/>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、《关于公司发行股份及支付现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金购买资产并募集配套资金符</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2"/>
              <w:jc w:val="center"/>
              <w:rPr>
                <w:rFonts w:ascii="宋体" w:hAnsi="宋体" w:cs="宋体" w:eastAsia="宋体" w:hint="default"/>
                <w:sz w:val="18"/>
                <w:szCs w:val="18"/>
              </w:rPr>
            </w:pPr>
            <w:r>
              <w:rPr>
                <w:rFonts w:ascii="宋体" w:hAnsi="宋体" w:cs="宋体" w:eastAsia="宋体" w:hint="default"/>
                <w:sz w:val="18"/>
                <w:szCs w:val="18"/>
              </w:rPr>
              <w:t>审议通过全部</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21</w:t>
            </w:r>
            <w:r>
              <w:rPr>
                <w:rFonts w:ascii="宋体" w:hAnsi="宋体" w:cs="宋体" w:eastAsia="宋体" w:hint="default"/>
                <w:spacing w:val="-5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12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年第六次临时股东</w:t>
            </w:r>
          </w:p>
        </w:tc>
      </w:tr>
    </w:tbl>
    <w:p>
      <w:pPr>
        <w:spacing w:after="0" w:line="240" w:lineRule="auto"/>
        <w:jc w:val="left"/>
        <w:rPr>
          <w:rFonts w:ascii="宋体" w:hAnsi="宋体" w:cs="宋体" w:eastAsia="宋体" w:hint="default"/>
          <w:sz w:val="18"/>
          <w:szCs w:val="18"/>
        </w:rPr>
        <w:sectPr>
          <w:pgSz w:w="11910" w:h="16840"/>
          <w:pgMar w:header="0" w:footer="938" w:top="1100" w:bottom="1120" w:left="900" w:right="0"/>
        </w:sectPr>
      </w:pPr>
    </w:p>
    <w:p>
      <w:pPr>
        <w:spacing w:line="240" w:lineRule="auto" w:before="6"/>
        <w:rPr>
          <w:rFonts w:ascii="宋体" w:hAnsi="宋体" w:cs="宋体" w:eastAsia="宋体" w:hint="default"/>
          <w:b/>
          <w:bCs/>
          <w:sz w:val="24"/>
          <w:szCs w:val="24"/>
        </w:rPr>
      </w:pPr>
    </w:p>
    <w:tbl>
      <w:tblPr>
        <w:tblW w:w="0" w:type="auto"/>
        <w:jc w:val="left"/>
        <w:tblInd w:w="113" w:type="dxa"/>
        <w:tblLayout w:type="fixed"/>
        <w:tblCellMar>
          <w:top w:w="0" w:type="dxa"/>
          <w:left w:w="0" w:type="dxa"/>
          <w:bottom w:w="0" w:type="dxa"/>
          <w:right w:w="0" w:type="dxa"/>
        </w:tblCellMar>
        <w:tblLook w:val="01E0"/>
      </w:tblPr>
      <w:tblGrid>
        <w:gridCol w:w="1596"/>
        <w:gridCol w:w="1594"/>
        <w:gridCol w:w="2516"/>
        <w:gridCol w:w="1170"/>
        <w:gridCol w:w="1402"/>
        <w:gridCol w:w="1594"/>
      </w:tblGrid>
      <w:tr>
        <w:trPr>
          <w:trHeight w:val="982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2516"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2" w:right="-44"/>
              <w:jc w:val="left"/>
              <w:rPr>
                <w:rFonts w:ascii="宋体" w:hAnsi="宋体" w:cs="宋体" w:eastAsia="宋体" w:hint="default"/>
                <w:sz w:val="18"/>
                <w:szCs w:val="18"/>
              </w:rPr>
            </w:pPr>
            <w:r>
              <w:rPr>
                <w:rFonts w:ascii="宋体" w:hAnsi="宋体" w:cs="宋体" w:eastAsia="宋体" w:hint="default"/>
                <w:sz w:val="18"/>
                <w:szCs w:val="18"/>
              </w:rPr>
              <w:t>合相关法律、法规规定的议案》</w:t>
            </w:r>
          </w:p>
          <w:p>
            <w:pPr>
              <w:pStyle w:val="TableParagraph"/>
              <w:spacing w:line="230" w:lineRule="auto" w:before="46"/>
              <w:ind w:left="22" w:right="15"/>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、《关于公司发行股份及支付现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金购买资产并募集配套资金暨 关联交易的议案》</w:t>
            </w:r>
          </w:p>
          <w:p>
            <w:pPr>
              <w:pStyle w:val="TableParagraph"/>
              <w:spacing w:line="228" w:lineRule="auto" w:before="49"/>
              <w:ind w:left="22" w:right="15"/>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、《关于本次发行股份及支付现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金购买资产并募集配套资金符 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关于规范上市公司重大资产 重组若干问题的规定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第四条规 定的说明》</w:t>
            </w:r>
          </w:p>
          <w:p>
            <w:pPr>
              <w:pStyle w:val="TableParagraph"/>
              <w:spacing w:line="230" w:lineRule="auto" w:before="47"/>
              <w:ind w:left="22" w:right="14"/>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、《关于本次发行股份及支付现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金购买资产并募集配套资金涉 及关联交易的议案》</w:t>
            </w:r>
          </w:p>
          <w:p>
            <w:pPr>
              <w:pStyle w:val="TableParagraph"/>
              <w:spacing w:line="225" w:lineRule="auto" w:before="51"/>
              <w:ind w:left="22" w:right="14"/>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《关于签署附条件生效的</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股权</w:t>
            </w:r>
            <w:r>
              <w:rPr>
                <w:rFonts w:ascii="宋体" w:hAnsi="宋体" w:cs="宋体" w:eastAsia="宋体" w:hint="default"/>
                <w:spacing w:val="-87"/>
                <w:sz w:val="18"/>
                <w:szCs w:val="18"/>
              </w:rPr>
              <w:t> </w:t>
            </w:r>
            <w:r>
              <w:rPr>
                <w:rFonts w:ascii="宋体" w:hAnsi="宋体" w:cs="宋体" w:eastAsia="宋体" w:hint="default"/>
                <w:spacing w:val="-6"/>
                <w:sz w:val="18"/>
                <w:szCs w:val="18"/>
              </w:rPr>
              <w:t>转让合同</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、附条件生效的</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业绩</w:t>
            </w:r>
            <w:r>
              <w:rPr>
                <w:rFonts w:ascii="宋体" w:hAnsi="宋体" w:cs="宋体" w:eastAsia="宋体" w:hint="default"/>
                <w:spacing w:val="-85"/>
                <w:sz w:val="18"/>
                <w:szCs w:val="18"/>
              </w:rPr>
              <w:t> </w:t>
            </w:r>
            <w:r>
              <w:rPr>
                <w:rFonts w:ascii="宋体" w:hAnsi="宋体" w:cs="宋体" w:eastAsia="宋体" w:hint="default"/>
                <w:sz w:val="18"/>
                <w:szCs w:val="18"/>
              </w:rPr>
              <w:t>补偿协议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25" w:lineRule="auto" w:before="39"/>
              <w:ind w:left="22" w:right="14"/>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、《关于公司分别与郑晓东、段</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永玲、郭海签署附条件生效的</w:t>
            </w:r>
            <w:r>
              <w:rPr>
                <w:rFonts w:ascii="Times New Roman" w:hAnsi="Times New Roman" w:cs="Times New Roman" w:eastAsia="Times New Roman" w:hint="default"/>
                <w:sz w:val="18"/>
                <w:szCs w:val="18"/>
              </w:rPr>
              <w:t>&lt; </w:t>
            </w:r>
            <w:r>
              <w:rPr>
                <w:rFonts w:ascii="宋体" w:hAnsi="宋体" w:cs="宋体" w:eastAsia="宋体" w:hint="default"/>
                <w:sz w:val="18"/>
                <w:szCs w:val="18"/>
              </w:rPr>
              <w:t>股份认购合同</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28" w:lineRule="auto" w:before="37"/>
              <w:ind w:left="22" w:right="15"/>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7</w:t>
            </w:r>
            <w:r>
              <w:rPr>
                <w:rFonts w:ascii="宋体" w:hAnsi="宋体" w:cs="宋体" w:eastAsia="宋体" w:hint="default"/>
                <w:spacing w:val="-11"/>
                <w:sz w:val="18"/>
                <w:szCs w:val="18"/>
              </w:rPr>
              <w:t>、《关于本次发行股份及支付现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金购买资产并募集配套资金符 合</w:t>
            </w:r>
            <w:r>
              <w:rPr>
                <w:rFonts w:ascii="Times New Roman" w:hAnsi="Times New Roman" w:cs="Times New Roman" w:eastAsia="Times New Roman" w:hint="default"/>
                <w:sz w:val="18"/>
                <w:szCs w:val="18"/>
              </w:rPr>
              <w:t>&lt;</w:t>
            </w:r>
            <w:r>
              <w:rPr>
                <w:rFonts w:ascii="宋体" w:hAnsi="宋体" w:cs="宋体" w:eastAsia="宋体" w:hint="default"/>
                <w:sz w:val="18"/>
                <w:szCs w:val="18"/>
              </w:rPr>
              <w:t>上市公司重大资产重组管理 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第四十二条第二款规定的 议案》</w:t>
            </w:r>
          </w:p>
          <w:p>
            <w:pPr>
              <w:pStyle w:val="TableParagraph"/>
              <w:spacing w:line="232" w:lineRule="auto" w:before="45"/>
              <w:ind w:left="22" w:right="15"/>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8</w:t>
            </w:r>
            <w:r>
              <w:rPr>
                <w:rFonts w:ascii="宋体" w:hAnsi="宋体" w:cs="宋体" w:eastAsia="宋体" w:hint="default"/>
                <w:spacing w:val="-11"/>
                <w:sz w:val="18"/>
                <w:szCs w:val="18"/>
              </w:rPr>
              <w:t>、《关于提请股东大会授权董事</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会办理本次发行股份及支付现 金购买资产并募集配套资金相 关事宜的议案》</w:t>
            </w:r>
          </w:p>
          <w:p>
            <w:pPr>
              <w:pStyle w:val="TableParagraph"/>
              <w:spacing w:line="232" w:lineRule="auto" w:before="45"/>
              <w:ind w:left="22" w:right="1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、《关于</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公司发行股份及支付</w:t>
            </w:r>
            <w:r>
              <w:rPr>
                <w:rFonts w:ascii="宋体" w:hAnsi="宋体" w:cs="宋体" w:eastAsia="宋体" w:hint="default"/>
                <w:sz w:val="18"/>
                <w:szCs w:val="18"/>
              </w:rPr>
              <w:t> 现金购买资产并募集配套资金 </w:t>
            </w:r>
            <w:r>
              <w:rPr>
                <w:rFonts w:ascii="宋体" w:hAnsi="宋体" w:cs="宋体" w:eastAsia="宋体" w:hint="default"/>
                <w:spacing w:val="-5"/>
                <w:sz w:val="18"/>
                <w:szCs w:val="18"/>
              </w:rPr>
              <w:t>暨关联交易报告书（草案）及其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摘要</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232" w:lineRule="auto" w:before="32"/>
              <w:ind w:left="22" w:right="15"/>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、《关于评估机构的独立性、</w:t>
            </w:r>
            <w:r>
              <w:rPr>
                <w:rFonts w:ascii="宋体" w:hAnsi="宋体" w:cs="宋体" w:eastAsia="宋体" w:hint="default"/>
                <w:sz w:val="18"/>
                <w:szCs w:val="18"/>
              </w:rPr>
              <w:t> </w:t>
            </w:r>
            <w:r>
              <w:rPr>
                <w:rFonts w:ascii="宋体" w:hAnsi="宋体" w:cs="宋体" w:eastAsia="宋体" w:hint="default"/>
                <w:spacing w:val="-5"/>
                <w:sz w:val="18"/>
                <w:szCs w:val="18"/>
              </w:rPr>
              <w:t>评估假设前提的合理性、评估方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法与评估目的的相关性及评估 定价的公允性的议案》</w:t>
            </w:r>
          </w:p>
          <w:p>
            <w:pPr>
              <w:pStyle w:val="TableParagraph"/>
              <w:spacing w:line="230" w:lineRule="auto" w:before="47"/>
              <w:ind w:left="22" w:right="15"/>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、《关于批准本次交易相关审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计报告、盈利预测报告及评估报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告的议案》</w:t>
            </w:r>
          </w:p>
          <w:p>
            <w:pPr>
              <w:pStyle w:val="TableParagraph"/>
              <w:spacing w:line="234" w:lineRule="exact" w:before="62"/>
              <w:ind w:left="22" w:right="15"/>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12</w:t>
            </w:r>
            <w:r>
              <w:rPr>
                <w:rFonts w:ascii="宋体" w:hAnsi="宋体" w:cs="宋体" w:eastAsia="宋体" w:hint="default"/>
                <w:spacing w:val="-11"/>
                <w:sz w:val="18"/>
                <w:szCs w:val="18"/>
              </w:rPr>
              <w:t>、《关于修订</w:t>
            </w:r>
            <w:r>
              <w:rPr>
                <w:rFonts w:ascii="Times New Roman" w:hAnsi="Times New Roman" w:cs="Times New Roman" w:eastAsia="Times New Roman" w:hint="default"/>
                <w:spacing w:val="-11"/>
                <w:sz w:val="18"/>
                <w:szCs w:val="18"/>
              </w:rPr>
              <w:t>&lt;</w:t>
            </w:r>
            <w:r>
              <w:rPr>
                <w:rFonts w:ascii="宋体" w:hAnsi="宋体" w:cs="宋体" w:eastAsia="宋体" w:hint="default"/>
                <w:spacing w:val="-11"/>
                <w:sz w:val="18"/>
                <w:szCs w:val="18"/>
              </w:rPr>
              <w:t>募集资金管理制</w:t>
            </w:r>
            <w:r>
              <w:rPr>
                <w:rFonts w:ascii="宋体" w:hAnsi="宋体" w:cs="宋体" w:eastAsia="宋体" w:hint="default"/>
                <w:spacing w:val="-77"/>
                <w:sz w:val="18"/>
                <w:szCs w:val="18"/>
              </w:rPr>
              <w:t> </w:t>
            </w:r>
            <w:r>
              <w:rPr>
                <w:rFonts w:ascii="宋体" w:hAnsi="宋体" w:cs="宋体" w:eastAsia="宋体" w:hint="default"/>
                <w:sz w:val="18"/>
                <w:szCs w:val="18"/>
              </w:rPr>
              <w:t>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170"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6"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14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大会决议公</w:t>
            </w:r>
            <w:r>
              <w:rPr>
                <w:rFonts w:ascii="宋体" w:hAnsi="宋体" w:cs="宋体" w:eastAsia="宋体" w:hint="default"/>
                <w:spacing w:val="-82"/>
                <w:sz w:val="18"/>
                <w:szCs w:val="18"/>
              </w:rPr>
              <w:t>告</w:t>
            </w:r>
            <w:r>
              <w:rPr>
                <w:rFonts w:ascii="宋体" w:hAnsi="宋体" w:cs="宋体" w:eastAsia="宋体" w:hint="default"/>
                <w:sz w:val="18"/>
                <w:szCs w:val="18"/>
              </w:rPr>
              <w:t>（公告</w:t>
            </w:r>
          </w:p>
          <w:p>
            <w:pPr>
              <w:pStyle w:val="TableParagraph"/>
              <w:spacing w:line="235" w:lineRule="exact"/>
              <w:ind w:left="21" w:right="0"/>
              <w:jc w:val="left"/>
              <w:rPr>
                <w:rFonts w:ascii="宋体" w:hAnsi="宋体" w:cs="宋体" w:eastAsia="宋体" w:hint="default"/>
                <w:sz w:val="18"/>
                <w:szCs w:val="18"/>
              </w:rPr>
            </w:pP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2014-079</w:t>
            </w:r>
            <w:r>
              <w:rPr>
                <w:rFonts w:ascii="宋体" w:hAnsi="宋体" w:cs="宋体" w:eastAsia="宋体" w:hint="default"/>
                <w:sz w:val="18"/>
                <w:szCs w:val="18"/>
              </w:rPr>
              <w:t>）</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41"/>
              <w:jc w:val="both"/>
              <w:rPr>
                <w:rFonts w:ascii="宋体" w:hAnsi="宋体" w:cs="宋体" w:eastAsia="宋体" w:hint="default"/>
                <w:sz w:val="18"/>
                <w:szCs w:val="18"/>
              </w:rPr>
            </w:pPr>
            <w:r>
              <w:rPr>
                <w:rFonts w:ascii="宋体" w:hAnsi="宋体" w:cs="宋体" w:eastAsia="宋体" w:hint="default"/>
                <w:sz w:val="18"/>
                <w:szCs w:val="18"/>
              </w:rPr>
              <w:t>《关于控股子公司浙江大农实 业有限公司改制设立股份有限 公司及拟申请在新三板挂牌的 议案》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2"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年第七次临时股东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2014-087</w:t>
            </w:r>
            <w:r>
              <w:rPr>
                <w:rFonts w:ascii="宋体" w:hAnsi="宋体" w:cs="宋体" w:eastAsia="宋体" w:hint="default"/>
                <w:sz w:val="18"/>
                <w:szCs w:val="18"/>
              </w:rPr>
              <w:t>）</w:t>
            </w:r>
          </w:p>
        </w:tc>
      </w:tr>
      <w:tr>
        <w:trPr>
          <w:trHeight w:val="10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7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年第八次临时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3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、《关于修订</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公司章程</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的议</w:t>
            </w:r>
            <w:r>
              <w:rPr>
                <w:rFonts w:ascii="宋体" w:hAnsi="宋体" w:cs="宋体" w:eastAsia="宋体" w:hint="default"/>
                <w:sz w:val="18"/>
                <w:szCs w:val="18"/>
              </w:rPr>
              <w:t> 案》</w:t>
            </w:r>
          </w:p>
          <w:p>
            <w:pPr>
              <w:pStyle w:val="TableParagraph"/>
              <w:spacing w:line="232" w:lineRule="exact" w:before="41"/>
              <w:ind w:left="22" w:right="38"/>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、《关于修订</w:t>
            </w:r>
            <w:r>
              <w:rPr>
                <w:rFonts w:ascii="Times New Roman" w:hAnsi="Times New Roman" w:cs="Times New Roman" w:eastAsia="Times New Roman" w:hint="default"/>
                <w:spacing w:val="-6"/>
                <w:sz w:val="18"/>
                <w:szCs w:val="18"/>
              </w:rPr>
              <w:t>&lt;</w:t>
            </w:r>
            <w:r>
              <w:rPr>
                <w:rFonts w:ascii="宋体" w:hAnsi="宋体" w:cs="宋体" w:eastAsia="宋体" w:hint="default"/>
                <w:spacing w:val="-6"/>
                <w:sz w:val="18"/>
                <w:szCs w:val="18"/>
              </w:rPr>
              <w:t>股东大会议事规</w:t>
            </w:r>
            <w:r>
              <w:rPr>
                <w:rFonts w:ascii="宋体" w:hAnsi="宋体" w:cs="宋体" w:eastAsia="宋体" w:hint="default"/>
                <w:sz w:val="18"/>
                <w:szCs w:val="18"/>
              </w:rPr>
              <w:t> 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2" w:right="55"/>
              <w:jc w:val="left"/>
              <w:rPr>
                <w:rFonts w:ascii="宋体" w:hAnsi="宋体" w:cs="宋体" w:eastAsia="宋体" w:hint="default"/>
                <w:sz w:val="18"/>
                <w:szCs w:val="18"/>
              </w:rPr>
            </w:pPr>
            <w:r>
              <w:rPr>
                <w:rFonts w:ascii="宋体" w:hAnsi="宋体" w:cs="宋体" w:eastAsia="宋体" w:hint="default"/>
                <w:sz w:val="18"/>
                <w:szCs w:val="18"/>
              </w:rPr>
              <w:t>审议通过全部 议案</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2"/>
              <w:ind w:left="21" w:right="21"/>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2014 </w:t>
            </w:r>
            <w:r>
              <w:rPr>
                <w:rFonts w:ascii="宋体" w:hAnsi="宋体" w:cs="宋体" w:eastAsia="宋体" w:hint="default"/>
                <w:sz w:val="18"/>
                <w:szCs w:val="18"/>
              </w:rPr>
              <w:t>年第八次临时股东 </w:t>
            </w:r>
            <w:r>
              <w:rPr>
                <w:rFonts w:ascii="宋体" w:hAnsi="宋体" w:cs="宋体" w:eastAsia="宋体" w:hint="default"/>
                <w:spacing w:val="-10"/>
                <w:sz w:val="18"/>
                <w:szCs w:val="18"/>
              </w:rPr>
              <w:t>大会决议公告（公告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编号为</w:t>
            </w:r>
            <w:r>
              <w:rPr>
                <w:rFonts w:ascii="宋体" w:hAnsi="宋体" w:cs="宋体" w:eastAsia="宋体" w:hint="default"/>
                <w:spacing w:val="-46"/>
                <w:sz w:val="18"/>
                <w:szCs w:val="18"/>
              </w:rPr>
              <w:t> </w:t>
            </w:r>
            <w:r>
              <w:rPr>
                <w:rFonts w:ascii="宋体" w:hAnsi="宋体" w:cs="宋体" w:eastAsia="宋体" w:hint="default"/>
                <w:sz w:val="18"/>
                <w:szCs w:val="18"/>
              </w:rPr>
              <w:t>2014-105</w:t>
            </w:r>
            <w:r>
              <w:rPr>
                <w:rFonts w:ascii="宋体" w:hAnsi="宋体" w:cs="宋体" w:eastAsia="宋体" w:hint="default"/>
                <w:sz w:val="18"/>
                <w:szCs w:val="18"/>
              </w:rPr>
              <w:t>）</w:t>
            </w:r>
          </w:p>
        </w:tc>
      </w:tr>
    </w:tbl>
    <w:p>
      <w:pPr>
        <w:spacing w:line="240" w:lineRule="auto" w:before="12"/>
        <w:rPr>
          <w:rFonts w:ascii="宋体" w:hAnsi="宋体" w:cs="宋体" w:eastAsia="宋体" w:hint="default"/>
          <w:b/>
          <w:bCs/>
          <w:sz w:val="17"/>
          <w:szCs w:val="17"/>
        </w:rPr>
      </w:pPr>
    </w:p>
    <w:p>
      <w:pPr>
        <w:pStyle w:val="Heading2"/>
        <w:spacing w:line="240" w:lineRule="auto" w:before="26"/>
        <w:ind w:left="898" w:right="0"/>
        <w:jc w:val="left"/>
        <w:rPr>
          <w:b w:val="0"/>
          <w:bCs w:val="0"/>
        </w:rPr>
      </w:pPr>
      <w:bookmarkStart w:name="三、报告期内独立董事履行职责的情况" w:id="96"/>
      <w:bookmarkEnd w:id="96"/>
      <w:r>
        <w:rPr>
          <w:b w:val="0"/>
          <w:bCs w:val="0"/>
        </w:rPr>
      </w:r>
      <w:r>
        <w:rPr/>
        <w:t>三、报告期内独立董事履行职责的情况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897" w:right="0"/>
        <w:jc w:val="left"/>
        <w:rPr>
          <w:b w:val="0"/>
          <w:bCs w:val="0"/>
        </w:rPr>
      </w:pPr>
      <w:bookmarkStart w:name="1、独立董事出席董事会及股东大会的情况" w:id="97"/>
      <w:bookmarkEnd w:id="97"/>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p>
      <w:pPr>
        <w:spacing w:line="323" w:lineRule="exact"/>
        <w:ind w:left="270"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478.45pt;height:16.2pt;mso-position-horizontal-relative:char;mso-position-vertical-relative:line" type="#_x0000_t202" filled="true" fillcolor="#d2d2d2" stroked="true" strokeweight=".48pt" strokecolor="#000000">
            <w10:anchorlock/>
            <v:textbox inset="0,0,0,0">
              <w:txbxContent>
                <w:p>
                  <w:pPr>
                    <w:spacing w:before="10"/>
                    <w:ind w:left="0" w:right="0" w:firstLine="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xbxContent>
            </v:textbox>
            <v:fill type="solid"/>
          </v:shape>
        </w:pict>
      </w:r>
      <w:r>
        <w:rPr>
          <w:rFonts w:ascii="宋体" w:hAnsi="宋体" w:cs="宋体" w:eastAsia="宋体" w:hint="default"/>
          <w:position w:val="-5"/>
          <w:sz w:val="20"/>
          <w:szCs w:val="20"/>
        </w:rPr>
      </w:r>
    </w:p>
    <w:p>
      <w:pPr>
        <w:spacing w:after="0" w:line="323" w:lineRule="exact"/>
        <w:rPr>
          <w:rFonts w:ascii="宋体" w:hAnsi="宋体" w:cs="宋体" w:eastAsia="宋体" w:hint="default"/>
          <w:sz w:val="20"/>
          <w:szCs w:val="20"/>
        </w:rPr>
        <w:sectPr>
          <w:pgSz w:w="11910" w:h="16840"/>
          <w:pgMar w:header="0" w:footer="938" w:top="1100" w:bottom="1120" w:left="900" w:right="0"/>
        </w:sectPr>
      </w:pPr>
    </w:p>
    <w:p>
      <w:pPr>
        <w:spacing w:line="240" w:lineRule="auto" w:before="6"/>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1624"/>
        <w:gridCol w:w="1324"/>
        <w:gridCol w:w="1325"/>
        <w:gridCol w:w="1324"/>
        <w:gridCol w:w="1324"/>
        <w:gridCol w:w="1325"/>
        <w:gridCol w:w="1324"/>
      </w:tblGrid>
      <w:tr>
        <w:trPr>
          <w:trHeight w:val="55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6"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5" w:right="26"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2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马骏</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靳明（离任）</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赵保卿</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张翔</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1</w:t>
            </w:r>
          </w:p>
        </w:tc>
      </w:tr>
    </w:tbl>
    <w:p>
      <w:pPr>
        <w:spacing w:line="240" w:lineRule="auto" w:before="7"/>
        <w:rPr>
          <w:rFonts w:ascii="宋体" w:hAnsi="宋体" w:cs="宋体" w:eastAsia="宋体" w:hint="default"/>
          <w:b/>
          <w:bCs/>
          <w:sz w:val="17"/>
          <w:szCs w:val="17"/>
        </w:rPr>
      </w:pPr>
    </w:p>
    <w:p>
      <w:pPr>
        <w:pStyle w:val="Heading3"/>
        <w:spacing w:line="240" w:lineRule="auto" w:before="35"/>
        <w:ind w:left="738" w:right="0"/>
        <w:jc w:val="both"/>
        <w:rPr>
          <w:b w:val="0"/>
          <w:bCs w:val="0"/>
        </w:rPr>
      </w:pPr>
      <w:bookmarkStart w:name="2、独立董事对公司有关事项提出异议的情况" w:id="98"/>
      <w:bookmarkEnd w:id="98"/>
      <w:r>
        <w:rPr>
          <w:b w:val="0"/>
          <w:bCs w:val="0"/>
        </w:rPr>
      </w:r>
      <w:r>
        <w:rPr>
          <w:rFonts w:ascii="宋体" w:hAnsi="宋体" w:cs="宋体" w:eastAsia="宋体" w:hint="default"/>
        </w:rPr>
        <w:t>2</w:t>
      </w:r>
      <w:r>
        <w:rPr/>
        <w:t>、独立董事对公司有关事项提出异议的情况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0"/>
        <w:ind w:left="738" w:right="0"/>
        <w:jc w:val="both"/>
      </w:pPr>
      <w:r>
        <w:rPr/>
        <w:t>独立董事对公司有关事项是否提出异议</w:t>
      </w:r>
    </w:p>
    <w:p>
      <w:pPr>
        <w:pStyle w:val="BodyText"/>
        <w:spacing w:line="391" w:lineRule="auto" w:before="174"/>
        <w:ind w:left="738" w:right="5678"/>
        <w:jc w:val="left"/>
      </w:pPr>
      <w:r>
        <w:rPr/>
        <w:t>□ 是 √</w:t>
      </w:r>
      <w:r>
        <w:rPr>
          <w:spacing w:val="-1"/>
        </w:rPr>
        <w:t> </w:t>
      </w:r>
      <w:r>
        <w:rPr/>
        <w:t>否</w:t>
      </w:r>
      <w:r>
        <w:rPr/>
        <w:t> 报告期内独立董事对公司有关事项未提出异议。</w:t>
      </w:r>
    </w:p>
    <w:p>
      <w:pPr>
        <w:spacing w:line="570" w:lineRule="atLeast" w:before="5"/>
        <w:ind w:left="738" w:right="6728" w:firstLine="0"/>
        <w:jc w:val="left"/>
        <w:rPr>
          <w:rFonts w:ascii="宋体" w:hAnsi="宋体" w:cs="宋体" w:eastAsia="宋体" w:hint="default"/>
          <w:sz w:val="21"/>
          <w:szCs w:val="21"/>
        </w:rPr>
      </w:pPr>
      <w:bookmarkStart w:name="3、独立董事履行职责的其他说明" w:id="99"/>
      <w:bookmarkEnd w:id="99"/>
      <w:r>
        <w:rPr/>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w w:val="99"/>
          <w:sz w:val="21"/>
          <w:szCs w:val="21"/>
        </w:rPr>
        <w:t> </w:t>
      </w:r>
      <w:r>
        <w:rPr>
          <w:rFonts w:ascii="宋体" w:hAnsi="宋体" w:cs="宋体" w:eastAsia="宋体" w:hint="default"/>
          <w:sz w:val="21"/>
          <w:szCs w:val="21"/>
        </w:rPr>
        <w:t>独立董事对公司有关建议是否被采纳</w:t>
      </w:r>
    </w:p>
    <w:p>
      <w:pPr>
        <w:pStyle w:val="BodyText"/>
        <w:spacing w:line="391" w:lineRule="auto" w:before="174"/>
        <w:ind w:left="738" w:right="5468"/>
        <w:jc w:val="left"/>
      </w:pPr>
      <w:r>
        <w:rPr/>
        <w:t>√ 是 □</w:t>
      </w:r>
      <w:r>
        <w:rPr>
          <w:spacing w:val="-1"/>
        </w:rPr>
        <w:t> </w:t>
      </w:r>
      <w:r>
        <w:rPr/>
        <w:t>否</w:t>
      </w:r>
      <w:r>
        <w:rPr/>
        <w:t> 独立董事对公司有关建议被采纳或未被采纳的说明</w:t>
      </w:r>
    </w:p>
    <w:p>
      <w:pPr>
        <w:pStyle w:val="BodyText"/>
        <w:spacing w:line="357" w:lineRule="auto" w:before="41"/>
        <w:ind w:left="737" w:right="1792" w:firstLine="420"/>
        <w:jc w:val="both"/>
      </w:pPr>
      <w:r>
        <w:rPr>
          <w:spacing w:val="-8"/>
        </w:rPr>
        <w:t>公司三名独立董事勤勉尽责，严格按照中国证监会的相关规定及《公司章程》、《董事会</w:t>
      </w:r>
      <w:r>
        <w:rPr/>
        <w:t> </w:t>
      </w:r>
      <w:r>
        <w:rPr>
          <w:spacing w:val="-3"/>
        </w:rPr>
        <w:t>议事规则》和《独立董事制度》开展工作，关注公司运作</w:t>
      </w:r>
      <w:r>
        <w:rPr>
          <w:rFonts w:ascii="宋体" w:hAnsi="宋体" w:cs="宋体" w:eastAsia="宋体" w:hint="default"/>
          <w:spacing w:val="-3"/>
        </w:rPr>
        <w:t>,</w:t>
      </w:r>
      <w:r>
        <w:rPr>
          <w:spacing w:val="-3"/>
        </w:rPr>
        <w:t>独立履行职责</w:t>
      </w:r>
      <w:r>
        <w:rPr>
          <w:rFonts w:ascii="宋体" w:hAnsi="宋体" w:cs="宋体" w:eastAsia="宋体" w:hint="default"/>
          <w:spacing w:val="-3"/>
        </w:rPr>
        <w:t>,</w:t>
      </w:r>
      <w:r>
        <w:rPr>
          <w:spacing w:val="-3"/>
        </w:rPr>
        <w:t>对公司内部控制建</w:t>
      </w:r>
      <w:r>
        <w:rPr>
          <w:spacing w:val="-73"/>
        </w:rPr>
        <w:t> </w:t>
      </w:r>
      <w:r>
        <w:rPr>
          <w:spacing w:val="-73"/>
        </w:rPr>
      </w:r>
      <w:r>
        <w:rPr>
          <w:spacing w:val="-3"/>
        </w:rPr>
        <w:t>设、管理体系建设、人才梯队建设和重大决策等方面提出了很多宝贵的专业性建议，对公司</w:t>
      </w:r>
      <w:r>
        <w:rPr>
          <w:spacing w:val="-72"/>
        </w:rPr>
        <w:t> </w:t>
      </w:r>
      <w:r>
        <w:rPr>
          <w:spacing w:val="-72"/>
        </w:rPr>
      </w:r>
      <w:r>
        <w:rPr>
          <w:spacing w:val="-3"/>
        </w:rPr>
        <w:t>财务及生产经营活动进行了有效监督，提高了公司决策的科学性，为完善公司监督机制，维</w:t>
      </w:r>
      <w:r>
        <w:rPr>
          <w:spacing w:val="-72"/>
        </w:rPr>
        <w:t> </w:t>
      </w:r>
      <w:r>
        <w:rPr>
          <w:spacing w:val="-72"/>
        </w:rPr>
      </w:r>
      <w:r>
        <w:rPr/>
        <w:t>护公司和全体股东的合法权益发挥了应有的作用。</w:t>
      </w:r>
    </w:p>
    <w:p>
      <w:pPr>
        <w:spacing w:line="240" w:lineRule="auto" w:before="12"/>
        <w:rPr>
          <w:rFonts w:ascii="宋体" w:hAnsi="宋体" w:cs="宋体" w:eastAsia="宋体" w:hint="default"/>
          <w:sz w:val="24"/>
          <w:szCs w:val="24"/>
        </w:rPr>
      </w:pPr>
    </w:p>
    <w:p>
      <w:pPr>
        <w:pStyle w:val="Heading2"/>
        <w:spacing w:line="240" w:lineRule="auto"/>
        <w:ind w:left="737" w:right="0"/>
        <w:jc w:val="both"/>
        <w:rPr>
          <w:b w:val="0"/>
          <w:bCs w:val="0"/>
        </w:rPr>
      </w:pPr>
      <w:bookmarkStart w:name="四、董事会下设专门委员会在报告期内履行职责情况" w:id="100"/>
      <w:bookmarkEnd w:id="100"/>
      <w:r>
        <w:rPr>
          <w:b w:val="0"/>
          <w:bCs w:val="0"/>
        </w:rPr>
      </w:r>
      <w:r>
        <w:rPr/>
        <w:t>四、董事会下设专门委员会在报告期内履行职责情况</w:t>
      </w:r>
      <w:r>
        <w:rPr>
          <w:b w:val="0"/>
          <w:bCs w:val="0"/>
        </w:rPr>
      </w:r>
    </w:p>
    <w:p>
      <w:pPr>
        <w:spacing w:line="240" w:lineRule="auto" w:before="2"/>
        <w:rPr>
          <w:rFonts w:ascii="宋体" w:hAnsi="宋体" w:cs="宋体" w:eastAsia="宋体" w:hint="default"/>
          <w:b/>
          <w:bCs/>
          <w:sz w:val="23"/>
          <w:szCs w:val="23"/>
        </w:rPr>
      </w:pPr>
    </w:p>
    <w:p>
      <w:pPr>
        <w:spacing w:line="355" w:lineRule="auto" w:before="0"/>
        <w:ind w:left="1157" w:right="1689" w:hanging="420"/>
        <w:jc w:val="left"/>
        <w:rPr>
          <w:rFonts w:ascii="宋体" w:hAnsi="宋体" w:cs="宋体" w:eastAsia="宋体" w:hint="default"/>
          <w:sz w:val="21"/>
          <w:szCs w:val="21"/>
        </w:rPr>
      </w:pPr>
      <w:r>
        <w:rPr>
          <w:rFonts w:ascii="宋体" w:hAnsi="宋体" w:cs="宋体" w:eastAsia="宋体" w:hint="default"/>
          <w:b/>
          <w:bCs/>
          <w:sz w:val="21"/>
          <w:szCs w:val="21"/>
        </w:rPr>
        <w:t>（一）战略决策委员会</w:t>
      </w:r>
      <w:r>
        <w:rPr>
          <w:rFonts w:ascii="宋体" w:hAnsi="宋体" w:cs="宋体" w:eastAsia="宋体" w:hint="default"/>
          <w:b/>
          <w:bCs/>
          <w:w w:val="99"/>
          <w:sz w:val="21"/>
          <w:szCs w:val="21"/>
        </w:rPr>
        <w:t> </w:t>
      </w:r>
      <w:r>
        <w:rPr>
          <w:rFonts w:ascii="宋体" w:hAnsi="宋体" w:cs="宋体" w:eastAsia="宋体" w:hint="default"/>
          <w:spacing w:val="-3"/>
          <w:sz w:val="21"/>
          <w:szCs w:val="21"/>
        </w:rPr>
        <w:t>战略决策委员会的职责为：（</w:t>
      </w:r>
      <w:r>
        <w:rPr>
          <w:rFonts w:ascii="宋体" w:hAnsi="宋体" w:cs="宋体" w:eastAsia="宋体" w:hint="default"/>
          <w:spacing w:val="-3"/>
          <w:sz w:val="21"/>
          <w:szCs w:val="21"/>
        </w:rPr>
        <w:t>1</w:t>
      </w:r>
      <w:r>
        <w:rPr>
          <w:rFonts w:ascii="宋体" w:hAnsi="宋体" w:cs="宋体" w:eastAsia="宋体" w:hint="default"/>
          <w:spacing w:val="-3"/>
          <w:sz w:val="21"/>
          <w:szCs w:val="21"/>
        </w:rPr>
        <w:t>）审议公司的未来愿景、使命和价值观方案；（</w:t>
      </w:r>
      <w:r>
        <w:rPr>
          <w:rFonts w:ascii="宋体" w:hAnsi="宋体" w:cs="宋体" w:eastAsia="宋体" w:hint="default"/>
          <w:spacing w:val="-3"/>
          <w:sz w:val="21"/>
          <w:szCs w:val="21"/>
        </w:rPr>
        <w:t>2</w:t>
      </w:r>
      <w:r>
        <w:rPr>
          <w:rFonts w:ascii="宋体" w:hAnsi="宋体" w:cs="宋体" w:eastAsia="宋体" w:hint="default"/>
          <w:spacing w:val="-3"/>
          <w:sz w:val="21"/>
          <w:szCs w:val="21"/>
        </w:rPr>
        <w:t>）审议</w:t>
      </w:r>
    </w:p>
    <w:p>
      <w:pPr>
        <w:pStyle w:val="BodyText"/>
        <w:spacing w:line="357" w:lineRule="auto" w:before="33"/>
        <w:ind w:left="737" w:right="1689"/>
        <w:jc w:val="both"/>
      </w:pPr>
      <w:r>
        <w:rPr>
          <w:spacing w:val="-3"/>
        </w:rPr>
        <w:t>公司的战略规划和实施报告；（</w:t>
      </w:r>
      <w:r>
        <w:rPr>
          <w:rFonts w:ascii="宋体" w:hAnsi="宋体" w:cs="宋体" w:eastAsia="宋体" w:hint="default"/>
          <w:spacing w:val="-3"/>
        </w:rPr>
        <w:t>3</w:t>
      </w:r>
      <w:r>
        <w:rPr>
          <w:spacing w:val="-3"/>
        </w:rPr>
        <w:t>）审议公司的市场定位和行业吸引力分析报告；（</w:t>
      </w:r>
      <w:r>
        <w:rPr>
          <w:rFonts w:ascii="宋体" w:hAnsi="宋体" w:cs="宋体" w:eastAsia="宋体" w:hint="default"/>
          <w:spacing w:val="-3"/>
        </w:rPr>
        <w:t>4</w:t>
      </w:r>
      <w:r>
        <w:rPr>
          <w:spacing w:val="-3"/>
        </w:rPr>
        <w:t>）审议</w:t>
      </w:r>
      <w:r>
        <w:rPr>
          <w:spacing w:val="-71"/>
        </w:rPr>
        <w:t> </w:t>
      </w:r>
      <w:r>
        <w:rPr>
          <w:spacing w:val="-71"/>
        </w:rPr>
      </w:r>
      <w:r>
        <w:rPr/>
        <w:t>公司的市场、开发、融投资、人力资源等特定战略分析报告；（</w:t>
      </w:r>
      <w:r>
        <w:rPr>
          <w:rFonts w:ascii="宋体" w:hAnsi="宋体" w:cs="宋体" w:eastAsia="宋体" w:hint="default"/>
        </w:rPr>
        <w:t>5</w:t>
      </w:r>
      <w:r>
        <w:rPr/>
        <w:t>）审议公司的战略实施计 </w:t>
      </w:r>
      <w:r>
        <w:rPr>
          <w:spacing w:val="-3"/>
        </w:rPr>
        <w:t>划和战略调整计划；（</w:t>
      </w:r>
      <w:r>
        <w:rPr>
          <w:rFonts w:ascii="宋体" w:hAnsi="宋体" w:cs="宋体" w:eastAsia="宋体" w:hint="default"/>
          <w:spacing w:val="-3"/>
        </w:rPr>
        <w:t>6</w:t>
      </w:r>
      <w:r>
        <w:rPr>
          <w:spacing w:val="-3"/>
        </w:rPr>
        <w:t>）审议公司的重大项目投资的可行性分析报告；（</w:t>
      </w:r>
      <w:r>
        <w:rPr>
          <w:rFonts w:ascii="宋体" w:hAnsi="宋体" w:cs="宋体" w:eastAsia="宋体" w:hint="default"/>
          <w:spacing w:val="-3"/>
        </w:rPr>
        <w:t>7</w:t>
      </w:r>
      <w:r>
        <w:rPr>
          <w:spacing w:val="-3"/>
        </w:rPr>
        <w:t>）审议公司的重</w:t>
      </w:r>
      <w:r>
        <w:rPr>
          <w:spacing w:val="-73"/>
        </w:rPr>
        <w:t> </w:t>
      </w:r>
      <w:r>
        <w:rPr>
          <w:spacing w:val="-73"/>
        </w:rPr>
      </w:r>
      <w:r>
        <w:rPr/>
        <w:t>大项目投资的实施计划以及资金筹措和使用方案；（</w:t>
      </w:r>
      <w:r>
        <w:rPr>
          <w:rFonts w:ascii="宋体" w:hAnsi="宋体" w:cs="宋体" w:eastAsia="宋体" w:hint="default"/>
        </w:rPr>
        <w:t>8</w:t>
      </w:r>
      <w:r>
        <w:rPr/>
        <w:t>）审议公司在重大项目投资中与合作 </w:t>
      </w:r>
      <w:r>
        <w:rPr>
          <w:spacing w:val="-3"/>
        </w:rPr>
        <w:t>方谈判的情况报告；（</w:t>
      </w:r>
      <w:r>
        <w:rPr>
          <w:rFonts w:ascii="宋体" w:hAnsi="宋体" w:cs="宋体" w:eastAsia="宋体" w:hint="default"/>
          <w:spacing w:val="-3"/>
        </w:rPr>
        <w:t>9</w:t>
      </w:r>
      <w:r>
        <w:rPr>
          <w:spacing w:val="-3"/>
        </w:rPr>
        <w:t>）审议控股子公司的公司章程；（</w:t>
      </w:r>
      <w:r>
        <w:rPr>
          <w:rFonts w:ascii="宋体" w:hAnsi="宋体" w:cs="宋体" w:eastAsia="宋体" w:hint="default"/>
          <w:spacing w:val="-3"/>
        </w:rPr>
        <w:t>10</w:t>
      </w:r>
      <w:r>
        <w:rPr>
          <w:spacing w:val="-3"/>
        </w:rPr>
        <w:t>）审议控股子公司的战略规划；</w:t>
      </w:r>
    </w:p>
    <w:p>
      <w:pPr>
        <w:pStyle w:val="BodyText"/>
        <w:spacing w:line="355" w:lineRule="auto" w:before="32"/>
        <w:ind w:left="737" w:right="1689"/>
        <w:jc w:val="left"/>
      </w:pPr>
      <w:r>
        <w:rPr>
          <w:spacing w:val="-3"/>
        </w:rPr>
        <w:t>（</w:t>
      </w:r>
      <w:r>
        <w:rPr>
          <w:rFonts w:ascii="宋体" w:hAnsi="宋体" w:cs="宋体" w:eastAsia="宋体" w:hint="default"/>
          <w:spacing w:val="-3"/>
        </w:rPr>
        <w:t>11</w:t>
      </w:r>
      <w:r>
        <w:rPr>
          <w:spacing w:val="-3"/>
        </w:rPr>
        <w:t>）审议控股子公司增资、减资、合并、分立、清算、上市等重大事项；（</w:t>
      </w:r>
      <w:r>
        <w:rPr>
          <w:rFonts w:ascii="宋体" w:hAnsi="宋体" w:cs="宋体" w:eastAsia="宋体" w:hint="default"/>
          <w:spacing w:val="-3"/>
        </w:rPr>
        <w:t>12</w:t>
      </w:r>
      <w:r>
        <w:rPr>
          <w:spacing w:val="-3"/>
        </w:rPr>
        <w:t>）董事会授</w:t>
      </w:r>
      <w:r>
        <w:rPr>
          <w:spacing w:val="-71"/>
        </w:rPr>
        <w:t> </w:t>
      </w:r>
      <w:r>
        <w:rPr>
          <w:spacing w:val="-71"/>
        </w:rPr>
      </w:r>
      <w:r>
        <w:rPr/>
        <w:t>予的其他职责。</w:t>
      </w:r>
    </w:p>
    <w:p>
      <w:pPr>
        <w:pStyle w:val="BodyText"/>
        <w:spacing w:line="355" w:lineRule="auto" w:before="33"/>
        <w:ind w:left="738" w:right="1794" w:firstLine="420"/>
        <w:jc w:val="both"/>
      </w:pPr>
      <w:r>
        <w:rPr>
          <w:spacing w:val="-3"/>
        </w:rPr>
        <w:t>战略决策委员会由五名成员组成。本报告期，各委员积极履行战略决策委员会的各项职</w:t>
      </w:r>
      <w:r>
        <w:rPr/>
        <w:t> 责，为公司经营管理献计献策。</w:t>
      </w:r>
    </w:p>
    <w:p>
      <w:pPr>
        <w:spacing w:after="0" w:line="355" w:lineRule="auto"/>
        <w:jc w:val="both"/>
        <w:sectPr>
          <w:pgSz w:w="11910" w:h="16840"/>
          <w:pgMar w:header="0" w:footer="938" w:top="1100" w:bottom="1120" w:left="1060" w:right="0"/>
        </w:sectPr>
      </w:pPr>
    </w:p>
    <w:p>
      <w:pPr>
        <w:spacing w:line="240" w:lineRule="auto" w:before="2"/>
        <w:rPr>
          <w:rFonts w:ascii="宋体" w:hAnsi="宋体" w:cs="宋体" w:eastAsia="宋体" w:hint="default"/>
          <w:sz w:val="19"/>
          <w:szCs w:val="19"/>
        </w:rPr>
      </w:pPr>
    </w:p>
    <w:p>
      <w:pPr>
        <w:pStyle w:val="BodyText"/>
        <w:spacing w:line="355" w:lineRule="auto" w:before="35"/>
        <w:ind w:left="557" w:right="1684" w:hanging="420"/>
        <w:jc w:val="left"/>
      </w:pPr>
      <w:r>
        <w:rPr>
          <w:rFonts w:ascii="宋体" w:hAnsi="宋体" w:cs="宋体" w:eastAsia="宋体" w:hint="default"/>
          <w:b/>
          <w:bCs/>
        </w:rPr>
        <w:t>（二）审计委员会</w:t>
      </w:r>
      <w:r>
        <w:rPr>
          <w:rFonts w:ascii="宋体" w:hAnsi="宋体" w:cs="宋体" w:eastAsia="宋体" w:hint="default"/>
          <w:b/>
          <w:bCs/>
          <w:w w:val="99"/>
        </w:rPr>
        <w:t> </w:t>
      </w:r>
      <w:r>
        <w:rPr>
          <w:spacing w:val="-3"/>
        </w:rPr>
        <w:t>审计委员会的职责为：（</w:t>
      </w:r>
      <w:r>
        <w:rPr>
          <w:rFonts w:ascii="宋体" w:hAnsi="宋体" w:cs="宋体" w:eastAsia="宋体" w:hint="default"/>
          <w:spacing w:val="-3"/>
        </w:rPr>
        <w:t>1</w:t>
      </w:r>
      <w:r>
        <w:rPr>
          <w:spacing w:val="-3"/>
        </w:rPr>
        <w:t>）提议聘请或更换外部审计机构；（</w:t>
      </w:r>
      <w:r>
        <w:rPr>
          <w:rFonts w:ascii="宋体" w:hAnsi="宋体" w:cs="宋体" w:eastAsia="宋体" w:hint="default"/>
          <w:spacing w:val="-3"/>
        </w:rPr>
        <w:t>2</w:t>
      </w:r>
      <w:r>
        <w:rPr>
          <w:spacing w:val="-3"/>
        </w:rPr>
        <w:t>）监督公司的内部审计</w:t>
      </w:r>
    </w:p>
    <w:p>
      <w:pPr>
        <w:pStyle w:val="BodyText"/>
        <w:spacing w:line="357" w:lineRule="auto" w:before="33"/>
        <w:ind w:right="0"/>
        <w:jc w:val="left"/>
      </w:pPr>
      <w:r>
        <w:rPr>
          <w:spacing w:val="-3"/>
        </w:rPr>
        <w:t>制度及其实施；（</w:t>
      </w:r>
      <w:r>
        <w:rPr>
          <w:rFonts w:ascii="宋体" w:hAnsi="宋体" w:cs="宋体" w:eastAsia="宋体" w:hint="default"/>
          <w:spacing w:val="-3"/>
        </w:rPr>
        <w:t>3</w:t>
      </w:r>
      <w:r>
        <w:rPr>
          <w:spacing w:val="-3"/>
        </w:rPr>
        <w:t>）负责内部审计与外部审计之间的沟通；（</w:t>
      </w:r>
      <w:r>
        <w:rPr>
          <w:rFonts w:ascii="宋体" w:hAnsi="宋体" w:cs="宋体" w:eastAsia="宋体" w:hint="default"/>
          <w:spacing w:val="-3"/>
        </w:rPr>
        <w:t>4</w:t>
      </w:r>
      <w:r>
        <w:rPr>
          <w:spacing w:val="-3"/>
        </w:rPr>
        <w:t>）审核公司的财务信息及其</w:t>
      </w:r>
      <w:r>
        <w:rPr>
          <w:spacing w:val="-74"/>
        </w:rPr>
        <w:t> </w:t>
      </w:r>
      <w:r>
        <w:rPr>
          <w:spacing w:val="-74"/>
        </w:rPr>
      </w:r>
      <w:r>
        <w:rPr/>
        <w:t>披露；（</w:t>
      </w:r>
      <w:r>
        <w:rPr>
          <w:rFonts w:ascii="宋体" w:hAnsi="宋体" w:cs="宋体" w:eastAsia="宋体" w:hint="default"/>
        </w:rPr>
        <w:t>5</w:t>
      </w:r>
      <w:r>
        <w:rPr/>
        <w:t>）审查公司的内控制度；（</w:t>
      </w:r>
      <w:r>
        <w:rPr>
          <w:rFonts w:ascii="宋体" w:hAnsi="宋体" w:cs="宋体" w:eastAsia="宋体" w:hint="default"/>
        </w:rPr>
        <w:t>6</w:t>
      </w:r>
      <w:r>
        <w:rPr/>
        <w:t>）董事会授予的其他职权。</w:t>
      </w:r>
    </w:p>
    <w:p>
      <w:pPr>
        <w:pStyle w:val="BodyText"/>
        <w:spacing w:line="357" w:lineRule="auto" w:before="31"/>
        <w:ind w:left="138" w:right="1792" w:firstLine="420"/>
        <w:jc w:val="both"/>
      </w:pPr>
      <w:r>
        <w:rPr>
          <w:spacing w:val="-3"/>
        </w:rPr>
        <w:t>审计委员会由三名成员组成。本报告期，各委员积极履行审计委员会的各项职责，每季</w:t>
      </w:r>
      <w:r>
        <w:rPr/>
        <w:t> </w:t>
      </w:r>
      <w:r>
        <w:rPr>
          <w:spacing w:val="-3"/>
        </w:rPr>
        <w:t>度召开审计委员会审议审计部提交的各项议案，并与天健会计师事务所关于</w:t>
      </w:r>
      <w:r>
        <w:rPr>
          <w:rFonts w:ascii="宋体" w:hAnsi="宋体" w:cs="宋体" w:eastAsia="宋体" w:hint="default"/>
          <w:spacing w:val="-3"/>
        </w:rPr>
        <w:t>2013</w:t>
      </w:r>
      <w:r>
        <w:rPr>
          <w:spacing w:val="-3"/>
        </w:rPr>
        <w:t>年度报告审</w:t>
      </w:r>
      <w:r>
        <w:rPr>
          <w:spacing w:val="-69"/>
        </w:rPr>
        <w:t> </w:t>
      </w:r>
      <w:r>
        <w:rPr>
          <w:spacing w:val="-69"/>
        </w:rPr>
      </w:r>
      <w:r>
        <w:rPr/>
        <w:t>计进行了充分的沟通。</w:t>
      </w:r>
    </w:p>
    <w:p>
      <w:pPr>
        <w:pStyle w:val="Heading3"/>
        <w:spacing w:line="240" w:lineRule="auto" w:before="30"/>
        <w:ind w:left="138" w:right="0"/>
        <w:jc w:val="left"/>
        <w:rPr>
          <w:b w:val="0"/>
          <w:bCs w:val="0"/>
        </w:rPr>
      </w:pPr>
      <w:r>
        <w:rPr/>
        <w:t>（三）提名委员会</w:t>
      </w:r>
      <w:r>
        <w:rPr>
          <w:b w:val="0"/>
          <w:bCs w:val="0"/>
        </w:rPr>
      </w:r>
    </w:p>
    <w:p>
      <w:pPr>
        <w:pStyle w:val="BodyText"/>
        <w:spacing w:line="357" w:lineRule="auto" w:before="133"/>
        <w:ind w:right="1793" w:firstLine="420"/>
        <w:jc w:val="both"/>
      </w:pPr>
      <w:r>
        <w:rPr>
          <w:spacing w:val="-3"/>
        </w:rPr>
        <w:t>提名委员会的职责为：（</w:t>
      </w:r>
      <w:r>
        <w:rPr>
          <w:rFonts w:ascii="宋体" w:hAnsi="宋体" w:cs="宋体" w:eastAsia="宋体" w:hint="default"/>
          <w:spacing w:val="-3"/>
        </w:rPr>
        <w:t>1</w:t>
      </w:r>
      <w:r>
        <w:rPr>
          <w:spacing w:val="-3"/>
        </w:rPr>
        <w:t>）</w:t>
      </w:r>
      <w:r>
        <w:rPr>
          <w:spacing w:val="-48"/>
        </w:rPr>
        <w:t> </w:t>
      </w:r>
      <w:r>
        <w:rPr/>
        <w:t>研究、拟定公司董事、总经理及其他高级管理人员的选择</w:t>
      </w:r>
      <w:r>
        <w:rPr/>
        <w:t> 标准和程序，并提出意见或建议；（</w:t>
      </w:r>
      <w:r>
        <w:rPr>
          <w:rFonts w:ascii="宋体" w:hAnsi="宋体" w:cs="宋体" w:eastAsia="宋体" w:hint="default"/>
        </w:rPr>
        <w:t>2</w:t>
      </w:r>
      <w:r>
        <w:rPr/>
        <w:t>）广泛搜寻、提供合格的董事、总经理及其他高级管 理人员的人选；（</w:t>
      </w:r>
      <w:r>
        <w:rPr>
          <w:rFonts w:ascii="宋体" w:hAnsi="宋体" w:cs="宋体" w:eastAsia="宋体" w:hint="default"/>
        </w:rPr>
        <w:t>3</w:t>
      </w:r>
      <w:r>
        <w:rPr/>
        <w:t>）对董事、总经理及其他高级管理人员的候选人进行审查、核查，并提 出意见或建议；（</w:t>
      </w:r>
      <w:r>
        <w:rPr>
          <w:rFonts w:ascii="宋体" w:hAnsi="宋体" w:cs="宋体" w:eastAsia="宋体" w:hint="default"/>
        </w:rPr>
        <w:t>4</w:t>
      </w:r>
      <w:r>
        <w:rPr/>
        <w:t>）</w:t>
      </w:r>
      <w:r>
        <w:rPr>
          <w:spacing w:val="-1"/>
        </w:rPr>
        <w:t> </w:t>
      </w:r>
      <w:r>
        <w:rPr/>
        <w:t>董事会授予的其他职权。</w:t>
      </w:r>
    </w:p>
    <w:p>
      <w:pPr>
        <w:pStyle w:val="BodyText"/>
        <w:spacing w:line="240" w:lineRule="auto"/>
        <w:ind w:left="558" w:right="0"/>
        <w:jc w:val="left"/>
      </w:pPr>
      <w:r>
        <w:rPr/>
        <w:t>提名委员会由三名成员组成。本报告期，各委员积极履行了各项职责。</w:t>
      </w:r>
    </w:p>
    <w:p>
      <w:pPr>
        <w:spacing w:line="355" w:lineRule="auto" w:before="134"/>
        <w:ind w:left="557" w:right="1794" w:hanging="420"/>
        <w:jc w:val="left"/>
        <w:rPr>
          <w:rFonts w:ascii="宋体" w:hAnsi="宋体" w:cs="宋体" w:eastAsia="宋体" w:hint="default"/>
          <w:sz w:val="21"/>
          <w:szCs w:val="21"/>
        </w:rPr>
      </w:pPr>
      <w:r>
        <w:rPr>
          <w:rFonts w:ascii="宋体" w:hAnsi="宋体" w:cs="宋体" w:eastAsia="宋体" w:hint="default"/>
          <w:b/>
          <w:bCs/>
          <w:sz w:val="21"/>
          <w:szCs w:val="21"/>
        </w:rPr>
        <w:t>（四）薪酬与考核委员会</w:t>
      </w:r>
      <w:r>
        <w:rPr>
          <w:rFonts w:ascii="宋体" w:hAnsi="宋体" w:cs="宋体" w:eastAsia="宋体" w:hint="default"/>
          <w:b/>
          <w:bCs/>
          <w:w w:val="99"/>
          <w:sz w:val="21"/>
          <w:szCs w:val="21"/>
        </w:rPr>
        <w:t> </w:t>
      </w:r>
      <w:r>
        <w:rPr>
          <w:rFonts w:ascii="宋体" w:hAnsi="宋体" w:cs="宋体" w:eastAsia="宋体" w:hint="default"/>
          <w:sz w:val="21"/>
          <w:szCs w:val="21"/>
        </w:rPr>
        <w:t>薪酬与考核委员会的职责为：（</w:t>
      </w:r>
      <w:r>
        <w:rPr>
          <w:rFonts w:ascii="宋体" w:hAnsi="宋体" w:cs="宋体" w:eastAsia="宋体" w:hint="default"/>
          <w:sz w:val="21"/>
          <w:szCs w:val="21"/>
        </w:rPr>
        <w:t>1</w:t>
      </w:r>
      <w:r>
        <w:rPr>
          <w:rFonts w:ascii="宋体" w:hAnsi="宋体" w:cs="宋体" w:eastAsia="宋体" w:hint="default"/>
          <w:sz w:val="21"/>
          <w:szCs w:val="21"/>
        </w:rPr>
        <w:t>）根据董事及高级管理人员管理岗位的主要范围、职</w:t>
      </w:r>
    </w:p>
    <w:p>
      <w:pPr>
        <w:pStyle w:val="BodyText"/>
        <w:spacing w:line="357" w:lineRule="auto" w:before="32"/>
        <w:ind w:right="1689"/>
        <w:jc w:val="left"/>
      </w:pPr>
      <w:r>
        <w:rPr>
          <w:spacing w:val="-3"/>
        </w:rPr>
        <w:t>责、重要性以及其他相关企业相关岗位的薪酬水平制定薪酬计划或方案（薪酬计划或方案主</w:t>
      </w:r>
      <w:r>
        <w:rPr>
          <w:spacing w:val="-75"/>
        </w:rPr>
        <w:t> </w:t>
      </w:r>
      <w:r>
        <w:rPr>
          <w:spacing w:val="-75"/>
        </w:rPr>
      </w:r>
      <w:r>
        <w:rPr/>
        <w:t>要包括但不限于绩效评价标准、程序及主要评价体系，奖励和惩罚的主要方案和制度等）；</w:t>
      </w:r>
    </w:p>
    <w:p>
      <w:pPr>
        <w:pStyle w:val="BodyText"/>
        <w:spacing w:line="357" w:lineRule="auto"/>
        <w:ind w:left="138" w:right="1793"/>
        <w:jc w:val="left"/>
      </w:pPr>
      <w:r>
        <w:rPr/>
        <w:t>（</w:t>
      </w:r>
      <w:r>
        <w:rPr>
          <w:rFonts w:ascii="宋体" w:hAnsi="宋体" w:cs="宋体" w:eastAsia="宋体" w:hint="default"/>
        </w:rPr>
        <w:t>2</w:t>
      </w:r>
      <w:r>
        <w:rPr/>
        <w:t>）审查公司董事（非独立董事）及高级管理人员履行职责的情况并对其进行年度绩效考 评；（</w:t>
      </w:r>
      <w:r>
        <w:rPr>
          <w:rFonts w:ascii="宋体" w:hAnsi="宋体" w:cs="宋体" w:eastAsia="宋体" w:hint="default"/>
        </w:rPr>
        <w:t>3</w:t>
      </w:r>
      <w:r>
        <w:rPr/>
        <w:t>）负责对公司薪酬制度执行情况进行监督；（</w:t>
      </w:r>
      <w:r>
        <w:rPr>
          <w:rFonts w:ascii="宋体" w:hAnsi="宋体" w:cs="宋体" w:eastAsia="宋体" w:hint="default"/>
        </w:rPr>
        <w:t>4</w:t>
      </w:r>
      <w:r>
        <w:rPr/>
        <w:t>）董事会授权的其他事宜。</w:t>
      </w:r>
    </w:p>
    <w:p>
      <w:pPr>
        <w:pStyle w:val="BodyText"/>
        <w:spacing w:line="357" w:lineRule="auto"/>
        <w:ind w:left="138" w:right="1794" w:firstLine="420"/>
        <w:jc w:val="both"/>
      </w:pPr>
      <w:r>
        <w:rPr>
          <w:spacing w:val="-3"/>
        </w:rPr>
        <w:t>薪酬与考核委员会由三名成员组成。本报告期，各委员积极履行了薪酬与考核委员会的</w:t>
      </w:r>
      <w:r>
        <w:rPr/>
        <w:t> 各项职责，审议了董事和高级管理人员</w:t>
      </w:r>
      <w:r>
        <w:rPr>
          <w:rFonts w:ascii="宋体" w:hAnsi="宋体" w:cs="宋体" w:eastAsia="宋体" w:hint="default"/>
        </w:rPr>
        <w:t>2013</w:t>
      </w:r>
      <w:r>
        <w:rPr/>
        <w:t>年度的薪酬情况。</w:t>
      </w:r>
    </w:p>
    <w:p>
      <w:pPr>
        <w:spacing w:line="240" w:lineRule="auto" w:before="11"/>
        <w:rPr>
          <w:rFonts w:ascii="宋体" w:hAnsi="宋体" w:cs="宋体" w:eastAsia="宋体" w:hint="default"/>
          <w:sz w:val="24"/>
          <w:szCs w:val="24"/>
        </w:rPr>
      </w:pPr>
    </w:p>
    <w:p>
      <w:pPr>
        <w:pStyle w:val="Heading2"/>
        <w:spacing w:line="240" w:lineRule="auto"/>
        <w:ind w:left="138" w:right="0"/>
        <w:jc w:val="left"/>
        <w:rPr>
          <w:b w:val="0"/>
          <w:bCs w:val="0"/>
        </w:rPr>
      </w:pPr>
      <w:bookmarkStart w:name="五、监事会工作情况" w:id="101"/>
      <w:bookmarkEnd w:id="101"/>
      <w:r>
        <w:rPr>
          <w:b w:val="0"/>
          <w:bCs w:val="0"/>
        </w:rPr>
      </w:r>
      <w:r>
        <w:rPr/>
        <w:t>五、监事会工作情况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right="0"/>
        <w:jc w:val="left"/>
      </w:pPr>
      <w:r>
        <w:rPr/>
        <w:t>监事会在报告期内的监督活动中发现公司是否存在风险</w:t>
      </w:r>
    </w:p>
    <w:p>
      <w:pPr>
        <w:pStyle w:val="BodyText"/>
        <w:spacing w:line="391" w:lineRule="auto" w:before="174"/>
        <w:ind w:left="138" w:right="6518"/>
        <w:jc w:val="left"/>
      </w:pPr>
      <w:r>
        <w:rPr/>
        <w:t>□ 是 √</w:t>
      </w:r>
      <w:r>
        <w:rPr>
          <w:spacing w:val="-1"/>
        </w:rPr>
        <w:t> </w:t>
      </w:r>
      <w:r>
        <w:rPr/>
        <w:t>否</w:t>
      </w:r>
      <w:r>
        <w:rPr/>
        <w:t> 监事会对报告期内的监督事项无异议。</w:t>
      </w:r>
    </w:p>
    <w:p>
      <w:pPr>
        <w:spacing w:line="240" w:lineRule="auto" w:before="1"/>
        <w:rPr>
          <w:rFonts w:ascii="宋体" w:hAnsi="宋体" w:cs="宋体" w:eastAsia="宋体" w:hint="default"/>
          <w:sz w:val="25"/>
          <w:szCs w:val="25"/>
        </w:rPr>
      </w:pPr>
    </w:p>
    <w:p>
      <w:pPr>
        <w:pStyle w:val="Heading2"/>
        <w:spacing w:line="312" w:lineRule="exact"/>
        <w:ind w:left="138" w:right="1794"/>
        <w:jc w:val="left"/>
        <w:rPr>
          <w:b w:val="0"/>
          <w:bCs w:val="0"/>
        </w:rPr>
      </w:pPr>
      <w:bookmarkStart w:name="六、公司相对于控股股东在业务、人员、资产、机构、财务等方面的独立完整情况" w:id="102"/>
      <w:bookmarkEnd w:id="102"/>
      <w:r>
        <w:rPr>
          <w:b w:val="0"/>
          <w:bCs w:val="0"/>
        </w:rPr>
      </w:r>
      <w:r>
        <w:rPr>
          <w:spacing w:val="3"/>
        </w:rPr>
        <w:t>六、公司相对于控股股东在业务、人员、资产、机构、财务等方面的独立完整</w:t>
      </w:r>
      <w:r>
        <w:rPr>
          <w:w w:val="99"/>
        </w:rPr>
        <w:t> </w:t>
      </w:r>
      <w:r>
        <w:rPr/>
        <w:t>情况</w:t>
      </w:r>
      <w:r>
        <w:rPr>
          <w:b w:val="0"/>
          <w:bCs w:val="0"/>
        </w:rPr>
      </w:r>
    </w:p>
    <w:p>
      <w:pPr>
        <w:spacing w:line="240" w:lineRule="auto" w:before="13"/>
        <w:rPr>
          <w:rFonts w:ascii="宋体" w:hAnsi="宋体" w:cs="宋体" w:eastAsia="宋体" w:hint="default"/>
          <w:b/>
          <w:bCs/>
          <w:sz w:val="20"/>
          <w:szCs w:val="20"/>
        </w:rPr>
      </w:pPr>
    </w:p>
    <w:p>
      <w:pPr>
        <w:pStyle w:val="BodyText"/>
        <w:spacing w:line="357" w:lineRule="auto" w:before="0"/>
        <w:ind w:left="138" w:right="1886" w:firstLine="450"/>
        <w:jc w:val="both"/>
      </w:pPr>
      <w:r>
        <w:rPr/>
        <w:t>公司控股股东为自然人。公司在业务、人员、资产、机构、财务等方面完全独立于控 股股东，具有独立完整的业务体系及自主经营能力。</w:t>
      </w:r>
    </w:p>
    <w:p>
      <w:pPr>
        <w:pStyle w:val="BodyText"/>
        <w:spacing w:line="357" w:lineRule="auto"/>
        <w:ind w:left="138" w:right="1811" w:firstLine="420"/>
        <w:jc w:val="both"/>
      </w:pPr>
      <w:r>
        <w:rPr>
          <w:rFonts w:ascii="宋体" w:hAnsi="宋体" w:cs="宋体" w:eastAsia="宋体" w:hint="default"/>
        </w:rPr>
        <w:t>1</w:t>
      </w:r>
      <w:r>
        <w:rPr/>
        <w:t>、公司与</w:t>
      </w:r>
      <w:r>
        <w:rPr>
          <w:spacing w:val="-2"/>
        </w:rPr>
        <w:t>控</w:t>
      </w:r>
      <w:r>
        <w:rPr/>
        <w:t>股股东在业务方面分开的情况</w:t>
      </w:r>
      <w:r>
        <w:rPr>
          <w:spacing w:val="-105"/>
        </w:rPr>
        <w:t>：</w:t>
      </w:r>
      <w:r>
        <w:rPr/>
        <w:t>（</w:t>
      </w:r>
      <w:r>
        <w:rPr>
          <w:rFonts w:ascii="宋体" w:hAnsi="宋体" w:cs="宋体" w:eastAsia="宋体" w:hint="default"/>
          <w:spacing w:val="-1"/>
        </w:rPr>
        <w:t>1</w:t>
      </w:r>
      <w:r>
        <w:rPr/>
        <w:t>）公司与控股股东及其关联公司不存在 同业竞争情况</w:t>
      </w:r>
      <w:r>
        <w:rPr>
          <w:spacing w:val="-105"/>
        </w:rPr>
        <w:t>。</w:t>
      </w:r>
      <w:r>
        <w:rPr/>
        <w:t>（</w:t>
      </w:r>
      <w:r>
        <w:rPr>
          <w:rFonts w:ascii="宋体" w:hAnsi="宋体" w:cs="宋体" w:eastAsia="宋体" w:hint="default"/>
        </w:rPr>
        <w:t>2</w:t>
      </w:r>
      <w:r>
        <w:rPr/>
        <w:t>）</w:t>
      </w:r>
      <w:r>
        <w:rPr>
          <w:spacing w:val="-2"/>
        </w:rPr>
        <w:t>公</w:t>
      </w:r>
      <w:r>
        <w:rPr/>
        <w:t>司有独立的生产、供应、销售系统，不存在依赖大股东的情况。</w:t>
      </w:r>
    </w:p>
    <w:p>
      <w:pPr>
        <w:pStyle w:val="BodyText"/>
        <w:spacing w:line="240" w:lineRule="auto"/>
        <w:ind w:left="558" w:right="0"/>
        <w:jc w:val="left"/>
      </w:pPr>
      <w:r>
        <w:rPr>
          <w:rFonts w:ascii="宋体" w:hAnsi="宋体" w:cs="宋体" w:eastAsia="宋体" w:hint="default"/>
        </w:rPr>
        <w:t>2</w:t>
      </w:r>
      <w:r>
        <w:rPr/>
        <w:t>、公司与控股股东在人员方面分开的情况：公司人员、劳动、人事及工资完全独立。</w:t>
      </w:r>
    </w:p>
    <w:p>
      <w:pPr>
        <w:spacing w:after="0" w:line="240" w:lineRule="auto"/>
        <w:jc w:val="left"/>
        <w:sectPr>
          <w:pgSz w:w="11910" w:h="16840"/>
          <w:pgMar w:header="0"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1688"/>
        <w:jc w:val="left"/>
      </w:pPr>
      <w:r>
        <w:rPr/>
        <w:t>公司总经理、副总经理、董事会秘书、财务总监等高级管理人员均在公司工作并领取薪酬， 未在控股股东控制的企业担任除董事、监事以外的任何职务和领取报酬。</w:t>
      </w:r>
    </w:p>
    <w:p>
      <w:pPr>
        <w:pStyle w:val="BodyText"/>
        <w:spacing w:line="357" w:lineRule="auto" w:before="33"/>
        <w:ind w:right="1811" w:firstLine="420"/>
        <w:jc w:val="both"/>
      </w:pPr>
      <w:r>
        <w:rPr>
          <w:rFonts w:ascii="宋体" w:hAnsi="宋体" w:cs="宋体" w:eastAsia="宋体" w:hint="default"/>
        </w:rPr>
        <w:t>3</w:t>
      </w:r>
      <w:r>
        <w:rPr/>
        <w:t>、公司与控股股东在资产方面分开的情况：公司拥有独立的生产经营场所、拥有经营 所需的设备、技术、专利和商标，资产完整。</w:t>
      </w:r>
    </w:p>
    <w:p>
      <w:pPr>
        <w:pStyle w:val="BodyText"/>
        <w:spacing w:line="357" w:lineRule="auto" w:before="31"/>
        <w:ind w:right="1792" w:firstLine="420"/>
        <w:jc w:val="both"/>
      </w:pPr>
      <w:r>
        <w:rPr>
          <w:rFonts w:ascii="宋体" w:hAnsi="宋体" w:cs="宋体" w:eastAsia="宋体" w:hint="default"/>
        </w:rPr>
        <w:t>4</w:t>
      </w:r>
      <w:r>
        <w:rPr/>
        <w:t>、公司与控股股东在机构方面分开的情况：公司的生产经营和办公机构与控股股东完 </w:t>
      </w:r>
      <w:r>
        <w:rPr>
          <w:spacing w:val="-3"/>
        </w:rPr>
        <w:t>全分开，不存在混合经营情况。公司建立了适应自身发展需要的组织机构，明确了各机构的</w:t>
      </w:r>
      <w:r>
        <w:rPr>
          <w:spacing w:val="-72"/>
        </w:rPr>
        <w:t> </w:t>
      </w:r>
      <w:r>
        <w:rPr>
          <w:spacing w:val="-72"/>
        </w:rPr>
      </w:r>
      <w:r>
        <w:rPr/>
        <w:t>职能，独立开展生产经营活动。</w:t>
      </w:r>
    </w:p>
    <w:p>
      <w:pPr>
        <w:pStyle w:val="BodyText"/>
        <w:spacing w:line="357" w:lineRule="auto"/>
        <w:ind w:right="1793" w:firstLine="420"/>
        <w:jc w:val="both"/>
      </w:pPr>
      <w:r>
        <w:rPr>
          <w:rFonts w:ascii="宋体" w:hAnsi="宋体" w:cs="宋体" w:eastAsia="宋体" w:hint="default"/>
          <w:spacing w:val="-3"/>
        </w:rPr>
        <w:t>5</w:t>
      </w:r>
      <w:r>
        <w:rPr>
          <w:spacing w:val="-3"/>
        </w:rPr>
        <w:t>、公司与控股股东在财务方面分开的情况：（</w:t>
      </w:r>
      <w:r>
        <w:rPr>
          <w:rFonts w:ascii="宋体" w:hAnsi="宋体" w:cs="宋体" w:eastAsia="宋体" w:hint="default"/>
          <w:spacing w:val="-3"/>
        </w:rPr>
        <w:t>1</w:t>
      </w:r>
      <w:r>
        <w:rPr>
          <w:spacing w:val="-3"/>
        </w:rPr>
        <w:t>）公司设立独立的财务部和内审部，配</w:t>
      </w:r>
      <w:r>
        <w:rPr/>
        <w:t> </w:t>
      </w:r>
      <w:r>
        <w:rPr>
          <w:spacing w:val="-3"/>
        </w:rPr>
        <w:t>备了专门的财务人员和审计人员，建立了独立的会计核算体系，并根据国家有关法律法规制</w:t>
      </w:r>
      <w:r>
        <w:rPr>
          <w:spacing w:val="-75"/>
        </w:rPr>
        <w:t> </w:t>
      </w:r>
      <w:r>
        <w:rPr>
          <w:spacing w:val="-75"/>
        </w:rPr>
      </w:r>
      <w:r>
        <w:rPr>
          <w:spacing w:val="-5"/>
        </w:rPr>
        <w:t>定了会计系统控制制度和内部审计制度。（</w:t>
      </w:r>
      <w:r>
        <w:rPr>
          <w:rFonts w:ascii="宋体" w:hAnsi="宋体" w:cs="宋体" w:eastAsia="宋体" w:hint="default"/>
          <w:spacing w:val="-5"/>
        </w:rPr>
        <w:t>2</w:t>
      </w:r>
      <w:r>
        <w:rPr>
          <w:spacing w:val="-5"/>
        </w:rPr>
        <w:t>）公司在银行开设了独立的账户，不存在与控股</w:t>
      </w:r>
      <w:r>
        <w:rPr>
          <w:spacing w:val="-95"/>
        </w:rPr>
        <w:t> </w:t>
      </w:r>
      <w:r>
        <w:rPr>
          <w:spacing w:val="-95"/>
        </w:rPr>
      </w:r>
      <w:r>
        <w:rPr>
          <w:spacing w:val="-8"/>
        </w:rPr>
        <w:t>股东共用账户的情况。（</w:t>
      </w:r>
      <w:r>
        <w:rPr>
          <w:rFonts w:ascii="宋体" w:hAnsi="宋体" w:cs="宋体" w:eastAsia="宋体" w:hint="default"/>
          <w:spacing w:val="-8"/>
        </w:rPr>
        <w:t>3</w:t>
      </w:r>
      <w:r>
        <w:rPr>
          <w:spacing w:val="-8"/>
        </w:rPr>
        <w:t>）公司依法独立进行纳税申报及履行纳税义务。（</w:t>
      </w:r>
      <w:r>
        <w:rPr>
          <w:rFonts w:ascii="宋体" w:hAnsi="宋体" w:cs="宋体" w:eastAsia="宋体" w:hint="default"/>
          <w:spacing w:val="-8"/>
        </w:rPr>
        <w:t>4</w:t>
      </w:r>
      <w:r>
        <w:rPr>
          <w:spacing w:val="-8"/>
        </w:rPr>
        <w:t>）公司的控股股</w:t>
      </w:r>
      <w:r>
        <w:rPr>
          <w:spacing w:val="-73"/>
        </w:rPr>
        <w:t> </w:t>
      </w:r>
      <w:r>
        <w:rPr>
          <w:spacing w:val="-73"/>
        </w:rPr>
      </w:r>
      <w:r>
        <w:rPr/>
        <w:t>东及其关联公司未以任何形式占用公司的货币资金或其他资产。</w:t>
      </w:r>
    </w:p>
    <w:p>
      <w:pPr>
        <w:spacing w:line="240" w:lineRule="auto" w:before="11"/>
        <w:rPr>
          <w:rFonts w:ascii="宋体" w:hAnsi="宋体" w:cs="宋体" w:eastAsia="宋体" w:hint="default"/>
          <w:sz w:val="24"/>
          <w:szCs w:val="24"/>
        </w:rPr>
      </w:pPr>
    </w:p>
    <w:p>
      <w:pPr>
        <w:pStyle w:val="Heading2"/>
        <w:spacing w:line="468" w:lineRule="auto"/>
        <w:ind w:left="138" w:right="4733"/>
        <w:jc w:val="left"/>
        <w:rPr>
          <w:b w:val="0"/>
          <w:bCs w:val="0"/>
        </w:rPr>
      </w:pPr>
      <w:bookmarkStart w:name="七、报告期内，公司上存在同业竞争情况" w:id="103"/>
      <w:bookmarkEnd w:id="103"/>
      <w:r>
        <w:rPr>
          <w:b w:val="0"/>
          <w:bCs w:val="0"/>
        </w:rPr>
      </w:r>
      <w:r>
        <w:rPr>
          <w:w w:val="95"/>
        </w:rPr>
        <w:t>七、报告期内，公司不存在同业竞争情况</w:t>
      </w:r>
      <w:r>
        <w:rPr>
          <w:spacing w:val="87"/>
          <w:w w:val="95"/>
        </w:rPr>
        <w:t> </w:t>
      </w:r>
      <w:r>
        <w:rPr>
          <w:spacing w:val="87"/>
          <w:w w:val="95"/>
        </w:rPr>
      </w:r>
      <w:bookmarkStart w:name="八、高级管理人员的考评及激励情况" w:id="104"/>
      <w:bookmarkEnd w:id="104"/>
      <w:r>
        <w:rPr/>
        <w:t>八</w:t>
      </w:r>
      <w:r>
        <w:rPr/>
        <w:t>、高级管理人员的考评及激励情况</w:t>
      </w:r>
      <w:r>
        <w:rPr>
          <w:b w:val="0"/>
          <w:bCs w:val="0"/>
        </w:rPr>
      </w:r>
    </w:p>
    <w:p>
      <w:pPr>
        <w:pStyle w:val="BodyText"/>
        <w:spacing w:line="357" w:lineRule="auto" w:before="75"/>
        <w:ind w:left="138" w:right="1683" w:firstLine="420"/>
        <w:jc w:val="left"/>
      </w:pPr>
      <w:r>
        <w:rPr>
          <w:spacing w:val="-3"/>
        </w:rPr>
        <w:t>公司建立了完善的绩效考评体系，高级管理人员的工作绩效与其收入直接挂钩。公司董</w:t>
      </w:r>
      <w:r>
        <w:rPr/>
        <w:t> </w:t>
      </w:r>
      <w:r>
        <w:rPr>
          <w:spacing w:val="-5"/>
        </w:rPr>
        <w:t>事会薪酬与考核委员会负责制定公司薪酬考核方案，对高级管理人员的工作能力、履职情况、</w:t>
      </w:r>
      <w:r>
        <w:rPr>
          <w:spacing w:val="-92"/>
        </w:rPr>
        <w:t> </w:t>
      </w:r>
      <w:r>
        <w:rPr>
          <w:spacing w:val="-92"/>
        </w:rPr>
      </w:r>
      <w:r>
        <w:rPr/>
        <w:t>责任目标完成情况进行考评，制定薪酬方案。</w:t>
      </w:r>
    </w:p>
    <w:p>
      <w:pPr>
        <w:spacing w:after="0" w:line="357" w:lineRule="auto"/>
        <w:jc w:val="left"/>
        <w:sectPr>
          <w:pgSz w:w="11910" w:h="16840"/>
          <w:pgMar w:header="0" w:footer="938" w:top="1100" w:bottom="1120" w:left="16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88" w:right="0"/>
        <w:jc w:val="left"/>
        <w:rPr>
          <w:b w:val="0"/>
          <w:bCs w:val="0"/>
        </w:rPr>
      </w:pPr>
      <w:bookmarkStart w:name="第十节 内部控制" w:id="105"/>
      <w:bookmarkEnd w:id="105"/>
      <w:r>
        <w:rPr>
          <w:b w:val="0"/>
          <w:bCs w:val="0"/>
        </w:rPr>
      </w:r>
      <w:bookmarkStart w:name="_bookmark9" w:id="106"/>
      <w:bookmarkEnd w:id="106"/>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left="137" w:right="0"/>
        <w:jc w:val="left"/>
        <w:rPr>
          <w:b w:val="0"/>
          <w:bCs w:val="0"/>
        </w:rPr>
      </w:pPr>
      <w:bookmarkStart w:name="一、内部控制建设情况" w:id="107"/>
      <w:bookmarkEnd w:id="107"/>
      <w:r>
        <w:rPr>
          <w:b w:val="0"/>
          <w:bCs w:val="0"/>
        </w:rPr>
      </w:r>
      <w:r>
        <w:rPr/>
        <w:t>一、内部控制建设情况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791" w:firstLine="420"/>
        <w:jc w:val="both"/>
      </w:pPr>
      <w:r>
        <w:rPr>
          <w:spacing w:val="-14"/>
        </w:rPr>
        <w:t>本报告期，公司依据《公司法》、《证券法》、《企业内部控制基本规范》、深圳证券交易</w:t>
      </w:r>
      <w:r>
        <w:rPr/>
        <w:t> </w:t>
      </w:r>
      <w:r>
        <w:rPr>
          <w:spacing w:val="-3"/>
        </w:rPr>
        <w:t>所《中小企业板上市公司内部审计工作指引》等有关法律法规和规范性文件的要求，继续不</w:t>
      </w:r>
      <w:r>
        <w:rPr>
          <w:spacing w:val="-72"/>
        </w:rPr>
        <w:t> </w:t>
      </w:r>
      <w:r>
        <w:rPr>
          <w:spacing w:val="-72"/>
        </w:rPr>
      </w:r>
      <w:r>
        <w:rPr>
          <w:spacing w:val="-3"/>
        </w:rPr>
        <w:t>断完善公司治理，强化内部控制，优化业务和管理流程，及时根据公司的实际情况和相关法</w:t>
      </w:r>
      <w:r>
        <w:rPr>
          <w:spacing w:val="-72"/>
        </w:rPr>
        <w:t> </w:t>
      </w:r>
      <w:r>
        <w:rPr>
          <w:spacing w:val="-72"/>
        </w:rPr>
      </w:r>
      <w:r>
        <w:rPr/>
        <w:t>律法规的要求不断制订和修订各项内部控制制度，进一步健全和完善公司内部控制体系。</w:t>
      </w:r>
    </w:p>
    <w:p>
      <w:pPr>
        <w:pStyle w:val="BodyText"/>
        <w:spacing w:line="357" w:lineRule="auto" w:before="70"/>
        <w:ind w:right="1690" w:firstLine="420"/>
        <w:jc w:val="both"/>
      </w:pPr>
      <w:r>
        <w:rPr>
          <w:spacing w:val="-3"/>
        </w:rPr>
        <w:t>依据《企业内部控制基本规范》、深圳证券交易所《中小企业板上市公司内部审计工作</w:t>
      </w:r>
      <w:r>
        <w:rPr/>
        <w:t> </w:t>
      </w:r>
      <w:r>
        <w:rPr>
          <w:spacing w:val="-3"/>
        </w:rPr>
        <w:t>指引》等有关规定，根据公司审计部出具的相关资料，通过全面深入检查，公司董事会审计</w:t>
      </w:r>
      <w:r>
        <w:rPr>
          <w:spacing w:val="-73"/>
        </w:rPr>
        <w:t> </w:t>
      </w:r>
      <w:r>
        <w:rPr>
          <w:spacing w:val="-73"/>
        </w:rPr>
      </w:r>
      <w:r>
        <w:rPr>
          <w:spacing w:val="-2"/>
        </w:rPr>
        <w:t>委员会出具了《</w:t>
      </w:r>
      <w:r>
        <w:rPr>
          <w:rFonts w:ascii="宋体" w:hAnsi="宋体" w:cs="宋体" w:eastAsia="宋体" w:hint="default"/>
          <w:spacing w:val="-2"/>
        </w:rPr>
        <w:t>2014</w:t>
      </w:r>
      <w:r>
        <w:rPr>
          <w:rFonts w:ascii="宋体" w:hAnsi="宋体" w:cs="宋体" w:eastAsia="宋体" w:hint="default"/>
          <w:spacing w:val="-43"/>
        </w:rPr>
        <w:t> </w:t>
      </w:r>
      <w:r>
        <w:rPr>
          <w:spacing w:val="-5"/>
        </w:rPr>
        <w:t>年度内部控制评价报告》，认为公司已经建立了较为完善的法人治理结</w:t>
      </w:r>
      <w:r>
        <w:rPr>
          <w:spacing w:val="-84"/>
        </w:rPr>
        <w:t> </w:t>
      </w:r>
      <w:r>
        <w:rPr>
          <w:spacing w:val="-84"/>
        </w:rPr>
      </w:r>
      <w:r>
        <w:rPr>
          <w:spacing w:val="-5"/>
        </w:rPr>
        <w:t>构，公司的内部控制制度基本健全，实施情况良好，公司内部控制在所有重大方面是有效的。</w:t>
      </w:r>
    </w:p>
    <w:p>
      <w:pPr>
        <w:pStyle w:val="BodyText"/>
        <w:spacing w:line="391" w:lineRule="auto" w:before="70"/>
        <w:ind w:left="558" w:right="1793" w:firstLine="105"/>
        <w:jc w:val="left"/>
      </w:pPr>
      <w:r>
        <w:rPr/>
        <w:t>公司独立董事关于内部控制自我评价报告发表了如下独立意见： </w:t>
      </w:r>
      <w:r>
        <w:rPr>
          <w:rFonts w:ascii="宋体" w:hAnsi="宋体" w:cs="宋体" w:eastAsia="宋体" w:hint="default"/>
        </w:rPr>
        <w:t>1</w:t>
      </w:r>
      <w:r>
        <w:rPr/>
        <w:t>、公司内部控制制度符合我国有关法律法规和证券监管部门的要求，也适应当前公司</w:t>
      </w:r>
    </w:p>
    <w:p>
      <w:pPr>
        <w:pStyle w:val="BodyText"/>
        <w:spacing w:line="391" w:lineRule="auto" w:before="2"/>
        <w:ind w:left="558" w:right="1793" w:hanging="420"/>
        <w:jc w:val="left"/>
      </w:pPr>
      <w:r>
        <w:rPr/>
        <w:t>生产经营实际情况的需要。 </w:t>
      </w:r>
      <w:r>
        <w:rPr>
          <w:rFonts w:ascii="宋体" w:hAnsi="宋体" w:cs="宋体" w:eastAsia="宋体" w:hint="default"/>
        </w:rPr>
        <w:t>2</w:t>
      </w:r>
      <w:r>
        <w:rPr/>
        <w:t>、公司已经建立了较为完善的内部控制制度体系并得到有效执行，在所有重大方面保</w:t>
      </w:r>
    </w:p>
    <w:p>
      <w:pPr>
        <w:pStyle w:val="BodyText"/>
        <w:spacing w:line="240" w:lineRule="auto" w:before="2"/>
        <w:ind w:left="138" w:right="0"/>
        <w:jc w:val="left"/>
      </w:pPr>
      <w:r>
        <w:rPr/>
        <w:t>持了与企业业务及管理相关的有效的内部控制。</w:t>
      </w:r>
    </w:p>
    <w:p>
      <w:pPr>
        <w:pStyle w:val="BodyText"/>
        <w:spacing w:line="355" w:lineRule="auto" w:before="174"/>
        <w:ind w:right="1793" w:firstLine="420"/>
        <w:jc w:val="both"/>
      </w:pPr>
      <w:r>
        <w:rPr>
          <w:rFonts w:ascii="宋体" w:hAnsi="宋体" w:cs="宋体" w:eastAsia="宋体" w:hint="default"/>
          <w:spacing w:val="-3"/>
        </w:rPr>
        <w:t>3</w:t>
      </w:r>
      <w:r>
        <w:rPr>
          <w:spacing w:val="-3"/>
        </w:rPr>
        <w:t>、公司《</w:t>
      </w:r>
      <w:r>
        <w:rPr>
          <w:rFonts w:ascii="宋体" w:hAnsi="宋体" w:cs="宋体" w:eastAsia="宋体" w:hint="default"/>
          <w:spacing w:val="-3"/>
        </w:rPr>
        <w:t>2014</w:t>
      </w:r>
      <w:r>
        <w:rPr>
          <w:rFonts w:ascii="宋体" w:hAnsi="宋体" w:cs="宋体" w:eastAsia="宋体" w:hint="default"/>
          <w:spacing w:val="-62"/>
        </w:rPr>
        <w:t> </w:t>
      </w:r>
      <w:r>
        <w:rPr/>
        <w:t>年度内部控制评价报告》全面总结了公司内部控制制度的建立和运行情 况，该报告的内容与公司内部控制制度建立和运行的实际情况一致。</w:t>
      </w:r>
    </w:p>
    <w:p>
      <w:pPr>
        <w:spacing w:line="240" w:lineRule="auto" w:before="1"/>
        <w:rPr>
          <w:rFonts w:ascii="宋体" w:hAnsi="宋体" w:cs="宋体" w:eastAsia="宋体" w:hint="default"/>
          <w:sz w:val="25"/>
          <w:szCs w:val="25"/>
        </w:rPr>
      </w:pPr>
    </w:p>
    <w:p>
      <w:pPr>
        <w:pStyle w:val="Heading2"/>
        <w:spacing w:line="240" w:lineRule="auto"/>
        <w:ind w:left="137" w:right="0"/>
        <w:jc w:val="left"/>
        <w:rPr>
          <w:b w:val="0"/>
          <w:bCs w:val="0"/>
        </w:rPr>
      </w:pPr>
      <w:bookmarkStart w:name="二、董事会关于内部控制责任的声明" w:id="108"/>
      <w:bookmarkEnd w:id="108"/>
      <w:r>
        <w:rPr>
          <w:b w:val="0"/>
          <w:bCs w:val="0"/>
        </w:rPr>
      </w:r>
      <w:r>
        <w:rPr/>
        <w:t>二、董事会关于内部控制责任的声明</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684" w:firstLine="420"/>
        <w:jc w:val="left"/>
      </w:pPr>
      <w:r>
        <w:rPr/>
        <w:t>公司现有的内部控制制度符合我国有关法律法规以及监管部门有关上市公司治理规范 </w:t>
      </w:r>
      <w:r>
        <w:rPr>
          <w:spacing w:val="-3"/>
        </w:rPr>
        <w:t>性文件的要求，且符合公司的实际情况，能够有效防范和控制公司内部的经营风险，保证公</w:t>
      </w:r>
      <w:r>
        <w:rPr>
          <w:spacing w:val="-72"/>
        </w:rPr>
        <w:t> </w:t>
      </w:r>
      <w:r>
        <w:rPr>
          <w:spacing w:val="-72"/>
        </w:rPr>
      </w:r>
      <w:r>
        <w:rPr>
          <w:spacing w:val="-5"/>
        </w:rPr>
        <w:t>司各项业务的有序开展。公司将继续按照《内部控制基本规范》和《企业内部控制配套指引》</w:t>
      </w:r>
      <w:r>
        <w:rPr>
          <w:spacing w:val="-96"/>
        </w:rPr>
        <w:t> </w:t>
      </w:r>
      <w:r>
        <w:rPr>
          <w:spacing w:val="-96"/>
        </w:rPr>
      </w:r>
      <w:r>
        <w:rPr>
          <w:spacing w:val="-3"/>
        </w:rPr>
        <w:t>等相关规范的要求逐步建立健全内部控制体系，提高公司风险防范能力和规范运作水平，保</w:t>
      </w:r>
      <w:r>
        <w:rPr>
          <w:spacing w:val="-75"/>
        </w:rPr>
        <w:t> </w:t>
      </w:r>
      <w:r>
        <w:rPr>
          <w:spacing w:val="-75"/>
        </w:rPr>
      </w:r>
      <w:r>
        <w:rPr>
          <w:spacing w:val="-5"/>
        </w:rPr>
        <w:t>证企业经营管理合法合规、资产安全、财务报告及相关信息真实完整，提高经营效率和效果，</w:t>
      </w:r>
      <w:r>
        <w:rPr>
          <w:spacing w:val="-94"/>
        </w:rPr>
        <w:t> </w:t>
      </w:r>
      <w:r>
        <w:rPr>
          <w:spacing w:val="-94"/>
        </w:rPr>
      </w:r>
      <w:r>
        <w:rPr/>
        <w:t>促进公司发展战略的实现。</w:t>
      </w:r>
    </w:p>
    <w:p>
      <w:pPr>
        <w:spacing w:line="240" w:lineRule="auto" w:before="12"/>
        <w:rPr>
          <w:rFonts w:ascii="宋体" w:hAnsi="宋体" w:cs="宋体" w:eastAsia="宋体" w:hint="default"/>
          <w:sz w:val="24"/>
          <w:szCs w:val="24"/>
        </w:rPr>
      </w:pPr>
    </w:p>
    <w:p>
      <w:pPr>
        <w:pStyle w:val="Heading2"/>
        <w:spacing w:line="240" w:lineRule="auto"/>
        <w:ind w:left="138" w:right="0"/>
        <w:jc w:val="left"/>
        <w:rPr>
          <w:b w:val="0"/>
          <w:bCs w:val="0"/>
        </w:rPr>
      </w:pPr>
      <w:bookmarkStart w:name="三、建立财务报告内部控制的依据" w:id="109"/>
      <w:bookmarkEnd w:id="109"/>
      <w:r>
        <w:rPr>
          <w:b w:val="0"/>
          <w:bCs w:val="0"/>
        </w:rPr>
      </w:r>
      <w:r>
        <w:rPr/>
        <w:t>三、建立财务报告内部控制的依据</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right="1792" w:firstLine="420"/>
        <w:jc w:val="both"/>
      </w:pPr>
      <w:r>
        <w:rPr>
          <w:spacing w:val="-13"/>
        </w:rPr>
        <w:t>公司依据《公司法》、《会计法》、《企业会计准则》和《企业内部控制基本规范》以及监</w:t>
      </w:r>
      <w:r>
        <w:rPr/>
        <w:t> </w:t>
      </w:r>
      <w:r>
        <w:rPr>
          <w:spacing w:val="-3"/>
        </w:rPr>
        <w:t>管部门的相关规范性文件为依据，建立了财务报告内部控制。报告期内，公司财务报告内部</w:t>
      </w:r>
      <w:r>
        <w:rPr>
          <w:spacing w:val="-72"/>
        </w:rPr>
        <w:t> </w:t>
      </w:r>
      <w:r>
        <w:rPr>
          <w:spacing w:val="-72"/>
        </w:rPr>
      </w:r>
      <w:r>
        <w:rPr/>
        <w:t>控制不存在重大缺陷。</w:t>
      </w:r>
    </w:p>
    <w:p>
      <w:pPr>
        <w:spacing w:after="0" w:line="357" w:lineRule="auto"/>
        <w:jc w:val="both"/>
        <w:sectPr>
          <w:pgSz w:w="11910" w:h="16840"/>
          <w:pgMar w:header="0" w:footer="938" w:top="1100" w:bottom="1120" w:left="1660" w:right="0"/>
        </w:sectPr>
      </w:pPr>
    </w:p>
    <w:p>
      <w:pPr>
        <w:spacing w:line="240" w:lineRule="auto" w:before="7"/>
        <w:rPr>
          <w:rFonts w:ascii="宋体" w:hAnsi="宋体" w:cs="宋体" w:eastAsia="宋体" w:hint="default"/>
          <w:sz w:val="19"/>
          <w:szCs w:val="19"/>
        </w:rPr>
      </w:pPr>
    </w:p>
    <w:p>
      <w:pPr>
        <w:pStyle w:val="Heading2"/>
        <w:spacing w:line="240" w:lineRule="auto" w:before="26"/>
        <w:ind w:right="1689"/>
        <w:jc w:val="left"/>
        <w:rPr>
          <w:b w:val="0"/>
          <w:bCs w:val="0"/>
        </w:rPr>
      </w:pPr>
      <w:bookmarkStart w:name="四、内部控制评价报告" w:id="110"/>
      <w:bookmarkEnd w:id="110"/>
      <w:r>
        <w:rPr>
          <w:b w:val="0"/>
          <w:bCs w:val="0"/>
        </w:rPr>
      </w:r>
      <w:r>
        <w:rPr/>
        <w:t>四、内部控制评价报告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958"/>
        <w:gridCol w:w="6610"/>
      </w:tblGrid>
      <w:tr>
        <w:trPr>
          <w:trHeight w:val="32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32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323" w:hRule="exact"/>
        </w:trPr>
        <w:tc>
          <w:tcPr>
            <w:tcW w:w="295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610" w:type="dxa"/>
            <w:tcBorders>
              <w:top w:val="single" w:sz="4" w:space="0" w:color="000000"/>
              <w:left w:val="single" w:sz="13" w:space="0" w:color="DFDFDF"/>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4" w:hRule="exact"/>
        </w:trPr>
        <w:tc>
          <w:tcPr>
            <w:tcW w:w="2958"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610" w:type="dxa"/>
            <w:tcBorders>
              <w:top w:val="single" w:sz="4" w:space="0" w:color="000000"/>
              <w:left w:val="single" w:sz="13" w:space="0" w:color="DFDFDF"/>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宋体" w:hAnsi="宋体" w:cs="宋体" w:eastAsia="宋体" w:hint="default"/>
                  <w:sz w:val="18"/>
                  <w:szCs w:val="18"/>
                </w:rPr>
                <w:t>www.cninfo.com.cn</w:t>
              </w:r>
            </w:hyperlink>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年度内部控制评价报告》</w:t>
            </w:r>
          </w:p>
        </w:tc>
      </w:tr>
    </w:tbl>
    <w:p>
      <w:pPr>
        <w:spacing w:line="240" w:lineRule="auto" w:before="12"/>
        <w:rPr>
          <w:rFonts w:ascii="宋体" w:hAnsi="宋体" w:cs="宋体" w:eastAsia="宋体" w:hint="default"/>
          <w:b/>
          <w:bCs/>
          <w:sz w:val="17"/>
          <w:szCs w:val="17"/>
        </w:rPr>
      </w:pPr>
    </w:p>
    <w:p>
      <w:pPr>
        <w:pStyle w:val="Heading2"/>
        <w:spacing w:line="240" w:lineRule="auto" w:before="26"/>
        <w:ind w:right="1689"/>
        <w:jc w:val="left"/>
        <w:rPr>
          <w:b w:val="0"/>
          <w:bCs w:val="0"/>
        </w:rPr>
      </w:pPr>
      <w:bookmarkStart w:name="五、内部控制审计报告" w:id="111"/>
      <w:bookmarkEnd w:id="111"/>
      <w:r>
        <w:rPr>
          <w:b w:val="0"/>
          <w:bCs w:val="0"/>
        </w:rPr>
      </w:r>
      <w:r>
        <w:rPr/>
        <w:t>五、内部控制审计报告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0"/>
        <w:ind w:left="737" w:right="1689"/>
        <w:jc w:val="left"/>
      </w:pPr>
      <w:r>
        <w:rPr/>
        <w:t>不适用</w:t>
      </w:r>
    </w:p>
    <w:p>
      <w:pPr>
        <w:spacing w:line="240" w:lineRule="auto" w:before="0"/>
        <w:rPr>
          <w:rFonts w:ascii="宋体" w:hAnsi="宋体" w:cs="宋体" w:eastAsia="宋体" w:hint="default"/>
          <w:sz w:val="20"/>
          <w:szCs w:val="20"/>
        </w:rPr>
      </w:pPr>
    </w:p>
    <w:p>
      <w:pPr>
        <w:pStyle w:val="Heading2"/>
        <w:spacing w:line="240" w:lineRule="auto" w:before="167"/>
        <w:ind w:right="1689"/>
        <w:jc w:val="left"/>
        <w:rPr>
          <w:b w:val="0"/>
          <w:bCs w:val="0"/>
        </w:rPr>
      </w:pPr>
      <w:bookmarkStart w:name="六、年度报告重大差错责任追究制度的建立与执行情况" w:id="112"/>
      <w:bookmarkEnd w:id="112"/>
      <w:r>
        <w:rPr>
          <w:b w:val="0"/>
          <w:bCs w:val="0"/>
        </w:rPr>
      </w:r>
      <w:r>
        <w:rPr/>
        <w:t>六、年度报告重大差错责任追究制度的建立与执行情况</w:t>
      </w:r>
      <w:r>
        <w:rPr>
          <w:b w:val="0"/>
          <w:bCs w:val="0"/>
        </w:rPr>
      </w:r>
    </w:p>
    <w:p>
      <w:pPr>
        <w:spacing w:line="240" w:lineRule="auto" w:before="2"/>
        <w:rPr>
          <w:rFonts w:ascii="宋体" w:hAnsi="宋体" w:cs="宋体" w:eastAsia="宋体" w:hint="default"/>
          <w:b/>
          <w:bCs/>
          <w:sz w:val="23"/>
          <w:szCs w:val="23"/>
        </w:rPr>
      </w:pPr>
    </w:p>
    <w:p>
      <w:pPr>
        <w:pStyle w:val="BodyText"/>
        <w:spacing w:line="357" w:lineRule="auto" w:before="0"/>
        <w:ind w:left="738" w:right="1788" w:firstLine="420"/>
        <w:jc w:val="left"/>
      </w:pP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日公司召开的第二届董事会第二十一次会议审议通过了《制定</w:t>
      </w:r>
      <w:r>
        <w:rPr>
          <w:rFonts w:ascii="宋体" w:hAnsi="宋体" w:cs="宋体" w:eastAsia="宋体" w:hint="default"/>
        </w:rPr>
        <w:t>&lt;</w:t>
      </w:r>
      <w:r>
        <w:rPr/>
        <w:t>年报信 </w:t>
      </w:r>
      <w:r>
        <w:rPr>
          <w:spacing w:val="-5"/>
        </w:rPr>
        <w:t>息披露重大差错责任追究制度</w:t>
      </w:r>
      <w:r>
        <w:rPr>
          <w:rFonts w:ascii="宋体" w:hAnsi="宋体" w:cs="宋体" w:eastAsia="宋体" w:hint="default"/>
          <w:spacing w:val="-5"/>
        </w:rPr>
        <w:t>&gt;</w:t>
      </w:r>
      <w:r>
        <w:rPr>
          <w:spacing w:val="-5"/>
        </w:rPr>
        <w:t>的议案》。该制度明确了年报信息披露重大差错的责任追究程</w:t>
      </w:r>
      <w:r>
        <w:rPr>
          <w:spacing w:val="-97"/>
        </w:rPr>
        <w:t> </w:t>
      </w:r>
      <w:r>
        <w:rPr>
          <w:spacing w:val="-97"/>
        </w:rPr>
      </w:r>
      <w:r>
        <w:rPr/>
        <w:t>序及处罚办法。</w:t>
      </w:r>
    </w:p>
    <w:p>
      <w:pPr>
        <w:pStyle w:val="BodyText"/>
        <w:spacing w:line="240" w:lineRule="auto" w:before="71"/>
        <w:ind w:left="1158" w:right="1689"/>
        <w:jc w:val="left"/>
      </w:pPr>
      <w:r>
        <w:rPr/>
        <w:t>报告期内，公司未发生年度报告重大差错的情形。</w:t>
      </w:r>
    </w:p>
    <w:p>
      <w:pPr>
        <w:spacing w:after="0" w:line="240" w:lineRule="auto"/>
        <w:jc w:val="left"/>
        <w:sectPr>
          <w:pgSz w:w="11910" w:h="16840"/>
          <w:pgMar w:header="0" w:footer="938" w:top="1100" w:bottom="1120" w:left="106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29" w:right="1689"/>
        <w:jc w:val="left"/>
        <w:rPr>
          <w:b w:val="0"/>
          <w:bCs w:val="0"/>
        </w:rPr>
      </w:pPr>
      <w:bookmarkStart w:name="第十一节 财务报告" w:id="113"/>
      <w:bookmarkEnd w:id="113"/>
      <w:r>
        <w:rPr>
          <w:b w:val="0"/>
          <w:bCs w:val="0"/>
        </w:rPr>
      </w:r>
      <w:bookmarkStart w:name="_bookmark10" w:id="114"/>
      <w:bookmarkEnd w:id="114"/>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1689"/>
        <w:jc w:val="left"/>
        <w:rPr>
          <w:b w:val="0"/>
          <w:bCs w:val="0"/>
        </w:rPr>
      </w:pPr>
      <w:bookmarkStart w:name="一、审计报告" w:id="115"/>
      <w:bookmarkEnd w:id="115"/>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4783"/>
        <w:gridCol w:w="4785"/>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688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0"/>
          <w:szCs w:val="20"/>
        </w:rPr>
      </w:pPr>
    </w:p>
    <w:p>
      <w:pPr>
        <w:spacing w:before="13"/>
        <w:ind w:left="0" w:right="1058" w:firstLine="0"/>
        <w:jc w:val="center"/>
        <w:rPr>
          <w:rFonts w:ascii="宋体" w:hAnsi="宋体" w:cs="宋体" w:eastAsia="宋体" w:hint="default"/>
          <w:sz w:val="28"/>
          <w:szCs w:val="28"/>
        </w:rPr>
      </w:pPr>
      <w:r>
        <w:rPr>
          <w:rFonts w:ascii="宋体" w:hAnsi="宋体" w:cs="宋体" w:eastAsia="宋体" w:hint="default"/>
          <w:b/>
          <w:bCs/>
          <w:sz w:val="28"/>
          <w:szCs w:val="28"/>
        </w:rPr>
        <w:t>审计报告正文</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8"/>
          <w:szCs w:val="38"/>
        </w:rPr>
      </w:pPr>
    </w:p>
    <w:p>
      <w:pPr>
        <w:pStyle w:val="BodyText"/>
        <w:spacing w:line="357" w:lineRule="auto" w:before="0"/>
        <w:ind w:left="1158" w:right="1689" w:hanging="420"/>
        <w:jc w:val="left"/>
        <w:rPr>
          <w:rFonts w:ascii="宋体" w:hAnsi="宋体" w:cs="宋体" w:eastAsia="宋体" w:hint="default"/>
        </w:rPr>
      </w:pPr>
      <w:r>
        <w:rPr/>
        <w:t>利欧集团股份有限公司全体股东： </w:t>
      </w:r>
      <w:r>
        <w:rPr>
          <w:spacing w:val="-8"/>
        </w:rPr>
        <w:t>我们审计了后附的利欧集团股份有限公司（以下简称利欧股份公司）财务报表，包括</w:t>
      </w:r>
      <w:r>
        <w:rPr>
          <w:rFonts w:ascii="宋体" w:hAnsi="宋体" w:cs="宋体" w:eastAsia="宋体" w:hint="default"/>
          <w:spacing w:val="-8"/>
        </w:rPr>
        <w:t>2014</w:t>
      </w:r>
    </w:p>
    <w:p>
      <w:pPr>
        <w:pStyle w:val="BodyText"/>
        <w:spacing w:line="357" w:lineRule="auto"/>
        <w:ind w:left="738" w:right="1689"/>
        <w:jc w:val="left"/>
      </w:pP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日的合并及母公司资产负债表，</w:t>
      </w:r>
      <w:r>
        <w:rPr>
          <w:rFonts w:ascii="宋体" w:hAnsi="宋体" w:cs="宋体" w:eastAsia="宋体" w:hint="default"/>
          <w:spacing w:val="-3"/>
        </w:rPr>
        <w:t>2014</w:t>
      </w:r>
      <w:r>
        <w:rPr>
          <w:spacing w:val="-3"/>
        </w:rPr>
        <w:t>年度的合并及母公司利润表、合并及母公司现</w:t>
      </w:r>
      <w:r>
        <w:rPr>
          <w:spacing w:val="-67"/>
        </w:rPr>
        <w:t> </w:t>
      </w:r>
      <w:r>
        <w:rPr>
          <w:spacing w:val="-67"/>
        </w:rPr>
      </w:r>
      <w:r>
        <w:rPr/>
        <w:t>金流量表、合并及母公司所有者权益变动表，以及财务报表附注。</w:t>
      </w:r>
    </w:p>
    <w:p>
      <w:pPr>
        <w:spacing w:line="240" w:lineRule="auto" w:before="0"/>
        <w:rPr>
          <w:rFonts w:ascii="宋体" w:hAnsi="宋体" w:cs="宋体" w:eastAsia="宋体" w:hint="default"/>
          <w:sz w:val="20"/>
          <w:szCs w:val="20"/>
        </w:rPr>
      </w:pPr>
    </w:p>
    <w:p>
      <w:pPr>
        <w:pStyle w:val="BodyText"/>
        <w:spacing w:line="355" w:lineRule="auto" w:before="178"/>
        <w:ind w:left="1158" w:right="1793"/>
        <w:jc w:val="left"/>
      </w:pPr>
      <w:r>
        <w:rPr/>
        <w:t>一、管理层对财务报表的责任 编制和公允列报财务报表是利欧股份公司管理层的责任，这种责任包括：（</w:t>
      </w:r>
      <w:r>
        <w:rPr>
          <w:rFonts w:ascii="宋体" w:hAnsi="宋体" w:cs="宋体" w:eastAsia="宋体" w:hint="default"/>
        </w:rPr>
        <w:t>1</w:t>
      </w:r>
      <w:r>
        <w:rPr/>
        <w:t>）按照企</w:t>
      </w:r>
    </w:p>
    <w:p>
      <w:pPr>
        <w:pStyle w:val="BodyText"/>
        <w:spacing w:line="355" w:lineRule="auto" w:before="33"/>
        <w:ind w:left="737" w:right="1794"/>
        <w:jc w:val="left"/>
      </w:pPr>
      <w:r>
        <w:rPr/>
        <w:t>业会计准则的规定编制财务报表，并使其实现公允反映；（</w:t>
      </w:r>
      <w:r>
        <w:rPr>
          <w:rFonts w:ascii="宋体" w:hAnsi="宋体" w:cs="宋体" w:eastAsia="宋体" w:hint="default"/>
        </w:rPr>
        <w:t>2</w:t>
      </w:r>
      <w:r>
        <w:rPr/>
        <w:t>）设计、执行和维护必要的内 部控制，以使财务报表不存在由于舞弊或错误导致的重大错报。</w:t>
      </w:r>
    </w:p>
    <w:p>
      <w:pPr>
        <w:spacing w:line="240" w:lineRule="auto" w:before="0"/>
        <w:rPr>
          <w:rFonts w:ascii="宋体" w:hAnsi="宋体" w:cs="宋体" w:eastAsia="宋体" w:hint="default"/>
          <w:sz w:val="20"/>
          <w:szCs w:val="20"/>
        </w:rPr>
      </w:pPr>
    </w:p>
    <w:p>
      <w:pPr>
        <w:pStyle w:val="BodyText"/>
        <w:spacing w:line="355" w:lineRule="auto" w:before="180"/>
        <w:ind w:left="1158" w:right="1689"/>
        <w:jc w:val="left"/>
      </w:pPr>
      <w:r>
        <w:rPr/>
        <w:t>二、注册会计师的责任 </w:t>
      </w:r>
      <w:r>
        <w:rPr>
          <w:spacing w:val="-3"/>
        </w:rPr>
        <w:t>我们的责任是在执行审计工作的基础上对财务报表发表审计意见。我们按照中国注册会</w:t>
      </w:r>
    </w:p>
    <w:p>
      <w:pPr>
        <w:pStyle w:val="BodyText"/>
        <w:spacing w:line="355" w:lineRule="auto" w:before="33"/>
        <w:ind w:left="738" w:right="1689"/>
        <w:jc w:val="left"/>
      </w:pPr>
      <w:r>
        <w:rPr>
          <w:spacing w:val="-3"/>
        </w:rPr>
        <w:t>计师审计准则的规定执行了审计工作。中国注册会计师审计准则要求我们遵守中国注册会计</w:t>
      </w:r>
      <w:r>
        <w:rPr>
          <w:spacing w:val="-73"/>
        </w:rPr>
        <w:t> </w:t>
      </w:r>
      <w:r>
        <w:rPr>
          <w:spacing w:val="-73"/>
        </w:rPr>
      </w:r>
      <w:r>
        <w:rPr/>
        <w:t>师职业道德守则，计划和执行审计工作以对财务报表是否不存在重大错报获取合理保证。</w:t>
      </w:r>
    </w:p>
    <w:p>
      <w:pPr>
        <w:pStyle w:val="BodyText"/>
        <w:spacing w:line="357" w:lineRule="auto" w:before="33"/>
        <w:ind w:left="738" w:right="1689" w:firstLine="420"/>
        <w:jc w:val="left"/>
      </w:pPr>
      <w:r>
        <w:rPr>
          <w:spacing w:val="-3"/>
        </w:rPr>
        <w:t>审计工作涉及实施审计程序，以获取有关财务报表金额和披露的审计证据。选择的审计</w:t>
      </w:r>
      <w:r>
        <w:rPr/>
        <w:t> 程序取决于注册会计师的判断，包括对由于舞弊或错误导致的财务报表重大错报风险的评 </w:t>
      </w:r>
      <w:r>
        <w:rPr>
          <w:spacing w:val="-3"/>
        </w:rPr>
        <w:t>估。在进行风险评估时，注册会计师考虑与财务报表编制和公允列报相关的内部控制，以设</w:t>
      </w:r>
      <w:r>
        <w:rPr>
          <w:spacing w:val="-72"/>
        </w:rPr>
        <w:t> </w:t>
      </w:r>
      <w:r>
        <w:rPr>
          <w:spacing w:val="-72"/>
        </w:rPr>
      </w:r>
      <w:r>
        <w:rPr>
          <w:spacing w:val="-3"/>
        </w:rPr>
        <w:t>计恰当的审计程序，但目的并非对内部控制的有效性发表意见。审计工作还包括评价管理层</w:t>
      </w:r>
      <w:r>
        <w:rPr>
          <w:spacing w:val="-75"/>
        </w:rPr>
        <w:t> </w:t>
      </w:r>
      <w:r>
        <w:rPr>
          <w:spacing w:val="-75"/>
        </w:rPr>
      </w:r>
      <w:r>
        <w:rPr/>
        <w:t>选用会计政策的恰当性和作出会计估计的合理性，以及评价财务报表的总体列报。</w:t>
      </w:r>
    </w:p>
    <w:p>
      <w:pPr>
        <w:pStyle w:val="BodyText"/>
        <w:spacing w:line="240" w:lineRule="auto" w:before="31"/>
        <w:ind w:left="1158" w:right="1689"/>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0"/>
        <w:ind w:left="1158" w:right="1689"/>
        <w:jc w:val="left"/>
      </w:pPr>
      <w:r>
        <w:rPr/>
        <w:t>三、审计意见</w:t>
      </w:r>
    </w:p>
    <w:p>
      <w:pPr>
        <w:spacing w:after="0" w:line="240" w:lineRule="auto"/>
        <w:jc w:val="left"/>
        <w:sectPr>
          <w:pgSz w:w="11910" w:h="16840"/>
          <w:pgMar w:header="0" w:footer="938" w:top="1100" w:bottom="1120" w:left="1060" w:right="0"/>
        </w:sectPr>
      </w:pPr>
    </w:p>
    <w:p>
      <w:pPr>
        <w:spacing w:line="240" w:lineRule="auto" w:before="2"/>
        <w:rPr>
          <w:rFonts w:ascii="宋体" w:hAnsi="宋体" w:cs="宋体" w:eastAsia="宋体" w:hint="default"/>
          <w:sz w:val="19"/>
          <w:szCs w:val="19"/>
        </w:rPr>
      </w:pPr>
    </w:p>
    <w:p>
      <w:pPr>
        <w:pStyle w:val="BodyText"/>
        <w:spacing w:line="357" w:lineRule="auto" w:before="35"/>
        <w:ind w:right="1794" w:firstLine="420"/>
        <w:jc w:val="both"/>
      </w:pPr>
      <w:r>
        <w:rPr>
          <w:spacing w:val="-3"/>
        </w:rPr>
        <w:t>我们认为，利欧股份公司财务报表在所有重大方面按照企业会计准则的规定编制，公允</w:t>
      </w:r>
      <w:r>
        <w:rPr/>
        <w:t> </w:t>
      </w:r>
      <w:r>
        <w:rPr>
          <w:spacing w:val="-2"/>
        </w:rPr>
        <w:t>反映了利欧股份公司</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日的合并及母公司财务状况，以及</w:t>
      </w:r>
      <w:r>
        <w:rPr>
          <w:rFonts w:ascii="宋体" w:hAnsi="宋体" w:cs="宋体" w:eastAsia="宋体" w:hint="default"/>
          <w:spacing w:val="-2"/>
        </w:rPr>
        <w:t>2014</w:t>
      </w:r>
      <w:r>
        <w:rPr>
          <w:spacing w:val="-2"/>
        </w:rPr>
        <w:t>年度的合并及母公</w:t>
      </w:r>
      <w:r>
        <w:rPr/>
        <w:t> 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tabs>
          <w:tab w:pos="3918" w:val="left" w:leader="none"/>
        </w:tabs>
        <w:spacing w:line="475" w:lineRule="auto" w:before="0"/>
        <w:ind w:left="558" w:right="4016" w:hanging="420"/>
        <w:jc w:val="left"/>
      </w:pPr>
      <w:r>
        <w:rPr/>
        <w:t>天健会计师事务所（特殊普通合伙）</w:t>
        <w:tab/>
        <w:t>中国注册会计师：沃巍勇 中国•杭州</w:t>
        <w:tab/>
        <w:t>中国注册会计师：罗联玬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0"/>
        <w:ind w:left="0" w:right="1793"/>
        <w:jc w:val="righ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8</w:t>
      </w:r>
      <w:r>
        <w:rPr>
          <w:spacing w:val="-1"/>
        </w:rPr>
        <w:t>日</w:t>
      </w:r>
    </w:p>
    <w:p>
      <w:pPr>
        <w:spacing w:after="0" w:line="240" w:lineRule="auto"/>
        <w:jc w:val="right"/>
        <w:sectPr>
          <w:pgSz w:w="11910" w:h="16840"/>
          <w:pgMar w:header="0" w:footer="938" w:top="1100" w:bottom="1120" w:left="16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before="26"/>
        <w:ind w:right="1689"/>
        <w:jc w:val="left"/>
        <w:rPr>
          <w:b w:val="0"/>
          <w:bCs w:val="0"/>
        </w:rPr>
      </w:pPr>
      <w:bookmarkStart w:name="二、财务报表" w:id="116"/>
      <w:bookmarkEnd w:id="116"/>
      <w:r>
        <w:rPr>
          <w:b w:val="0"/>
          <w:bCs w:val="0"/>
        </w:rPr>
      </w:r>
      <w:r>
        <w:rPr/>
        <w:t>二、财务报表</w:t>
      </w:r>
      <w:r>
        <w:rPr>
          <w:b w:val="0"/>
          <w:bCs w:val="0"/>
        </w:rPr>
      </w:r>
    </w:p>
    <w:p>
      <w:pPr>
        <w:spacing w:line="240" w:lineRule="auto" w:before="6"/>
        <w:rPr>
          <w:rFonts w:ascii="宋体" w:hAnsi="宋体" w:cs="宋体" w:eastAsia="宋体" w:hint="default"/>
          <w:b/>
          <w:bCs/>
          <w:sz w:val="23"/>
          <w:szCs w:val="23"/>
        </w:rPr>
      </w:pPr>
    </w:p>
    <w:p>
      <w:pPr>
        <w:spacing w:before="0"/>
        <w:ind w:left="737" w:right="1689"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6"/>
        <w:rPr>
          <w:rFonts w:ascii="宋体" w:hAnsi="宋体" w:cs="宋体" w:eastAsia="宋体" w:hint="default"/>
          <w:sz w:val="22"/>
          <w:szCs w:val="22"/>
        </w:rPr>
      </w:pPr>
    </w:p>
    <w:p>
      <w:pPr>
        <w:pStyle w:val="Heading3"/>
        <w:spacing w:line="240" w:lineRule="auto"/>
        <w:ind w:left="738" w:right="1689"/>
        <w:jc w:val="left"/>
        <w:rPr>
          <w:b w:val="0"/>
          <w:bCs w:val="0"/>
        </w:rPr>
      </w:pPr>
      <w:bookmarkStart w:name="1、合并资产负债表" w:id="117"/>
      <w:bookmarkEnd w:id="11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18"/>
          <w:szCs w:val="18"/>
        </w:rPr>
      </w:pPr>
    </w:p>
    <w:p>
      <w:pPr>
        <w:spacing w:before="44"/>
        <w:ind w:left="737" w:right="168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179,467,891.43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482,266,172.27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18,517,087.00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45,769,566.02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14,930,668.61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1,461,078,437.28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641,839,996.36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80,735,693.80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52,210,669.48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69,920,045.49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77,987,370.23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448,763,042.75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364,223,643.92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36,165,902.02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33,538,771.86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2,321,900,578.79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1,685,514,379.73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96,745,428.04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130,086,889.17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3,794,178.95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3,998,945.15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458,824,541.23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577,618,770.68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114,058,618.60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24,124,842.60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236,580,252.49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125,469,648.69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762,100,191.70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77,105,651.14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3,940,527.60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2,431,684.26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25,975,890.16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11,674,217.34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170,487,762.83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198,390,000.00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1,879,507,391.60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1,157,900,649.03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4,201,407,970.39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2,843,415,028.76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414,116,792.07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434,794,798.99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2,333,342.50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58,349,154.00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56,246,123.60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828,566,738.78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320,999,267.23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134,110,119.72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73,443,000.86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68,472,472.68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37,433,187.76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51,771,050.23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10,569,972.56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830,369.24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868,938.95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249,306,947.05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27,860,175.40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1,815,356,986.27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962,215,465.35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185,620,000.00</w:t>
            </w:r>
          </w:p>
        </w:tc>
      </w:tr>
    </w:tbl>
    <w:p>
      <w:pPr>
        <w:spacing w:after="0" w:line="240" w:lineRule="auto"/>
        <w:jc w:val="right"/>
        <w:rPr>
          <w:rFonts w:ascii="宋体" w:hAnsi="宋体" w:cs="宋体" w:eastAsia="宋体" w:hint="default"/>
          <w:sz w:val="18"/>
          <w:szCs w:val="18"/>
        </w:rPr>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2,654,610.89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3,096,727.36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44,308,373.48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33,607,972.15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2,777,563.05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301,962,984.37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325,102,262.56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2,117,319,970.64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1,287,317,727.91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391,424,450.00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375,588,388.00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910,053,162.69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593,323,651.75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-1,672,658.39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1,076,230.50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1,075,087.49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729,976.48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96,096,139.44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80,239,457.81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606,759,661.56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461,337,026.99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2,003,735,842.79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1,512,294,731.53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80,352,156.96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43,802,569.32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2,084,087,999.75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1,556,097,300.85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4,201,407,970.39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2,843,415,028.76</w:t>
            </w:r>
          </w:p>
        </w:tc>
      </w:tr>
    </w:tbl>
    <w:p>
      <w:pPr>
        <w:spacing w:line="240" w:lineRule="auto" w:before="7"/>
        <w:rPr>
          <w:rFonts w:ascii="Times New Roman" w:hAnsi="Times New Roman" w:cs="Times New Roman" w:eastAsia="Times New Roman" w:hint="default"/>
          <w:sz w:val="19"/>
          <w:szCs w:val="19"/>
        </w:rPr>
      </w:pPr>
    </w:p>
    <w:p>
      <w:pPr>
        <w:tabs>
          <w:tab w:pos="3617" w:val="left" w:leader="none"/>
          <w:tab w:pos="6858" w:val="left" w:leader="none"/>
        </w:tabs>
        <w:spacing w:before="44"/>
        <w:ind w:left="738" w:right="1689"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line="240" w:lineRule="auto" w:before="6"/>
        <w:rPr>
          <w:rFonts w:ascii="宋体" w:hAnsi="宋体" w:cs="宋体" w:eastAsia="宋体" w:hint="default"/>
          <w:sz w:val="22"/>
          <w:szCs w:val="22"/>
        </w:rPr>
      </w:pPr>
    </w:p>
    <w:p>
      <w:pPr>
        <w:pStyle w:val="Heading3"/>
        <w:spacing w:line="240" w:lineRule="auto"/>
        <w:ind w:right="1689"/>
        <w:jc w:val="left"/>
        <w:rPr>
          <w:b w:val="0"/>
          <w:bCs w:val="0"/>
        </w:rPr>
      </w:pPr>
      <w:bookmarkStart w:name="2、母公司资产负债表" w:id="118"/>
      <w:bookmarkEnd w:id="11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18"/>
          <w:szCs w:val="18"/>
        </w:rPr>
      </w:pPr>
    </w:p>
    <w:p>
      <w:pPr>
        <w:spacing w:before="44"/>
        <w:ind w:left="737" w:right="168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2"/>
        <w:gridCol w:w="3314"/>
        <w:gridCol w:w="3302"/>
      </w:tblGrid>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27,888,041.69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395,039,971.95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18,060,487.00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3,645,833.00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2,154,671.10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331,423,320.60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293,866,159.40</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41,363,589.23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35,439,050.00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392,328,312.94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307,922,012.04</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205,828,576.68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144,944,748.01</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2"/>
        <w:gridCol w:w="3314"/>
        <w:gridCol w:w="3302"/>
      </w:tblGrid>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8,943,791.47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2,403,197.72</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1,011,421,465.61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1,199,830,297.22</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7,000,000.00</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150,500,000.00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1,512,124,843.58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750,258,396.69</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142,965,167.44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251,850,001.61</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109,776,661.14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15,234,185.49</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121,939,597.66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33,885,932.61</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8,003,241.50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3,440,496.11</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130,257,762.83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146,910,000.00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2,182,567,274.15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1,208,579,012.51</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3,193,988,739.76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2,408,409,309.73</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312,686,792.07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366,794,798.99</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2,245,862.50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188,804,775.86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156,095,452.59</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34,853,711.08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19,619,747.81</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20,093,657.14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20,072,285.47</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10,847,350.27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3,820,473.34</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666,787.57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524,236.17</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240,979,696.60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9,823,645.97</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818,678,633.09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576,750,640.34</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117,500,000.00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2"/>
        <w:gridCol w:w="3314"/>
        <w:gridCol w:w="3302"/>
      </w:tblGrid>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137,500,000.00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185,620,000.00</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32,585,388.71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25,279,897.15</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2,709,073.05</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287,585,388.71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213,608,970.20</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1,106,264,021.80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790,359,610.54</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391,424,450.00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375,588,388.00</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913,829,526.87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597,100,015.93</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2,820,570.93</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96,096,139.44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80,239,457.81</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686,374,601.65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562,301,266.52</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2,087,724,717.96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1,618,049,699.19</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3,193,988,739.76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2,408,409,309.73</w:t>
            </w:r>
          </w:p>
        </w:tc>
      </w:tr>
    </w:tbl>
    <w:p>
      <w:pPr>
        <w:spacing w:line="240" w:lineRule="auto" w:before="7"/>
        <w:rPr>
          <w:rFonts w:ascii="Times New Roman" w:hAnsi="Times New Roman" w:cs="Times New Roman" w:eastAsia="Times New Roman" w:hint="default"/>
          <w:sz w:val="19"/>
          <w:szCs w:val="19"/>
        </w:rPr>
      </w:pPr>
    </w:p>
    <w:p>
      <w:pPr>
        <w:tabs>
          <w:tab w:pos="3257" w:val="left" w:leader="none"/>
          <w:tab w:pos="6948" w:val="left" w:leader="none"/>
        </w:tabs>
        <w:spacing w:before="44"/>
        <w:ind w:left="738" w:right="1689"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 陈林富</w:t>
        <w:tab/>
        <w:t>会计机构负责人：陈林富</w:t>
      </w:r>
    </w:p>
    <w:p>
      <w:pPr>
        <w:spacing w:line="240" w:lineRule="auto" w:before="4"/>
        <w:rPr>
          <w:rFonts w:ascii="宋体" w:hAnsi="宋体" w:cs="宋体" w:eastAsia="宋体" w:hint="default"/>
          <w:sz w:val="22"/>
          <w:szCs w:val="22"/>
        </w:rPr>
      </w:pPr>
    </w:p>
    <w:p>
      <w:pPr>
        <w:pStyle w:val="Heading3"/>
        <w:spacing w:line="240" w:lineRule="auto"/>
        <w:ind w:right="1689"/>
        <w:jc w:val="left"/>
        <w:rPr>
          <w:b w:val="0"/>
          <w:bCs w:val="0"/>
        </w:rPr>
      </w:pPr>
      <w:bookmarkStart w:name="3、合并利润表" w:id="119"/>
      <w:bookmarkEnd w:id="11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18"/>
          <w:szCs w:val="18"/>
        </w:rPr>
      </w:pPr>
    </w:p>
    <w:p>
      <w:pPr>
        <w:spacing w:before="44"/>
        <w:ind w:left="737" w:right="1689" w:firstLine="0"/>
        <w:jc w:val="left"/>
        <w:rPr>
          <w:rFonts w:ascii="宋体" w:hAnsi="宋体" w:cs="宋体" w:eastAsia="宋体" w:hint="default"/>
          <w:sz w:val="18"/>
          <w:szCs w:val="18"/>
        </w:rPr>
      </w:pPr>
      <w:r>
        <w:rPr>
          <w:rFonts w:ascii="宋体" w:hAnsi="宋体" w:cs="宋体" w:eastAsia="宋体" w:hint="default"/>
          <w:sz w:val="18"/>
          <w:szCs w:val="18"/>
        </w:rPr>
        <w:t>编制单位：集团利欧股份有限公司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2"/>
        <w:gridCol w:w="3302"/>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2,874,269,599.64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1,841,272,919.82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2,874,269,599.64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1,841,272,919.82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2,772,844,402.59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1,807,545,646.47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2,211,675,366.33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1,393,962,027.70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0"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967"/>
        <w:gridCol w:w="3300"/>
        <w:gridCol w:w="3302"/>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15,800,924.36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9,335,659.59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205,911,655.74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141,053,074.25</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267,986,002.39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210,296,556.10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16,778,195.06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27,220,381.20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54,692,258.71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25,677,947.63</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-20,850,429.50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11,878,847.00</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109,477,697.48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14,533,762.06</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12,418,379.70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14,310,511.48</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9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190,052,465.03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60,139,882.41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68,293,241.93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17,631,888.58</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448,504.09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438,864.64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6,043,972.44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4,676,754.36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2,118,063.33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1,360,964.99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252,301,734.52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73,095,016.63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39,175,868.28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20,492,946.10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213,125,866.24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52,602,070.53</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179,916,115.75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55,990,125.47</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33,209,750.49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-3,388,054.94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-2,925,302.89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-273,464.54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8" w:firstLine="36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w:t>
            </w:r>
            <w:r>
              <w:rPr>
                <w:rFonts w:ascii="宋体" w:hAnsi="宋体" w:cs="宋体" w:eastAsia="宋体" w:hint="default"/>
                <w:spacing w:val="2"/>
                <w:sz w:val="18"/>
                <w:szCs w:val="18"/>
              </w:rPr>
              <w:t> </w:t>
            </w:r>
            <w:r>
              <w:rPr>
                <w:rFonts w:ascii="宋体" w:hAnsi="宋体" w:cs="宋体" w:eastAsia="宋体" w:hint="default"/>
                <w:sz w:val="18"/>
                <w:szCs w:val="18"/>
              </w:rPr>
              <w:t>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-2,748,888.89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-201,200.92</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一</w:t>
            </w:r>
            <w:r>
              <w:rPr>
                <w:rFonts w:ascii="宋体" w:hAnsi="宋体" w:cs="宋体" w:eastAsia="宋体" w:hint="default"/>
                <w:spacing w:val="6"/>
                <w:sz w:val="18"/>
                <w:szCs w:val="18"/>
              </w:rPr>
              <w:t>)</w:t>
            </w:r>
            <w:r>
              <w:rPr>
                <w:rFonts w:ascii="宋体" w:hAnsi="宋体" w:cs="宋体" w:eastAsia="宋体" w:hint="default"/>
                <w:spacing w:val="18"/>
                <w:sz w:val="18"/>
                <w:szCs w:val="18"/>
              </w:rPr>
              <w:t> </w:t>
            </w:r>
            <w:r>
              <w:rPr>
                <w:rFonts w:ascii="宋体" w:hAnsi="宋体" w:cs="宋体" w:eastAsia="宋体" w:hint="default"/>
                <w:spacing w:val="7"/>
                <w:sz w:val="18"/>
                <w:szCs w:val="18"/>
              </w:rPr>
              <w:t>以后不能重分类进损益的</w:t>
            </w:r>
            <w:r>
              <w:rPr>
                <w:rFonts w:ascii="宋体" w:hAnsi="宋体" w:cs="宋体" w:eastAsia="宋体" w:hint="default"/>
                <w:sz w:val="18"/>
                <w:szCs w:val="18"/>
              </w:rPr>
              <w:t>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 w:firstLine="63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重新计量设定受益计划净</w:t>
            </w:r>
            <w:r>
              <w:rPr>
                <w:rFonts w:ascii="宋体" w:hAnsi="宋体" w:cs="宋体" w:eastAsia="宋体" w:hint="default"/>
                <w:spacing w:val="10"/>
                <w:sz w:val="18"/>
                <w:szCs w:val="18"/>
              </w:rPr>
              <w:t> </w:t>
            </w:r>
            <w:r>
              <w:rPr>
                <w:rFonts w:ascii="宋体" w:hAnsi="宋体" w:cs="宋体" w:eastAsia="宋体" w:hint="default"/>
                <w:sz w:val="18"/>
                <w:szCs w:val="18"/>
              </w:rPr>
              <w:t>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1" w:firstLine="630"/>
              <w:jc w:val="both"/>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权益法下在被投资单位不</w:t>
            </w:r>
            <w:r>
              <w:rPr>
                <w:rFonts w:ascii="宋体" w:hAnsi="宋体" w:cs="宋体" w:eastAsia="宋体" w:hint="default"/>
                <w:spacing w:val="10"/>
                <w:sz w:val="18"/>
                <w:szCs w:val="18"/>
              </w:rPr>
              <w:t> </w:t>
            </w:r>
            <w:r>
              <w:rPr>
                <w:rFonts w:ascii="宋体" w:hAnsi="宋体" w:cs="宋体" w:eastAsia="宋体" w:hint="default"/>
                <w:sz w:val="18"/>
                <w:szCs w:val="18"/>
              </w:rPr>
              <w:t>能重分类进损益的其他综合收益中享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二</w:t>
            </w:r>
            <w:r>
              <w:rPr>
                <w:rFonts w:ascii="宋体" w:hAnsi="宋体" w:cs="宋体" w:eastAsia="宋体" w:hint="default"/>
                <w:spacing w:val="6"/>
                <w:sz w:val="18"/>
                <w:szCs w:val="18"/>
              </w:rPr>
              <w:t>)</w:t>
            </w:r>
            <w:r>
              <w:rPr>
                <w:rFonts w:ascii="宋体" w:hAnsi="宋体" w:cs="宋体" w:eastAsia="宋体" w:hint="default"/>
                <w:spacing w:val="18"/>
                <w:sz w:val="18"/>
                <w:szCs w:val="18"/>
              </w:rPr>
              <w:t> </w:t>
            </w:r>
            <w:r>
              <w:rPr>
                <w:rFonts w:ascii="宋体" w:hAnsi="宋体" w:cs="宋体" w:eastAsia="宋体" w:hint="default"/>
                <w:spacing w:val="7"/>
                <w:sz w:val="18"/>
                <w:szCs w:val="18"/>
              </w:rPr>
              <w:t>以后将重分类进损益的其</w:t>
            </w:r>
            <w:r>
              <w:rPr>
                <w:rFonts w:ascii="宋体" w:hAnsi="宋体" w:cs="宋体" w:eastAsia="宋体" w:hint="default"/>
                <w:sz w:val="18"/>
                <w:szCs w:val="18"/>
              </w:rPr>
              <w:t> 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-2,748,888.89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-201,200.92</w:t>
            </w:r>
          </w:p>
        </w:tc>
      </w:tr>
      <w:tr>
        <w:trPr>
          <w:trHeight w:val="79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11" w:firstLine="630"/>
              <w:jc w:val="both"/>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权益法下在被投资单位以</w:t>
            </w:r>
            <w:r>
              <w:rPr>
                <w:rFonts w:ascii="宋体" w:hAnsi="宋体" w:cs="宋体" w:eastAsia="宋体" w:hint="default"/>
                <w:spacing w:val="10"/>
                <w:sz w:val="18"/>
                <w:szCs w:val="18"/>
              </w:rPr>
              <w:t> </w:t>
            </w:r>
            <w:r>
              <w:rPr>
                <w:rFonts w:ascii="宋体" w:hAnsi="宋体" w:cs="宋体" w:eastAsia="宋体" w:hint="default"/>
                <w:sz w:val="18"/>
                <w:szCs w:val="18"/>
              </w:rPr>
              <w:t>后将重分类进损益的其他综合收益中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享有的份额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-2,834,176.34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408,664.64</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1" w:firstLine="63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可供出售金融资产公允价</w:t>
            </w:r>
            <w:r>
              <w:rPr>
                <w:rFonts w:ascii="宋体" w:hAnsi="宋体" w:cs="宋体" w:eastAsia="宋体" w:hint="default"/>
                <w:spacing w:val="10"/>
                <w:sz w:val="18"/>
                <w:szCs w:val="18"/>
              </w:rPr>
              <w:t> </w:t>
            </w:r>
            <w:r>
              <w:rPr>
                <w:rFonts w:ascii="宋体" w:hAnsi="宋体" w:cs="宋体" w:eastAsia="宋体" w:hint="default"/>
                <w:sz w:val="18"/>
                <w:szCs w:val="18"/>
              </w:rPr>
              <w:t>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1" w:firstLine="63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持有至到期投资重分类为</w:t>
            </w:r>
            <w:r>
              <w:rPr>
                <w:rFonts w:ascii="宋体" w:hAnsi="宋体" w:cs="宋体" w:eastAsia="宋体" w:hint="default"/>
                <w:spacing w:val="10"/>
                <w:sz w:val="18"/>
                <w:szCs w:val="18"/>
              </w:rPr>
              <w:t> </w:t>
            </w:r>
            <w:r>
              <w:rPr>
                <w:rFonts w:ascii="宋体" w:hAnsi="宋体" w:cs="宋体" w:eastAsia="宋体" w:hint="default"/>
                <w:sz w:val="18"/>
                <w:szCs w:val="18"/>
              </w:rPr>
              <w:t>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653" w:right="0"/>
              <w:jc w:val="left"/>
              <w:rPr>
                <w:rFonts w:ascii="宋体" w:hAnsi="宋体" w:cs="宋体" w:eastAsia="宋体" w:hint="default"/>
                <w:sz w:val="18"/>
                <w:szCs w:val="18"/>
              </w:rPr>
            </w:pPr>
            <w:r>
              <w:rPr>
                <w:rFonts w:ascii="宋体" w:hAnsi="宋体" w:cs="宋体" w:eastAsia="宋体" w:hint="default"/>
                <w:spacing w:val="9"/>
                <w:sz w:val="18"/>
                <w:szCs w:val="18"/>
              </w:rPr>
              <w:t>4.</w:t>
            </w:r>
            <w:r>
              <w:rPr>
                <w:rFonts w:ascii="宋体" w:hAnsi="宋体" w:cs="宋体" w:eastAsia="宋体" w:hint="default"/>
                <w:spacing w:val="9"/>
                <w:sz w:val="18"/>
                <w:szCs w:val="18"/>
              </w:rPr>
              <w:t>现金流量套期损益的有效</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85,287.45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-609,865.56</w:t>
            </w:r>
          </w:p>
        </w:tc>
      </w:tr>
    </w:tbl>
    <w:p>
      <w:pPr>
        <w:spacing w:after="0" w:line="240" w:lineRule="auto"/>
        <w:jc w:val="right"/>
        <w:rPr>
          <w:rFonts w:ascii="宋体" w:hAnsi="宋体" w:cs="宋体" w:eastAsia="宋体" w:hint="default"/>
          <w:sz w:val="18"/>
          <w:szCs w:val="18"/>
        </w:rPr>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r>
        <w:rPr/>
        <w:pict>
          <v:group style="position:absolute;margin-left:206.960007pt;margin-top:535.809998pt;width:163.5pt;height:16.8pt;mso-position-horizontal-relative:page;mso-position-vertical-relative:page;z-index:-906832" coordorigin="4139,10716" coordsize="3270,336">
            <v:group style="position:absolute;left:4151;top:10728;width:2;height:314" coordorigin="4151,10728" coordsize="2,314">
              <v:shape style="position:absolute;left:4151;top:10728;width:2;height:314" coordorigin="4151,10728" coordsize="0,314" path="m4151,10728l4151,11041e" filled="false" stroked="true" strokeweight="1.140pt" strokecolor="#ffffff">
                <v:path arrowok="t"/>
              </v:shape>
            </v:group>
            <v:group style="position:absolute;left:4162;top:10728;width:3247;height:314" coordorigin="4162,10728" coordsize="3247,314">
              <v:shape style="position:absolute;left:4162;top:10728;width:3247;height:314" coordorigin="4162,10728" coordsize="3247,314" path="m4162,11041l7408,11041,7408,10728,4162,10728,4162,11041xe" filled="true" fillcolor="#ffffff" stroked="false">
                <v:path arrowok="t"/>
                <v:fill type="solid"/>
              </v:shape>
            </v:group>
            <w10:wrap type="none"/>
          </v:group>
        </w:pict>
      </w:r>
      <w:r>
        <w:rPr/>
        <w:pict>
          <v:group style="position:absolute;margin-left:206.960007pt;margin-top:660.669983pt;width:163.5pt;height:16.8pt;mso-position-horizontal-relative:page;mso-position-vertical-relative:page;z-index:-906808" coordorigin="4139,13213" coordsize="3270,336">
            <v:group style="position:absolute;left:4151;top:13225;width:2;height:314" coordorigin="4151,13225" coordsize="2,314">
              <v:shape style="position:absolute;left:4151;top:13225;width:2;height:314" coordorigin="4151,13225" coordsize="0,314" path="m4151,13225l4151,13538e" filled="false" stroked="true" strokeweight="1.140pt" strokecolor="#ffffff">
                <v:path arrowok="t"/>
              </v:shape>
            </v:group>
            <v:group style="position:absolute;left:4162;top:13225;width:3247;height:314" coordorigin="4162,13225" coordsize="3247,314">
              <v:shape style="position:absolute;left:4162;top:13225;width:3247;height:314" coordorigin="4162,13225" coordsize="3247,314" path="m4162,13538l7408,13538,7408,13225,4162,13225,4162,13538xe" filled="true" fillcolor="#ffffff" stroked="false">
                <v:path arrowok="t"/>
                <v:fill type="solid"/>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2967"/>
        <w:gridCol w:w="3300"/>
        <w:gridCol w:w="3302"/>
      </w:tblGrid>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8" w:firstLine="36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w:t>
            </w:r>
            <w:r>
              <w:rPr>
                <w:rFonts w:ascii="宋体" w:hAnsi="宋体" w:cs="宋体" w:eastAsia="宋体" w:hint="default"/>
                <w:spacing w:val="2"/>
                <w:sz w:val="18"/>
                <w:szCs w:val="18"/>
              </w:rPr>
              <w:t> </w:t>
            </w:r>
            <w:r>
              <w:rPr>
                <w:rFonts w:ascii="宋体" w:hAnsi="宋体" w:cs="宋体" w:eastAsia="宋体" w:hint="default"/>
                <w:sz w:val="18"/>
                <w:szCs w:val="18"/>
              </w:rPr>
              <w:t>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-176,414.00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-72,263.62</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210,200,563.35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52,328,605.99</w:t>
            </w:r>
          </w:p>
        </w:tc>
      </w:tr>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8"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r>
              <w:rPr>
                <w:rFonts w:ascii="宋体" w:hAnsi="宋体" w:cs="宋体" w:eastAsia="宋体" w:hint="default"/>
                <w:spacing w:val="2"/>
                <w:sz w:val="18"/>
                <w:szCs w:val="18"/>
              </w:rPr>
              <w:t> </w:t>
            </w:r>
            <w:r>
              <w:rPr>
                <w:rFonts w:ascii="宋体" w:hAnsi="宋体" w:cs="宋体" w:eastAsia="宋体" w:hint="default"/>
                <w:sz w:val="18"/>
                <w:szCs w:val="18"/>
              </w:rPr>
              <w:t>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177,167,226.86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55,788,924.55</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33,033,336.49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-3,460,318.56</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0.48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0.18</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0.18</w:t>
            </w:r>
          </w:p>
        </w:tc>
      </w:tr>
    </w:tbl>
    <w:p>
      <w:pPr>
        <w:spacing w:line="240" w:lineRule="auto" w:before="7"/>
        <w:rPr>
          <w:rFonts w:ascii="Times New Roman" w:hAnsi="Times New Roman" w:cs="Times New Roman" w:eastAsia="Times New Roman" w:hint="default"/>
          <w:sz w:val="19"/>
          <w:szCs w:val="19"/>
        </w:rPr>
      </w:pPr>
    </w:p>
    <w:p>
      <w:pPr>
        <w:tabs>
          <w:tab w:pos="3508" w:val="left" w:leader="none"/>
          <w:tab w:pos="7090" w:val="left" w:leader="none"/>
        </w:tabs>
        <w:spacing w:before="44"/>
        <w:ind w:left="1008" w:right="1689"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pacing w:val="-2"/>
          <w:sz w:val="18"/>
          <w:szCs w:val="18"/>
        </w:rPr>
        <w:t>主管会计工作负责人：陈林富</w:t>
        <w:tab/>
        <w:t>会计机构负责人：陈林富</w:t>
      </w:r>
    </w:p>
    <w:p>
      <w:pPr>
        <w:spacing w:line="240" w:lineRule="auto" w:before="6"/>
        <w:rPr>
          <w:rFonts w:ascii="宋体" w:hAnsi="宋体" w:cs="宋体" w:eastAsia="宋体" w:hint="default"/>
          <w:sz w:val="22"/>
          <w:szCs w:val="22"/>
        </w:rPr>
      </w:pPr>
    </w:p>
    <w:p>
      <w:pPr>
        <w:pStyle w:val="Heading3"/>
        <w:spacing w:line="240" w:lineRule="auto"/>
        <w:ind w:right="1689"/>
        <w:jc w:val="left"/>
        <w:rPr>
          <w:b w:val="0"/>
          <w:bCs w:val="0"/>
        </w:rPr>
      </w:pPr>
      <w:bookmarkStart w:name="4、母公司利润表" w:id="120"/>
      <w:bookmarkEnd w:id="12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18"/>
          <w:szCs w:val="18"/>
        </w:rPr>
      </w:pPr>
    </w:p>
    <w:p>
      <w:pPr>
        <w:spacing w:before="44"/>
        <w:ind w:left="737" w:right="168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2"/>
        <w:gridCol w:w="1049"/>
        <w:gridCol w:w="2265"/>
        <w:gridCol w:w="3302"/>
      </w:tblGrid>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828" w:right="0"/>
              <w:jc w:val="left"/>
              <w:rPr>
                <w:rFonts w:ascii="宋体" w:hAnsi="宋体" w:cs="宋体" w:eastAsia="宋体" w:hint="default"/>
                <w:sz w:val="18"/>
                <w:szCs w:val="18"/>
              </w:rPr>
            </w:pPr>
            <w:r>
              <w:rPr>
                <w:rFonts w:ascii="宋体"/>
                <w:sz w:val="18"/>
              </w:rPr>
              <w:t>1,342,644,254.63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1,214,724,020.01</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828" w:right="0"/>
              <w:jc w:val="left"/>
              <w:rPr>
                <w:rFonts w:ascii="宋体" w:hAnsi="宋体" w:cs="宋体" w:eastAsia="宋体" w:hint="default"/>
                <w:sz w:val="18"/>
                <w:szCs w:val="18"/>
              </w:rPr>
            </w:pPr>
            <w:r>
              <w:rPr>
                <w:rFonts w:ascii="宋体"/>
                <w:sz w:val="18"/>
              </w:rPr>
              <w:t>1,012,041,969.55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936,031,289.04</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88" w:right="0"/>
              <w:jc w:val="left"/>
              <w:rPr>
                <w:rFonts w:ascii="宋体" w:hAnsi="宋体" w:cs="宋体" w:eastAsia="宋体" w:hint="default"/>
                <w:sz w:val="18"/>
                <w:szCs w:val="18"/>
              </w:rPr>
            </w:pPr>
            <w:r>
              <w:rPr>
                <w:rFonts w:ascii="宋体"/>
                <w:sz w:val="18"/>
              </w:rPr>
              <w:t>6,566,561.82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5,992,449.74</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98" w:right="0"/>
              <w:jc w:val="left"/>
              <w:rPr>
                <w:rFonts w:ascii="宋体" w:hAnsi="宋体" w:cs="宋体" w:eastAsia="宋体" w:hint="default"/>
                <w:sz w:val="18"/>
                <w:szCs w:val="18"/>
              </w:rPr>
            </w:pPr>
            <w:r>
              <w:rPr>
                <w:rFonts w:ascii="宋体"/>
                <w:sz w:val="18"/>
              </w:rPr>
              <w:t>52,794,764.11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44,532,600.35</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008" w:right="0"/>
              <w:jc w:val="left"/>
              <w:rPr>
                <w:rFonts w:ascii="宋体" w:hAnsi="宋体" w:cs="宋体" w:eastAsia="宋体" w:hint="default"/>
                <w:sz w:val="18"/>
                <w:szCs w:val="18"/>
              </w:rPr>
            </w:pPr>
            <w:r>
              <w:rPr>
                <w:rFonts w:ascii="宋体"/>
                <w:sz w:val="18"/>
              </w:rPr>
              <w:t>122,738,856.81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102,834,639.48</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88" w:right="0"/>
              <w:jc w:val="left"/>
              <w:rPr>
                <w:rFonts w:ascii="宋体" w:hAnsi="宋体" w:cs="宋体" w:eastAsia="宋体" w:hint="default"/>
                <w:sz w:val="18"/>
                <w:szCs w:val="18"/>
              </w:rPr>
            </w:pPr>
            <w:r>
              <w:rPr>
                <w:rFonts w:ascii="宋体"/>
                <w:sz w:val="18"/>
              </w:rPr>
              <w:t>8,479,707.99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10,335,798.27</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88" w:right="0"/>
              <w:jc w:val="left"/>
              <w:rPr>
                <w:rFonts w:ascii="宋体" w:hAnsi="宋体" w:cs="宋体" w:eastAsia="宋体" w:hint="default"/>
                <w:sz w:val="18"/>
                <w:szCs w:val="18"/>
              </w:rPr>
            </w:pPr>
            <w:r>
              <w:rPr>
                <w:rFonts w:ascii="宋体"/>
                <w:sz w:val="18"/>
              </w:rPr>
              <w:t>2,570,358.47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10,684,778.33</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008" w:right="0"/>
              <w:jc w:val="left"/>
              <w:rPr>
                <w:rFonts w:ascii="宋体" w:hAnsi="宋体" w:cs="宋体" w:eastAsia="宋体" w:hint="default"/>
                <w:sz w:val="18"/>
                <w:szCs w:val="18"/>
              </w:rPr>
            </w:pPr>
            <w:r>
              <w:rPr>
                <w:rFonts w:ascii="宋体"/>
                <w:sz w:val="18"/>
              </w:rPr>
              <w:t>-20,306,349.50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11,525,927.00</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188" w:right="0"/>
              <w:jc w:val="left"/>
              <w:rPr>
                <w:rFonts w:ascii="宋体" w:hAnsi="宋体" w:cs="宋体" w:eastAsia="宋体" w:hint="default"/>
                <w:sz w:val="18"/>
                <w:szCs w:val="18"/>
              </w:rPr>
            </w:pPr>
            <w:r>
              <w:rPr>
                <w:rFonts w:ascii="宋体"/>
                <w:sz w:val="18"/>
              </w:rPr>
              <w:t>8,361,087.82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12,065,739.15</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188" w:right="0"/>
              <w:jc w:val="left"/>
              <w:rPr>
                <w:rFonts w:ascii="宋体" w:hAnsi="宋体" w:cs="宋体" w:eastAsia="宋体" w:hint="default"/>
                <w:sz w:val="18"/>
                <w:szCs w:val="18"/>
              </w:rPr>
            </w:pPr>
            <w:r>
              <w:rPr>
                <w:rFonts w:ascii="宋体"/>
                <w:sz w:val="18"/>
              </w:rPr>
              <w:t>7,683,487.82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11,811,639.15</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二、营业利润（亏损以“－”号填列</w:t>
            </w:r>
          </w:p>
        </w:tc>
        <w:tc>
          <w:tcPr>
            <w:tcW w:w="10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125,506,774.20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127,904,130.95</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98" w:right="0"/>
              <w:jc w:val="left"/>
              <w:rPr>
                <w:rFonts w:ascii="宋体" w:hAnsi="宋体" w:cs="宋体" w:eastAsia="宋体" w:hint="default"/>
                <w:sz w:val="18"/>
                <w:szCs w:val="18"/>
              </w:rPr>
            </w:pPr>
            <w:r>
              <w:rPr>
                <w:rFonts w:ascii="宋体"/>
                <w:sz w:val="18"/>
              </w:rPr>
              <w:t>54,712,216.09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9,299,892.67</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8"/>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135,579.71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228,723.79</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188" w:right="0"/>
              <w:jc w:val="left"/>
              <w:rPr>
                <w:rFonts w:ascii="宋体" w:hAnsi="宋体" w:cs="宋体" w:eastAsia="宋体" w:hint="default"/>
                <w:sz w:val="18"/>
                <w:szCs w:val="18"/>
              </w:rPr>
            </w:pPr>
            <w:r>
              <w:rPr>
                <w:rFonts w:ascii="宋体"/>
                <w:sz w:val="18"/>
              </w:rPr>
              <w:t>3,601,773.00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3,551,561.38</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8"/>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188" w:right="0"/>
              <w:jc w:val="left"/>
              <w:rPr>
                <w:rFonts w:ascii="宋体" w:hAnsi="宋体" w:cs="宋体" w:eastAsia="宋体" w:hint="default"/>
                <w:sz w:val="18"/>
                <w:szCs w:val="18"/>
              </w:rPr>
            </w:pPr>
            <w:r>
              <w:rPr>
                <w:rFonts w:ascii="宋体"/>
                <w:sz w:val="18"/>
              </w:rPr>
              <w:t>1,576,218.07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1,030,863.74</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left="2008" w:right="0"/>
              <w:jc w:val="left"/>
              <w:rPr>
                <w:rFonts w:ascii="宋体" w:hAnsi="宋体" w:cs="宋体" w:eastAsia="宋体" w:hint="default"/>
                <w:sz w:val="18"/>
                <w:szCs w:val="18"/>
              </w:rPr>
            </w:pPr>
            <w:r>
              <w:rPr>
                <w:rFonts w:ascii="宋体"/>
                <w:sz w:val="18"/>
              </w:rPr>
              <w:t>176,617,217.29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133,652,462.24</w:t>
            </w:r>
          </w:p>
        </w:tc>
      </w:tr>
      <w:tr>
        <w:trPr>
          <w:trHeight w:val="32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98" w:right="0"/>
              <w:jc w:val="left"/>
              <w:rPr>
                <w:rFonts w:ascii="宋体" w:hAnsi="宋体" w:cs="宋体" w:eastAsia="宋体" w:hint="default"/>
                <w:sz w:val="18"/>
                <w:szCs w:val="18"/>
              </w:rPr>
            </w:pPr>
            <w:r>
              <w:rPr>
                <w:rFonts w:ascii="宋体"/>
                <w:sz w:val="18"/>
              </w:rPr>
              <w:t>18,050,400.98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15,803,783.52</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四、净利润（净亏损以“－”号填列</w:t>
            </w:r>
          </w:p>
        </w:tc>
        <w:tc>
          <w:tcPr>
            <w:tcW w:w="104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2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158,566,816.31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117,848,678.72</w:t>
            </w: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098" w:right="0"/>
              <w:jc w:val="left"/>
              <w:rPr>
                <w:rFonts w:ascii="宋体" w:hAnsi="宋体" w:cs="宋体" w:eastAsia="宋体" w:hint="default"/>
                <w:sz w:val="18"/>
                <w:szCs w:val="18"/>
              </w:rPr>
            </w:pPr>
            <w:r>
              <w:rPr>
                <w:rFonts w:ascii="宋体"/>
                <w:sz w:val="18"/>
              </w:rPr>
              <w:t>-2,820,570.93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408,664.64</w:t>
            </w: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一</w:t>
            </w:r>
            <w:r>
              <w:rPr>
                <w:rFonts w:ascii="宋体" w:hAnsi="宋体" w:cs="宋体" w:eastAsia="宋体" w:hint="default"/>
                <w:spacing w:val="6"/>
                <w:sz w:val="18"/>
                <w:szCs w:val="18"/>
              </w:rPr>
              <w:t>)</w:t>
            </w:r>
            <w:r>
              <w:rPr>
                <w:rFonts w:ascii="宋体" w:hAnsi="宋体" w:cs="宋体" w:eastAsia="宋体" w:hint="default"/>
                <w:spacing w:val="17"/>
                <w:sz w:val="18"/>
                <w:szCs w:val="18"/>
              </w:rPr>
              <w:t> </w:t>
            </w:r>
            <w:r>
              <w:rPr>
                <w:rFonts w:ascii="宋体" w:hAnsi="宋体" w:cs="宋体" w:eastAsia="宋体" w:hint="default"/>
                <w:spacing w:val="7"/>
                <w:sz w:val="18"/>
                <w:szCs w:val="18"/>
              </w:rPr>
              <w:t>以后不能重分类进损益的</w:t>
            </w:r>
            <w:r>
              <w:rPr>
                <w:rFonts w:ascii="宋体" w:hAnsi="宋体" w:cs="宋体" w:eastAsia="宋体" w:hint="default"/>
                <w:sz w:val="18"/>
                <w:szCs w:val="18"/>
              </w:rPr>
              <w:t> 其他综合收益</w:t>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 w:firstLine="63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重新计量设定受益计划净</w:t>
            </w:r>
            <w:r>
              <w:rPr>
                <w:rFonts w:ascii="宋体" w:hAnsi="宋体" w:cs="宋体" w:eastAsia="宋体" w:hint="default"/>
                <w:spacing w:val="10"/>
                <w:sz w:val="18"/>
                <w:szCs w:val="18"/>
              </w:rPr>
              <w:t> </w:t>
            </w:r>
            <w:r>
              <w:rPr>
                <w:rFonts w:ascii="宋体" w:hAnsi="宋体" w:cs="宋体" w:eastAsia="宋体" w:hint="default"/>
                <w:sz w:val="18"/>
                <w:szCs w:val="18"/>
              </w:rPr>
              <w:t>负债或净资产的变动</w:t>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righ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权益法下在被投资单位不</w:t>
            </w:r>
            <w:r>
              <w:rPr>
                <w:rFonts w:ascii="宋体" w:hAnsi="宋体" w:cs="宋体" w:eastAsia="宋体" w:hint="default"/>
                <w:sz w:val="18"/>
                <w:szCs w:val="18"/>
              </w:rPr>
            </w:r>
          </w:p>
        </w:tc>
        <w:tc>
          <w:tcPr>
            <w:tcW w:w="3314" w:type="dxa"/>
            <w:gridSpan w:val="2"/>
            <w:tcBorders>
              <w:top w:val="single" w:sz="4" w:space="0" w:color="000000"/>
              <w:left w:val="single" w:sz="13"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965"/>
        <w:gridCol w:w="3302"/>
        <w:gridCol w:w="3302"/>
      </w:tblGrid>
      <w:tr>
        <w:trPr>
          <w:trHeight w:val="517"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二</w:t>
            </w:r>
            <w:r>
              <w:rPr>
                <w:rFonts w:ascii="宋体" w:hAnsi="宋体" w:cs="宋体" w:eastAsia="宋体" w:hint="default"/>
                <w:spacing w:val="6"/>
                <w:sz w:val="18"/>
                <w:szCs w:val="18"/>
              </w:rPr>
              <w:t>)</w:t>
            </w:r>
            <w:r>
              <w:rPr>
                <w:rFonts w:ascii="宋体" w:hAnsi="宋体" w:cs="宋体" w:eastAsia="宋体" w:hint="default"/>
                <w:spacing w:val="17"/>
                <w:sz w:val="18"/>
                <w:szCs w:val="18"/>
              </w:rPr>
              <w:t> </w:t>
            </w:r>
            <w:r>
              <w:rPr>
                <w:rFonts w:ascii="宋体" w:hAnsi="宋体" w:cs="宋体" w:eastAsia="宋体" w:hint="default"/>
                <w:spacing w:val="7"/>
                <w:sz w:val="18"/>
                <w:szCs w:val="18"/>
              </w:rPr>
              <w:t>以后将重分类进损益的其</w:t>
            </w:r>
            <w:r>
              <w:rPr>
                <w:rFonts w:ascii="宋体" w:hAnsi="宋体" w:cs="宋体" w:eastAsia="宋体" w:hint="default"/>
                <w:sz w:val="18"/>
                <w:szCs w:val="18"/>
              </w:rPr>
              <w:t> 他综合收益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-2,820,570.93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408,664.64</w:t>
            </w:r>
          </w:p>
        </w:tc>
      </w:tr>
      <w:tr>
        <w:trPr>
          <w:trHeight w:val="790"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0" w:firstLine="630"/>
              <w:jc w:val="both"/>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权益法下在被投资单位以</w:t>
            </w:r>
            <w:r>
              <w:rPr>
                <w:rFonts w:ascii="宋体" w:hAnsi="宋体" w:cs="宋体" w:eastAsia="宋体" w:hint="default"/>
                <w:spacing w:val="10"/>
                <w:sz w:val="18"/>
                <w:szCs w:val="18"/>
              </w:rPr>
              <w:t> </w:t>
            </w:r>
            <w:r>
              <w:rPr>
                <w:rFonts w:ascii="宋体" w:hAnsi="宋体" w:cs="宋体" w:eastAsia="宋体" w:hint="default"/>
                <w:sz w:val="18"/>
                <w:szCs w:val="18"/>
              </w:rPr>
              <w:t>后将重分类进损益的其他综合收益中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享有的份额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-2,820,570.93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408,664.64</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0" w:firstLine="63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可供出售金融资产公允价</w:t>
            </w:r>
            <w:r>
              <w:rPr>
                <w:rFonts w:ascii="宋体" w:hAnsi="宋体" w:cs="宋体" w:eastAsia="宋体" w:hint="default"/>
                <w:spacing w:val="10"/>
                <w:sz w:val="18"/>
                <w:szCs w:val="18"/>
              </w:rPr>
              <w:t> </w:t>
            </w:r>
            <w:r>
              <w:rPr>
                <w:rFonts w:ascii="宋体" w:hAnsi="宋体" w:cs="宋体" w:eastAsia="宋体" w:hint="default"/>
                <w:sz w:val="18"/>
                <w:szCs w:val="18"/>
              </w:rPr>
              <w:t>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0" w:firstLine="63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持有至到期投资重分类为</w:t>
            </w:r>
            <w:r>
              <w:rPr>
                <w:rFonts w:ascii="宋体" w:hAnsi="宋体" w:cs="宋体" w:eastAsia="宋体" w:hint="default"/>
                <w:spacing w:val="10"/>
                <w:sz w:val="18"/>
                <w:szCs w:val="18"/>
              </w:rPr>
              <w:t> </w:t>
            </w:r>
            <w:r>
              <w:rPr>
                <w:rFonts w:ascii="宋体" w:hAnsi="宋体" w:cs="宋体" w:eastAsia="宋体" w:hint="default"/>
                <w:sz w:val="18"/>
                <w:szCs w:val="18"/>
              </w:rPr>
              <w:t>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653" w:right="0"/>
              <w:jc w:val="left"/>
              <w:rPr>
                <w:rFonts w:ascii="宋体" w:hAnsi="宋体" w:cs="宋体" w:eastAsia="宋体" w:hint="default"/>
                <w:sz w:val="18"/>
                <w:szCs w:val="18"/>
              </w:rPr>
            </w:pPr>
            <w:r>
              <w:rPr>
                <w:rFonts w:ascii="宋体" w:hAnsi="宋体" w:cs="宋体" w:eastAsia="宋体" w:hint="default"/>
                <w:spacing w:val="9"/>
                <w:sz w:val="18"/>
                <w:szCs w:val="18"/>
              </w:rPr>
              <w:t>4.</w:t>
            </w:r>
            <w:r>
              <w:rPr>
                <w:rFonts w:ascii="宋体" w:hAnsi="宋体" w:cs="宋体" w:eastAsia="宋体" w:hint="default"/>
                <w:spacing w:val="9"/>
                <w:sz w:val="18"/>
                <w:szCs w:val="18"/>
              </w:rPr>
              <w:t>现金流量套期损益的有效</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20"/>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外币财务报表折算差额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155,746,245.38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118,257,343.36</w:t>
            </w: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20"/>
              <w:jc w:val="righ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20"/>
              <w:jc w:val="righ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7"/>
          <w:szCs w:val="17"/>
        </w:rPr>
      </w:pPr>
    </w:p>
    <w:p>
      <w:pPr>
        <w:tabs>
          <w:tab w:pos="3508" w:val="left" w:leader="none"/>
          <w:tab w:pos="7090" w:val="left" w:leader="none"/>
        </w:tabs>
        <w:spacing w:before="44"/>
        <w:ind w:left="738" w:right="1689"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pacing w:val="-2"/>
          <w:sz w:val="18"/>
          <w:szCs w:val="18"/>
        </w:rPr>
        <w:t>主管会计工作负责人：陈林富</w:t>
        <w:tab/>
        <w:t>会计机构负责人：陈林富</w:t>
      </w:r>
    </w:p>
    <w:p>
      <w:pPr>
        <w:spacing w:line="240" w:lineRule="auto" w:before="6"/>
        <w:rPr>
          <w:rFonts w:ascii="宋体" w:hAnsi="宋体" w:cs="宋体" w:eastAsia="宋体" w:hint="default"/>
          <w:sz w:val="22"/>
          <w:szCs w:val="22"/>
        </w:rPr>
      </w:pPr>
    </w:p>
    <w:p>
      <w:pPr>
        <w:pStyle w:val="Heading3"/>
        <w:spacing w:line="240" w:lineRule="auto"/>
        <w:ind w:right="1689"/>
        <w:jc w:val="left"/>
        <w:rPr>
          <w:b w:val="0"/>
          <w:bCs w:val="0"/>
        </w:rPr>
      </w:pPr>
      <w:bookmarkStart w:name="5、合并现金流量表" w:id="121"/>
      <w:bookmarkEnd w:id="12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18"/>
          <w:szCs w:val="18"/>
        </w:rPr>
      </w:pPr>
    </w:p>
    <w:p>
      <w:pPr>
        <w:spacing w:before="44"/>
        <w:ind w:left="737" w:right="168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before="37"/>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3,214,277,566.94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1,851,148,781.00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6"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w:t>
            </w:r>
            <w:r>
              <w:rPr>
                <w:rFonts w:ascii="宋体" w:hAnsi="宋体" w:cs="宋体" w:eastAsia="宋体" w:hint="default"/>
                <w:spacing w:val="2"/>
                <w:sz w:val="18"/>
                <w:szCs w:val="18"/>
              </w:rPr>
              <w:t> </w:t>
            </w:r>
            <w:r>
              <w:rPr>
                <w:rFonts w:ascii="宋体" w:hAnsi="宋体" w:cs="宋体" w:eastAsia="宋体" w:hint="default"/>
                <w:sz w:val="18"/>
                <w:szCs w:val="18"/>
              </w:rPr>
              <w:t>入当期损益的金融资产净增加额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75,282,825.53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73,098,039.89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85,890,777.46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78,862,666.96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3,375,451,169.93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2,003,109,487.85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2,602,744,720.01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1,409,283,065.85</w:t>
            </w:r>
          </w:p>
        </w:tc>
      </w:tr>
    </w:tbl>
    <w:p>
      <w:pPr>
        <w:spacing w:after="0" w:line="240" w:lineRule="auto"/>
        <w:jc w:val="right"/>
        <w:rPr>
          <w:rFonts w:ascii="宋体" w:hAnsi="宋体" w:cs="宋体" w:eastAsia="宋体" w:hint="default"/>
          <w:sz w:val="18"/>
          <w:szCs w:val="18"/>
        </w:rPr>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305,810,062.43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235,180,019.76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102,380,496.80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57,263,947.57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474,493,112.78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254,856,813.12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3,485,428,392.02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1,956,583,846.30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-109,977,222.09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46,525,641.55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130,000,000.00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9,677,600.00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11,654,100.00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28,595,523.67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1,977,528.68</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11,036,424.02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163,310,991.28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224,791,825.00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331,584,114.95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249,459,877.70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163,338,989.02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211,804,209.02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614,530.00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7,500,000.00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320,665,966.00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108,865,760.00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24,400,000.00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593,485,245.02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243,704,209.02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-261,901,130.07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5,755,668.68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128,927,412.60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410,072,787.50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779,240.80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656,730,000.00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382,000,000.00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487,158,153.56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770,396,630.41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1,272,815,566.16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1,562,469,417.91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592,051,609.85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460,080,000.00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45,531,365.33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40,986,118.46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587,004,849.94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799,920,265.75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1,224,587,825.12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1,300,986,384.21</w:t>
            </w:r>
          </w:p>
        </w:tc>
      </w:tr>
    </w:tbl>
    <w:p>
      <w:pPr>
        <w:spacing w:after="0" w:line="240" w:lineRule="auto"/>
        <w:jc w:val="right"/>
        <w:rPr>
          <w:rFonts w:ascii="宋体" w:hAnsi="宋体" w:cs="宋体" w:eastAsia="宋体" w:hint="default"/>
          <w:sz w:val="18"/>
          <w:szCs w:val="18"/>
        </w:rPr>
        <w:sectPr>
          <w:pgSz w:w="11910" w:h="16840"/>
          <w:pgMar w:header="0" w:footer="938" w:top="1100" w:bottom="1120" w:left="10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966"/>
        <w:gridCol w:w="3302"/>
        <w:gridCol w:w="3302"/>
      </w:tblGrid>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48,227,741.04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261,483,033.70</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10,357,863.75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10,271,024.86</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-313,292,747.37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324,035,368.79</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442,582,837.03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118,547,468.24</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129,290,089.66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442,582,837.03</w:t>
            </w:r>
          </w:p>
        </w:tc>
      </w:tr>
    </w:tbl>
    <w:p>
      <w:pPr>
        <w:spacing w:line="240" w:lineRule="auto" w:before="7"/>
        <w:rPr>
          <w:rFonts w:ascii="Times New Roman" w:hAnsi="Times New Roman" w:cs="Times New Roman" w:eastAsia="Times New Roman" w:hint="default"/>
          <w:sz w:val="19"/>
          <w:szCs w:val="19"/>
        </w:rPr>
      </w:pPr>
    </w:p>
    <w:p>
      <w:pPr>
        <w:tabs>
          <w:tab w:pos="3598" w:val="left" w:leader="none"/>
          <w:tab w:pos="7090" w:val="left" w:leader="none"/>
        </w:tabs>
        <w:spacing w:before="44"/>
        <w:ind w:left="738" w:right="1689"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19"/>
          <w:sz w:val="18"/>
          <w:szCs w:val="18"/>
        </w:rPr>
        <w:t> </w:t>
      </w:r>
      <w:r>
        <w:rPr>
          <w:rFonts w:ascii="宋体" w:hAnsi="宋体" w:cs="宋体" w:eastAsia="宋体" w:hint="default"/>
          <w:sz w:val="18"/>
          <w:szCs w:val="18"/>
        </w:rPr>
        <w:t>陈林富</w:t>
        <w:tab/>
        <w:t>会计机构负责人：陈林富</w:t>
      </w:r>
    </w:p>
    <w:p>
      <w:pPr>
        <w:spacing w:line="240" w:lineRule="auto" w:before="4"/>
        <w:rPr>
          <w:rFonts w:ascii="宋体" w:hAnsi="宋体" w:cs="宋体" w:eastAsia="宋体" w:hint="default"/>
          <w:sz w:val="22"/>
          <w:szCs w:val="22"/>
        </w:rPr>
      </w:pPr>
    </w:p>
    <w:p>
      <w:pPr>
        <w:pStyle w:val="Heading3"/>
        <w:spacing w:line="240" w:lineRule="auto"/>
        <w:ind w:right="1689"/>
        <w:jc w:val="left"/>
        <w:rPr>
          <w:b w:val="0"/>
          <w:bCs w:val="0"/>
        </w:rPr>
      </w:pPr>
      <w:bookmarkStart w:name="6、母公司现金流量表" w:id="122"/>
      <w:bookmarkEnd w:id="12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18"/>
          <w:szCs w:val="18"/>
        </w:rPr>
      </w:pPr>
    </w:p>
    <w:p>
      <w:pPr>
        <w:spacing w:before="44"/>
        <w:ind w:left="737" w:right="1689"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w:t>
      </w:r>
    </w:p>
    <w:p>
      <w:pPr>
        <w:spacing w:before="38"/>
        <w:ind w:left="0" w:right="17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943"/>
        <w:gridCol w:w="3313"/>
        <w:gridCol w:w="3302"/>
      </w:tblGrid>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1,364,663,135.94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1,225,137,143.75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61,711,063.19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58,523,064.85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133,186,792.35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74,454,446.82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1,559,560,991.48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1,358,114,655.42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1,072,140,712.11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952,060,478.97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146,716,654.32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126,015,011.75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31,463,224.45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24,305,490.06</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534,463,151.23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260,596,968.63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1,784,783,742.11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1,362,977,949.41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-225,222,750.63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-4,863,293.99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9,677,600.00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11,654,100.00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27,046,151.00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1,064,749.26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9" w:space="0" w:color="D2D2D2"/>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9"/>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132,580,921.67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278,430,320.33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169,304,672.67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291,149,169.59</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121,155,753.43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143,593,561.65</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614,530.00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11,800,170.00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39"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339,969,507.17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9"/>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35,510,000.00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106,773,617.68</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497,249,790.60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262,167,349.33</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-327,945,117.93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28,981,820.26</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128,312,882.60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409,293,546.70</w:t>
            </w:r>
          </w:p>
        </w:tc>
      </w:tr>
    </w:tbl>
    <w:p>
      <w:pPr>
        <w:spacing w:after="0" w:line="240" w:lineRule="auto"/>
        <w:jc w:val="right"/>
        <w:rPr>
          <w:rFonts w:ascii="宋体" w:hAnsi="宋体" w:cs="宋体" w:eastAsia="宋体" w:hint="default"/>
          <w:sz w:val="18"/>
          <w:szCs w:val="18"/>
        </w:rPr>
        <w:sectPr>
          <w:pgSz w:w="11910" w:h="16840"/>
          <w:pgMar w:header="0"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966"/>
        <w:gridCol w:w="3302"/>
        <w:gridCol w:w="3302"/>
      </w:tblGrid>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519,300,000.00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309,000,000.00</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506,158,153.56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770,396,630.41</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1,153,771,036.16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1,488,690,177.11</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354,600,000.00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342,950,000.00</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39,409,720.33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32,317,807.43</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587,004,849.94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799,920,265.75</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981,014,570.27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1,175,188,073.18</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172,756,465.89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313,502,103.93</w:t>
            </w:r>
          </w:p>
        </w:tc>
      </w:tr>
      <w:tr>
        <w:trPr>
          <w:trHeight w:val="55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11,737,748.60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10,544,193.60</w:t>
            </w:r>
          </w:p>
        </w:tc>
      </w:tr>
      <w:tr>
        <w:trPr>
          <w:trHeight w:val="32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-368,673,654.07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348,164,823.80</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392,991,971.95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44,827,148.15</w:t>
            </w:r>
          </w:p>
        </w:tc>
      </w:tr>
      <w:tr>
        <w:trPr>
          <w:trHeight w:val="32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24,318,317.88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392,991,971.95</w:t>
            </w:r>
          </w:p>
        </w:tc>
      </w:tr>
    </w:tbl>
    <w:p>
      <w:pPr>
        <w:spacing w:line="240" w:lineRule="auto" w:before="3"/>
        <w:rPr>
          <w:rFonts w:ascii="宋体" w:hAnsi="宋体" w:cs="宋体" w:eastAsia="宋体" w:hint="default"/>
          <w:sz w:val="17"/>
          <w:szCs w:val="17"/>
        </w:rPr>
      </w:pPr>
    </w:p>
    <w:p>
      <w:pPr>
        <w:tabs>
          <w:tab w:pos="3598" w:val="left" w:leader="none"/>
          <w:tab w:pos="7090" w:val="left" w:leader="none"/>
        </w:tabs>
        <w:spacing w:before="44"/>
        <w:ind w:left="738" w:right="1689"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法定代表人：王相荣</w:t>
        <w:tab/>
      </w:r>
      <w:r>
        <w:rPr>
          <w:rFonts w:ascii="宋体" w:hAnsi="宋体" w:cs="宋体" w:eastAsia="宋体" w:hint="default"/>
          <w:sz w:val="18"/>
          <w:szCs w:val="18"/>
        </w:rPr>
        <w:t>主管会计工作负责人：</w:t>
      </w:r>
      <w:r>
        <w:rPr>
          <w:rFonts w:ascii="宋体" w:hAnsi="宋体" w:cs="宋体" w:eastAsia="宋体" w:hint="default"/>
          <w:spacing w:val="-19"/>
          <w:sz w:val="18"/>
          <w:szCs w:val="18"/>
        </w:rPr>
        <w:t> </w:t>
      </w:r>
      <w:r>
        <w:rPr>
          <w:rFonts w:ascii="宋体" w:hAnsi="宋体" w:cs="宋体" w:eastAsia="宋体" w:hint="default"/>
          <w:sz w:val="18"/>
          <w:szCs w:val="18"/>
        </w:rPr>
        <w:t>陈林富</w:t>
        <w:tab/>
        <w:t>会计机构负责人：陈林富</w:t>
      </w:r>
    </w:p>
    <w:p>
      <w:pPr>
        <w:spacing w:after="0"/>
        <w:jc w:val="left"/>
        <w:rPr>
          <w:rFonts w:ascii="宋体" w:hAnsi="宋体" w:cs="宋体" w:eastAsia="宋体" w:hint="default"/>
          <w:sz w:val="18"/>
          <w:szCs w:val="18"/>
        </w:rPr>
        <w:sectPr>
          <w:pgSz w:w="11910" w:h="16840"/>
          <w:pgMar w:header="0" w:footer="938" w:top="1100" w:bottom="1120" w:left="10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3"/>
        <w:spacing w:line="240" w:lineRule="auto" w:before="35"/>
        <w:ind w:left="1360" w:right="0"/>
        <w:jc w:val="left"/>
        <w:rPr>
          <w:b w:val="0"/>
          <w:bCs w:val="0"/>
        </w:rPr>
      </w:pPr>
      <w:bookmarkStart w:name="7、合并所有者权益变动表" w:id="123"/>
      <w:bookmarkEnd w:id="12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headerReference w:type="default" r:id="rId24"/>
          <w:footerReference w:type="default" r:id="rId25"/>
          <w:pgSz w:w="16840" w:h="11910" w:orient="landscape"/>
          <w:pgMar w:header="877" w:footer="938" w:top="1100" w:bottom="1120" w:left="80" w:right="0"/>
          <w:pgNumType w:start="91"/>
        </w:sectPr>
      </w:pPr>
    </w:p>
    <w:p>
      <w:pPr>
        <w:spacing w:line="278" w:lineRule="auto" w:before="44"/>
        <w:ind w:left="1360" w:right="-20"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19"/>
        <w:ind w:left="1341" w:right="1417"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880" w:bottom="760" w:left="80" w:right="0"/>
          <w:cols w:num="2" w:equalWidth="0">
            <w:col w:w="4061" w:space="9179"/>
            <w:col w:w="3520"/>
          </w:cols>
        </w:sectPr>
      </w:pP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515"/>
        <w:gridCol w:w="1338"/>
        <w:gridCol w:w="660"/>
        <w:gridCol w:w="708"/>
        <w:gridCol w:w="426"/>
        <w:gridCol w:w="1416"/>
        <w:gridCol w:w="568"/>
        <w:gridCol w:w="1276"/>
        <w:gridCol w:w="1277"/>
        <w:gridCol w:w="1274"/>
        <w:gridCol w:w="709"/>
        <w:gridCol w:w="1416"/>
        <w:gridCol w:w="1388"/>
        <w:gridCol w:w="1501"/>
      </w:tblGrid>
      <w:tr>
        <w:trPr>
          <w:trHeight w:val="324" w:hRule="exact"/>
        </w:trPr>
        <w:tc>
          <w:tcPr>
            <w:tcW w:w="2515" w:type="dxa"/>
            <w:vMerge w:val="restart"/>
            <w:tcBorders>
              <w:top w:val="single" w:sz="4" w:space="0" w:color="000000"/>
              <w:left w:val="single" w:sz="4" w:space="0" w:color="000000"/>
              <w:right w:val="single" w:sz="4" w:space="0" w:color="000000"/>
            </w:tcBorders>
            <w:shd w:val="clear" w:color="auto" w:fill="D2D2D2"/>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1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7" w:hRule="exact"/>
        </w:trPr>
        <w:tc>
          <w:tcPr>
            <w:tcW w:w="2515" w:type="dxa"/>
            <w:vMerge/>
            <w:tcBorders>
              <w:left w:val="single" w:sz="4" w:space="0" w:color="000000"/>
              <w:bottom w:val="nil" w:sz="6" w:space="0" w:color="auto"/>
              <w:right w:val="single" w:sz="4" w:space="0" w:color="000000"/>
            </w:tcBorders>
            <w:shd w:val="clear" w:color="auto" w:fill="D2D2D2"/>
          </w:tcPr>
          <w:p>
            <w:pPr/>
          </w:p>
        </w:tc>
        <w:tc>
          <w:tcPr>
            <w:tcW w:w="1338" w:type="dxa"/>
            <w:vMerge w:val="restart"/>
            <w:tcBorders>
              <w:top w:val="single" w:sz="4" w:space="0" w:color="000000"/>
              <w:left w:val="single" w:sz="4" w:space="0" w:color="000000"/>
              <w:right w:val="single" w:sz="4" w:space="0" w:color="000000"/>
            </w:tcBorders>
            <w:shd w:val="clear" w:color="auto" w:fill="D2D2D2"/>
          </w:tcPr>
          <w:p>
            <w:pPr/>
          </w:p>
        </w:tc>
        <w:tc>
          <w:tcPr>
            <w:tcW w:w="9730" w:type="dxa"/>
            <w:gridSpan w:val="10"/>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8" w:type="dxa"/>
            <w:vMerge w:val="restart"/>
            <w:tcBorders>
              <w:top w:val="single" w:sz="4" w:space="0" w:color="000000"/>
              <w:left w:val="single" w:sz="4" w:space="0" w:color="000000"/>
              <w:right w:val="single" w:sz="4" w:space="0" w:color="000000"/>
            </w:tcBorders>
            <w:shd w:val="clear" w:color="auto" w:fill="D2D2D2"/>
          </w:tcPr>
          <w:p>
            <w:pPr/>
          </w:p>
        </w:tc>
        <w:tc>
          <w:tcPr>
            <w:tcW w:w="1501" w:type="dxa"/>
            <w:vMerge w:val="restart"/>
            <w:tcBorders>
              <w:top w:val="single" w:sz="4" w:space="0" w:color="000000"/>
              <w:left w:val="single" w:sz="4" w:space="0" w:color="000000"/>
              <w:right w:val="single" w:sz="4" w:space="0" w:color="000000"/>
            </w:tcBorders>
            <w:shd w:val="clear" w:color="auto" w:fill="D2D2D2"/>
          </w:tcPr>
          <w:p>
            <w:pPr/>
          </w:p>
        </w:tc>
      </w:tr>
      <w:tr>
        <w:trPr>
          <w:trHeight w:val="157" w:hRule="exact"/>
        </w:trPr>
        <w:tc>
          <w:tcPr>
            <w:tcW w:w="25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vMerge/>
            <w:tcBorders>
              <w:left w:val="single" w:sz="4" w:space="0" w:color="000000"/>
              <w:bottom w:val="single" w:sz="4" w:space="0" w:color="000000"/>
              <w:right w:val="single" w:sz="4" w:space="0" w:color="000000"/>
            </w:tcBorders>
            <w:shd w:val="clear" w:color="auto" w:fill="D2D2D2"/>
          </w:tcPr>
          <w:p>
            <w:pPr/>
          </w:p>
        </w:tc>
        <w:tc>
          <w:tcPr>
            <w:tcW w:w="9730" w:type="dxa"/>
            <w:gridSpan w:val="10"/>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515" w:type="dxa"/>
            <w:vMerge/>
            <w:tcBorders>
              <w:left w:val="single" w:sz="4" w:space="0" w:color="000000"/>
              <w:bottom w:val="nil" w:sz="6" w:space="0" w:color="auto"/>
              <w:right w:val="single" w:sz="4" w:space="0" w:color="000000"/>
            </w:tcBorders>
            <w:shd w:val="clear" w:color="auto" w:fill="D2D2D2"/>
          </w:tcPr>
          <w:p>
            <w:pPr/>
          </w:p>
        </w:tc>
        <w:tc>
          <w:tcPr>
            <w:tcW w:w="13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left="30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38"/>
              <w:ind w:left="219"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9"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4" w:hRule="exact"/>
        </w:trPr>
        <w:tc>
          <w:tcPr>
            <w:tcW w:w="2515" w:type="dxa"/>
            <w:vMerge w:val="restart"/>
            <w:tcBorders>
              <w:top w:val="nil" w:sz="6" w:space="0" w:color="auto"/>
              <w:left w:val="single" w:sz="4" w:space="0" w:color="000000"/>
              <w:right w:val="single" w:sz="4" w:space="0" w:color="000000"/>
            </w:tcBorders>
            <w:shd w:val="clear" w:color="auto" w:fill="D2D2D2"/>
          </w:tcPr>
          <w:p>
            <w:pPr/>
          </w:p>
        </w:tc>
        <w:tc>
          <w:tcPr>
            <w:tcW w:w="1338" w:type="dxa"/>
            <w:vMerge/>
            <w:tcBorders>
              <w:left w:val="single" w:sz="4" w:space="0" w:color="000000"/>
              <w:right w:val="single" w:sz="4" w:space="0" w:color="000000"/>
            </w:tcBorders>
            <w:shd w:val="clear" w:color="auto" w:fill="D2D2D2"/>
          </w:tcPr>
          <w:p>
            <w:pPr/>
          </w:p>
        </w:tc>
        <w:tc>
          <w:tcPr>
            <w:tcW w:w="1794"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8"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515" w:type="dxa"/>
            <w:vMerge/>
            <w:tcBorders>
              <w:left w:val="single" w:sz="4" w:space="0" w:color="000000"/>
              <w:right w:val="single" w:sz="4" w:space="0" w:color="000000"/>
            </w:tcBorders>
            <w:shd w:val="clear" w:color="auto" w:fill="D2D2D2"/>
          </w:tcPr>
          <w:p>
            <w:pPr/>
          </w:p>
        </w:tc>
        <w:tc>
          <w:tcPr>
            <w:tcW w:w="1338" w:type="dxa"/>
            <w:vMerge/>
            <w:tcBorders>
              <w:left w:val="single" w:sz="4" w:space="0" w:color="000000"/>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
        </w:tc>
        <w:tc>
          <w:tcPr>
            <w:tcW w:w="150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2515" w:type="dxa"/>
            <w:vMerge/>
            <w:tcBorders>
              <w:left w:val="single" w:sz="4" w:space="0" w:color="000000"/>
              <w:bottom w:val="single" w:sz="4" w:space="0" w:color="000000"/>
              <w:right w:val="single" w:sz="4" w:space="0" w:color="000000"/>
            </w:tcBorders>
            <w:shd w:val="clear" w:color="auto" w:fill="D2D2D2"/>
          </w:tcPr>
          <w:p>
            <w:pPr/>
          </w:p>
        </w:tc>
        <w:tc>
          <w:tcPr>
            <w:tcW w:w="1338"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501"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38" w:type="dxa"/>
            <w:tcBorders>
              <w:top w:val="single" w:sz="14" w:space="0" w:color="D2D2D2"/>
              <w:left w:val="single" w:sz="9" w:space="0" w:color="D2D2D2"/>
              <w:bottom w:val="single" w:sz="4" w:space="0" w:color="000000"/>
              <w:right w:val="single" w:sz="4" w:space="0" w:color="000000"/>
            </w:tcBorders>
          </w:tcPr>
          <w:p>
            <w:pPr>
              <w:pStyle w:val="TableParagraph"/>
              <w:spacing w:line="235" w:lineRule="exact"/>
              <w:ind w:right="22"/>
              <w:jc w:val="right"/>
              <w:rPr>
                <w:rFonts w:ascii="宋体" w:hAnsi="宋体" w:cs="宋体" w:eastAsia="宋体" w:hint="default"/>
                <w:sz w:val="18"/>
                <w:szCs w:val="18"/>
              </w:rPr>
            </w:pPr>
            <w:r>
              <w:rPr>
                <w:rFonts w:ascii="宋体"/>
                <w:sz w:val="18"/>
              </w:rPr>
              <w:t>375,588,388.00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593,323,651.75</w:t>
            </w:r>
          </w:p>
        </w:tc>
        <w:tc>
          <w:tcPr>
            <w:tcW w:w="568"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9" w:right="0"/>
              <w:jc w:val="center"/>
              <w:rPr>
                <w:rFonts w:ascii="宋体" w:hAnsi="宋体" w:cs="宋体" w:eastAsia="宋体" w:hint="default"/>
                <w:sz w:val="18"/>
                <w:szCs w:val="18"/>
              </w:rPr>
            </w:pPr>
            <w:r>
              <w:rPr>
                <w:rFonts w:ascii="宋体"/>
                <w:sz w:val="18"/>
              </w:rPr>
              <w:t>1,076,230.50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 w:right="0"/>
              <w:jc w:val="center"/>
              <w:rPr>
                <w:rFonts w:ascii="宋体" w:hAnsi="宋体" w:cs="宋体" w:eastAsia="宋体" w:hint="default"/>
                <w:sz w:val="18"/>
                <w:szCs w:val="18"/>
              </w:rPr>
            </w:pPr>
            <w:r>
              <w:rPr>
                <w:rFonts w:ascii="宋体"/>
                <w:sz w:val="18"/>
              </w:rPr>
              <w:t>80,239,457.81</w:t>
            </w:r>
          </w:p>
        </w:tc>
        <w:tc>
          <w:tcPr>
            <w:tcW w:w="709" w:type="dxa"/>
            <w:tcBorders>
              <w:top w:val="single" w:sz="22" w:space="0" w:color="D2D2D2"/>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461,337,026.99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43,802,569.32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1,556,097,300.85</w:t>
            </w:r>
          </w:p>
        </w:tc>
      </w:tr>
      <w:tr>
        <w:trPr>
          <w:trHeight w:val="323"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375,588,388.00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593,323,651.75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9" w:right="0"/>
              <w:jc w:val="center"/>
              <w:rPr>
                <w:rFonts w:ascii="宋体" w:hAnsi="宋体" w:cs="宋体" w:eastAsia="宋体" w:hint="default"/>
                <w:sz w:val="18"/>
                <w:szCs w:val="18"/>
              </w:rPr>
            </w:pPr>
            <w:r>
              <w:rPr>
                <w:rFonts w:ascii="宋体"/>
                <w:sz w:val="18"/>
              </w:rPr>
              <w:t>1,076,230.50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80,239,457.81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461,337,026.99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43,802,569.32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1,556,097,300.85</w:t>
            </w:r>
          </w:p>
        </w:tc>
      </w:tr>
      <w:tr>
        <w:trPr>
          <w:trHeight w:val="558"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62"/>
              <w:jc w:val="left"/>
              <w:rPr>
                <w:rFonts w:ascii="宋体" w:hAnsi="宋体" w:cs="宋体" w:eastAsia="宋体" w:hint="default"/>
                <w:sz w:val="18"/>
                <w:szCs w:val="18"/>
              </w:rPr>
            </w:pPr>
            <w:r>
              <w:rPr>
                <w:rFonts w:ascii="宋体" w:hAnsi="宋体" w:cs="宋体" w:eastAsia="宋体" w:hint="default"/>
                <w:sz w:val="18"/>
                <w:szCs w:val="18"/>
              </w:rPr>
              <w:t>三、本期增减变动金额</w:t>
            </w:r>
            <w:r>
              <w:rPr>
                <w:rFonts w:ascii="宋体" w:hAnsi="宋体" w:cs="宋体" w:eastAsia="宋体" w:hint="default"/>
                <w:sz w:val="18"/>
                <w:szCs w:val="18"/>
              </w:rPr>
              <w:t>(</w:t>
            </w:r>
            <w:r>
              <w:rPr>
                <w:rFonts w:ascii="宋体" w:hAnsi="宋体" w:cs="宋体" w:eastAsia="宋体" w:hint="default"/>
                <w:sz w:val="18"/>
                <w:szCs w:val="18"/>
              </w:rPr>
              <w:t>减少以 “－”号填列</w:t>
            </w:r>
            <w:r>
              <w:rPr>
                <w:rFonts w:ascii="宋体" w:hAnsi="宋体" w:cs="宋体" w:eastAsia="宋体" w:hint="default"/>
                <w:sz w:val="18"/>
                <w:szCs w:val="18"/>
              </w:rPr>
              <w:t>)</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15,836,062.00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316,729,510.94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center"/>
              <w:rPr>
                <w:rFonts w:ascii="宋体" w:hAnsi="宋体" w:cs="宋体" w:eastAsia="宋体" w:hint="default"/>
                <w:sz w:val="18"/>
                <w:szCs w:val="18"/>
              </w:rPr>
            </w:pPr>
            <w:r>
              <w:rPr>
                <w:rFonts w:ascii="宋体"/>
                <w:sz w:val="18"/>
              </w:rPr>
              <w:t>-2,748,888.89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345,111.01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center"/>
              <w:rPr>
                <w:rFonts w:ascii="宋体" w:hAnsi="宋体" w:cs="宋体" w:eastAsia="宋体" w:hint="default"/>
                <w:sz w:val="18"/>
                <w:szCs w:val="18"/>
              </w:rPr>
            </w:pPr>
            <w:r>
              <w:rPr>
                <w:rFonts w:ascii="宋体"/>
                <w:sz w:val="18"/>
              </w:rPr>
              <w:t>15,856,681.63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145,422,634.57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36,549,587.64</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527,990,698.90</w:t>
            </w:r>
          </w:p>
        </w:tc>
      </w:tr>
      <w:tr>
        <w:trPr>
          <w:trHeight w:val="323"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综合收益总额</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-2,748,888.89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179,916,115.75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33,033,336.49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210,200,563.35</w:t>
            </w:r>
          </w:p>
        </w:tc>
      </w:tr>
      <w:tr>
        <w:trPr>
          <w:trHeight w:val="324"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所有者投入和减少资本</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15,836,062.00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316,729,510.94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3,516,251.15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336,081,824.09</w:t>
            </w:r>
          </w:p>
        </w:tc>
      </w:tr>
      <w:tr>
        <w:trPr>
          <w:trHeight w:val="323"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15,836,062.00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316,729,510.94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332,565,572.94</w:t>
            </w:r>
          </w:p>
        </w:tc>
      </w:tr>
      <w:tr>
        <w:trPr>
          <w:trHeight w:val="557"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6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 本</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6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 金额</w:t>
            </w:r>
          </w:p>
        </w:tc>
        <w:tc>
          <w:tcPr>
            <w:tcW w:w="1338"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880" w:bottom="760" w:left="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526"/>
        <w:gridCol w:w="1326"/>
        <w:gridCol w:w="660"/>
        <w:gridCol w:w="708"/>
        <w:gridCol w:w="426"/>
        <w:gridCol w:w="1416"/>
        <w:gridCol w:w="568"/>
        <w:gridCol w:w="1276"/>
        <w:gridCol w:w="1277"/>
        <w:gridCol w:w="1274"/>
        <w:gridCol w:w="709"/>
        <w:gridCol w:w="1416"/>
        <w:gridCol w:w="1388"/>
        <w:gridCol w:w="1501"/>
      </w:tblGrid>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3,516,251.15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3,516,251.15</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利润分配</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15,856,681.63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-34,493,481.18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-18,636,799.55</w:t>
            </w: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15,856,681.63</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-15,856,681.63</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-18,636,799.55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-18,636,799.55</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z w:val="18"/>
                <w:szCs w:val="18"/>
              </w:rPr>
              <w:t>所有者权益内部结转</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345,111.01</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345,111.01</w:t>
            </w: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8,113,062.20</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8,113,062.20</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7,767,951.19</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7,767,951.19</w:t>
            </w: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 </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left"/>
              <w:rPr>
                <w:rFonts w:ascii="宋体" w:hAnsi="宋体" w:cs="宋体" w:eastAsia="宋体" w:hint="default"/>
                <w:sz w:val="18"/>
                <w:szCs w:val="18"/>
              </w:rPr>
            </w:pPr>
            <w:r>
              <w:rPr>
                <w:rFonts w:ascii="宋体"/>
                <w:sz w:val="18"/>
              </w:rPr>
              <w:t>391,424,450.00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3" w:right="0"/>
              <w:jc w:val="left"/>
              <w:rPr>
                <w:rFonts w:ascii="宋体" w:hAnsi="宋体" w:cs="宋体" w:eastAsia="宋体" w:hint="default"/>
                <w:sz w:val="18"/>
                <w:szCs w:val="18"/>
              </w:rPr>
            </w:pPr>
            <w:r>
              <w:rPr>
                <w:rFonts w:ascii="宋体"/>
                <w:sz w:val="18"/>
              </w:rPr>
              <w:t>910,053,162.69</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3" w:right="0"/>
              <w:jc w:val="left"/>
              <w:rPr>
                <w:rFonts w:ascii="宋体" w:hAnsi="宋体" w:cs="宋体" w:eastAsia="宋体" w:hint="default"/>
                <w:sz w:val="18"/>
                <w:szCs w:val="18"/>
              </w:rPr>
            </w:pPr>
            <w:r>
              <w:rPr>
                <w:rFonts w:ascii="宋体"/>
                <w:sz w:val="18"/>
              </w:rPr>
              <w:t>-1,672,658.39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1,075,087.49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 w:right="0"/>
              <w:jc w:val="center"/>
              <w:rPr>
                <w:rFonts w:ascii="宋体" w:hAnsi="宋体" w:cs="宋体" w:eastAsia="宋体" w:hint="default"/>
                <w:sz w:val="18"/>
                <w:szCs w:val="18"/>
              </w:rPr>
            </w:pPr>
            <w:r>
              <w:rPr>
                <w:rFonts w:ascii="宋体"/>
                <w:sz w:val="18"/>
              </w:rPr>
              <w:t>96,096,139.44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606,759,661.56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80,352,156.96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2,084,087,999.75</w:t>
            </w:r>
          </w:p>
        </w:tc>
      </w:tr>
    </w:tbl>
    <w:p>
      <w:pPr>
        <w:spacing w:before="10"/>
        <w:ind w:left="136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3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526"/>
        <w:gridCol w:w="1326"/>
        <w:gridCol w:w="660"/>
        <w:gridCol w:w="708"/>
        <w:gridCol w:w="426"/>
        <w:gridCol w:w="1416"/>
        <w:gridCol w:w="568"/>
        <w:gridCol w:w="1276"/>
        <w:gridCol w:w="1277"/>
        <w:gridCol w:w="1274"/>
        <w:gridCol w:w="709"/>
        <w:gridCol w:w="1416"/>
        <w:gridCol w:w="1388"/>
        <w:gridCol w:w="1501"/>
      </w:tblGrid>
      <w:tr>
        <w:trPr>
          <w:trHeight w:val="323" w:hRule="exact"/>
        </w:trPr>
        <w:tc>
          <w:tcPr>
            <w:tcW w:w="2526" w:type="dxa"/>
            <w:vMerge w:val="restart"/>
            <w:tcBorders>
              <w:top w:val="single" w:sz="4" w:space="0" w:color="000000"/>
              <w:left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1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7" w:hRule="exact"/>
        </w:trPr>
        <w:tc>
          <w:tcPr>
            <w:tcW w:w="2526"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4" w:space="0" w:color="000000"/>
              <w:right w:val="single" w:sz="4" w:space="0" w:color="000000"/>
            </w:tcBorders>
            <w:shd w:val="clear" w:color="auto" w:fill="D2D2D2"/>
          </w:tcPr>
          <w:p>
            <w:pPr/>
          </w:p>
        </w:tc>
        <w:tc>
          <w:tcPr>
            <w:tcW w:w="9730" w:type="dxa"/>
            <w:gridSpan w:val="10"/>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8" w:type="dxa"/>
            <w:vMerge w:val="restart"/>
            <w:tcBorders>
              <w:top w:val="single" w:sz="4" w:space="0" w:color="000000"/>
              <w:left w:val="single" w:sz="4" w:space="0" w:color="000000"/>
              <w:right w:val="single" w:sz="4" w:space="0" w:color="000000"/>
            </w:tcBorders>
            <w:shd w:val="clear" w:color="auto" w:fill="D2D2D2"/>
          </w:tcPr>
          <w:p>
            <w:pPr/>
          </w:p>
        </w:tc>
        <w:tc>
          <w:tcPr>
            <w:tcW w:w="1501" w:type="dxa"/>
            <w:vMerge w:val="restart"/>
            <w:tcBorders>
              <w:top w:val="single" w:sz="4" w:space="0" w:color="000000"/>
              <w:left w:val="single" w:sz="4" w:space="0" w:color="000000"/>
              <w:right w:val="single" w:sz="4" w:space="0" w:color="000000"/>
            </w:tcBorders>
            <w:shd w:val="clear" w:color="auto" w:fill="D2D2D2"/>
          </w:tcPr>
          <w:p>
            <w:pPr/>
          </w:p>
        </w:tc>
      </w:tr>
      <w:tr>
        <w:trPr>
          <w:trHeight w:val="157" w:hRule="exact"/>
        </w:trPr>
        <w:tc>
          <w:tcPr>
            <w:tcW w:w="25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1326" w:type="dxa"/>
            <w:vMerge/>
            <w:tcBorders>
              <w:left w:val="single" w:sz="4" w:space="0" w:color="000000"/>
              <w:bottom w:val="single" w:sz="4" w:space="0" w:color="000000"/>
              <w:right w:val="single" w:sz="4" w:space="0" w:color="000000"/>
            </w:tcBorders>
            <w:shd w:val="clear" w:color="auto" w:fill="D2D2D2"/>
          </w:tcPr>
          <w:p>
            <w:pPr/>
          </w:p>
        </w:tc>
        <w:tc>
          <w:tcPr>
            <w:tcW w:w="9730" w:type="dxa"/>
            <w:gridSpan w:val="10"/>
            <w:vMerge/>
            <w:tcBorders>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526" w:type="dxa"/>
            <w:vMerge/>
            <w:tcBorders>
              <w:left w:val="single" w:sz="4" w:space="0" w:color="000000"/>
              <w:bottom w:val="nil" w:sz="6" w:space="0" w:color="auto"/>
              <w:right w:val="single" w:sz="4" w:space="0" w:color="000000"/>
            </w:tcBorders>
            <w:shd w:val="clear" w:color="auto" w:fill="D2D2D2"/>
          </w:tcPr>
          <w:p>
            <w:pP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6"/>
              <w:ind w:left="29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37"/>
              <w:ind w:left="20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7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9"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4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53" w:hRule="exact"/>
        </w:trPr>
        <w:tc>
          <w:tcPr>
            <w:tcW w:w="2526" w:type="dxa"/>
            <w:vMerge w:val="restart"/>
            <w:tcBorders>
              <w:top w:val="nil" w:sz="6" w:space="0" w:color="auto"/>
              <w:left w:val="single" w:sz="4" w:space="0" w:color="000000"/>
              <w:right w:val="single" w:sz="4" w:space="0" w:color="000000"/>
            </w:tcBorders>
            <w:shd w:val="clear" w:color="auto" w:fill="D2D2D2"/>
          </w:tcPr>
          <w:p>
            <w:pPr/>
          </w:p>
        </w:tc>
        <w:tc>
          <w:tcPr>
            <w:tcW w:w="1326" w:type="dxa"/>
            <w:vMerge/>
            <w:tcBorders>
              <w:left w:val="single" w:sz="4" w:space="0" w:color="000000"/>
              <w:right w:val="single" w:sz="4" w:space="0" w:color="000000"/>
            </w:tcBorders>
            <w:shd w:val="clear" w:color="auto" w:fill="D2D2D2"/>
          </w:tcPr>
          <w:p>
            <w:pPr/>
          </w:p>
        </w:tc>
        <w:tc>
          <w:tcPr>
            <w:tcW w:w="1794" w:type="dxa"/>
            <w:gridSpan w:val="3"/>
            <w:vMerge/>
            <w:tcBorders>
              <w:left w:val="single" w:sz="4" w:space="0" w:color="000000"/>
              <w:bottom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8" w:type="dxa"/>
            <w:vMerge/>
            <w:tcBorders>
              <w:left w:val="single" w:sz="4" w:space="0" w:color="000000"/>
              <w:bottom w:val="nil" w:sz="6" w:space="0" w:color="auto"/>
              <w:right w:val="single" w:sz="4" w:space="0" w:color="000000"/>
            </w:tcBorders>
            <w:shd w:val="clear" w:color="auto" w:fill="D2D2D2"/>
          </w:tcPr>
          <w:p>
            <w:pPr/>
          </w:p>
        </w:tc>
        <w:tc>
          <w:tcPr>
            <w:tcW w:w="1501"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526" w:type="dxa"/>
            <w:vMerge/>
            <w:tcBorders>
              <w:left w:val="single" w:sz="4" w:space="0" w:color="000000"/>
              <w:right w:val="single" w:sz="4" w:space="0" w:color="000000"/>
            </w:tcBorders>
            <w:shd w:val="clear" w:color="auto" w:fill="D2D2D2"/>
          </w:tcPr>
          <w:p>
            <w:pPr/>
          </w:p>
        </w:tc>
        <w:tc>
          <w:tcPr>
            <w:tcW w:w="1326" w:type="dxa"/>
            <w:vMerge/>
            <w:tcBorders>
              <w:left w:val="single" w:sz="4" w:space="0" w:color="000000"/>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1388" w:type="dxa"/>
            <w:vMerge w:val="restart"/>
            <w:tcBorders>
              <w:top w:val="nil" w:sz="6" w:space="0" w:color="auto"/>
              <w:left w:val="single" w:sz="4" w:space="0" w:color="000000"/>
              <w:right w:val="single" w:sz="4" w:space="0" w:color="000000"/>
            </w:tcBorders>
            <w:shd w:val="clear" w:color="auto" w:fill="D2D2D2"/>
          </w:tcPr>
          <w:p>
            <w:pPr/>
          </w:p>
        </w:tc>
        <w:tc>
          <w:tcPr>
            <w:tcW w:w="1501" w:type="dxa"/>
            <w:vMerge w:val="restart"/>
            <w:tcBorders>
              <w:top w:val="nil" w:sz="6" w:space="0" w:color="auto"/>
              <w:left w:val="single" w:sz="4" w:space="0" w:color="000000"/>
              <w:right w:val="single" w:sz="4" w:space="0" w:color="000000"/>
            </w:tcBorders>
            <w:shd w:val="clear" w:color="auto" w:fill="D2D2D2"/>
          </w:tcPr>
          <w:p>
            <w:pPr/>
          </w:p>
        </w:tc>
      </w:tr>
      <w:tr>
        <w:trPr>
          <w:trHeight w:val="167"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8" w:type="dxa"/>
            <w:vMerge/>
            <w:tcBorders>
              <w:left w:val="single" w:sz="4" w:space="0" w:color="000000"/>
              <w:bottom w:val="single" w:sz="4" w:space="0" w:color="000000"/>
              <w:right w:val="single" w:sz="4" w:space="0" w:color="000000"/>
            </w:tcBorders>
            <w:shd w:val="clear" w:color="auto" w:fill="D2D2D2"/>
          </w:tcPr>
          <w:p>
            <w:pPr/>
          </w:p>
        </w:tc>
        <w:tc>
          <w:tcPr>
            <w:tcW w:w="1501"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6" w:type="dxa"/>
            <w:tcBorders>
              <w:top w:val="single" w:sz="10" w:space="0" w:color="D2D2D2"/>
              <w:left w:val="single" w:sz="9" w:space="0" w:color="D2D2D2"/>
              <w:bottom w:val="single" w:sz="4" w:space="0" w:color="000000"/>
              <w:right w:val="single" w:sz="4" w:space="0" w:color="000000"/>
            </w:tcBorders>
          </w:tcPr>
          <w:p>
            <w:pPr>
              <w:pStyle w:val="TableParagraph"/>
              <w:spacing w:line="240" w:lineRule="auto" w:before="2"/>
              <w:ind w:left="25" w:right="0"/>
              <w:jc w:val="left"/>
              <w:rPr>
                <w:rFonts w:ascii="宋体" w:hAnsi="宋体" w:cs="宋体" w:eastAsia="宋体" w:hint="default"/>
                <w:sz w:val="18"/>
                <w:szCs w:val="18"/>
              </w:rPr>
            </w:pPr>
            <w:r>
              <w:rPr>
                <w:rFonts w:ascii="宋体"/>
                <w:sz w:val="18"/>
              </w:rPr>
              <w:t>319,644,353.00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249,352,984.90</w:t>
            </w:r>
          </w:p>
        </w:tc>
        <w:tc>
          <w:tcPr>
            <w:tcW w:w="568" w:type="dxa"/>
            <w:tcBorders>
              <w:top w:val="single" w:sz="2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 w:right="0"/>
              <w:jc w:val="center"/>
              <w:rPr>
                <w:rFonts w:ascii="宋体" w:hAnsi="宋体" w:cs="宋体" w:eastAsia="宋体" w:hint="default"/>
                <w:sz w:val="18"/>
                <w:szCs w:val="18"/>
              </w:rPr>
            </w:pPr>
            <w:r>
              <w:rPr>
                <w:rFonts w:ascii="宋体"/>
                <w:sz w:val="18"/>
              </w:rPr>
              <w:t>-1,148,080.28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68,454,589.94</w:t>
            </w:r>
          </w:p>
        </w:tc>
        <w:tc>
          <w:tcPr>
            <w:tcW w:w="709" w:type="dxa"/>
            <w:tcBorders>
              <w:top w:val="single" w:sz="22" w:space="0" w:color="D2D2D2"/>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sz w:val="18"/>
              </w:rPr>
              <w:t>426,649,684.68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宋体"/>
                <w:sz w:val="18"/>
              </w:rPr>
              <w:t>47,152,295.69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1,110,105,827.93</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0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6"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-2,425,511.70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2,425,511.70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0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26" w:type="dxa"/>
            <w:tcBorders>
              <w:top w:val="single" w:sz="4" w:space="0" w:color="000000"/>
              <w:left w:val="single" w:sz="9" w:space="0" w:color="D2D2D2"/>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38" w:top="1100" w:bottom="1120" w:left="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2526"/>
        <w:gridCol w:w="1326"/>
        <w:gridCol w:w="660"/>
        <w:gridCol w:w="708"/>
        <w:gridCol w:w="426"/>
        <w:gridCol w:w="1416"/>
        <w:gridCol w:w="568"/>
        <w:gridCol w:w="1276"/>
        <w:gridCol w:w="1277"/>
        <w:gridCol w:w="1274"/>
        <w:gridCol w:w="709"/>
        <w:gridCol w:w="1416"/>
        <w:gridCol w:w="1388"/>
        <w:gridCol w:w="1501"/>
      </w:tblGrid>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319,644,353.00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246,927,473.20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1,277,431.42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68,454,589.94</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426,649,684.68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47,152,295.69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1,110,105,827.93</w:t>
            </w:r>
          </w:p>
        </w:tc>
      </w:tr>
      <w:tr>
        <w:trPr>
          <w:trHeight w:val="5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72"/>
              <w:jc w:val="left"/>
              <w:rPr>
                <w:rFonts w:ascii="宋体" w:hAnsi="宋体" w:cs="宋体" w:eastAsia="宋体" w:hint="default"/>
                <w:sz w:val="18"/>
                <w:szCs w:val="18"/>
              </w:rPr>
            </w:pPr>
            <w:r>
              <w:rPr>
                <w:rFonts w:ascii="宋体" w:hAnsi="宋体" w:cs="宋体" w:eastAsia="宋体" w:hint="default"/>
                <w:sz w:val="18"/>
                <w:szCs w:val="18"/>
              </w:rPr>
              <w:t>三、本期增减变动金额</w:t>
            </w:r>
            <w:r>
              <w:rPr>
                <w:rFonts w:ascii="宋体" w:hAnsi="宋体" w:cs="宋体" w:eastAsia="宋体" w:hint="default"/>
                <w:sz w:val="18"/>
                <w:szCs w:val="18"/>
              </w:rPr>
              <w:t>(</w:t>
            </w:r>
            <w:r>
              <w:rPr>
                <w:rFonts w:ascii="宋体" w:hAnsi="宋体" w:cs="宋体" w:eastAsia="宋体" w:hint="default"/>
                <w:sz w:val="18"/>
                <w:szCs w:val="18"/>
              </w:rPr>
              <w:t>减少以 “－”号填列</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55,944,035.00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346,396,178.55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
              <w:jc w:val="right"/>
              <w:rPr>
                <w:rFonts w:ascii="宋体" w:hAnsi="宋体" w:cs="宋体" w:eastAsia="宋体" w:hint="default"/>
                <w:sz w:val="18"/>
                <w:szCs w:val="18"/>
              </w:rPr>
            </w:pPr>
            <w:r>
              <w:rPr>
                <w:rFonts w:ascii="宋体"/>
                <w:sz w:val="18"/>
              </w:rPr>
              <w:t>-201,200.92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center"/>
              <w:rPr>
                <w:rFonts w:ascii="宋体" w:hAnsi="宋体" w:cs="宋体" w:eastAsia="宋体" w:hint="default"/>
                <w:sz w:val="18"/>
                <w:szCs w:val="18"/>
              </w:rPr>
            </w:pPr>
            <w:r>
              <w:rPr>
                <w:rFonts w:ascii="宋体"/>
                <w:sz w:val="18"/>
              </w:rPr>
              <w:t>11,784,867.87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34,687,342.31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-3,349,726.37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445,991,472.92</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r>
              <w:rPr>
                <w:rFonts w:ascii="宋体" w:hAnsi="宋体" w:cs="宋体" w:eastAsia="宋体" w:hint="default"/>
                <w:sz w:val="18"/>
                <w:szCs w:val="18"/>
              </w:rPr>
              <w:t>综合收益总额</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-201,200.92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55,990,125.47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-3,460,318.56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52,328,605.99</w:t>
            </w: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 </w:t>
            </w:r>
            <w:r>
              <w:rPr>
                <w:rFonts w:ascii="宋体" w:hAnsi="宋体" w:cs="宋体" w:eastAsia="宋体" w:hint="default"/>
                <w:sz w:val="18"/>
                <w:szCs w:val="18"/>
              </w:rPr>
              <w:t>所有者投入和减少资本</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55,944,035.00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346,396,178.55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110,592.19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402,450,805.74</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55,944,035.00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347,227,529.94</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-720,759.20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402,450,805.74</w:t>
            </w:r>
          </w:p>
        </w:tc>
      </w:tr>
      <w:tr>
        <w:trPr>
          <w:trHeight w:val="5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7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 本</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7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 金额</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-831,351.39</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831,351.39</w:t>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 </w:t>
            </w:r>
            <w:r>
              <w:rPr>
                <w:rFonts w:ascii="宋体" w:hAnsi="宋体" w:cs="宋体" w:eastAsia="宋体" w:hint="default"/>
                <w:sz w:val="18"/>
                <w:szCs w:val="18"/>
              </w:rPr>
              <w:t>利润分配</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 w:right="0"/>
              <w:jc w:val="center"/>
              <w:rPr>
                <w:rFonts w:ascii="宋体" w:hAnsi="宋体" w:cs="宋体" w:eastAsia="宋体" w:hint="default"/>
                <w:sz w:val="18"/>
                <w:szCs w:val="18"/>
              </w:rPr>
            </w:pPr>
            <w:r>
              <w:rPr>
                <w:rFonts w:ascii="宋体"/>
                <w:sz w:val="18"/>
              </w:rPr>
              <w:t>11,784,867.87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-21,302,783.16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-9,517,915.29</w:t>
            </w: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 w:right="0"/>
              <w:jc w:val="center"/>
              <w:rPr>
                <w:rFonts w:ascii="宋体" w:hAnsi="宋体" w:cs="宋体" w:eastAsia="宋体" w:hint="default"/>
                <w:sz w:val="18"/>
                <w:szCs w:val="18"/>
              </w:rPr>
            </w:pPr>
            <w:r>
              <w:rPr>
                <w:rFonts w:ascii="宋体"/>
                <w:sz w:val="18"/>
              </w:rPr>
              <w:t>11,784,867.87</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-11,784,867.87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w:t>
            </w:r>
            <w:r>
              <w:rPr>
                <w:rFonts w:ascii="宋体" w:hAnsi="宋体" w:cs="宋体" w:eastAsia="宋体" w:hint="default"/>
                <w:sz w:val="18"/>
                <w:szCs w:val="18"/>
              </w:rPr>
              <w:t>的分配</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-9,517,915.29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-9,517,915.29</w:t>
            </w: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z w:val="18"/>
                <w:szCs w:val="18"/>
              </w:rPr>
              <w:t>所有者权益内部结转</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 </w:t>
            </w:r>
            <w:r>
              <w:rPr>
                <w:rFonts w:ascii="宋体" w:hAnsi="宋体" w:cs="宋体" w:eastAsia="宋体" w:hint="default"/>
                <w:sz w:val="18"/>
                <w:szCs w:val="18"/>
              </w:rPr>
              <w:t>专项储备</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729,976.48</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8,048,121.95</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8,048,121.95</w:t>
            </w: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7,318,145.47</w:t>
            </w: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7,318,145.47</w:t>
            </w:r>
          </w:p>
        </w:tc>
      </w:tr>
    </w:tbl>
    <w:p>
      <w:pPr>
        <w:spacing w:after="0" w:line="240" w:lineRule="auto"/>
        <w:jc w:val="right"/>
        <w:rPr>
          <w:rFonts w:ascii="宋体" w:hAnsi="宋体" w:cs="宋体" w:eastAsia="宋体" w:hint="default"/>
          <w:sz w:val="18"/>
          <w:szCs w:val="18"/>
        </w:rPr>
        <w:sectPr>
          <w:pgSz w:w="16840" w:h="11910" w:orient="landscape"/>
          <w:pgMar w:header="877" w:footer="938" w:top="1100" w:bottom="1120" w:left="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526"/>
        <w:gridCol w:w="1326"/>
        <w:gridCol w:w="660"/>
        <w:gridCol w:w="708"/>
        <w:gridCol w:w="426"/>
        <w:gridCol w:w="1416"/>
        <w:gridCol w:w="568"/>
        <w:gridCol w:w="1276"/>
        <w:gridCol w:w="1277"/>
        <w:gridCol w:w="1274"/>
        <w:gridCol w:w="709"/>
        <w:gridCol w:w="1416"/>
        <w:gridCol w:w="1388"/>
        <w:gridCol w:w="1501"/>
      </w:tblGrid>
      <w:tr>
        <w:trPr>
          <w:trHeight w:val="32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 </w:t>
            </w:r>
            <w:r>
              <w:rPr>
                <w:rFonts w:ascii="宋体" w:hAnsi="宋体" w:cs="宋体" w:eastAsia="宋体" w:hint="default"/>
                <w:sz w:val="18"/>
                <w:szCs w:val="18"/>
              </w:rPr>
              <w:t>其他</w:t>
            </w:r>
          </w:p>
        </w:tc>
        <w:tc>
          <w:tcPr>
            <w:tcW w:w="132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left"/>
              <w:rPr>
                <w:rFonts w:ascii="宋体" w:hAnsi="宋体" w:cs="宋体" w:eastAsia="宋体" w:hint="default"/>
                <w:sz w:val="18"/>
                <w:szCs w:val="18"/>
              </w:rPr>
            </w:pPr>
            <w:r>
              <w:rPr>
                <w:rFonts w:ascii="宋体"/>
                <w:sz w:val="18"/>
              </w:rPr>
              <w:t>375,588,388.00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sz w:val="18"/>
              </w:rPr>
              <w:t>593,323,651.75</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3" w:right="0"/>
              <w:jc w:val="left"/>
              <w:rPr>
                <w:rFonts w:ascii="宋体" w:hAnsi="宋体" w:cs="宋体" w:eastAsia="宋体" w:hint="default"/>
                <w:sz w:val="18"/>
                <w:szCs w:val="18"/>
              </w:rPr>
            </w:pPr>
            <w:r>
              <w:rPr>
                <w:rFonts w:ascii="宋体"/>
                <w:sz w:val="18"/>
              </w:rPr>
              <w:t>1,076,230.50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sz w:val="18"/>
              </w:rPr>
              <w:t>729,976.48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宋体"/>
                <w:sz w:val="18"/>
              </w:rPr>
              <w:t>80,239,457.81</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sz w:val="18"/>
              </w:rPr>
              <w:t>461,337,026.99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3" w:right="0"/>
              <w:jc w:val="left"/>
              <w:rPr>
                <w:rFonts w:ascii="宋体" w:hAnsi="宋体" w:cs="宋体" w:eastAsia="宋体" w:hint="default"/>
                <w:sz w:val="18"/>
                <w:szCs w:val="18"/>
              </w:rPr>
            </w:pPr>
            <w:r>
              <w:rPr>
                <w:rFonts w:ascii="宋体"/>
                <w:sz w:val="18"/>
              </w:rPr>
              <w:t>43,802,569.32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1,556,097,300.85</w:t>
            </w:r>
          </w:p>
        </w:tc>
      </w:tr>
    </w:tbl>
    <w:p>
      <w:pPr>
        <w:spacing w:line="240" w:lineRule="auto" w:before="7"/>
        <w:rPr>
          <w:rFonts w:ascii="Times New Roman" w:hAnsi="Times New Roman" w:cs="Times New Roman" w:eastAsia="Times New Roman" w:hint="default"/>
          <w:sz w:val="19"/>
          <w:szCs w:val="19"/>
        </w:rPr>
      </w:pPr>
    </w:p>
    <w:p>
      <w:pPr>
        <w:tabs>
          <w:tab w:pos="6960" w:val="left" w:leader="none"/>
          <w:tab w:pos="11820" w:val="left" w:leader="none"/>
        </w:tabs>
        <w:spacing w:before="44"/>
        <w:ind w:left="1380"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line="240" w:lineRule="auto" w:before="6"/>
        <w:rPr>
          <w:rFonts w:ascii="宋体" w:hAnsi="宋体" w:cs="宋体" w:eastAsia="宋体" w:hint="default"/>
          <w:sz w:val="22"/>
          <w:szCs w:val="22"/>
        </w:rPr>
      </w:pPr>
    </w:p>
    <w:p>
      <w:pPr>
        <w:pStyle w:val="Heading3"/>
        <w:spacing w:line="240" w:lineRule="auto"/>
        <w:ind w:left="1380" w:right="0"/>
        <w:jc w:val="left"/>
        <w:rPr>
          <w:b w:val="0"/>
          <w:bCs w:val="0"/>
        </w:rPr>
      </w:pPr>
      <w:bookmarkStart w:name="8、母公司所有者权益变动表" w:id="124"/>
      <w:bookmarkEnd w:id="12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6840" w:h="11910" w:orient="landscape"/>
          <w:pgMar w:header="877" w:footer="938" w:top="1100" w:bottom="1120" w:left="60" w:right="0"/>
        </w:sectPr>
      </w:pPr>
    </w:p>
    <w:p>
      <w:pPr>
        <w:spacing w:line="278" w:lineRule="auto" w:before="44"/>
        <w:ind w:left="1380" w:right="-20" w:firstLine="0"/>
        <w:jc w:val="left"/>
        <w:rPr>
          <w:rFonts w:ascii="宋体" w:hAnsi="宋体" w:cs="宋体" w:eastAsia="宋体" w:hint="default"/>
          <w:sz w:val="18"/>
          <w:szCs w:val="18"/>
        </w:rPr>
      </w:pPr>
      <w:r>
        <w:rPr>
          <w:rFonts w:ascii="宋体" w:hAnsi="宋体" w:cs="宋体" w:eastAsia="宋体" w:hint="default"/>
          <w:sz w:val="18"/>
          <w:szCs w:val="18"/>
        </w:rPr>
        <w:t>编制单位：利欧集团股份有限公司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1361" w:right="1777"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880" w:bottom="760" w:left="60" w:right="0"/>
          <w:cols w:num="2" w:equalWidth="0">
            <w:col w:w="4081" w:space="8799"/>
            <w:col w:w="3900"/>
          </w:cols>
        </w:sectPr>
      </w:pP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528"/>
        <w:gridCol w:w="1430"/>
        <w:gridCol w:w="708"/>
        <w:gridCol w:w="709"/>
        <w:gridCol w:w="425"/>
        <w:gridCol w:w="1418"/>
        <w:gridCol w:w="1276"/>
        <w:gridCol w:w="1842"/>
        <w:gridCol w:w="1276"/>
        <w:gridCol w:w="1702"/>
        <w:gridCol w:w="1419"/>
        <w:gridCol w:w="1700"/>
      </w:tblGrid>
      <w:tr>
        <w:trPr>
          <w:trHeight w:val="324" w:hRule="exact"/>
        </w:trPr>
        <w:tc>
          <w:tcPr>
            <w:tcW w:w="2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0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7" w:hRule="exact"/>
        </w:trPr>
        <w:tc>
          <w:tcPr>
            <w:tcW w:w="2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36" w:right="72" w:hanging="451"/>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528"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2" w:hRule="exact"/>
        </w:trPr>
        <w:tc>
          <w:tcPr>
            <w:tcW w:w="2528"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22" w:space="0" w:color="D2D2D2"/>
              <w:left w:val="single" w:sz="9" w:space="0" w:color="D2D2D2"/>
              <w:bottom w:val="single" w:sz="4" w:space="0" w:color="000000"/>
              <w:right w:val="single" w:sz="4" w:space="0" w:color="000000"/>
            </w:tcBorders>
          </w:tcPr>
          <w:p>
            <w:pPr>
              <w:pStyle w:val="TableParagraph"/>
              <w:spacing w:line="223" w:lineRule="exact"/>
              <w:ind w:right="20"/>
              <w:jc w:val="right"/>
              <w:rPr>
                <w:rFonts w:ascii="宋体" w:hAnsi="宋体" w:cs="宋体" w:eastAsia="宋体" w:hint="default"/>
                <w:sz w:val="18"/>
                <w:szCs w:val="18"/>
              </w:rPr>
            </w:pPr>
            <w:r>
              <w:rPr>
                <w:rFonts w:ascii="宋体"/>
                <w:sz w:val="18"/>
              </w:rPr>
              <w:t>375,588,388.00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597,100,015.93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80,239,457.81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562,301,266.52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1,618,049,699.19</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375,588,388.00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597,100,015.93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80,239,457.81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562,301,266.52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1,618,049,699.19</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9"/>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三、本期增减变动金额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减少以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15,836,062.00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316,729,510.94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15,856,681.63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124,073,335.13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469,675,018.77</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综合收益总额</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158,566,816.31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155,746,245.38</w:t>
            </w: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所有者投入和减少资本</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15,836,062.00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316,729,510.94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332,565,572.94</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15,836,062.00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316,729,510.94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332,565,572.94</w:t>
            </w: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金额</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880" w:bottom="760" w:left="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551"/>
        <w:gridCol w:w="1419"/>
        <w:gridCol w:w="708"/>
        <w:gridCol w:w="709"/>
        <w:gridCol w:w="425"/>
        <w:gridCol w:w="1418"/>
        <w:gridCol w:w="1276"/>
        <w:gridCol w:w="1842"/>
        <w:gridCol w:w="1276"/>
        <w:gridCol w:w="1702"/>
        <w:gridCol w:w="1419"/>
        <w:gridCol w:w="1700"/>
      </w:tblGrid>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15,856,681.63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-34,493,481.18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-18,636,799.55</w:t>
            </w: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15,856,681.63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-15,856,681.63</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-18,636,799.55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-18,636,799.55</w:t>
            </w: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3,114,724.02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3,114,724.02</w:t>
            </w: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3,114,724.02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3,114,724.02</w:t>
            </w: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sz w:val="18"/>
              </w:rPr>
              <w:t>391,424,450.00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sz w:val="18"/>
              </w:rPr>
              <w:t>913,829,526.87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96,096,139.44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686,374,601.65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2,087,724,717.96</w:t>
            </w:r>
          </w:p>
        </w:tc>
      </w:tr>
    </w:tbl>
    <w:p>
      <w:pPr>
        <w:spacing w:before="10"/>
        <w:ind w:left="1400"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37"/>
        <w:ind w:left="0" w:right="2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31" w:type="dxa"/>
        <w:tblLayout w:type="fixed"/>
        <w:tblCellMar>
          <w:top w:w="0" w:type="dxa"/>
          <w:left w:w="0" w:type="dxa"/>
          <w:bottom w:w="0" w:type="dxa"/>
          <w:right w:w="0" w:type="dxa"/>
        </w:tblCellMar>
        <w:tblLook w:val="01E0"/>
      </w:tblPr>
      <w:tblGrid>
        <w:gridCol w:w="2528"/>
        <w:gridCol w:w="1430"/>
        <w:gridCol w:w="708"/>
        <w:gridCol w:w="709"/>
        <w:gridCol w:w="425"/>
        <w:gridCol w:w="1418"/>
        <w:gridCol w:w="1276"/>
        <w:gridCol w:w="1842"/>
        <w:gridCol w:w="1276"/>
        <w:gridCol w:w="1702"/>
        <w:gridCol w:w="1419"/>
        <w:gridCol w:w="1700"/>
      </w:tblGrid>
      <w:tr>
        <w:trPr>
          <w:trHeight w:val="323" w:hRule="exact"/>
        </w:trPr>
        <w:tc>
          <w:tcPr>
            <w:tcW w:w="2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0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36" w:right="72" w:hanging="451"/>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2528" w:type="dxa"/>
            <w:vMerge/>
            <w:tcBorders>
              <w:left w:val="single" w:sz="4" w:space="0" w:color="000000"/>
              <w:bottom w:val="nil" w:sz="6" w:space="0" w:color="auto"/>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2" w:hRule="exact"/>
        </w:trPr>
        <w:tc>
          <w:tcPr>
            <w:tcW w:w="2528" w:type="dxa"/>
            <w:vMerge w:val="restart"/>
            <w:tcBorders>
              <w:top w:val="nil" w:sz="6" w:space="0" w:color="auto"/>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84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30" w:type="dxa"/>
            <w:tcBorders>
              <w:top w:val="single" w:sz="22" w:space="0" w:color="D2D2D2"/>
              <w:left w:val="single" w:sz="9" w:space="0" w:color="D2D2D2"/>
              <w:bottom w:val="single" w:sz="4" w:space="0" w:color="000000"/>
              <w:right w:val="single" w:sz="4" w:space="0" w:color="000000"/>
            </w:tcBorders>
          </w:tcPr>
          <w:p>
            <w:pPr>
              <w:pStyle w:val="TableParagraph"/>
              <w:spacing w:line="225" w:lineRule="exact"/>
              <w:ind w:right="20"/>
              <w:jc w:val="right"/>
              <w:rPr>
                <w:rFonts w:ascii="宋体" w:hAnsi="宋体" w:cs="宋体" w:eastAsia="宋体" w:hint="default"/>
                <w:sz w:val="18"/>
                <w:szCs w:val="18"/>
              </w:rPr>
            </w:pPr>
            <w:r>
              <w:rPr>
                <w:rFonts w:ascii="宋体"/>
                <w:sz w:val="18"/>
              </w:rPr>
              <w:t>319,644,353.00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252,284,392.28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68,454,589.94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465,755,370.96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1,106,138,706.18</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0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-2,411,906.29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2,411,906.29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705"/>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0" w:type="dxa"/>
            <w:tcBorders>
              <w:top w:val="single" w:sz="4" w:space="0" w:color="000000"/>
              <w:left w:val="single" w:sz="9"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319,644,353.00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249,872,485.99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2,411,906.29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68,454,589.94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465,755,370.96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1,106,138,706.18</w:t>
            </w:r>
          </w:p>
        </w:tc>
      </w:tr>
    </w:tbl>
    <w:p>
      <w:pPr>
        <w:spacing w:after="0" w:line="240" w:lineRule="auto"/>
        <w:jc w:val="right"/>
        <w:rPr>
          <w:rFonts w:ascii="宋体" w:hAnsi="宋体" w:cs="宋体" w:eastAsia="宋体" w:hint="default"/>
          <w:sz w:val="18"/>
          <w:szCs w:val="18"/>
        </w:rPr>
        <w:sectPr>
          <w:pgSz w:w="16840" w:h="11910" w:orient="landscape"/>
          <w:pgMar w:header="877" w:footer="938" w:top="1100" w:bottom="1120" w:left="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551"/>
        <w:gridCol w:w="1419"/>
        <w:gridCol w:w="708"/>
        <w:gridCol w:w="709"/>
        <w:gridCol w:w="425"/>
        <w:gridCol w:w="1418"/>
        <w:gridCol w:w="1276"/>
        <w:gridCol w:w="1842"/>
        <w:gridCol w:w="1276"/>
        <w:gridCol w:w="1702"/>
        <w:gridCol w:w="1419"/>
        <w:gridCol w:w="1700"/>
      </w:tblGrid>
      <w:tr>
        <w:trPr>
          <w:trHeight w:val="557"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三、本期增减变动金额</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减少以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“－”号填列</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55,944,035.00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347,227,529.94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408,664.64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11,784,867.87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96,545,895.56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511,910,993.01</w:t>
            </w: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综合收益总额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408,664.64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117,848,678.72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118,257,343.36</w:t>
            </w: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所有者投入和减少资本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55,944,035.00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347,227,529.94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403,171,564.94</w:t>
            </w: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55,944,035.00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347,227,529.94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403,171,564.94</w:t>
            </w:r>
          </w:p>
        </w:tc>
      </w:tr>
      <w:tr>
        <w:trPr>
          <w:trHeight w:val="557"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．其他权益工具持有者投入资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．股份支付计入所有者权益的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11,784,867.87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-21,302,783.16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-9,517,915.29</w:t>
            </w: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11,784,867.87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-11,784,867.87</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-9,517,915.29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-9,517,915.29</w:t>
            </w: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所有者权益内部结转</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3,012,632.45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3,012,632.45</w:t>
            </w:r>
          </w:p>
        </w:tc>
      </w:tr>
      <w:tr>
        <w:trPr>
          <w:trHeight w:val="323"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3,012,632.45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3,012,632.45</w:t>
            </w: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375,588,388.00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597,100,015.93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2,820,570.93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80,239,457.81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562,301,266.52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1,618,049,699.19</w:t>
            </w:r>
          </w:p>
        </w:tc>
      </w:tr>
    </w:tbl>
    <w:p>
      <w:pPr>
        <w:tabs>
          <w:tab w:pos="6530" w:val="left" w:leader="none"/>
          <w:tab w:pos="11930" w:val="left" w:leader="none"/>
        </w:tabs>
        <w:spacing w:line="205" w:lineRule="exact" w:before="0"/>
        <w:ind w:left="1400" w:right="0" w:firstLine="0"/>
        <w:jc w:val="left"/>
        <w:rPr>
          <w:rFonts w:ascii="宋体" w:hAnsi="宋体" w:cs="宋体" w:eastAsia="宋体" w:hint="default"/>
          <w:sz w:val="18"/>
          <w:szCs w:val="18"/>
        </w:rPr>
      </w:pPr>
      <w:r>
        <w:rPr>
          <w:rFonts w:ascii="宋体" w:hAnsi="宋体" w:cs="宋体" w:eastAsia="宋体" w:hint="default"/>
          <w:sz w:val="18"/>
          <w:szCs w:val="18"/>
        </w:rPr>
        <w:t>法定代表人：王相荣</w:t>
        <w:tab/>
        <w:t>主管会计工作负责人：陈林富</w:t>
        <w:tab/>
        <w:t>会计机构负责人：陈林富</w:t>
      </w:r>
    </w:p>
    <w:p>
      <w:pPr>
        <w:spacing w:after="0" w:line="205" w:lineRule="exact"/>
        <w:jc w:val="left"/>
        <w:rPr>
          <w:rFonts w:ascii="宋体" w:hAnsi="宋体" w:cs="宋体" w:eastAsia="宋体" w:hint="default"/>
          <w:sz w:val="18"/>
          <w:szCs w:val="18"/>
        </w:rPr>
        <w:sectPr>
          <w:pgSz w:w="16840" w:h="11910" w:orient="landscape"/>
          <w:pgMar w:header="877" w:footer="938" w:top="1100" w:bottom="1120" w:left="4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26"/>
        <w:ind w:left="138" w:right="0" w:firstLine="0"/>
        <w:jc w:val="left"/>
        <w:rPr>
          <w:rFonts w:ascii="黑体" w:hAnsi="黑体" w:cs="黑体" w:eastAsia="黑体" w:hint="default"/>
          <w:sz w:val="24"/>
          <w:szCs w:val="24"/>
        </w:rPr>
      </w:pPr>
      <w:bookmarkStart w:name="三、基本情况" w:id="125"/>
      <w:bookmarkEnd w:id="125"/>
      <w:r>
        <w:rPr/>
      </w:r>
      <w:r>
        <w:rPr>
          <w:rFonts w:ascii="黑体" w:hAnsi="黑体" w:cs="黑体" w:eastAsia="黑体" w:hint="default"/>
          <w:sz w:val="24"/>
          <w:szCs w:val="24"/>
        </w:rPr>
        <w:t>三、基本情况</w:t>
      </w:r>
    </w:p>
    <w:p>
      <w:pPr>
        <w:spacing w:line="240" w:lineRule="auto" w:before="2"/>
        <w:rPr>
          <w:rFonts w:ascii="黑体" w:hAnsi="黑体" w:cs="黑体" w:eastAsia="黑体" w:hint="default"/>
          <w:sz w:val="23"/>
          <w:szCs w:val="23"/>
        </w:rPr>
      </w:pPr>
    </w:p>
    <w:p>
      <w:pPr>
        <w:pStyle w:val="BodyText"/>
        <w:spacing w:line="357" w:lineRule="auto" w:before="0"/>
        <w:ind w:right="1684" w:firstLine="420"/>
        <w:jc w:val="left"/>
      </w:pPr>
      <w:r>
        <w:rPr/>
        <w:t>利欧集团股份有限公司</w:t>
      </w:r>
      <w:r>
        <w:rPr>
          <w:rFonts w:ascii="宋体" w:hAnsi="宋体" w:cs="宋体" w:eastAsia="宋体" w:hint="default"/>
        </w:rPr>
        <w:t>(</w:t>
      </w:r>
      <w:r>
        <w:rPr/>
        <w:t>以下简称公司或本公司</w:t>
      </w:r>
      <w:r>
        <w:rPr>
          <w:rFonts w:ascii="宋体" w:hAnsi="宋体" w:cs="宋体" w:eastAsia="宋体" w:hint="default"/>
        </w:rPr>
        <w:t>)</w:t>
      </w:r>
      <w:r>
        <w:rPr/>
        <w:t>系经浙江省人民政府浙政股〔</w:t>
      </w:r>
      <w:r>
        <w:rPr>
          <w:rFonts w:ascii="宋体" w:hAnsi="宋体" w:cs="宋体" w:eastAsia="宋体" w:hint="default"/>
        </w:rPr>
        <w:t>2005</w:t>
      </w:r>
      <w:r>
        <w:rPr/>
        <w:t>〕</w:t>
      </w:r>
      <w:r>
        <w:rPr>
          <w:rFonts w:ascii="宋体" w:hAnsi="宋体" w:cs="宋体" w:eastAsia="宋体" w:hint="default"/>
        </w:rPr>
        <w:t>5 </w:t>
      </w:r>
      <w:r>
        <w:rPr>
          <w:spacing w:val="-5"/>
        </w:rPr>
        <w:t>号文批准，由王相荣、张灵正、王壮利、温岭中恒投资有限公司、颜土富和王珍萍共同发起，</w:t>
      </w:r>
      <w:r>
        <w:rPr>
          <w:spacing w:val="-95"/>
        </w:rPr>
        <w:t> </w:t>
      </w:r>
      <w:r>
        <w:rPr>
          <w:spacing w:val="-95"/>
        </w:rPr>
      </w:r>
      <w:r>
        <w:rPr/>
        <w:t>在原浙江利欧电气有限公司基础上整体变更设立的股份有限公司，于</w:t>
      </w:r>
      <w:r>
        <w:rPr>
          <w:spacing w:val="-49"/>
        </w:rPr>
        <w:t> </w:t>
      </w:r>
      <w:r>
        <w:rPr>
          <w:rFonts w:ascii="宋体" w:hAnsi="宋体" w:cs="宋体" w:eastAsia="宋体" w:hint="default"/>
        </w:rPr>
        <w:t>2005</w:t>
      </w:r>
      <w:r>
        <w:rPr>
          <w:rFonts w:ascii="宋体" w:hAnsi="宋体" w:cs="宋体" w:eastAsia="宋体" w:hint="default"/>
          <w:spacing w:val="-50"/>
        </w:rPr>
        <w:t> </w:t>
      </w:r>
      <w:r>
        <w:rPr/>
        <w:t>年</w:t>
      </w:r>
      <w:r>
        <w:rPr>
          <w:spacing w:val="-51"/>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1"/>
        </w:rPr>
        <w:t> </w:t>
      </w:r>
      <w:r>
        <w:rPr/>
        <w:t>日在浙</w:t>
      </w:r>
    </w:p>
    <w:p>
      <w:pPr>
        <w:pStyle w:val="BodyText"/>
        <w:spacing w:line="240" w:lineRule="auto" w:before="31"/>
        <w:ind w:right="0"/>
        <w:jc w:val="left"/>
      </w:pPr>
      <w:r>
        <w:rPr/>
        <w:t>江省工商行政管理局登记注册，公司现持有注册号为 </w:t>
      </w:r>
      <w:r>
        <w:rPr>
          <w:rFonts w:ascii="宋体" w:hAnsi="宋体" w:cs="宋体" w:eastAsia="宋体" w:hint="default"/>
        </w:rPr>
        <w:t>330000000001282</w:t>
      </w:r>
      <w:r>
        <w:rPr>
          <w:rFonts w:ascii="宋体" w:hAnsi="宋体" w:cs="宋体" w:eastAsia="宋体" w:hint="default"/>
          <w:spacing w:val="13"/>
        </w:rPr>
        <w:t> </w:t>
      </w:r>
      <w:r>
        <w:rPr/>
        <w:t>的企业法人营业执</w:t>
      </w:r>
    </w:p>
    <w:p>
      <w:pPr>
        <w:pStyle w:val="BodyText"/>
        <w:spacing w:line="357" w:lineRule="auto" w:before="133"/>
        <w:ind w:right="1788"/>
        <w:jc w:val="left"/>
      </w:pPr>
      <w:r>
        <w:rPr>
          <w:spacing w:val="-3"/>
        </w:rPr>
        <w:t>照。公司现有注册资本</w:t>
      </w:r>
      <w:r>
        <w:rPr>
          <w:spacing w:val="-53"/>
        </w:rPr>
        <w:t> </w:t>
      </w:r>
      <w:r>
        <w:rPr>
          <w:rFonts w:ascii="宋体" w:hAnsi="宋体" w:cs="宋体" w:eastAsia="宋体" w:hint="default"/>
        </w:rPr>
        <w:t>39,142.445</w:t>
      </w:r>
      <w:r>
        <w:rPr>
          <w:rFonts w:ascii="宋体" w:hAnsi="宋体" w:cs="宋体" w:eastAsia="宋体" w:hint="default"/>
          <w:spacing w:val="-51"/>
        </w:rPr>
        <w:t> </w:t>
      </w:r>
      <w:r>
        <w:rPr>
          <w:spacing w:val="-5"/>
        </w:rPr>
        <w:t>万元，股份总数</w:t>
      </w:r>
      <w:r>
        <w:rPr>
          <w:spacing w:val="-53"/>
        </w:rPr>
        <w:t> </w:t>
      </w:r>
      <w:r>
        <w:rPr>
          <w:rFonts w:ascii="宋体" w:hAnsi="宋体" w:cs="宋体" w:eastAsia="宋体" w:hint="default"/>
        </w:rPr>
        <w:t>39,142.445</w:t>
      </w:r>
      <w:r>
        <w:rPr>
          <w:rFonts w:ascii="宋体" w:hAnsi="宋体" w:cs="宋体" w:eastAsia="宋体" w:hint="default"/>
          <w:spacing w:val="-53"/>
        </w:rPr>
        <w:t> </w:t>
      </w:r>
      <w:r>
        <w:rPr/>
        <w:t>万股</w:t>
      </w:r>
      <w:r>
        <w:rPr>
          <w:rFonts w:ascii="宋体" w:hAnsi="宋体" w:cs="宋体" w:eastAsia="宋体" w:hint="default"/>
        </w:rPr>
        <w:t>(</w:t>
      </w:r>
      <w:r>
        <w:rPr/>
        <w:t>每股面值</w:t>
      </w:r>
      <w:r>
        <w:rPr>
          <w:spacing w:val="-53"/>
        </w:rPr>
        <w:t> </w:t>
      </w:r>
      <w:r>
        <w:rPr>
          <w:rFonts w:ascii="宋体" w:hAnsi="宋体" w:cs="宋体" w:eastAsia="宋体" w:hint="default"/>
        </w:rPr>
        <w:t>1</w:t>
      </w:r>
      <w:r>
        <w:rPr>
          <w:rFonts w:ascii="宋体" w:hAnsi="宋体" w:cs="宋体" w:eastAsia="宋体" w:hint="default"/>
          <w:spacing w:val="-51"/>
        </w:rPr>
        <w:t> </w:t>
      </w:r>
      <w:r>
        <w:rPr>
          <w:spacing w:val="-7"/>
        </w:rPr>
        <w:t>元</w:t>
      </w:r>
      <w:r>
        <w:rPr>
          <w:rFonts w:ascii="宋体" w:hAnsi="宋体" w:cs="宋体" w:eastAsia="宋体" w:hint="default"/>
          <w:spacing w:val="-7"/>
        </w:rPr>
        <w:t>)</w:t>
      </w:r>
      <w:r>
        <w:rPr>
          <w:spacing w:val="-7"/>
        </w:rPr>
        <w:t>。公司</w:t>
      </w:r>
      <w:r>
        <w:rPr/>
        <w:t> 股票已在深圳证券交易所挂牌交易。</w:t>
      </w:r>
    </w:p>
    <w:p>
      <w:pPr>
        <w:pStyle w:val="BodyText"/>
        <w:spacing w:line="357" w:lineRule="auto" w:before="70"/>
        <w:ind w:right="1684" w:firstLine="420"/>
        <w:jc w:val="left"/>
        <w:rPr>
          <w:rFonts w:ascii="宋体" w:hAnsi="宋体" w:cs="宋体" w:eastAsia="宋体" w:hint="default"/>
        </w:rPr>
      </w:pPr>
      <w:r>
        <w:rPr/>
        <w:t>本公司属专用设备制造业。经营范围：泵、园林机械、清洗机械设备、电机、汽油机、 </w:t>
      </w:r>
      <w:r>
        <w:rPr>
          <w:spacing w:val="-3"/>
        </w:rPr>
        <w:t>阀门、模具、五金工具、电气控制柜、成套供水设备、农业机械、机械设备、环保设备、电</w:t>
      </w:r>
      <w:r>
        <w:rPr>
          <w:spacing w:val="-73"/>
        </w:rPr>
        <w:t> </w:t>
      </w:r>
      <w:r>
        <w:rPr>
          <w:spacing w:val="-73"/>
        </w:rPr>
      </w:r>
      <w:r>
        <w:rPr>
          <w:spacing w:val="-5"/>
        </w:rPr>
        <w:t>器零部件及相关配件的生产、销售，设计、制作、代理、发布国内各类广告，企业营销策划，</w:t>
      </w:r>
      <w:r>
        <w:rPr>
          <w:spacing w:val="-97"/>
        </w:rPr>
        <w:t> </w:t>
      </w:r>
      <w:r>
        <w:rPr>
          <w:spacing w:val="-97"/>
        </w:rPr>
      </w:r>
      <w:r>
        <w:rPr>
          <w:spacing w:val="-3"/>
        </w:rPr>
        <w:t>进出口经营业务，实业投资。</w:t>
      </w:r>
      <w:r>
        <w:rPr>
          <w:rFonts w:ascii="宋体" w:hAnsi="宋体" w:cs="宋体" w:eastAsia="宋体" w:hint="default"/>
          <w:spacing w:val="-3"/>
        </w:rPr>
        <w:t>(</w:t>
      </w:r>
      <w:r>
        <w:rPr>
          <w:spacing w:val="-3"/>
        </w:rPr>
        <w:t>依法须经批准的项目，经相关部门批准后方可开展经营活动</w:t>
      </w:r>
      <w:r>
        <w:rPr>
          <w:rFonts w:ascii="宋体" w:hAnsi="宋体" w:cs="宋体" w:eastAsia="宋体" w:hint="default"/>
          <w:spacing w:val="-3"/>
        </w:rPr>
        <w:t>)</w:t>
      </w:r>
    </w:p>
    <w:p>
      <w:pPr>
        <w:pStyle w:val="BodyText"/>
        <w:spacing w:line="391" w:lineRule="auto" w:before="70"/>
        <w:ind w:left="557" w:right="0"/>
        <w:jc w:val="left"/>
      </w:pPr>
      <w:r>
        <w:rPr/>
        <w:t>本财务报表业经公司</w:t>
      </w:r>
      <w:r>
        <w:rPr>
          <w:spacing w:val="-53"/>
        </w:rPr>
        <w:t> </w:t>
      </w:r>
      <w:r>
        <w:rPr>
          <w:rFonts w:ascii="宋体" w:hAnsi="宋体" w:cs="宋体" w:eastAsia="宋体" w:hint="default"/>
        </w:rPr>
        <w:t>2015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日第四届董事会第七次会议批准对外报出。 </w:t>
      </w:r>
      <w:r>
        <w:rPr>
          <w:spacing w:val="-3"/>
        </w:rPr>
        <w:t>本公司纳入本期合并财务报表范围的子公司如下所示，具体情况详见本财务报表附注合</w:t>
      </w:r>
    </w:p>
    <w:p>
      <w:pPr>
        <w:pStyle w:val="BodyText"/>
        <w:spacing w:line="240" w:lineRule="auto" w:before="2"/>
        <w:ind w:left="138" w:right="0"/>
        <w:jc w:val="left"/>
      </w:pPr>
      <w:r>
        <w:rPr/>
        <w:t>并范围的变更和在其他主体中的权益之说明。</w:t>
      </w:r>
    </w:p>
    <w:p>
      <w:pPr>
        <w:spacing w:line="240" w:lineRule="auto" w:before="11"/>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3921"/>
        <w:gridCol w:w="2170"/>
        <w:gridCol w:w="2170"/>
      </w:tblGrid>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517"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97"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17"/>
              <w:jc w:val="right"/>
              <w:rPr>
                <w:rFonts w:ascii="宋体" w:hAnsi="宋体" w:cs="宋体" w:eastAsia="宋体" w:hint="default"/>
                <w:sz w:val="21"/>
                <w:szCs w:val="21"/>
              </w:rPr>
            </w:pPr>
            <w:r>
              <w:rPr>
                <w:rFonts w:ascii="宋体" w:hAnsi="宋体" w:cs="宋体" w:eastAsia="宋体" w:hint="default"/>
                <w:sz w:val="21"/>
                <w:szCs w:val="21"/>
              </w:rPr>
              <w:t>子公司简称</w:t>
            </w:r>
          </w:p>
        </w:tc>
      </w:tr>
      <w:tr>
        <w:trPr>
          <w:trHeight w:val="465"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浙江大农实业股份有限公司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大农实业</w:t>
            </w: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温岭大农实业有限公司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温岭大农</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浙江利欧</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香港利欧</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sz w:val="21"/>
              </w:rPr>
              <w:t>Crystal Water Products</w:t>
            </w:r>
            <w:r>
              <w:rPr>
                <w:rFonts w:ascii="宋体"/>
                <w:spacing w:val="-2"/>
                <w:sz w:val="21"/>
              </w:rPr>
              <w:t> </w:t>
            </w:r>
            <w:r>
              <w:rPr>
                <w:rFonts w:ascii="宋体"/>
                <w:sz w:val="21"/>
              </w:rPr>
              <w:t>Inc.</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sz w:val="21"/>
              </w:rPr>
              <w:t>LEO ITALIA S.R.L</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556"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30" w:right="0"/>
              <w:jc w:val="left"/>
              <w:rPr>
                <w:rFonts w:ascii="宋体" w:hAnsi="宋体" w:cs="宋体" w:eastAsia="宋体" w:hint="default"/>
                <w:sz w:val="21"/>
                <w:szCs w:val="21"/>
              </w:rPr>
            </w:pPr>
            <w:r>
              <w:rPr>
                <w:rFonts w:ascii="宋体"/>
                <w:sz w:val="21"/>
              </w:rPr>
              <w:t>GAMA European Garden</w:t>
            </w:r>
            <w:r>
              <w:rPr>
                <w:rFonts w:ascii="宋体"/>
                <w:spacing w:val="-2"/>
                <w:sz w:val="21"/>
              </w:rPr>
              <w:t> </w:t>
            </w:r>
            <w:r>
              <w:rPr>
                <w:rFonts w:ascii="宋体"/>
                <w:sz w:val="21"/>
              </w:rPr>
              <w:t>Machinery</w:t>
            </w:r>
          </w:p>
          <w:p>
            <w:pPr>
              <w:pStyle w:val="TableParagraph"/>
              <w:spacing w:line="274" w:lineRule="exact"/>
              <w:ind w:left="227" w:right="0"/>
              <w:jc w:val="left"/>
              <w:rPr>
                <w:rFonts w:ascii="宋体" w:hAnsi="宋体" w:cs="宋体" w:eastAsia="宋体" w:hint="default"/>
                <w:sz w:val="21"/>
                <w:szCs w:val="21"/>
              </w:rPr>
            </w:pPr>
            <w:r>
              <w:rPr>
                <w:rFonts w:ascii="宋体"/>
                <w:sz w:val="21"/>
              </w:rPr>
              <w:t>Co. Ltd.</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湖南利欧泵业有限公司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湖南利欧</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浙江利欧友林供水系统有限公司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利欧友林</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温岭利欧园林机械有限公司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利欧园林</w:t>
            </w: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上海利泵流体科技发展有限公司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上海利泵</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利欧</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工业泵技术中心有限公司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技术中心</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云南利欧水泵销售有限公司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云南利欧</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利普诺持之水泵系统</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
              <w:jc w:val="center"/>
              <w:rPr>
                <w:rFonts w:ascii="宋体" w:hAnsi="宋体" w:cs="宋体" w:eastAsia="宋体" w:hint="default"/>
                <w:sz w:val="21"/>
                <w:szCs w:val="21"/>
              </w:rPr>
            </w:pPr>
            <w:r>
              <w:rPr>
                <w:rFonts w:ascii="宋体" w:hAnsi="宋体" w:cs="宋体" w:eastAsia="宋体" w:hint="default"/>
                <w:sz w:val="21"/>
                <w:szCs w:val="21"/>
              </w:rPr>
              <w:t>利普诺</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长沙利欧天鹅工业泵有限公司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51"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长沙天鹅</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长沙翔鹅机械铸造有限公司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666"/>
              <w:jc w:val="right"/>
              <w:rPr>
                <w:rFonts w:ascii="宋体" w:hAnsi="宋体" w:cs="宋体" w:eastAsia="宋体" w:hint="default"/>
                <w:sz w:val="21"/>
                <w:szCs w:val="21"/>
              </w:rPr>
            </w:pPr>
            <w:r>
              <w:rPr>
                <w:rFonts w:ascii="宋体" w:hAnsi="宋体" w:cs="宋体" w:eastAsia="宋体" w:hint="default"/>
                <w:sz w:val="21"/>
                <w:szCs w:val="21"/>
              </w:rPr>
              <w:t>鹅机械铸</w:t>
            </w:r>
          </w:p>
        </w:tc>
      </w:tr>
    </w:tbl>
    <w:p>
      <w:pPr>
        <w:spacing w:after="0" w:line="240" w:lineRule="auto"/>
        <w:jc w:val="right"/>
        <w:rPr>
          <w:rFonts w:ascii="宋体" w:hAnsi="宋体" w:cs="宋体" w:eastAsia="宋体" w:hint="default"/>
          <w:sz w:val="21"/>
          <w:szCs w:val="21"/>
        </w:rPr>
        <w:sectPr>
          <w:headerReference w:type="default" r:id="rId26"/>
          <w:footerReference w:type="default" r:id="rId27"/>
          <w:pgSz w:w="11910" w:h="16840"/>
          <w:pgMar w:header="877" w:footer="938" w:top="1100" w:bottom="1120" w:left="1660" w:right="0"/>
          <w:pgNumType w:start="97"/>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921"/>
        <w:gridCol w:w="2170"/>
        <w:gridCol w:w="2170"/>
      </w:tblGrid>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长沙恒流流体机械科技顾问有限公司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恒流机械</w:t>
            </w: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大连利欧华能泵业有限公司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大连华能</w:t>
            </w:r>
          </w:p>
        </w:tc>
      </w:tr>
      <w:tr>
        <w:trPr>
          <w:trHeight w:val="465"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利欧</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泵业有限公司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利欧大连</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无锡利欧锡泵制造有限公司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无锡锡泵</w:t>
            </w: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无锡市锡泵设备安装成套有限公司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5]</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锡泵安装</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上海漫酷广告有限公司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上海漫酷</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上海聚胜万合广告有限公司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聚胜广告</w:t>
            </w: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上海易合广告有限公司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易合广告</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上海漫酷网络技术有限公司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漫酷网络</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上海氩氪广告有限公司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上海氩氪</w:t>
            </w: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上海沃动市场营销策划有限公司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7]</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上海沃动</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银色琥珀文化传播</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琥珀传播</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琥之珀文化传播</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8]</w:t>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上海聚嘉网络技术有限公司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聚嘉网络</w:t>
            </w:r>
          </w:p>
        </w:tc>
      </w:tr>
      <w:tr>
        <w:trPr>
          <w:trHeight w:val="464"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利欧中东公司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中东利欧</w:t>
            </w:r>
          </w:p>
        </w:tc>
      </w:tr>
      <w:tr>
        <w:trPr>
          <w:trHeight w:val="465" w:hRule="exact"/>
        </w:trPr>
        <w:tc>
          <w:tcPr>
            <w:tcW w:w="39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0" w:right="0"/>
              <w:jc w:val="left"/>
              <w:rPr>
                <w:rFonts w:ascii="宋体" w:hAnsi="宋体" w:cs="宋体" w:eastAsia="宋体" w:hint="default"/>
                <w:sz w:val="21"/>
                <w:szCs w:val="21"/>
              </w:rPr>
            </w:pPr>
            <w:r>
              <w:rPr>
                <w:rFonts w:ascii="宋体" w:hAnsi="宋体" w:cs="宋体" w:eastAsia="宋体" w:hint="default"/>
                <w:sz w:val="21"/>
                <w:szCs w:val="21"/>
              </w:rPr>
              <w:t>温岭滨泰科进出口有限公司</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9"/>
              <w:jc w:val="center"/>
              <w:rPr>
                <w:rFonts w:ascii="宋体" w:hAnsi="宋体" w:cs="宋体" w:eastAsia="宋体" w:hint="default"/>
                <w:sz w:val="21"/>
                <w:szCs w:val="21"/>
              </w:rPr>
            </w:pPr>
            <w:r>
              <w:rPr>
                <w:rFonts w:ascii="宋体" w:hAnsi="宋体" w:cs="宋体" w:eastAsia="宋体" w:hint="default"/>
                <w:sz w:val="21"/>
                <w:szCs w:val="21"/>
              </w:rPr>
              <w:t>温岭滨泰</w:t>
            </w:r>
          </w:p>
        </w:tc>
      </w:tr>
    </w:tbl>
    <w:p>
      <w:pPr>
        <w:spacing w:line="398" w:lineRule="auto" w:before="10"/>
        <w:ind w:left="497" w:right="6912"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：系大农实业之全资子公司；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：系香港利欧控股的子公司；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：系长沙天鹅之全资子公司；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：系大连华能之全资子公司；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：系无锡锡泵之全资子公司；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z w:val="18"/>
          <w:szCs w:val="18"/>
        </w:rPr>
        <w:t>：系上海漫酷之全资子公司；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z w:val="18"/>
          <w:szCs w:val="18"/>
        </w:rPr>
        <w:t>：系上海氩氪之全资子公司。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z w:val="18"/>
          <w:szCs w:val="18"/>
        </w:rPr>
        <w:t>：系琥珀传播之全资子公司。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2"/>
        <w:spacing w:line="240" w:lineRule="auto"/>
        <w:ind w:left="557" w:right="0"/>
        <w:jc w:val="left"/>
        <w:rPr>
          <w:rFonts w:ascii="黑体" w:hAnsi="黑体" w:cs="黑体" w:eastAsia="黑体" w:hint="default"/>
          <w:b w:val="0"/>
          <w:bCs w:val="0"/>
        </w:rPr>
      </w:pPr>
      <w:bookmarkStart w:name="四、财务报表的编制基础" w:id="126"/>
      <w:bookmarkEnd w:id="126"/>
      <w:r>
        <w:rPr>
          <w:b w:val="0"/>
          <w:bCs w:val="0"/>
        </w:rPr>
      </w:r>
      <w:r>
        <w:rPr>
          <w:rFonts w:ascii="黑体" w:hAnsi="黑体" w:cs="黑体" w:eastAsia="黑体" w:hint="default"/>
        </w:rPr>
        <w:t>四、财务报表的编制基础</w:t>
      </w:r>
      <w:r>
        <w:rPr>
          <w:rFonts w:ascii="黑体" w:hAnsi="黑体" w:cs="黑体" w:eastAsia="黑体" w:hint="default"/>
          <w:b w:val="0"/>
          <w:bCs w:val="0"/>
        </w:rPr>
      </w:r>
    </w:p>
    <w:p>
      <w:pPr>
        <w:pStyle w:val="BodyText"/>
        <w:spacing w:line="391" w:lineRule="auto" w:before="198"/>
        <w:ind w:left="558" w:right="5888"/>
        <w:jc w:val="left"/>
      </w:pPr>
      <w:bookmarkStart w:name="(一) 编制基础" w:id="127"/>
      <w:bookmarkEnd w:id="127"/>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编制基础 本公司财务报表以持续经营为编制基础。 </w:t>
      </w:r>
      <w:bookmarkStart w:name="(二) 持续经营能力评价" w:id="128"/>
      <w:bookmarkEnd w:id="128"/>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持续经营能力评价</w:t>
      </w:r>
    </w:p>
    <w:p>
      <w:pPr>
        <w:pStyle w:val="BodyText"/>
        <w:spacing w:line="357" w:lineRule="auto" w:before="41"/>
        <w:ind w:right="1798" w:firstLine="420"/>
        <w:jc w:val="left"/>
      </w:pPr>
      <w:r>
        <w:rPr>
          <w:spacing w:val="2"/>
        </w:rPr>
        <w:t>本公司不存在导致对报告期末起 </w:t>
      </w:r>
      <w:r>
        <w:rPr>
          <w:rFonts w:ascii="宋体" w:hAnsi="宋体" w:cs="宋体" w:eastAsia="宋体" w:hint="default"/>
        </w:rPr>
        <w:t>12</w:t>
      </w:r>
      <w:r>
        <w:rPr>
          <w:rFonts w:ascii="宋体" w:hAnsi="宋体" w:cs="宋体" w:eastAsia="宋体" w:hint="default"/>
          <w:spacing w:val="29"/>
        </w:rPr>
        <w:t> </w:t>
      </w:r>
      <w:r>
        <w:rPr>
          <w:spacing w:val="2"/>
        </w:rPr>
        <w:t>个月内的持续经营假设产生重大疑虑的事项或情</w:t>
      </w:r>
      <w:r>
        <w:rPr/>
        <w:t> 况。</w:t>
      </w:r>
    </w:p>
    <w:p>
      <w:pPr>
        <w:spacing w:after="0" w:line="357" w:lineRule="auto"/>
        <w:jc w:val="left"/>
        <w:sectPr>
          <w:pgSz w:w="11910" w:h="16840"/>
          <w:pgMar w:header="877" w:footer="938" w:top="1100" w:bottom="112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before="26"/>
        <w:ind w:left="558" w:right="0"/>
        <w:jc w:val="left"/>
        <w:rPr>
          <w:rFonts w:ascii="黑体" w:hAnsi="黑体" w:cs="黑体" w:eastAsia="黑体" w:hint="default"/>
          <w:b w:val="0"/>
          <w:bCs w:val="0"/>
        </w:rPr>
      </w:pPr>
      <w:bookmarkStart w:name="五、重要会计政策及会计估计" w:id="129"/>
      <w:bookmarkEnd w:id="129"/>
      <w:r>
        <w:rPr>
          <w:b w:val="0"/>
          <w:bCs w:val="0"/>
        </w:rPr>
      </w:r>
      <w:r>
        <w:rPr>
          <w:rFonts w:ascii="黑体" w:hAnsi="黑体" w:cs="黑体" w:eastAsia="黑体" w:hint="default"/>
        </w:rPr>
        <w:t>五、重要会计政策及会计估计</w:t>
      </w:r>
      <w:r>
        <w:rPr>
          <w:rFonts w:ascii="黑体" w:hAnsi="黑体" w:cs="黑体" w:eastAsia="黑体" w:hint="default"/>
          <w:b w:val="0"/>
          <w:bCs w:val="0"/>
        </w:rPr>
      </w:r>
    </w:p>
    <w:p>
      <w:pPr>
        <w:pStyle w:val="BodyText"/>
        <w:spacing w:line="357" w:lineRule="auto" w:before="197"/>
        <w:ind w:right="1706" w:firstLine="420"/>
        <w:jc w:val="both"/>
      </w:pPr>
      <w:r>
        <w:rPr/>
        <w:t>重要提示：本公司根据实际生产经营特点针对应收款项坏账准备计提、固定资产折旧、 无形资产摊销、收入确认等交易或事项制定了具体会计政策和会计估计。</w:t>
      </w:r>
    </w:p>
    <w:p>
      <w:pPr>
        <w:pStyle w:val="BodyText"/>
        <w:spacing w:line="391" w:lineRule="auto" w:before="70"/>
        <w:ind w:left="557" w:right="0"/>
        <w:jc w:val="left"/>
      </w:pPr>
      <w:bookmarkStart w:name="(一) 遵循企业会计准则的声明" w:id="130"/>
      <w:bookmarkEnd w:id="130"/>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遵循企业会计准则的声明 </w:t>
      </w:r>
      <w:r>
        <w:rPr>
          <w:spacing w:val="-3"/>
        </w:rPr>
        <w:t>本公司所编制的财务报表符合企业会计准则的要求，真实、完整地反映了公司的财务状</w:t>
      </w:r>
    </w:p>
    <w:p>
      <w:pPr>
        <w:pStyle w:val="BodyText"/>
        <w:spacing w:line="391" w:lineRule="auto" w:before="2"/>
        <w:ind w:left="558" w:right="6518" w:hanging="420"/>
        <w:jc w:val="left"/>
      </w:pPr>
      <w:r>
        <w:rPr/>
        <w:t>况、经营成果和现金流量等有关信息。 </w:t>
      </w:r>
      <w:bookmarkStart w:name="(二) 会计期间" w:id="131"/>
      <w:bookmarkEnd w:id="13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会计期间</w:t>
      </w:r>
    </w:p>
    <w:p>
      <w:pPr>
        <w:pStyle w:val="BodyText"/>
        <w:spacing w:line="391" w:lineRule="auto" w:before="43"/>
        <w:ind w:left="558" w:right="5478"/>
        <w:jc w:val="left"/>
      </w:pPr>
      <w:r>
        <w:rPr/>
        <w:t>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 </w:t>
      </w:r>
      <w:bookmarkStart w:name="(三) 营业周期" w:id="132"/>
      <w:bookmarkEnd w:id="132"/>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营业周期</w:t>
      </w:r>
    </w:p>
    <w:p>
      <w:pPr>
        <w:pStyle w:val="BodyText"/>
        <w:spacing w:line="391" w:lineRule="auto" w:before="41"/>
        <w:ind w:left="557" w:right="2427"/>
        <w:jc w:val="left"/>
      </w:pPr>
      <w:r>
        <w:rPr/>
        <w:t>公司经营业务的营业周期较短，以</w:t>
      </w:r>
      <w:r>
        <w:rPr>
          <w:spacing w:val="-54"/>
        </w:rPr>
        <w:t> </w:t>
      </w:r>
      <w:r>
        <w:rPr>
          <w:rFonts w:ascii="宋体" w:hAnsi="宋体" w:cs="宋体" w:eastAsia="宋体" w:hint="default"/>
        </w:rPr>
        <w:t>12</w:t>
      </w:r>
      <w:r>
        <w:rPr>
          <w:rFonts w:ascii="宋体" w:hAnsi="宋体" w:cs="宋体" w:eastAsia="宋体" w:hint="default"/>
          <w:spacing w:val="-54"/>
        </w:rPr>
        <w:t> </w:t>
      </w:r>
      <w:r>
        <w:rPr/>
        <w:t>个月作为资产和负债的流动性划分标准。 </w:t>
      </w:r>
      <w:bookmarkStart w:name="(四) 记账本位币" w:id="133"/>
      <w:bookmarkEnd w:id="133"/>
      <w:r>
        <w:rPr/>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
        </w:rPr>
        <w:t> </w:t>
      </w:r>
      <w:r>
        <w:rPr/>
        <w:t>记账本位币</w:t>
      </w:r>
    </w:p>
    <w:p>
      <w:pPr>
        <w:pStyle w:val="BodyText"/>
        <w:spacing w:line="240" w:lineRule="auto" w:before="43"/>
        <w:ind w:left="558" w:right="0"/>
        <w:jc w:val="left"/>
      </w:pPr>
      <w:r>
        <w:rPr/>
        <w:t>采用人民币为记账本位币。</w:t>
      </w:r>
    </w:p>
    <w:p>
      <w:pPr>
        <w:pStyle w:val="BodyText"/>
        <w:spacing w:line="355" w:lineRule="auto" w:before="172"/>
        <w:ind w:left="557" w:right="4316"/>
        <w:jc w:val="left"/>
      </w:pPr>
      <w:bookmarkStart w:name="(五) 同一控制下和非同一控制下企业合并的会计处理方法" w:id="134"/>
      <w:bookmarkEnd w:id="134"/>
      <w:r>
        <w:rPr/>
      </w: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同一控制下和非同一控制下企业合并的会计处理方法 </w:t>
      </w:r>
      <w:r>
        <w:rPr>
          <w:rFonts w:ascii="宋体" w:hAnsi="宋体" w:cs="宋体" w:eastAsia="宋体" w:hint="default"/>
        </w:rPr>
        <w:t>1.</w:t>
      </w:r>
      <w:r>
        <w:rPr>
          <w:rFonts w:ascii="宋体" w:hAnsi="宋体" w:cs="宋体" w:eastAsia="宋体" w:hint="default"/>
          <w:spacing w:val="-2"/>
        </w:rPr>
        <w:t> </w:t>
      </w:r>
      <w:r>
        <w:rPr/>
        <w:t>同一控制下企业合并的会计处理方法</w:t>
      </w:r>
    </w:p>
    <w:p>
      <w:pPr>
        <w:pStyle w:val="BodyText"/>
        <w:spacing w:line="357" w:lineRule="auto" w:before="33"/>
        <w:ind w:right="1793" w:firstLine="420"/>
        <w:jc w:val="both"/>
      </w:pPr>
      <w:r>
        <w:rPr>
          <w:spacing w:val="-3"/>
        </w:rPr>
        <w:t>公司在企业合并中取得的资产和负债，按照合并日被合并方在最终控制方合并财务报表</w:t>
      </w:r>
      <w:r>
        <w:rPr/>
        <w:t> </w:t>
      </w:r>
      <w:r>
        <w:rPr>
          <w:spacing w:val="-3"/>
        </w:rPr>
        <w:t>中的账面价值计量。公司按照被合并方所有者权益在最终控制方合并财务报表中的账面价值</w:t>
      </w:r>
      <w:r>
        <w:rPr>
          <w:spacing w:val="-73"/>
        </w:rPr>
        <w:t> </w:t>
      </w:r>
      <w:r>
        <w:rPr>
          <w:spacing w:val="-73"/>
        </w:rPr>
      </w:r>
      <w:r>
        <w:rPr>
          <w:spacing w:val="-3"/>
        </w:rPr>
        <w:t>份额与支付的合并对价账面价值或发行股份面值总额的差额，调整资本公积；资本公积不足</w:t>
      </w:r>
      <w:r>
        <w:rPr>
          <w:spacing w:val="-75"/>
        </w:rPr>
        <w:t> </w:t>
      </w:r>
      <w:r>
        <w:rPr>
          <w:spacing w:val="-75"/>
        </w:rPr>
      </w:r>
      <w:r>
        <w:rPr/>
        <w:t>冲减的，调整留存收益。</w:t>
      </w:r>
    </w:p>
    <w:p>
      <w:pPr>
        <w:pStyle w:val="BodyText"/>
        <w:spacing w:line="357" w:lineRule="auto"/>
        <w:ind w:left="557" w:right="0"/>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 </w:t>
      </w:r>
      <w:r>
        <w:rPr>
          <w:spacing w:val="2"/>
        </w:rPr>
        <w:t>公司在购买日对合并成本大于合并中取得的被购买方可辨认净资产公允价值份额的差</w:t>
      </w:r>
    </w:p>
    <w:p>
      <w:pPr>
        <w:pStyle w:val="BodyText"/>
        <w:spacing w:line="357" w:lineRule="auto"/>
        <w:ind w:right="1792"/>
        <w:jc w:val="both"/>
      </w:pPr>
      <w:r>
        <w:rPr>
          <w:spacing w:val="-3"/>
        </w:rPr>
        <w:t>额，确认为商誉；如果合并成本小于合并中取得的被购买方可辨认净资产公允价值份额，首</w:t>
      </w:r>
      <w:r>
        <w:rPr>
          <w:spacing w:val="-72"/>
        </w:rPr>
        <w:t> </w:t>
      </w:r>
      <w:r>
        <w:rPr>
          <w:spacing w:val="-72"/>
        </w:rPr>
      </w:r>
      <w:r>
        <w:rPr>
          <w:spacing w:val="-3"/>
        </w:rPr>
        <w:t>先对取得的被购买方各项可辨认资产、负债及或有负债的公允价值以及合并成本的计量进行</w:t>
      </w:r>
      <w:r>
        <w:rPr>
          <w:spacing w:val="-73"/>
        </w:rPr>
        <w:t> </w:t>
      </w:r>
      <w:r>
        <w:rPr>
          <w:spacing w:val="-73"/>
        </w:rPr>
      </w:r>
      <w:r>
        <w:rPr>
          <w:spacing w:val="-3"/>
        </w:rPr>
        <w:t>复核，经复核后合并成本仍小于合并中取得的被购买方可辨认净资产公允价值份额的，其差</w:t>
      </w:r>
      <w:r>
        <w:rPr>
          <w:spacing w:val="-75"/>
        </w:rPr>
        <w:t> </w:t>
      </w:r>
      <w:r>
        <w:rPr>
          <w:spacing w:val="-75"/>
        </w:rPr>
      </w:r>
      <w:r>
        <w:rPr/>
        <w:t>额计入当期损益。</w:t>
      </w:r>
    </w:p>
    <w:p>
      <w:pPr>
        <w:pStyle w:val="BodyText"/>
        <w:spacing w:line="355" w:lineRule="auto"/>
        <w:ind w:left="557" w:right="0"/>
        <w:jc w:val="left"/>
      </w:pPr>
      <w:bookmarkStart w:name="(六) 合并财务报表的编制方法" w:id="135"/>
      <w:bookmarkEnd w:id="135"/>
      <w:r>
        <w:rPr/>
      </w: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
        </w:rPr>
        <w:t> </w:t>
      </w:r>
      <w:r>
        <w:rPr/>
        <w:t>合并财务报表的编制方法 </w:t>
      </w:r>
      <w:r>
        <w:rPr>
          <w:spacing w:val="-3"/>
        </w:rPr>
        <w:t>母公司将其控制的所有子公司纳入合并财务报表的合并范围。合并财务报表以母公司及</w:t>
      </w:r>
    </w:p>
    <w:p>
      <w:pPr>
        <w:pStyle w:val="BodyText"/>
        <w:spacing w:line="240" w:lineRule="auto" w:before="33"/>
        <w:ind w:right="0"/>
        <w:jc w:val="left"/>
      </w:pPr>
      <w:r>
        <w:rPr/>
        <w:t>其子公司的财务报表为基础，根据其他有关资料，由母公司按照《企业会计准则第</w:t>
      </w:r>
      <w:r>
        <w:rPr>
          <w:spacing w:val="-43"/>
        </w:rPr>
        <w:t> </w:t>
      </w:r>
      <w:r>
        <w:rPr>
          <w:rFonts w:ascii="宋体" w:hAnsi="宋体" w:cs="宋体" w:eastAsia="宋体" w:hint="default"/>
        </w:rPr>
        <w:t>33</w:t>
      </w:r>
      <w:r>
        <w:rPr>
          <w:rFonts w:ascii="宋体" w:hAnsi="宋体" w:cs="宋体" w:eastAsia="宋体" w:hint="default"/>
          <w:spacing w:val="-44"/>
        </w:rPr>
        <w:t> </w:t>
      </w:r>
      <w:r>
        <w:rPr/>
        <w:t>号—</w:t>
      </w:r>
    </w:p>
    <w:p>
      <w:pPr>
        <w:pStyle w:val="BodyText"/>
        <w:spacing w:line="240" w:lineRule="auto" w:before="133"/>
        <w:ind w:right="0"/>
        <w:jc w:val="left"/>
      </w:pPr>
      <w:r>
        <w:rPr/>
        <w:t>—合并财务报表》编制。</w:t>
      </w:r>
    </w:p>
    <w:p>
      <w:pPr>
        <w:pStyle w:val="BodyText"/>
        <w:spacing w:line="357" w:lineRule="auto" w:before="134"/>
        <w:ind w:left="557" w:right="0"/>
        <w:jc w:val="left"/>
      </w:pPr>
      <w:bookmarkStart w:name="(七) 现金及现金等价物的确定标准" w:id="136"/>
      <w:bookmarkEnd w:id="136"/>
      <w:r>
        <w:rPr/>
      </w: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1"/>
        </w:rPr>
        <w:t> </w:t>
      </w:r>
      <w:r>
        <w:rPr/>
        <w:t>现金及现金等价物的确定标准 </w:t>
      </w:r>
      <w:r>
        <w:rPr>
          <w:spacing w:val="-3"/>
        </w:rPr>
        <w:t>列示于现金流量表中的现金是指库存现金以及可以随时用于支付的存款。现金等价物是</w:t>
      </w:r>
    </w:p>
    <w:p>
      <w:pPr>
        <w:pStyle w:val="BodyText"/>
        <w:spacing w:line="355" w:lineRule="auto" w:before="31"/>
        <w:ind w:left="557" w:right="1899" w:hanging="420"/>
        <w:jc w:val="left"/>
      </w:pPr>
      <w:r>
        <w:rPr/>
        <w:t>指企业持有的期限短、流动性强、易于转换为已知金额现金、价值变动风险很小的投资。 </w:t>
      </w:r>
      <w:bookmarkStart w:name="(八) 外币业务和外币报表折算" w:id="137"/>
      <w:bookmarkEnd w:id="137"/>
      <w:r>
        <w:rPr/>
      </w: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2"/>
        </w:rPr>
        <w:t> </w:t>
      </w:r>
      <w:r>
        <w:rPr/>
        <w:t>外币业务和外币报表折算</w:t>
      </w:r>
    </w:p>
    <w:p>
      <w:pPr>
        <w:spacing w:after="0" w:line="355" w:lineRule="auto"/>
        <w:jc w:val="left"/>
        <w:sectPr>
          <w:pgSz w:w="11910" w:h="16840"/>
          <w:pgMar w:header="877" w:footer="938" w:top="1100" w:bottom="1120" w:left="1660" w:right="0"/>
        </w:sectPr>
      </w:pPr>
    </w:p>
    <w:p>
      <w:pPr>
        <w:spacing w:line="240" w:lineRule="auto" w:before="4"/>
        <w:rPr>
          <w:rFonts w:ascii="宋体" w:hAnsi="宋体" w:cs="宋体" w:eastAsia="宋体" w:hint="default"/>
          <w:sz w:val="19"/>
          <w:szCs w:val="19"/>
        </w:rPr>
      </w:pPr>
    </w:p>
    <w:p>
      <w:pPr>
        <w:pStyle w:val="BodyText"/>
        <w:spacing w:line="391" w:lineRule="auto" w:before="35"/>
        <w:ind w:left="558" w:right="1673"/>
        <w:jc w:val="left"/>
      </w:pPr>
      <w:r>
        <w:rPr>
          <w:rFonts w:ascii="宋体" w:hAnsi="宋体" w:cs="宋体" w:eastAsia="宋体" w:hint="default"/>
        </w:rPr>
        <w:t>1.</w:t>
      </w:r>
      <w:r>
        <w:rPr>
          <w:rFonts w:ascii="宋体" w:hAnsi="宋体" w:cs="宋体" w:eastAsia="宋体" w:hint="default"/>
          <w:spacing w:val="-2"/>
        </w:rPr>
        <w:t> </w:t>
      </w:r>
      <w:r>
        <w:rPr/>
        <w:t>外币业务折算 </w:t>
      </w:r>
      <w:r>
        <w:rPr>
          <w:spacing w:val="-5"/>
        </w:rPr>
        <w:t>外币交易在初始确认时，采用交易发生日的即期汇率折算为人民币金额。资产负债表日，</w:t>
      </w:r>
    </w:p>
    <w:p>
      <w:pPr>
        <w:pStyle w:val="BodyText"/>
        <w:spacing w:line="357" w:lineRule="auto" w:before="1"/>
        <w:ind w:left="138" w:right="1794"/>
        <w:jc w:val="both"/>
      </w:pPr>
      <w:r>
        <w:rPr>
          <w:spacing w:val="-3"/>
        </w:rPr>
        <w:t>外币货币性项目采用资产负债表日即期汇率折算，因汇率不同而产生的汇兑差额，除与购建</w:t>
      </w:r>
      <w:r>
        <w:rPr>
          <w:spacing w:val="-75"/>
        </w:rPr>
        <w:t> </w:t>
      </w:r>
      <w:r>
        <w:rPr>
          <w:spacing w:val="-75"/>
        </w:rPr>
      </w:r>
      <w:r>
        <w:rPr>
          <w:spacing w:val="-3"/>
        </w:rPr>
        <w:t>符合资本化条件资产有关的外币专门借款本金及利息的汇兑差额外，计入当期损益；以历史</w:t>
      </w:r>
      <w:r>
        <w:rPr>
          <w:spacing w:val="-75"/>
        </w:rPr>
        <w:t> </w:t>
      </w:r>
      <w:r>
        <w:rPr>
          <w:spacing w:val="-75"/>
        </w:rPr>
      </w:r>
      <w:r>
        <w:rPr>
          <w:spacing w:val="-3"/>
        </w:rPr>
        <w:t>成本计量的外币非货币性项目仍采用交易发生日的即期汇率折算，不改变其人民币金额；以</w:t>
      </w:r>
      <w:r>
        <w:rPr>
          <w:spacing w:val="-75"/>
        </w:rPr>
        <w:t> </w:t>
      </w:r>
      <w:r>
        <w:rPr>
          <w:spacing w:val="-75"/>
        </w:rPr>
      </w:r>
      <w:r>
        <w:rPr>
          <w:spacing w:val="-3"/>
        </w:rPr>
        <w:t>公允价值计量的外币非货币性项目，采用公允价值确定日的即期汇率折算，差额计入当期损</w:t>
      </w:r>
      <w:r>
        <w:rPr>
          <w:spacing w:val="-75"/>
        </w:rPr>
        <w:t> </w:t>
      </w:r>
      <w:r>
        <w:rPr>
          <w:spacing w:val="-75"/>
        </w:rPr>
      </w:r>
      <w:r>
        <w:rPr/>
        <w:t>益或资本公积。</w:t>
      </w:r>
    </w:p>
    <w:p>
      <w:pPr>
        <w:pStyle w:val="BodyText"/>
        <w:spacing w:line="391" w:lineRule="auto" w:before="71"/>
        <w:ind w:left="558" w:right="0"/>
        <w:jc w:val="left"/>
      </w:pPr>
      <w:r>
        <w:rPr>
          <w:rFonts w:ascii="宋体" w:hAnsi="宋体" w:cs="宋体" w:eastAsia="宋体" w:hint="default"/>
        </w:rPr>
        <w:t>2.</w:t>
      </w:r>
      <w:r>
        <w:rPr>
          <w:rFonts w:ascii="宋体" w:hAnsi="宋体" w:cs="宋体" w:eastAsia="宋体" w:hint="default"/>
          <w:spacing w:val="-1"/>
        </w:rPr>
        <w:t> </w:t>
      </w:r>
      <w:r>
        <w:rPr/>
        <w:t>外币财务报表折算 </w:t>
      </w:r>
      <w:r>
        <w:rPr>
          <w:spacing w:val="-3"/>
        </w:rPr>
        <w:t>资产负债表中的资产和负债项目，采用资产负债表日的即期汇率折算；所有者权益项目</w:t>
      </w:r>
    </w:p>
    <w:p>
      <w:pPr>
        <w:pStyle w:val="BodyText"/>
        <w:spacing w:line="357" w:lineRule="auto" w:before="2"/>
        <w:ind w:left="138" w:right="1792"/>
        <w:jc w:val="both"/>
      </w:pPr>
      <w:r>
        <w:rPr>
          <w:spacing w:val="-3"/>
        </w:rPr>
        <w:t>除“未分配利润”项目外，其他项目采用交易发生日的即期汇率折算；利润表中的收入和费</w:t>
      </w:r>
      <w:r>
        <w:rPr>
          <w:spacing w:val="-73"/>
        </w:rPr>
        <w:t> </w:t>
      </w:r>
      <w:r>
        <w:rPr>
          <w:spacing w:val="-73"/>
        </w:rPr>
      </w:r>
      <w:r>
        <w:rPr>
          <w:spacing w:val="-3"/>
        </w:rPr>
        <w:t>用项目，采用交易发生日的即期汇率折算。按照上述折算产生的外币财务报表折算差额，在</w:t>
      </w:r>
      <w:r>
        <w:rPr>
          <w:spacing w:val="-72"/>
        </w:rPr>
        <w:t> </w:t>
      </w:r>
      <w:r>
        <w:rPr>
          <w:spacing w:val="-72"/>
        </w:rPr>
      </w:r>
      <w:r>
        <w:rPr/>
        <w:t>资产负债表中所有者权益项目下单独列示。</w:t>
      </w:r>
    </w:p>
    <w:p>
      <w:pPr>
        <w:pStyle w:val="BodyText"/>
        <w:spacing w:line="240" w:lineRule="auto"/>
        <w:ind w:left="558" w:right="0"/>
        <w:jc w:val="left"/>
      </w:pPr>
      <w:bookmarkStart w:name="(九) 金融工具" w:id="138"/>
      <w:bookmarkEnd w:id="138"/>
      <w:r>
        <w:rPr/>
      </w:r>
      <w:r>
        <w:rPr>
          <w:rFonts w:ascii="宋体" w:hAnsi="宋体" w:cs="宋体" w:eastAsia="宋体" w:hint="default"/>
        </w:rPr>
        <w:t>(</w:t>
      </w:r>
      <w:r>
        <w:rPr/>
        <w:t>九</w:t>
      </w:r>
      <w:r>
        <w:rPr>
          <w:rFonts w:ascii="宋体" w:hAnsi="宋体" w:cs="宋体" w:eastAsia="宋体" w:hint="default"/>
        </w:rPr>
        <w:t>)</w:t>
      </w:r>
      <w:r>
        <w:rPr>
          <w:rFonts w:ascii="宋体" w:hAnsi="宋体" w:cs="宋体" w:eastAsia="宋体" w:hint="default"/>
          <w:spacing w:val="-2"/>
        </w:rPr>
        <w:t> </w:t>
      </w:r>
      <w:r>
        <w:rPr/>
        <w:t>金融工具</w:t>
      </w:r>
    </w:p>
    <w:p>
      <w:pPr>
        <w:pStyle w:val="BodyText"/>
        <w:spacing w:line="355" w:lineRule="auto" w:before="134"/>
        <w:ind w:left="557" w:right="0"/>
        <w:jc w:val="left"/>
      </w:pPr>
      <w:r>
        <w:rPr>
          <w:rFonts w:ascii="宋体" w:hAnsi="宋体" w:cs="宋体" w:eastAsia="宋体" w:hint="default"/>
        </w:rPr>
        <w:t>1.</w:t>
      </w:r>
      <w:r>
        <w:rPr>
          <w:rFonts w:ascii="宋体" w:hAnsi="宋体" w:cs="宋体" w:eastAsia="宋体" w:hint="default"/>
          <w:spacing w:val="-1"/>
        </w:rPr>
        <w:t> </w:t>
      </w:r>
      <w:r>
        <w:rPr/>
        <w:t>金融资产和金融负债的分类 </w:t>
      </w:r>
      <w:r>
        <w:rPr>
          <w:spacing w:val="-3"/>
        </w:rPr>
        <w:t>金融资产在初始确认时划分为以下四类：以公允价值计量且其变动计入当期损益的金融</w:t>
      </w:r>
    </w:p>
    <w:p>
      <w:pPr>
        <w:pStyle w:val="BodyText"/>
        <w:spacing w:line="357" w:lineRule="auto" w:before="32"/>
        <w:ind w:right="1793"/>
        <w:jc w:val="both"/>
      </w:pPr>
      <w:r>
        <w:rPr>
          <w:spacing w:val="-3"/>
        </w:rPr>
        <w:t>资产（包括交易性金融资产和在初始确认时指定为以公允价值计量且其变动计入当期损益的</w:t>
      </w:r>
      <w:r>
        <w:rPr>
          <w:spacing w:val="-73"/>
        </w:rPr>
        <w:t> </w:t>
      </w:r>
      <w:r>
        <w:rPr>
          <w:spacing w:val="-73"/>
        </w:rPr>
      </w:r>
      <w:r>
        <w:rPr/>
        <w:t>金融资产）、持有至到期投资、贷款和应收款项、可供出售金融资产。</w:t>
      </w:r>
    </w:p>
    <w:p>
      <w:pPr>
        <w:pStyle w:val="BodyText"/>
        <w:spacing w:line="357" w:lineRule="auto"/>
        <w:ind w:right="1793" w:firstLine="420"/>
        <w:jc w:val="both"/>
      </w:pPr>
      <w:r>
        <w:rPr>
          <w:spacing w:val="-3"/>
        </w:rPr>
        <w:t>金融负债在初始确认时划分为以下两类：以公允价值计量且其变动计入当期损益的金融</w:t>
      </w:r>
      <w:r>
        <w:rPr/>
        <w:t> </w:t>
      </w:r>
      <w:r>
        <w:rPr>
          <w:spacing w:val="-3"/>
        </w:rPr>
        <w:t>负债（包括交易性金融负债和在初始确认时指定为以公允价值计量且其变动计入当期损益的</w:t>
      </w:r>
      <w:r>
        <w:rPr>
          <w:spacing w:val="-73"/>
        </w:rPr>
        <w:t> </w:t>
      </w:r>
      <w:r>
        <w:rPr>
          <w:spacing w:val="-73"/>
        </w:rPr>
      </w:r>
      <w:r>
        <w:rPr/>
        <w:t>金融负债）、其他金融负债。</w:t>
      </w:r>
    </w:p>
    <w:p>
      <w:pPr>
        <w:pStyle w:val="BodyText"/>
        <w:spacing w:line="355" w:lineRule="auto" w:before="31"/>
        <w:ind w:left="557"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 </w:t>
      </w:r>
      <w:r>
        <w:rPr>
          <w:spacing w:val="-3"/>
        </w:rPr>
        <w:t>公司成为金融工具合同的一方时，确认一项金融资产或金融负债。初始确认金融资产或</w:t>
      </w:r>
    </w:p>
    <w:p>
      <w:pPr>
        <w:pStyle w:val="BodyText"/>
        <w:spacing w:line="357" w:lineRule="auto" w:before="32"/>
        <w:ind w:right="1792"/>
        <w:jc w:val="both"/>
      </w:pPr>
      <w:r>
        <w:rPr>
          <w:spacing w:val="-3"/>
        </w:rPr>
        <w:t>金融负债时，按照公允价值计量；对于以公允价值计量且其变动计入当期损益的金融资产和</w:t>
      </w:r>
      <w:r>
        <w:rPr>
          <w:spacing w:val="-75"/>
        </w:rPr>
        <w:t> </w:t>
      </w:r>
      <w:r>
        <w:rPr>
          <w:spacing w:val="-75"/>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357" w:lineRule="auto" w:before="31"/>
        <w:ind w:left="138" w:right="1688" w:firstLine="420"/>
        <w:jc w:val="left"/>
      </w:pPr>
      <w:r>
        <w:rPr>
          <w:spacing w:val="-3"/>
        </w:rPr>
        <w:t>公司按照公允价值对金融资产进行后续计量，且不扣除将来处置该金融资产时可能发生</w:t>
      </w:r>
      <w:r>
        <w:rPr/>
        <w:t> 的交易费用，但下列情况除外：</w:t>
      </w:r>
      <w:r>
        <w:rPr>
          <w:rFonts w:ascii="宋体" w:hAnsi="宋体" w:cs="宋体" w:eastAsia="宋体" w:hint="default"/>
        </w:rPr>
        <w:t>(1)</w:t>
      </w:r>
      <w:r>
        <w:rPr>
          <w:rFonts w:ascii="宋体" w:hAnsi="宋体" w:cs="宋体" w:eastAsia="宋体" w:hint="default"/>
          <w:spacing w:val="-2"/>
        </w:rPr>
        <w:t> </w:t>
      </w:r>
      <w:r>
        <w:rPr/>
        <w:t>持有至到期投资以及贷款和应收款项采用实际利率法， 按摊余成本计量；</w:t>
      </w:r>
      <w:r>
        <w:rPr>
          <w:rFonts w:ascii="宋体" w:hAnsi="宋体" w:cs="宋体" w:eastAsia="宋体" w:hint="default"/>
        </w:rPr>
        <w:t>(2) </w:t>
      </w:r>
      <w:r>
        <w:rPr/>
        <w:t>在活跃市场中没有报价且其公允价值不能可靠计量的权益工具投资， 以及与该权益工具挂钩并须通过交付该权益工具结算的衍生金融资产，按照成本计量。</w:t>
      </w:r>
    </w:p>
    <w:p>
      <w:pPr>
        <w:pStyle w:val="BodyText"/>
        <w:spacing w:line="357" w:lineRule="auto"/>
        <w:ind w:right="1792" w:firstLine="420"/>
        <w:jc w:val="both"/>
      </w:pPr>
      <w:r>
        <w:rPr>
          <w:spacing w:val="-3"/>
        </w:rPr>
        <w:t>公司采用实际利率法，按摊余成本对金融负债进行后续计量，但下列情况除外：</w:t>
      </w:r>
      <w:r>
        <w:rPr>
          <w:rFonts w:ascii="宋体" w:hAnsi="宋体" w:cs="宋体" w:eastAsia="宋体" w:hint="default"/>
          <w:spacing w:val="-3"/>
        </w:rPr>
        <w:t>(1)</w:t>
      </w:r>
      <w:r>
        <w:rPr>
          <w:rFonts w:ascii="宋体" w:hAnsi="宋体" w:cs="宋体" w:eastAsia="宋体" w:hint="default"/>
          <w:spacing w:val="25"/>
        </w:rPr>
        <w:t> </w:t>
      </w:r>
      <w:r>
        <w:rPr/>
        <w:t>以 </w:t>
      </w:r>
      <w:r>
        <w:rPr>
          <w:spacing w:val="-3"/>
        </w:rPr>
        <w:t>公允价值计量且其变动计入当期损益的金融负债，按照公允价值计量，且不扣除将来结清金</w:t>
      </w:r>
      <w:r>
        <w:rPr>
          <w:spacing w:val="-75"/>
        </w:rPr>
        <w:t> </w:t>
      </w:r>
      <w:r>
        <w:rPr>
          <w:spacing w:val="-75"/>
        </w:rPr>
      </w:r>
      <w:r>
        <w:rPr>
          <w:spacing w:val="-3"/>
        </w:rPr>
        <w:t>融负债时可能发生的交易费用；</w:t>
      </w:r>
      <w:r>
        <w:rPr>
          <w:rFonts w:ascii="宋体" w:hAnsi="宋体" w:cs="宋体" w:eastAsia="宋体" w:hint="default"/>
          <w:spacing w:val="-3"/>
        </w:rPr>
        <w:t>(2)</w:t>
      </w:r>
      <w:r>
        <w:rPr>
          <w:rFonts w:ascii="宋体" w:hAnsi="宋体" w:cs="宋体" w:eastAsia="宋体" w:hint="default"/>
          <w:spacing w:val="-36"/>
        </w:rPr>
        <w:t> </w:t>
      </w:r>
      <w:r>
        <w:rPr/>
        <w:t>与在活跃市场中没有报价、公允价值不能可靠计量的权 </w:t>
      </w:r>
      <w:r>
        <w:rPr>
          <w:spacing w:val="-3"/>
        </w:rPr>
        <w:t>益工具挂钩并须通过交付该权益工具结算的衍生金融负债，按照成本计量；</w:t>
      </w:r>
      <w:r>
        <w:rPr>
          <w:rFonts w:ascii="宋体" w:hAnsi="宋体" w:cs="宋体" w:eastAsia="宋体" w:hint="default"/>
          <w:spacing w:val="-3"/>
        </w:rPr>
        <w:t>(3)</w:t>
      </w:r>
      <w:r>
        <w:rPr>
          <w:rFonts w:ascii="宋体" w:hAnsi="宋体" w:cs="宋体" w:eastAsia="宋体" w:hint="default"/>
          <w:spacing w:val="16"/>
        </w:rPr>
        <w:t> </w:t>
      </w:r>
      <w:r>
        <w:rPr/>
        <w:t>不属于指定 </w:t>
      </w:r>
      <w:r>
        <w:rPr>
          <w:spacing w:val="-3"/>
        </w:rPr>
        <w:t>为以公允价值计量且其变动计入当期损益的金融负债的财务担保合同，或没有指定为以公允</w:t>
      </w:r>
    </w:p>
    <w:p>
      <w:pPr>
        <w:spacing w:after="0" w:line="357" w:lineRule="auto"/>
        <w:jc w:val="both"/>
        <w:sectPr>
          <w:footerReference w:type="default" r:id="rId28"/>
          <w:pgSz w:w="11910" w:h="16840"/>
          <w:pgMar w:footer="938" w:header="877"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right="1793"/>
        <w:jc w:val="both"/>
      </w:pPr>
      <w:r>
        <w:rPr>
          <w:spacing w:val="-3"/>
        </w:rPr>
        <w:t>价值计量且其变动计入当期损益并将以低于市场利率贷款的贷款承诺，在初始确认后按照下</w:t>
      </w:r>
      <w:r>
        <w:rPr>
          <w:spacing w:val="-73"/>
        </w:rPr>
        <w:t> </w:t>
      </w:r>
      <w:r>
        <w:rPr>
          <w:spacing w:val="-73"/>
        </w:rPr>
      </w:r>
      <w:r>
        <w:rPr/>
        <w:t>列两项金额之中的较高者进行后续计量：</w:t>
      </w:r>
      <w:r>
        <w:rPr>
          <w:rFonts w:ascii="宋体" w:hAnsi="宋体" w:cs="宋体" w:eastAsia="宋体" w:hint="default"/>
        </w:rPr>
        <w:t>1)</w:t>
      </w:r>
      <w:r>
        <w:rPr>
          <w:rFonts w:ascii="宋体" w:hAnsi="宋体" w:cs="宋体" w:eastAsia="宋体" w:hint="default"/>
          <w:spacing w:val="-7"/>
        </w:rPr>
        <w:t> </w:t>
      </w:r>
      <w:r>
        <w:rPr>
          <w:spacing w:val="-4"/>
        </w:rPr>
        <w:t>按照《企业会计准则第</w:t>
      </w:r>
      <w:r>
        <w:rPr>
          <w:spacing w:val="-57"/>
        </w:rPr>
        <w:t> </w:t>
      </w:r>
      <w:r>
        <w:rPr>
          <w:rFonts w:ascii="宋体" w:hAnsi="宋体" w:cs="宋体" w:eastAsia="宋体" w:hint="default"/>
        </w:rPr>
        <w:t>13</w:t>
      </w:r>
      <w:r>
        <w:rPr>
          <w:rFonts w:ascii="宋体" w:hAnsi="宋体" w:cs="宋体" w:eastAsia="宋体" w:hint="default"/>
          <w:spacing w:val="-57"/>
        </w:rPr>
        <w:t> </w:t>
      </w:r>
      <w:r>
        <w:rPr>
          <w:spacing w:val="-4"/>
        </w:rPr>
        <w:t>号——或有事项》确</w:t>
      </w:r>
      <w:r>
        <w:rPr/>
        <w:t> </w:t>
      </w:r>
      <w:r>
        <w:rPr>
          <w:spacing w:val="-5"/>
        </w:rPr>
        <w:t>定的金额；</w:t>
      </w:r>
      <w:r>
        <w:rPr>
          <w:rFonts w:ascii="宋体" w:hAnsi="宋体" w:cs="宋体" w:eastAsia="宋体" w:hint="default"/>
          <w:spacing w:val="-5"/>
        </w:rPr>
        <w:t>2)</w:t>
      </w:r>
      <w:r>
        <w:rPr>
          <w:rFonts w:ascii="宋体" w:hAnsi="宋体" w:cs="宋体" w:eastAsia="宋体" w:hint="default"/>
          <w:spacing w:val="-7"/>
        </w:rPr>
        <w:t> </w:t>
      </w:r>
      <w:r>
        <w:rPr/>
        <w:t>初始确认金额扣除按照《企业会计准则第</w:t>
      </w:r>
      <w:r>
        <w:rPr>
          <w:spacing w:val="-56"/>
        </w:rPr>
        <w:t> </w:t>
      </w:r>
      <w:r>
        <w:rPr>
          <w:rFonts w:ascii="宋体" w:hAnsi="宋体" w:cs="宋体" w:eastAsia="宋体" w:hint="default"/>
        </w:rPr>
        <w:t>14</w:t>
      </w:r>
      <w:r>
        <w:rPr>
          <w:rFonts w:ascii="宋体" w:hAnsi="宋体" w:cs="宋体" w:eastAsia="宋体" w:hint="default"/>
          <w:spacing w:val="-57"/>
        </w:rPr>
        <w:t> </w:t>
      </w:r>
      <w:r>
        <w:rPr>
          <w:spacing w:val="-3"/>
        </w:rPr>
        <w:t>号——收入》的原则确定的累积</w:t>
      </w:r>
      <w:r>
        <w:rPr/>
        <w:t> 摊销额后的余额。</w:t>
      </w:r>
    </w:p>
    <w:p>
      <w:pPr>
        <w:pStyle w:val="BodyText"/>
        <w:spacing w:line="357" w:lineRule="auto" w:before="71"/>
        <w:ind w:left="138" w:right="1792" w:firstLine="420"/>
        <w:jc w:val="both"/>
      </w:pPr>
      <w:r>
        <w:rPr>
          <w:spacing w:val="-3"/>
        </w:rPr>
        <w:t>金融资产或金融负债公允价值变动形成的利得或损失，除与套期保值有关外，按照如下</w:t>
      </w:r>
      <w:r>
        <w:rPr/>
        <w:t> </w:t>
      </w:r>
      <w:r>
        <w:rPr>
          <w:spacing w:val="-11"/>
        </w:rPr>
        <w:t>方法处理：</w:t>
      </w:r>
      <w:r>
        <w:rPr>
          <w:rFonts w:ascii="宋体" w:hAnsi="宋体" w:cs="宋体" w:eastAsia="宋体" w:hint="default"/>
          <w:spacing w:val="-11"/>
        </w:rPr>
        <w:t>(1)</w:t>
      </w:r>
      <w:r>
        <w:rPr>
          <w:rFonts w:ascii="宋体" w:hAnsi="宋体" w:cs="宋体" w:eastAsia="宋体" w:hint="default"/>
          <w:spacing w:val="29"/>
        </w:rPr>
        <w:t> </w:t>
      </w:r>
      <w:r>
        <w:rPr>
          <w:spacing w:val="-1"/>
        </w:rPr>
        <w:t>以公允价值计量且其变动计入当期损益的金融资产或金融负债公允价值变动</w:t>
      </w:r>
      <w:r>
        <w:rPr>
          <w:spacing w:val="-103"/>
        </w:rPr>
        <w:t> </w:t>
      </w:r>
      <w:r>
        <w:rPr>
          <w:spacing w:val="-103"/>
        </w:rPr>
      </w:r>
      <w:r>
        <w:rPr>
          <w:spacing w:val="-3"/>
        </w:rPr>
        <w:t>形成的利得或损失，计入公允价值变动收益；在资产持有期间所取得的利息或现金股利，确</w:t>
      </w:r>
      <w:r>
        <w:rPr>
          <w:spacing w:val="-72"/>
        </w:rPr>
        <w:t> </w:t>
      </w:r>
      <w:r>
        <w:rPr>
          <w:spacing w:val="-72"/>
        </w:rPr>
      </w:r>
      <w:r>
        <w:rPr>
          <w:spacing w:val="-3"/>
        </w:rPr>
        <w:t>认为投资收益；处置时，将实际收到的金额与初始入账金额之间的差额确认为投资收益，同</w:t>
      </w:r>
      <w:r>
        <w:rPr>
          <w:spacing w:val="-74"/>
        </w:rPr>
        <w:t> </w:t>
      </w:r>
      <w:r>
        <w:rPr>
          <w:spacing w:val="-74"/>
        </w:rPr>
      </w:r>
      <w:r>
        <w:rPr>
          <w:spacing w:val="-3"/>
        </w:rPr>
        <w:t>时调整公允价值变动收益。</w:t>
      </w:r>
      <w:r>
        <w:rPr>
          <w:rFonts w:ascii="宋体" w:hAnsi="宋体" w:cs="宋体" w:eastAsia="宋体" w:hint="default"/>
          <w:spacing w:val="-3"/>
        </w:rPr>
        <w:t>(2)</w:t>
      </w:r>
      <w:r>
        <w:rPr>
          <w:rFonts w:ascii="宋体" w:hAnsi="宋体" w:cs="宋体" w:eastAsia="宋体" w:hint="default"/>
          <w:spacing w:val="-42"/>
        </w:rPr>
        <w:t> </w:t>
      </w:r>
      <w:r>
        <w:rPr/>
        <w:t>可供出售金融资产的公允价值变动计入其他综合收益；持有 </w:t>
      </w:r>
      <w:r>
        <w:rPr>
          <w:spacing w:val="-3"/>
        </w:rPr>
        <w:t>期间按实际利率法计算的利息，计入投资收益；可供出售权益工具投资的现金股利，于被投</w:t>
      </w:r>
      <w:r>
        <w:rPr>
          <w:spacing w:val="-72"/>
        </w:rPr>
        <w:t> </w:t>
      </w:r>
      <w:r>
        <w:rPr>
          <w:spacing w:val="-72"/>
        </w:rPr>
      </w:r>
      <w:r>
        <w:rPr>
          <w:spacing w:val="-3"/>
        </w:rPr>
        <w:t>资单位宣告发放股利时计入投资收益；处置时，将实际收到的金额与账面价值扣除原直接计</w:t>
      </w:r>
      <w:r>
        <w:rPr>
          <w:spacing w:val="-74"/>
        </w:rPr>
        <w:t> </w:t>
      </w:r>
      <w:r>
        <w:rPr>
          <w:spacing w:val="-74"/>
        </w:rPr>
      </w:r>
      <w:r>
        <w:rPr/>
        <w:t>入其他综合收益的公允价值变动累计额之后的差额确认为投资收益。</w:t>
      </w:r>
    </w:p>
    <w:p>
      <w:pPr>
        <w:pStyle w:val="BodyText"/>
        <w:spacing w:line="357" w:lineRule="auto" w:before="71"/>
        <w:ind w:left="138" w:right="1792" w:firstLine="420"/>
        <w:jc w:val="both"/>
      </w:pPr>
      <w:r>
        <w:rPr>
          <w:spacing w:val="2"/>
        </w:rPr>
        <w:t>当收取某项金融资产现金流量的合同权利已终止或该金融资产所有权上几乎所有的风</w:t>
      </w:r>
      <w:r>
        <w:rPr/>
        <w:t> </w:t>
      </w:r>
      <w:r>
        <w:rPr>
          <w:spacing w:val="-3"/>
        </w:rPr>
        <w:t>险和报酬已转移时，终止确认该金融资产；当金融负债的现时义务全部或部分解除时，相应</w:t>
      </w:r>
      <w:r>
        <w:rPr>
          <w:spacing w:val="-72"/>
        </w:rPr>
        <w:t> </w:t>
      </w:r>
      <w:r>
        <w:rPr>
          <w:spacing w:val="-72"/>
        </w:rPr>
      </w:r>
      <w:r>
        <w:rPr/>
        <w:t>终止确认该金融负债或其一部分。</w:t>
      </w:r>
    </w:p>
    <w:p>
      <w:pPr>
        <w:pStyle w:val="BodyText"/>
        <w:spacing w:line="357" w:lineRule="auto" w:before="70"/>
        <w:ind w:left="557"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 </w:t>
      </w:r>
      <w:r>
        <w:rPr>
          <w:spacing w:val="-3"/>
        </w:rPr>
        <w:t>公司已将金融资产所有权上几乎所有的风险和报酬转移给了转入方的，终止确认该金融</w:t>
      </w:r>
    </w:p>
    <w:p>
      <w:pPr>
        <w:pStyle w:val="BodyText"/>
        <w:spacing w:line="357" w:lineRule="auto"/>
        <w:ind w:right="1792"/>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spacing w:val="-3"/>
        </w:rPr>
        <w:t>的风险和报酬的，分别下列情况处理：</w:t>
      </w:r>
      <w:r>
        <w:rPr>
          <w:rFonts w:ascii="宋体" w:hAnsi="宋体" w:cs="宋体" w:eastAsia="宋体" w:hint="default"/>
          <w:spacing w:val="-3"/>
        </w:rPr>
        <w:t>(1)</w:t>
      </w:r>
      <w:r>
        <w:rPr>
          <w:rFonts w:ascii="宋体" w:hAnsi="宋体" w:cs="宋体" w:eastAsia="宋体" w:hint="default"/>
          <w:spacing w:val="-26"/>
        </w:rPr>
        <w:t> </w:t>
      </w:r>
      <w:r>
        <w:rPr/>
        <w:t>放弃了对该金融资产控制的，终止确认该金融资 </w:t>
      </w:r>
      <w:r>
        <w:rPr>
          <w:spacing w:val="-9"/>
        </w:rPr>
        <w:t>产；</w:t>
      </w:r>
      <w:r>
        <w:rPr>
          <w:rFonts w:ascii="宋体" w:hAnsi="宋体" w:cs="宋体" w:eastAsia="宋体" w:hint="default"/>
          <w:spacing w:val="-9"/>
        </w:rPr>
        <w:t>(2)</w:t>
      </w:r>
      <w:r>
        <w:rPr>
          <w:rFonts w:ascii="宋体" w:hAnsi="宋体" w:cs="宋体" w:eastAsia="宋体" w:hint="default"/>
          <w:spacing w:val="-42"/>
        </w:rPr>
        <w:t> </w:t>
      </w:r>
      <w:r>
        <w:rPr/>
        <w:t>未放弃对该金融资产控制的，按照继续涉入所转移金融资产的程度确认有关金融资 产，并相应确认有关负债。</w:t>
      </w:r>
    </w:p>
    <w:p>
      <w:pPr>
        <w:pStyle w:val="BodyText"/>
        <w:spacing w:line="357" w:lineRule="auto"/>
        <w:ind w:right="1692" w:firstLine="420"/>
        <w:jc w:val="left"/>
      </w:pPr>
      <w:r>
        <w:rPr>
          <w:spacing w:val="-3"/>
        </w:rPr>
        <w:t>金融资产整体转移满足终止确认条件的，将下列两项金额的差额计入当期损益：</w:t>
      </w:r>
      <w:r>
        <w:rPr>
          <w:rFonts w:ascii="宋体" w:hAnsi="宋体" w:cs="宋体" w:eastAsia="宋体" w:hint="default"/>
          <w:spacing w:val="-3"/>
        </w:rPr>
        <w:t>(1)</w:t>
      </w:r>
      <w:r>
        <w:rPr>
          <w:rFonts w:ascii="宋体" w:hAnsi="宋体" w:cs="宋体" w:eastAsia="宋体" w:hint="default"/>
          <w:spacing w:val="11"/>
        </w:rPr>
        <w:t> </w:t>
      </w:r>
      <w:r>
        <w:rPr/>
        <w:t>所 </w:t>
      </w:r>
      <w:r>
        <w:rPr>
          <w:spacing w:val="-3"/>
        </w:rPr>
        <w:t>转移金融资产的账面价值；</w:t>
      </w:r>
      <w:r>
        <w:rPr>
          <w:rFonts w:ascii="宋体" w:hAnsi="宋体" w:cs="宋体" w:eastAsia="宋体" w:hint="default"/>
          <w:spacing w:val="-3"/>
        </w:rPr>
        <w:t>(2)</w:t>
      </w:r>
      <w:r>
        <w:rPr>
          <w:rFonts w:ascii="宋体" w:hAnsi="宋体" w:cs="宋体" w:eastAsia="宋体" w:hint="default"/>
          <w:spacing w:val="-24"/>
        </w:rPr>
        <w:t> </w:t>
      </w:r>
      <w:r>
        <w:rPr/>
        <w:t>因转移而收到的对价，与原直接计入所有者权益的公允价值 </w:t>
      </w:r>
      <w:r>
        <w:rPr>
          <w:spacing w:val="-3"/>
        </w:rPr>
        <w:t>变动累计额之和。金融资产部分转移满足终止确认条件的，将所转移金融资产整体的账面价</w:t>
      </w:r>
      <w:r>
        <w:rPr>
          <w:spacing w:val="-75"/>
        </w:rPr>
        <w:t> </w:t>
      </w:r>
      <w:r>
        <w:rPr>
          <w:spacing w:val="-75"/>
        </w:rPr>
      </w:r>
      <w:r>
        <w:rPr>
          <w:spacing w:val="-3"/>
        </w:rPr>
        <w:t>值，在终止确认部分和未终止确认部分之间，按照各自的相对公允价值进行分摊，并将下列</w:t>
      </w:r>
      <w:r>
        <w:rPr>
          <w:spacing w:val="-72"/>
        </w:rPr>
        <w:t> </w:t>
      </w:r>
      <w:r>
        <w:rPr>
          <w:spacing w:val="-72"/>
        </w:rPr>
      </w:r>
      <w:r>
        <w:rPr/>
        <w:t>两项金额的差额计入当期损益：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3"/>
        </w:rPr>
        <w:t> </w:t>
      </w:r>
      <w:r>
        <w:rPr/>
        <w:t>终止确认部分的对价， 与原直接计入所有者权益的公允价值变动累计额中对应终止确认部分的金额之和。</w:t>
      </w:r>
    </w:p>
    <w:p>
      <w:pPr>
        <w:pStyle w:val="BodyText"/>
        <w:spacing w:line="391" w:lineRule="auto"/>
        <w:ind w:left="557"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 </w:t>
      </w:r>
      <w:r>
        <w:rPr>
          <w:spacing w:val="2"/>
        </w:rPr>
        <w:t>公司采用在当前情况下适用并且有足够可利用数据和其他信息支持的估值技术确定相</w:t>
      </w:r>
    </w:p>
    <w:p>
      <w:pPr>
        <w:pStyle w:val="BodyText"/>
        <w:spacing w:line="391" w:lineRule="auto" w:before="2"/>
        <w:ind w:left="557" w:right="1684" w:hanging="420"/>
        <w:jc w:val="left"/>
      </w:pPr>
      <w:r>
        <w:rPr>
          <w:spacing w:val="-5"/>
        </w:rPr>
        <w:t>关金融资产和金融负债的公允价值。公司将估值技术使用的输入值分以下层级，并依次使用：</w:t>
      </w:r>
      <w:r>
        <w:rPr>
          <w:spacing w:val="-92"/>
        </w:rPr>
        <w:t> </w:t>
      </w:r>
      <w:r>
        <w:rPr>
          <w:spacing w:val="-92"/>
        </w:rPr>
      </w:r>
      <w:r>
        <w:rPr>
          <w:rFonts w:ascii="宋体" w:hAnsi="宋体" w:cs="宋体" w:eastAsia="宋体" w:hint="default"/>
        </w:rPr>
        <w:t>(1)</w:t>
      </w:r>
      <w:r>
        <w:rPr>
          <w:rFonts w:ascii="宋体" w:hAnsi="宋体" w:cs="宋体" w:eastAsia="宋体" w:hint="default"/>
          <w:spacing w:val="30"/>
        </w:rPr>
        <w:t> </w:t>
      </w:r>
      <w:r>
        <w:rPr>
          <w:spacing w:val="2"/>
        </w:rPr>
        <w:t>第一层次输入值是在计量日能够取得的相同资产或负债在活跃市场上未经调整的</w:t>
      </w:r>
    </w:p>
    <w:p>
      <w:pPr>
        <w:pStyle w:val="BodyText"/>
        <w:spacing w:line="240" w:lineRule="auto" w:before="1"/>
        <w:ind w:right="0"/>
        <w:jc w:val="both"/>
      </w:pPr>
      <w:r>
        <w:rPr/>
        <w:t>报价；</w:t>
      </w:r>
    </w:p>
    <w:p>
      <w:pPr>
        <w:spacing w:after="0" w:line="240" w:lineRule="auto"/>
        <w:jc w:val="both"/>
        <w:sectPr>
          <w:footerReference w:type="default" r:id="rId29"/>
          <w:pgSz w:w="11910" w:h="16840"/>
          <w:pgMar w:footer="938" w:header="877" w:top="1100" w:bottom="1120" w:left="1660" w:right="0"/>
          <w:pgNumType w:start="101"/>
        </w:sectPr>
      </w:pPr>
    </w:p>
    <w:p>
      <w:pPr>
        <w:spacing w:line="240" w:lineRule="auto" w:before="2"/>
        <w:rPr>
          <w:rFonts w:ascii="宋体" w:hAnsi="宋体" w:cs="宋体" w:eastAsia="宋体" w:hint="default"/>
          <w:sz w:val="19"/>
          <w:szCs w:val="19"/>
        </w:rPr>
      </w:pPr>
    </w:p>
    <w:p>
      <w:pPr>
        <w:pStyle w:val="BodyText"/>
        <w:spacing w:line="357" w:lineRule="auto" w:before="35"/>
        <w:ind w:left="138" w:right="1683" w:firstLine="420"/>
        <w:jc w:val="left"/>
      </w:pPr>
      <w:r>
        <w:rPr>
          <w:rFonts w:ascii="宋体" w:hAnsi="宋体" w:cs="宋体" w:eastAsia="宋体" w:hint="default"/>
        </w:rPr>
        <w:t>(2)</w:t>
      </w:r>
      <w:r>
        <w:rPr>
          <w:rFonts w:ascii="宋体" w:hAnsi="宋体" w:cs="宋体" w:eastAsia="宋体" w:hint="default"/>
          <w:spacing w:val="16"/>
        </w:rPr>
        <w:t> </w:t>
      </w:r>
      <w:r>
        <w:rPr>
          <w:spacing w:val="2"/>
        </w:rPr>
        <w:t>第二层次输入值是除第一层次输入值外相关资产或负债直接或间接可观察的输入</w:t>
      </w:r>
      <w:r>
        <w:rPr/>
        <w:t> </w:t>
      </w:r>
      <w:r>
        <w:rPr>
          <w:spacing w:val="-5"/>
        </w:rPr>
        <w:t>值，包括：活跃市场中类似资产或负债的报价；非活跃市场中相同或类似资产或负债的报价；</w:t>
      </w:r>
      <w:r>
        <w:rPr>
          <w:spacing w:val="-94"/>
        </w:rPr>
        <w:t> </w:t>
      </w:r>
      <w:r>
        <w:rPr>
          <w:spacing w:val="-94"/>
        </w:rPr>
      </w:r>
      <w:r>
        <w:rPr>
          <w:spacing w:val="-3"/>
        </w:rPr>
        <w:t>除报价以外的其他可观察输入值，如在正常报价间隔期间可观察的利率和收益率曲线等；市</w:t>
      </w:r>
      <w:r>
        <w:rPr>
          <w:spacing w:val="-75"/>
        </w:rPr>
        <w:t> </w:t>
      </w:r>
      <w:r>
        <w:rPr>
          <w:spacing w:val="-75"/>
        </w:rPr>
      </w:r>
      <w:r>
        <w:rPr/>
        <w:t>场验证的输入值等；</w:t>
      </w:r>
    </w:p>
    <w:p>
      <w:pPr>
        <w:pStyle w:val="BodyText"/>
        <w:spacing w:line="357" w:lineRule="auto" w:before="71"/>
        <w:ind w:left="138" w:right="1792" w:firstLine="420"/>
        <w:jc w:val="both"/>
      </w:pPr>
      <w:r>
        <w:rPr>
          <w:rFonts w:ascii="宋体" w:hAnsi="宋体" w:cs="宋体" w:eastAsia="宋体" w:hint="default"/>
        </w:rPr>
        <w:t>(3)</w:t>
      </w:r>
      <w:r>
        <w:rPr>
          <w:rFonts w:ascii="宋体" w:hAnsi="宋体" w:cs="宋体" w:eastAsia="宋体" w:hint="default"/>
          <w:spacing w:val="17"/>
        </w:rPr>
        <w:t> </w:t>
      </w:r>
      <w:r>
        <w:rPr>
          <w:spacing w:val="-3"/>
        </w:rPr>
        <w:t>第三层次输入值是相关资产或负债的不可观察输入值，包括不能直接观察或无法由</w:t>
      </w:r>
      <w:r>
        <w:rPr/>
        <w:t> </w:t>
      </w:r>
      <w:r>
        <w:rPr>
          <w:spacing w:val="-3"/>
        </w:rPr>
        <w:t>可观察市场数据验证的利率、股票波动率、企业合并中承担的弃置义务的未来现金流量、使</w:t>
      </w:r>
      <w:r>
        <w:rPr>
          <w:spacing w:val="-72"/>
        </w:rPr>
        <w:t> </w:t>
      </w:r>
      <w:r>
        <w:rPr>
          <w:spacing w:val="-72"/>
        </w:rPr>
      </w:r>
      <w:r>
        <w:rPr/>
        <w:t>用自身数据做出的财务预测等。</w:t>
      </w:r>
    </w:p>
    <w:p>
      <w:pPr>
        <w:pStyle w:val="BodyText"/>
        <w:spacing w:line="240" w:lineRule="auto" w:before="71"/>
        <w:ind w:left="558" w:right="0"/>
        <w:jc w:val="left"/>
      </w:pPr>
      <w:r>
        <w:rPr>
          <w:rFonts w:ascii="宋体" w:hAnsi="宋体" w:cs="宋体" w:eastAsia="宋体" w:hint="default"/>
        </w:rPr>
        <w:t>5.</w:t>
      </w:r>
      <w:r>
        <w:rPr>
          <w:rFonts w:ascii="宋体" w:hAnsi="宋体" w:cs="宋体" w:eastAsia="宋体" w:hint="default"/>
          <w:spacing w:val="-2"/>
        </w:rPr>
        <w:t> </w:t>
      </w:r>
      <w:r>
        <w:rPr/>
        <w:t>金融资产的减值测试和减值准备计提方法</w:t>
      </w:r>
    </w:p>
    <w:p>
      <w:pPr>
        <w:pStyle w:val="BodyText"/>
        <w:spacing w:line="357" w:lineRule="auto" w:before="133"/>
        <w:ind w:right="0" w:firstLine="420"/>
        <w:jc w:val="left"/>
      </w:pPr>
      <w:r>
        <w:rPr>
          <w:rFonts w:ascii="宋体" w:hAnsi="宋体" w:cs="宋体" w:eastAsia="宋体" w:hint="default"/>
        </w:rPr>
        <w:t>(1)</w:t>
      </w:r>
      <w:r>
        <w:rPr>
          <w:rFonts w:ascii="宋体" w:hAnsi="宋体" w:cs="宋体" w:eastAsia="宋体" w:hint="default"/>
          <w:spacing w:val="26"/>
        </w:rPr>
        <w:t> </w:t>
      </w:r>
      <w:r>
        <w:rPr>
          <w:spacing w:val="2"/>
        </w:rPr>
        <w:t>资产负债表日对以公允价值计量且其变动计入当期损益的金融资产以外的金融资</w:t>
      </w:r>
      <w:r>
        <w:rPr/>
        <w:t> 产的账面价值进行检查，如有客观证据表明该金融资产发生减值的，计提减值准备。</w:t>
      </w:r>
    </w:p>
    <w:p>
      <w:pPr>
        <w:pStyle w:val="BodyText"/>
        <w:spacing w:line="357" w:lineRule="auto"/>
        <w:ind w:right="1793" w:firstLine="420"/>
        <w:jc w:val="both"/>
      </w:pPr>
      <w:r>
        <w:rPr>
          <w:rFonts w:ascii="宋体" w:hAnsi="宋体" w:cs="宋体" w:eastAsia="宋体" w:hint="default"/>
        </w:rPr>
        <w:t>(2)</w:t>
      </w:r>
      <w:r>
        <w:rPr>
          <w:rFonts w:ascii="宋体" w:hAnsi="宋体" w:cs="宋体" w:eastAsia="宋体" w:hint="default"/>
          <w:spacing w:val="15"/>
        </w:rPr>
        <w:t> </w:t>
      </w:r>
      <w:r>
        <w:rPr>
          <w:spacing w:val="-3"/>
        </w:rPr>
        <w:t>对单项金额重大的金融资产单独进行减值测试；对单项金额不重大的金融资产，可</w:t>
      </w:r>
      <w:r>
        <w:rPr/>
        <w:t> </w:t>
      </w:r>
      <w:r>
        <w:rPr>
          <w:spacing w:val="-3"/>
        </w:rPr>
        <w:t>以单独进行减值测试，或包括在具有类似信用风险特征的金融资产组合中进行减值测试；单</w:t>
      </w:r>
      <w:r>
        <w:rPr>
          <w:spacing w:val="-75"/>
        </w:rPr>
        <w:t> </w:t>
      </w:r>
      <w:r>
        <w:rPr>
          <w:spacing w:val="-75"/>
        </w:rPr>
      </w:r>
      <w:r>
        <w:rPr>
          <w:spacing w:val="-3"/>
        </w:rPr>
        <w:t>独测试未发生减值的金融资产（包括单项金额重大和不重大的金融资产），包括在具有类似</w:t>
      </w:r>
      <w:r>
        <w:rPr>
          <w:spacing w:val="-74"/>
        </w:rPr>
        <w:t> </w:t>
      </w:r>
      <w:r>
        <w:rPr>
          <w:spacing w:val="-74"/>
        </w:rPr>
      </w:r>
      <w:r>
        <w:rPr/>
        <w:t>信用风险特征的金融资产组合中再进行减值测试。</w:t>
      </w:r>
    </w:p>
    <w:p>
      <w:pPr>
        <w:pStyle w:val="BodyText"/>
        <w:spacing w:line="357" w:lineRule="auto" w:before="31"/>
        <w:ind w:right="1793" w:firstLine="420"/>
        <w:jc w:val="both"/>
      </w:pPr>
      <w:r>
        <w:rPr>
          <w:rFonts w:ascii="宋体" w:hAnsi="宋体" w:cs="宋体" w:eastAsia="宋体" w:hint="default"/>
        </w:rPr>
        <w:t>(3)</w:t>
      </w:r>
      <w:r>
        <w:rPr>
          <w:rFonts w:ascii="宋体" w:hAnsi="宋体" w:cs="宋体" w:eastAsia="宋体" w:hint="default"/>
          <w:spacing w:val="15"/>
        </w:rPr>
        <w:t> </w:t>
      </w:r>
      <w:r>
        <w:rPr>
          <w:spacing w:val="-3"/>
        </w:rPr>
        <w:t>按摊余成本计量的金融资产，期末有客观证据表明其发生了减值的，根据其账面价</w:t>
      </w:r>
      <w:r>
        <w:rPr/>
        <w:t> </w:t>
      </w:r>
      <w:r>
        <w:rPr>
          <w:spacing w:val="-3"/>
        </w:rPr>
        <w:t>值高于预计未来现金流量现值之间的差额确认减值损失。在活跃市场中没有报价且其公允价</w:t>
      </w:r>
      <w:r>
        <w:rPr>
          <w:spacing w:val="-73"/>
        </w:rPr>
        <w:t> </w:t>
      </w:r>
      <w:r>
        <w:rPr>
          <w:spacing w:val="-73"/>
        </w:rPr>
      </w:r>
      <w:r>
        <w:rPr>
          <w:spacing w:val="-3"/>
        </w:rPr>
        <w:t>值不能可靠计量的权益工具投资，或与该权益工具挂钩并须通过交付该权益工具结算的衍生</w:t>
      </w:r>
      <w:r>
        <w:rPr>
          <w:spacing w:val="-73"/>
        </w:rPr>
        <w:t> </w:t>
      </w:r>
      <w:r>
        <w:rPr>
          <w:spacing w:val="-73"/>
        </w:rPr>
      </w:r>
      <w:r>
        <w:rPr>
          <w:spacing w:val="-3"/>
        </w:rPr>
        <w:t>金融资产发生减值时，将该权益工具投资或衍生金融资产的账面价值，高于按照类似金融资</w:t>
      </w:r>
      <w:r>
        <w:rPr>
          <w:spacing w:val="-75"/>
        </w:rPr>
        <w:t> </w:t>
      </w:r>
      <w:r>
        <w:rPr>
          <w:spacing w:val="-75"/>
        </w:rPr>
      </w:r>
      <w:r>
        <w:rPr>
          <w:spacing w:val="-3"/>
        </w:rPr>
        <w:t>产当时市场收益率对未来现金流量折现确定的现值之间的差额，确认为减值损失。可供出售</w:t>
      </w:r>
      <w:r>
        <w:rPr>
          <w:spacing w:val="-75"/>
        </w:rPr>
        <w:t> </w:t>
      </w:r>
      <w:r>
        <w:rPr>
          <w:spacing w:val="-75"/>
        </w:rPr>
      </w:r>
      <w:r>
        <w:rPr>
          <w:spacing w:val="-3"/>
        </w:rPr>
        <w:t>金融资产的公允价值发生较大幅度下降，或在综合考虑各种相关因素后，预期这种下降趋势</w:t>
      </w:r>
      <w:r>
        <w:rPr>
          <w:spacing w:val="-75"/>
        </w:rPr>
        <w:t> </w:t>
      </w:r>
      <w:r>
        <w:rPr>
          <w:spacing w:val="-75"/>
        </w:rPr>
      </w:r>
      <w:r>
        <w:rPr>
          <w:spacing w:val="-3"/>
        </w:rPr>
        <w:t>属于非暂时性的，确认其减值损失，并将原直接计入所有者权益的公允价值累计损失一并转</w:t>
      </w:r>
      <w:r>
        <w:rPr>
          <w:spacing w:val="-75"/>
        </w:rPr>
        <w:t> </w:t>
      </w:r>
      <w:r>
        <w:rPr>
          <w:spacing w:val="-75"/>
        </w:rPr>
      </w:r>
      <w:r>
        <w:rPr/>
        <w:t>出计入减值损失。</w:t>
      </w:r>
    </w:p>
    <w:p>
      <w:pPr>
        <w:pStyle w:val="BodyText"/>
        <w:spacing w:line="240" w:lineRule="auto"/>
        <w:ind w:left="558" w:right="0"/>
        <w:jc w:val="left"/>
      </w:pPr>
      <w:r>
        <w:rPr>
          <w:rFonts w:ascii="宋体" w:hAnsi="宋体" w:cs="宋体" w:eastAsia="宋体" w:hint="default"/>
        </w:rPr>
        <w:t>(4)</w:t>
      </w:r>
      <w:r>
        <w:rPr>
          <w:rFonts w:ascii="宋体" w:hAnsi="宋体" w:cs="宋体" w:eastAsia="宋体" w:hint="default"/>
          <w:spacing w:val="-1"/>
        </w:rPr>
        <w:t> </w:t>
      </w:r>
      <w:r>
        <w:rPr/>
        <w:t>可供出售金融资产减值的客观证据</w:t>
      </w:r>
    </w:p>
    <w:p>
      <w:pPr>
        <w:pStyle w:val="BodyText"/>
        <w:spacing w:line="240" w:lineRule="auto" w:before="134"/>
        <w:ind w:left="558" w:right="0"/>
        <w:jc w:val="left"/>
      </w:pPr>
      <w:r>
        <w:rPr>
          <w:rFonts w:ascii="宋体" w:hAnsi="宋体" w:cs="宋体" w:eastAsia="宋体" w:hint="default"/>
        </w:rPr>
        <w:t>1)</w:t>
      </w:r>
      <w:r>
        <w:rPr>
          <w:rFonts w:ascii="宋体" w:hAnsi="宋体" w:cs="宋体" w:eastAsia="宋体" w:hint="default"/>
          <w:spacing w:val="-2"/>
        </w:rPr>
        <w:t> </w:t>
      </w:r>
      <w:r>
        <w:rPr/>
        <w:t>表明可供出售债务工具投资发生减值的客观证据包括：</w:t>
      </w:r>
    </w:p>
    <w:p>
      <w:pPr>
        <w:pStyle w:val="BodyText"/>
        <w:spacing w:line="240" w:lineRule="auto" w:before="133"/>
        <w:ind w:left="557" w:right="0"/>
        <w:jc w:val="left"/>
      </w:pPr>
      <w:r>
        <w:rPr/>
        <w:t>①</w:t>
      </w:r>
      <w:r>
        <w:rPr>
          <w:spacing w:val="-2"/>
        </w:rPr>
        <w:t> </w:t>
      </w:r>
      <w:r>
        <w:rPr/>
        <w:t>债务人发生严重财务困难；</w:t>
      </w:r>
    </w:p>
    <w:p>
      <w:pPr>
        <w:pStyle w:val="BodyText"/>
        <w:spacing w:line="240" w:lineRule="auto" w:before="133"/>
        <w:ind w:left="557" w:right="0"/>
        <w:jc w:val="left"/>
      </w:pPr>
      <w:r>
        <w:rPr/>
        <w:t>②</w:t>
      </w:r>
      <w:r>
        <w:rPr>
          <w:spacing w:val="-2"/>
        </w:rPr>
        <w:t> </w:t>
      </w:r>
      <w:r>
        <w:rPr/>
        <w:t>债务人违反了合同条款，如偿付利息或本金发生违约或逾期；</w:t>
      </w:r>
    </w:p>
    <w:p>
      <w:pPr>
        <w:pStyle w:val="BodyText"/>
        <w:spacing w:line="240" w:lineRule="auto" w:before="134"/>
        <w:ind w:left="558" w:right="0"/>
        <w:jc w:val="left"/>
      </w:pPr>
      <w:r>
        <w:rPr/>
        <w:t>③</w:t>
      </w:r>
      <w:r>
        <w:rPr>
          <w:spacing w:val="-2"/>
        </w:rPr>
        <w:t> </w:t>
      </w:r>
      <w:r>
        <w:rPr/>
        <w:t>公司出于经济或法律等方面因素的考虑，对发生财务困难的债务人作出让步；</w:t>
      </w:r>
    </w:p>
    <w:p>
      <w:pPr>
        <w:pStyle w:val="BodyText"/>
        <w:spacing w:line="240" w:lineRule="auto" w:before="133"/>
        <w:ind w:left="557" w:right="0"/>
        <w:jc w:val="left"/>
      </w:pPr>
      <w:r>
        <w:rPr/>
        <w:t>④</w:t>
      </w:r>
      <w:r>
        <w:rPr>
          <w:spacing w:val="-2"/>
        </w:rPr>
        <w:t> </w:t>
      </w:r>
      <w:r>
        <w:rPr/>
        <w:t>债务人很可能倒闭或进行其他财务重组；</w:t>
      </w:r>
    </w:p>
    <w:p>
      <w:pPr>
        <w:pStyle w:val="BodyText"/>
        <w:spacing w:line="240" w:lineRule="auto" w:before="134"/>
        <w:ind w:left="557" w:right="0"/>
        <w:jc w:val="left"/>
      </w:pPr>
      <w:r>
        <w:rPr/>
        <w:t>⑤</w:t>
      </w:r>
      <w:r>
        <w:rPr>
          <w:spacing w:val="-2"/>
        </w:rPr>
        <w:t> </w:t>
      </w:r>
      <w:r>
        <w:rPr/>
        <w:t>因债务人发生重大财务困难，该债务工具无法在活跃市场继续交易；</w:t>
      </w:r>
    </w:p>
    <w:p>
      <w:pPr>
        <w:pStyle w:val="BodyText"/>
        <w:spacing w:line="240" w:lineRule="auto" w:before="133"/>
        <w:ind w:left="558" w:right="0"/>
        <w:jc w:val="left"/>
      </w:pPr>
      <w:r>
        <w:rPr/>
        <w:t>⑥</w:t>
      </w:r>
      <w:r>
        <w:rPr>
          <w:spacing w:val="-2"/>
        </w:rPr>
        <w:t> </w:t>
      </w:r>
      <w:r>
        <w:rPr/>
        <w:t>其他表明可供出售债务工具已经发生减值的情况。</w:t>
      </w:r>
    </w:p>
    <w:p>
      <w:pPr>
        <w:pStyle w:val="BodyText"/>
        <w:spacing w:line="357" w:lineRule="auto" w:before="134"/>
        <w:ind w:right="1782" w:firstLine="420"/>
        <w:jc w:val="left"/>
      </w:pPr>
      <w:r>
        <w:rPr>
          <w:rFonts w:ascii="宋体" w:hAnsi="宋体" w:cs="宋体" w:eastAsia="宋体" w:hint="default"/>
        </w:rPr>
        <w:t>2)</w:t>
      </w:r>
      <w:r>
        <w:rPr>
          <w:rFonts w:ascii="宋体" w:hAnsi="宋体" w:cs="宋体" w:eastAsia="宋体" w:hint="default"/>
          <w:spacing w:val="12"/>
        </w:rPr>
        <w:t> </w:t>
      </w:r>
      <w:r>
        <w:rPr/>
        <w:t>表明可供出售权益工具投资发生减值的客观证据包括权益工具投资的公允价值发生 严重或非暂时性下跌。</w:t>
      </w:r>
    </w:p>
    <w:p>
      <w:pPr>
        <w:pStyle w:val="BodyText"/>
        <w:spacing w:line="357" w:lineRule="auto"/>
        <w:ind w:left="138" w:right="1778" w:firstLine="420"/>
        <w:jc w:val="left"/>
      </w:pPr>
      <w:r>
        <w:rPr>
          <w:spacing w:val="-3"/>
        </w:rPr>
        <w:t>本公司于资产负债表日对各项可供出售权益工具投资单独进行检查，若该权益工具投资</w:t>
      </w:r>
      <w:r>
        <w:rPr/>
        <w:t> 于资产负债表日的公允价值低于其成本超过</w:t>
      </w:r>
      <w:r>
        <w:rPr>
          <w:spacing w:val="-75"/>
        </w:rPr>
        <w:t> </w:t>
      </w:r>
      <w:r>
        <w:rPr>
          <w:rFonts w:ascii="宋体" w:hAnsi="宋体" w:cs="宋体" w:eastAsia="宋体" w:hint="default"/>
        </w:rPr>
        <w:t>50%(</w:t>
      </w:r>
      <w:r>
        <w:rPr/>
        <w:t>含</w:t>
      </w:r>
      <w:r>
        <w:rPr>
          <w:spacing w:val="-75"/>
        </w:rPr>
        <w:t> </w:t>
      </w:r>
      <w:r>
        <w:rPr>
          <w:rFonts w:ascii="宋体" w:hAnsi="宋体" w:cs="宋体" w:eastAsia="宋体" w:hint="default"/>
        </w:rPr>
        <w:t>50%)</w:t>
      </w:r>
      <w:r>
        <w:rPr/>
        <w:t>或低于其成本持续时间超过</w:t>
      </w:r>
      <w:r>
        <w:rPr>
          <w:spacing w:val="-75"/>
        </w:rPr>
        <w:t> </w:t>
      </w:r>
      <w:r>
        <w:rPr>
          <w:rFonts w:ascii="宋体" w:hAnsi="宋体" w:cs="宋体" w:eastAsia="宋体" w:hint="default"/>
        </w:rPr>
        <w:t>12</w:t>
      </w:r>
      <w:r>
        <w:rPr>
          <w:rFonts w:ascii="宋体" w:hAnsi="宋体" w:cs="宋体" w:eastAsia="宋体" w:hint="default"/>
          <w:spacing w:val="-75"/>
        </w:rPr>
        <w:t> </w:t>
      </w:r>
      <w:r>
        <w:rPr/>
        <w:t>个月</w:t>
      </w:r>
    </w:p>
    <w:p>
      <w:pPr>
        <w:spacing w:after="0" w:line="357"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right="1793"/>
        <w:jc w:val="both"/>
      </w:pPr>
      <w:r>
        <w:rPr>
          <w:rFonts w:ascii="宋体" w:hAnsi="宋体" w:cs="宋体" w:eastAsia="宋体" w:hint="default"/>
        </w:rPr>
        <w:t>(</w:t>
      </w:r>
      <w:r>
        <w:rPr/>
        <w:t>含</w:t>
      </w:r>
      <w:r>
        <w:rPr>
          <w:spacing w:val="-45"/>
        </w:rPr>
        <w:t> </w:t>
      </w:r>
      <w:r>
        <w:rPr>
          <w:rFonts w:ascii="宋体" w:hAnsi="宋体" w:cs="宋体" w:eastAsia="宋体" w:hint="default"/>
        </w:rPr>
        <w:t>12</w:t>
      </w:r>
      <w:r>
        <w:rPr>
          <w:rFonts w:ascii="宋体" w:hAnsi="宋体" w:cs="宋体" w:eastAsia="宋体" w:hint="default"/>
          <w:spacing w:val="-45"/>
        </w:rPr>
        <w:t> </w:t>
      </w:r>
      <w:r>
        <w:rPr/>
        <w:t>个月</w:t>
      </w:r>
      <w:r>
        <w:rPr>
          <w:rFonts w:ascii="宋体" w:hAnsi="宋体" w:cs="宋体" w:eastAsia="宋体" w:hint="default"/>
        </w:rPr>
        <w:t>)</w:t>
      </w:r>
      <w:r>
        <w:rPr/>
        <w:t>的，则表明其发生减值；若该权益工具投资于资产负债表日的公允价值低于其 成本超过</w:t>
      </w:r>
      <w:r>
        <w:rPr>
          <w:spacing w:val="-52"/>
        </w:rPr>
        <w:t> </w:t>
      </w:r>
      <w:r>
        <w:rPr>
          <w:rFonts w:ascii="宋体" w:hAnsi="宋体" w:cs="宋体" w:eastAsia="宋体" w:hint="default"/>
        </w:rPr>
        <w:t>20%(</w:t>
      </w:r>
      <w:r>
        <w:rPr/>
        <w:t>含</w:t>
      </w:r>
      <w:r>
        <w:rPr>
          <w:spacing w:val="-52"/>
        </w:rPr>
        <w:t> </w:t>
      </w:r>
      <w:r>
        <w:rPr>
          <w:rFonts w:ascii="宋体" w:hAnsi="宋体" w:cs="宋体" w:eastAsia="宋体" w:hint="default"/>
        </w:rPr>
        <w:t>20%)</w:t>
      </w:r>
      <w:r>
        <w:rPr/>
        <w:t>但尚未达到</w:t>
      </w:r>
      <w:r>
        <w:rPr>
          <w:spacing w:val="-51"/>
        </w:rPr>
        <w:t> </w:t>
      </w:r>
      <w:r>
        <w:rPr>
          <w:rFonts w:ascii="宋体" w:hAnsi="宋体" w:cs="宋体" w:eastAsia="宋体" w:hint="default"/>
          <w:spacing w:val="-3"/>
        </w:rPr>
        <w:t>50%</w:t>
      </w:r>
      <w:r>
        <w:rPr>
          <w:spacing w:val="-3"/>
        </w:rPr>
        <w:t>的，或低于其成本持续时间超过</w:t>
      </w:r>
      <w:r>
        <w:rPr>
          <w:spacing w:val="-51"/>
        </w:rPr>
        <w:t> </w:t>
      </w:r>
      <w:r>
        <w:rPr>
          <w:rFonts w:ascii="宋体" w:hAnsi="宋体" w:cs="宋体" w:eastAsia="宋体" w:hint="default"/>
        </w:rPr>
        <w:t>6</w:t>
      </w:r>
      <w:r>
        <w:rPr>
          <w:rFonts w:ascii="宋体" w:hAnsi="宋体" w:cs="宋体" w:eastAsia="宋体" w:hint="default"/>
          <w:spacing w:val="-51"/>
        </w:rPr>
        <w:t> </w:t>
      </w:r>
      <w:r>
        <w:rPr/>
        <w:t>个月但未超过</w:t>
      </w:r>
      <w:r>
        <w:rPr>
          <w:spacing w:val="-52"/>
        </w:rPr>
        <w:t> </w:t>
      </w:r>
      <w:r>
        <w:rPr>
          <w:rFonts w:ascii="宋体" w:hAnsi="宋体" w:cs="宋体" w:eastAsia="宋体" w:hint="default"/>
        </w:rPr>
        <w:t>12</w:t>
      </w:r>
      <w:r>
        <w:rPr>
          <w:rFonts w:ascii="宋体" w:hAnsi="宋体" w:cs="宋体" w:eastAsia="宋体" w:hint="default"/>
          <w:spacing w:val="-51"/>
        </w:rPr>
        <w:t> </w:t>
      </w:r>
      <w:r>
        <w:rPr/>
        <w:t>个 月</w:t>
      </w:r>
      <w:r>
        <w:rPr>
          <w:rFonts w:ascii="宋体" w:hAnsi="宋体" w:cs="宋体" w:eastAsia="宋体" w:hint="default"/>
        </w:rPr>
        <w:t>(</w:t>
      </w:r>
      <w:r>
        <w:rPr/>
        <w:t>含</w:t>
      </w:r>
      <w:r>
        <w:rPr>
          <w:spacing w:val="-46"/>
        </w:rPr>
        <w:t> </w:t>
      </w:r>
      <w:r>
        <w:rPr>
          <w:rFonts w:ascii="宋体" w:hAnsi="宋体" w:cs="宋体" w:eastAsia="宋体" w:hint="default"/>
        </w:rPr>
        <w:t>6</w:t>
      </w:r>
      <w:r>
        <w:rPr>
          <w:rFonts w:ascii="宋体" w:hAnsi="宋体" w:cs="宋体" w:eastAsia="宋体" w:hint="default"/>
          <w:spacing w:val="-43"/>
        </w:rPr>
        <w:t> </w:t>
      </w:r>
      <w:r>
        <w:rPr>
          <w:spacing w:val="-3"/>
        </w:rPr>
        <w:t>个月</w:t>
      </w:r>
      <w:r>
        <w:rPr>
          <w:rFonts w:ascii="宋体" w:hAnsi="宋体" w:cs="宋体" w:eastAsia="宋体" w:hint="default"/>
          <w:spacing w:val="-3"/>
        </w:rPr>
        <w:t>)</w:t>
      </w:r>
      <w:r>
        <w:rPr>
          <w:spacing w:val="-3"/>
        </w:rPr>
        <w:t>，本公司会综合考虑其他相关因素，诸如价格波动率等，判断该权益工具投资</w:t>
      </w:r>
      <w:r>
        <w:rPr>
          <w:spacing w:val="-103"/>
        </w:rPr>
        <w:t> </w:t>
      </w:r>
      <w:r>
        <w:rPr>
          <w:spacing w:val="-103"/>
        </w:rPr>
      </w:r>
      <w:r>
        <w:rPr/>
        <w:t>是否发生减值。</w:t>
      </w:r>
    </w:p>
    <w:p>
      <w:pPr>
        <w:pStyle w:val="BodyText"/>
        <w:spacing w:line="357" w:lineRule="auto" w:before="71"/>
        <w:ind w:left="138" w:right="1793" w:firstLine="420"/>
        <w:jc w:val="both"/>
      </w:pPr>
      <w:r>
        <w:rPr>
          <w:spacing w:val="-3"/>
        </w:rPr>
        <w:t>可供出售金融资产发生减值时，原直接计入所有者权益的因公允价值下降形成的累计损</w:t>
      </w:r>
      <w:r>
        <w:rPr/>
        <w:t> </w:t>
      </w:r>
      <w:r>
        <w:rPr>
          <w:spacing w:val="-3"/>
        </w:rPr>
        <w:t>失予以转出并计入减值损失。对已确认减值损失的可供出售债务工具投资，在期后公允价值</w:t>
      </w:r>
      <w:r>
        <w:rPr>
          <w:spacing w:val="-75"/>
        </w:rPr>
        <w:t> </w:t>
      </w:r>
      <w:r>
        <w:rPr>
          <w:spacing w:val="-75"/>
        </w:rPr>
      </w:r>
      <w:r>
        <w:rPr>
          <w:spacing w:val="-3"/>
        </w:rPr>
        <w:t>上升且客观上与确认原减值损失后发生的事项有关的，原确认的减值损失予以转回并计入当</w:t>
      </w:r>
      <w:r>
        <w:rPr>
          <w:spacing w:val="-73"/>
        </w:rPr>
        <w:t> </w:t>
      </w:r>
      <w:r>
        <w:rPr>
          <w:spacing w:val="-73"/>
        </w:rPr>
      </w:r>
      <w:r>
        <w:rPr>
          <w:spacing w:val="-3"/>
        </w:rPr>
        <w:t>期损益。对已确认减值损失的可供出售权益工具投资，期后公允价值上升直接计入所有者权</w:t>
      </w:r>
      <w:r>
        <w:rPr>
          <w:spacing w:val="-75"/>
        </w:rPr>
        <w:t> </w:t>
      </w:r>
      <w:r>
        <w:rPr>
          <w:spacing w:val="-75"/>
        </w:rPr>
      </w:r>
      <w:r>
        <w:rPr/>
        <w:t>益。</w:t>
      </w:r>
    </w:p>
    <w:p>
      <w:pPr>
        <w:pStyle w:val="BodyText"/>
        <w:spacing w:line="240" w:lineRule="auto" w:before="71"/>
        <w:ind w:left="558" w:right="0"/>
        <w:jc w:val="left"/>
      </w:pPr>
      <w:bookmarkStart w:name="(十) 应收款项" w:id="139"/>
      <w:bookmarkEnd w:id="139"/>
      <w:r>
        <w:rPr/>
      </w:r>
      <w:r>
        <w:rPr>
          <w:rFonts w:ascii="宋体" w:hAnsi="宋体" w:cs="宋体" w:eastAsia="宋体" w:hint="default"/>
        </w:rPr>
        <w:t>(</w:t>
      </w:r>
      <w:r>
        <w:rPr/>
        <w:t>十</w:t>
      </w:r>
      <w:r>
        <w:rPr>
          <w:rFonts w:ascii="宋体" w:hAnsi="宋体" w:cs="宋体" w:eastAsia="宋体" w:hint="default"/>
        </w:rPr>
        <w:t>)</w:t>
      </w:r>
      <w:r>
        <w:rPr>
          <w:rFonts w:ascii="宋体" w:hAnsi="宋体" w:cs="宋体" w:eastAsia="宋体" w:hint="default"/>
          <w:spacing w:val="-2"/>
        </w:rPr>
        <w:t> </w:t>
      </w:r>
      <w:r>
        <w:rPr/>
        <w:t>应收款项</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2"/>
        </w:rPr>
        <w:t> </w:t>
      </w:r>
      <w:r>
        <w:rPr/>
        <w:t>单项金额重大并单项计提坏账准备的应收款项</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843"/>
        <w:gridCol w:w="4395"/>
      </w:tblGrid>
      <w:tr>
        <w:trPr>
          <w:trHeight w:val="464"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left="102" w:right="0"/>
              <w:jc w:val="left"/>
              <w:rPr>
                <w:rFonts w:ascii="宋体" w:hAnsi="宋体" w:cs="宋体" w:eastAsia="宋体" w:hint="default"/>
                <w:sz w:val="21"/>
                <w:szCs w:val="21"/>
              </w:rPr>
            </w:pPr>
            <w:r>
              <w:rPr>
                <w:rFonts w:ascii="宋体" w:hAnsi="宋体" w:cs="宋体" w:eastAsia="宋体" w:hint="default"/>
                <w:sz w:val="21"/>
                <w:szCs w:val="21"/>
              </w:rPr>
              <w:t>占应收款项账面余额</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6"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提方法</w:t>
            </w:r>
          </w:p>
        </w:tc>
        <w:tc>
          <w:tcPr>
            <w:tcW w:w="4395"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pStyle w:val="BodyText"/>
        <w:spacing w:line="241" w:lineRule="exact" w:before="0"/>
        <w:ind w:left="558" w:right="0"/>
        <w:jc w:val="left"/>
      </w:pPr>
      <w:r>
        <w:rPr>
          <w:rFonts w:ascii="宋体" w:hAnsi="宋体" w:cs="宋体" w:eastAsia="宋体" w:hint="default"/>
        </w:rPr>
        <w:t>2</w:t>
      </w:r>
      <w:r>
        <w:rPr/>
        <w:t>．按组合计提坏账准备的应收款项</w:t>
      </w:r>
    </w:p>
    <w:p>
      <w:pPr>
        <w:pStyle w:val="BodyText"/>
        <w:spacing w:line="364" w:lineRule="auto" w:before="133"/>
        <w:ind w:left="245" w:right="5680" w:firstLine="312"/>
        <w:jc w:val="left"/>
      </w:pPr>
      <w:r>
        <w:rPr/>
        <w:pict>
          <v:group style="position:absolute;margin-left:89.900002pt;margin-top:28.99366pt;width:411.6pt;height:.1pt;mso-position-horizontal-relative:page;mso-position-vertical-relative:paragraph;z-index:-906784" coordorigin="1798,580" coordsize="8232,2">
            <v:shape style="position:absolute;left:1798;top:580;width:8232;height:2" coordorigin="1798,580" coordsize="8232,0" path="m1798,580l10030,580e" filled="false" stroked="true" strokeweight=".48pt" strokecolor="#000000">
              <v:path arrowok="t"/>
            </v:shape>
            <w10:wrap type="none"/>
          </v:group>
        </w:pict>
      </w:r>
      <w:r>
        <w:rPr>
          <w:rFonts w:ascii="宋体" w:hAnsi="宋体" w:cs="宋体" w:eastAsia="宋体" w:hint="default"/>
        </w:rPr>
        <w:t>(1)</w:t>
      </w:r>
      <w:r>
        <w:rPr>
          <w:rFonts w:ascii="宋体" w:hAnsi="宋体" w:cs="宋体" w:eastAsia="宋体" w:hint="default"/>
          <w:spacing w:val="-1"/>
        </w:rPr>
        <w:t> </w:t>
      </w:r>
      <w:r>
        <w:rPr/>
        <w:t>确定组合的依据及坏账准备的计提方法 确定组合的依据</w:t>
      </w:r>
    </w:p>
    <w:p>
      <w:pPr>
        <w:spacing w:line="240" w:lineRule="auto" w:before="6"/>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2898"/>
        <w:gridCol w:w="5334"/>
      </w:tblGrid>
      <w:tr>
        <w:trPr>
          <w:trHeight w:val="419"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相同账龄的应收款项具有类似的风险信用特征</w:t>
            </w:r>
          </w:p>
        </w:tc>
      </w:tr>
      <w:tr>
        <w:trPr>
          <w:trHeight w:val="554" w:hRule="exact"/>
        </w:trPr>
        <w:tc>
          <w:tcPr>
            <w:tcW w:w="289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pacing w:val="13"/>
                <w:sz w:val="21"/>
                <w:szCs w:val="21"/>
              </w:rPr>
              <w:t>应收合并财务报表范围内关</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联方的款项组合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应收合并范围内的关联方款项具有类似的信用风险特征</w:t>
            </w:r>
          </w:p>
        </w:tc>
      </w:tr>
    </w:tbl>
    <w:p>
      <w:pPr>
        <w:pStyle w:val="BodyText"/>
        <w:spacing w:line="242" w:lineRule="exact" w:before="0"/>
        <w:ind w:left="245" w:right="0"/>
        <w:jc w:val="left"/>
      </w:pPr>
      <w:r>
        <w:rPr/>
        <w:t>按组合计提坏账准备的计提方法</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912"/>
        <w:gridCol w:w="5334"/>
      </w:tblGrid>
      <w:tr>
        <w:trPr>
          <w:trHeight w:val="419"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2912"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应收合并财务报表范围内关</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联方的款项组合</w:t>
            </w:r>
          </w:p>
        </w:tc>
        <w:tc>
          <w:tcPr>
            <w:tcW w:w="5334"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spacing w:line="240" w:lineRule="auto" w:before="13"/>
        <w:rPr>
          <w:rFonts w:ascii="宋体" w:hAnsi="宋体" w:cs="宋体" w:eastAsia="宋体" w:hint="default"/>
          <w:sz w:val="5"/>
          <w:szCs w:val="5"/>
        </w:rPr>
      </w:pPr>
    </w:p>
    <w:p>
      <w:pPr>
        <w:pStyle w:val="BodyText"/>
        <w:spacing w:line="240" w:lineRule="auto" w:before="35"/>
        <w:ind w:left="558" w:right="0"/>
        <w:jc w:val="left"/>
      </w:pPr>
      <w:r>
        <w:rPr>
          <w:rFonts w:ascii="宋体" w:hAnsi="宋体" w:cs="宋体" w:eastAsia="宋体" w:hint="default"/>
        </w:rPr>
        <w:t>(2)</w:t>
      </w:r>
      <w:r>
        <w:rPr>
          <w:rFonts w:ascii="宋体" w:hAnsi="宋体" w:cs="宋体" w:eastAsia="宋体" w:hint="default"/>
          <w:spacing w:val="-1"/>
        </w:rPr>
        <w:t> </w:t>
      </w:r>
      <w:r>
        <w:rPr/>
        <w:t>账龄分析法</w:t>
      </w:r>
    </w:p>
    <w:p>
      <w:pPr>
        <w:pStyle w:val="BodyText"/>
        <w:spacing w:line="240" w:lineRule="auto" w:before="145"/>
        <w:ind w:left="558" w:right="0"/>
        <w:jc w:val="left"/>
      </w:pPr>
      <w:r>
        <w:rPr>
          <w:rFonts w:ascii="宋体" w:hAnsi="宋体" w:cs="宋体" w:eastAsia="宋体" w:hint="default"/>
        </w:rPr>
        <w:t>1)</w:t>
      </w:r>
      <w:r>
        <w:rPr>
          <w:rFonts w:ascii="宋体" w:hAnsi="宋体" w:cs="宋体" w:eastAsia="宋体" w:hint="default"/>
          <w:spacing w:val="-2"/>
        </w:rPr>
        <w:t> </w:t>
      </w:r>
      <w:r>
        <w:rPr/>
        <w:t>应收账款计提比例</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567"/>
        <w:gridCol w:w="1844"/>
        <w:gridCol w:w="1984"/>
        <w:gridCol w:w="1843"/>
      </w:tblGrid>
      <w:tr>
        <w:trPr>
          <w:trHeight w:val="82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171"/>
              <w:ind w:left="43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本公司及微型小</w:t>
            </w:r>
          </w:p>
          <w:p>
            <w:pPr>
              <w:pStyle w:val="TableParagraph"/>
              <w:spacing w:line="272" w:lineRule="exact" w:before="26"/>
              <w:ind w:left="128" w:right="128" w:firstLine="51"/>
              <w:jc w:val="left"/>
              <w:rPr>
                <w:rFonts w:ascii="宋体" w:hAnsi="宋体" w:cs="宋体" w:eastAsia="宋体" w:hint="default"/>
                <w:sz w:val="21"/>
                <w:szCs w:val="21"/>
              </w:rPr>
            </w:pPr>
            <w:r>
              <w:rPr>
                <w:rFonts w:ascii="宋体" w:hAnsi="宋体" w:cs="宋体" w:eastAsia="宋体" w:hint="default"/>
                <w:sz w:val="21"/>
                <w:szCs w:val="21"/>
              </w:rPr>
              <w:t>型水泵等下属子 公司计提比例</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p>
            <w:pPr>
              <w:pStyle w:val="TableParagraph"/>
              <w:spacing w:line="272" w:lineRule="exact" w:before="26"/>
              <w:ind w:left="434" w:right="147" w:hanging="290"/>
              <w:jc w:val="left"/>
              <w:rPr>
                <w:rFonts w:ascii="宋体" w:hAnsi="宋体" w:cs="宋体" w:eastAsia="宋体" w:hint="default"/>
                <w:sz w:val="21"/>
                <w:szCs w:val="21"/>
              </w:rPr>
            </w:pPr>
            <w:r>
              <w:rPr>
                <w:rFonts w:ascii="宋体" w:hAnsi="宋体" w:cs="宋体" w:eastAsia="宋体" w:hint="default"/>
                <w:sz w:val="21"/>
                <w:szCs w:val="21"/>
              </w:rPr>
              <w:t>下属子公司计提比 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本公司互联网板</w:t>
            </w:r>
          </w:p>
          <w:p>
            <w:pPr>
              <w:pStyle w:val="TableParagraph"/>
              <w:spacing w:line="272" w:lineRule="exact" w:before="26"/>
              <w:ind w:left="153" w:right="159" w:firstLine="26"/>
              <w:jc w:val="left"/>
              <w:rPr>
                <w:rFonts w:ascii="宋体" w:hAnsi="宋体" w:cs="宋体" w:eastAsia="宋体" w:hint="default"/>
                <w:sz w:val="21"/>
                <w:szCs w:val="21"/>
              </w:rPr>
            </w:pPr>
            <w:r>
              <w:rPr>
                <w:rFonts w:ascii="宋体" w:hAnsi="宋体" w:cs="宋体" w:eastAsia="宋体" w:hint="default"/>
                <w:sz w:val="21"/>
                <w:szCs w:val="21"/>
              </w:rPr>
              <w:t>块下属子公司计 提比例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以下</w:t>
            </w:r>
            <w:r>
              <w:rPr>
                <w:rFonts w:ascii="宋体" w:hAnsi="宋体" w:cs="宋体" w:eastAsia="宋体" w:hint="default"/>
                <w:spacing w:val="-1"/>
                <w:sz w:val="21"/>
                <w:szCs w:val="21"/>
              </w:rPr>
              <w:t>同</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0.5</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5"/>
              <w:jc w:val="center"/>
              <w:rPr>
                <w:rFonts w:ascii="宋体" w:hAnsi="宋体" w:cs="宋体" w:eastAsia="宋体" w:hint="default"/>
                <w:sz w:val="21"/>
                <w:szCs w:val="21"/>
              </w:rPr>
            </w:pPr>
            <w:r>
              <w:rPr>
                <w:rFonts w:ascii="宋体"/>
                <w:sz w:val="21"/>
              </w:rPr>
              <w:t>10</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20</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100</w:t>
            </w:r>
          </w:p>
        </w:tc>
      </w:tr>
      <w:tr>
        <w:trPr>
          <w:trHeight w:val="418"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100</w:t>
            </w:r>
          </w:p>
        </w:tc>
      </w:tr>
      <w:tr>
        <w:trPr>
          <w:trHeight w:val="419"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sz w:val="21"/>
              </w:rPr>
              <w:t>100</w:t>
            </w:r>
          </w:p>
        </w:tc>
      </w:tr>
    </w:tbl>
    <w:p>
      <w:pPr>
        <w:spacing w:line="240" w:lineRule="auto" w:before="13"/>
        <w:rPr>
          <w:rFonts w:ascii="宋体" w:hAnsi="宋体" w:cs="宋体" w:eastAsia="宋体" w:hint="default"/>
          <w:sz w:val="5"/>
          <w:szCs w:val="5"/>
        </w:rPr>
      </w:pPr>
    </w:p>
    <w:p>
      <w:pPr>
        <w:pStyle w:val="BodyText"/>
        <w:spacing w:line="240" w:lineRule="auto" w:before="35"/>
        <w:ind w:left="558" w:right="0"/>
        <w:jc w:val="left"/>
      </w:pPr>
      <w:r>
        <w:rPr>
          <w:rFonts w:ascii="宋体" w:hAnsi="宋体" w:cs="宋体" w:eastAsia="宋体" w:hint="default"/>
        </w:rPr>
        <w:t>2)</w:t>
      </w:r>
      <w:r>
        <w:rPr>
          <w:rFonts w:ascii="宋体" w:hAnsi="宋体" w:cs="宋体" w:eastAsia="宋体" w:hint="default"/>
          <w:spacing w:val="-2"/>
        </w:rPr>
        <w:t> </w:t>
      </w:r>
      <w:r>
        <w:rPr/>
        <w:t>其他应收款计提比例</w:t>
      </w:r>
    </w:p>
    <w:p>
      <w:pPr>
        <w:spacing w:after="0" w:line="240" w:lineRule="auto"/>
        <w:jc w:val="left"/>
        <w:sectPr>
          <w:pgSz w:w="11910" w:h="16840"/>
          <w:pgMar w:header="877" w:footer="938" w:top="1100" w:bottom="1120" w:left="1660" w:right="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2567"/>
        <w:gridCol w:w="1844"/>
        <w:gridCol w:w="1984"/>
        <w:gridCol w:w="1843"/>
      </w:tblGrid>
      <w:tr>
        <w:trPr>
          <w:trHeight w:val="827"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tabs>
                <w:tab w:pos="859" w:val="left" w:leader="none"/>
              </w:tabs>
              <w:spacing w:line="240" w:lineRule="auto" w:before="171"/>
              <w:ind w:left="437"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0" w:right="0"/>
              <w:jc w:val="left"/>
              <w:rPr>
                <w:rFonts w:ascii="宋体" w:hAnsi="宋体" w:cs="宋体" w:eastAsia="宋体" w:hint="default"/>
                <w:sz w:val="21"/>
                <w:szCs w:val="21"/>
              </w:rPr>
            </w:pPr>
            <w:r>
              <w:rPr>
                <w:rFonts w:ascii="宋体" w:hAnsi="宋体" w:cs="宋体" w:eastAsia="宋体" w:hint="default"/>
                <w:sz w:val="21"/>
                <w:szCs w:val="21"/>
              </w:rPr>
              <w:t>本公司及微型小</w:t>
            </w:r>
          </w:p>
          <w:p>
            <w:pPr>
              <w:pStyle w:val="TableParagraph"/>
              <w:spacing w:line="272" w:lineRule="exact" w:before="26"/>
              <w:ind w:left="128" w:right="128" w:firstLine="51"/>
              <w:jc w:val="left"/>
              <w:rPr>
                <w:rFonts w:ascii="宋体" w:hAnsi="宋体" w:cs="宋体" w:eastAsia="宋体" w:hint="default"/>
                <w:sz w:val="21"/>
                <w:szCs w:val="21"/>
              </w:rPr>
            </w:pPr>
            <w:r>
              <w:rPr>
                <w:rFonts w:ascii="宋体" w:hAnsi="宋体" w:cs="宋体" w:eastAsia="宋体" w:hint="default"/>
                <w:sz w:val="21"/>
                <w:szCs w:val="21"/>
              </w:rPr>
              <w:t>型水泵等下属子 公司计提比例</w:t>
            </w:r>
            <w:r>
              <w:rPr>
                <w:rFonts w:ascii="宋体" w:hAnsi="宋体" w:cs="宋体" w:eastAsia="宋体" w:hint="default"/>
                <w:sz w:val="21"/>
                <w:szCs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本公司工业泵板块</w:t>
            </w:r>
          </w:p>
          <w:p>
            <w:pPr>
              <w:pStyle w:val="TableParagraph"/>
              <w:spacing w:line="272" w:lineRule="exact" w:before="26"/>
              <w:ind w:left="434" w:right="147" w:hanging="290"/>
              <w:jc w:val="left"/>
              <w:rPr>
                <w:rFonts w:ascii="宋体" w:hAnsi="宋体" w:cs="宋体" w:eastAsia="宋体" w:hint="default"/>
                <w:sz w:val="21"/>
                <w:szCs w:val="21"/>
              </w:rPr>
            </w:pPr>
            <w:r>
              <w:rPr>
                <w:rFonts w:ascii="宋体" w:hAnsi="宋体" w:cs="宋体" w:eastAsia="宋体" w:hint="default"/>
                <w:sz w:val="21"/>
                <w:szCs w:val="21"/>
              </w:rPr>
              <w:t>下属子公司计提比 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79" w:right="0"/>
              <w:jc w:val="left"/>
              <w:rPr>
                <w:rFonts w:ascii="宋体" w:hAnsi="宋体" w:cs="宋体" w:eastAsia="宋体" w:hint="default"/>
                <w:sz w:val="21"/>
                <w:szCs w:val="21"/>
              </w:rPr>
            </w:pPr>
            <w:r>
              <w:rPr>
                <w:rFonts w:ascii="宋体" w:hAnsi="宋体" w:cs="宋体" w:eastAsia="宋体" w:hint="default"/>
                <w:sz w:val="21"/>
                <w:szCs w:val="21"/>
              </w:rPr>
              <w:t>本公司互联网板</w:t>
            </w:r>
          </w:p>
          <w:p>
            <w:pPr>
              <w:pStyle w:val="TableParagraph"/>
              <w:spacing w:line="272" w:lineRule="exact" w:before="26"/>
              <w:ind w:left="153" w:right="159" w:firstLine="26"/>
              <w:jc w:val="left"/>
              <w:rPr>
                <w:rFonts w:ascii="宋体" w:hAnsi="宋体" w:cs="宋体" w:eastAsia="宋体" w:hint="default"/>
                <w:sz w:val="21"/>
                <w:szCs w:val="21"/>
              </w:rPr>
            </w:pPr>
            <w:r>
              <w:rPr>
                <w:rFonts w:ascii="宋体" w:hAnsi="宋体" w:cs="宋体" w:eastAsia="宋体" w:hint="default"/>
                <w:sz w:val="21"/>
                <w:szCs w:val="21"/>
              </w:rPr>
              <w:t>块下属子公司计 提比例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31"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6"/>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105"/>
                <w:sz w:val="21"/>
                <w:szCs w:val="21"/>
              </w:rPr>
              <w:t>，</w:t>
            </w:r>
            <w:r>
              <w:rPr>
                <w:rFonts w:ascii="宋体" w:hAnsi="宋体" w:cs="宋体" w:eastAsia="宋体" w:hint="default"/>
                <w:sz w:val="21"/>
                <w:szCs w:val="21"/>
              </w:rPr>
              <w:t>以下</w:t>
            </w:r>
            <w:r>
              <w:rPr>
                <w:rFonts w:ascii="宋体" w:hAnsi="宋体" w:cs="宋体" w:eastAsia="宋体" w:hint="default"/>
                <w:spacing w:val="-1"/>
                <w:sz w:val="21"/>
                <w:szCs w:val="21"/>
              </w:rPr>
              <w:t>同</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5</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sz w:val="21"/>
              </w:rPr>
              <w:t>0.5</w:t>
            </w:r>
          </w:p>
        </w:tc>
      </w:tr>
      <w:tr>
        <w:trPr>
          <w:trHeight w:val="430"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10</w:t>
            </w:r>
          </w:p>
        </w:tc>
      </w:tr>
      <w:tr>
        <w:trPr>
          <w:trHeight w:val="430"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30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sz w:val="21"/>
              </w:rPr>
              <w:t>20</w:t>
            </w:r>
          </w:p>
        </w:tc>
      </w:tr>
      <w:tr>
        <w:trPr>
          <w:trHeight w:val="431"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60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2" w:lineRule="exact"/>
              <w:ind w:right="4"/>
              <w:jc w:val="center"/>
              <w:rPr>
                <w:rFonts w:ascii="宋体" w:hAnsi="宋体" w:cs="宋体" w:eastAsia="宋体" w:hint="default"/>
                <w:sz w:val="21"/>
                <w:szCs w:val="21"/>
              </w:rPr>
            </w:pPr>
            <w:r>
              <w:rPr>
                <w:rFonts w:ascii="宋体"/>
                <w:sz w:val="21"/>
              </w:rPr>
              <w:t>100</w:t>
            </w:r>
          </w:p>
        </w:tc>
      </w:tr>
      <w:tr>
        <w:trPr>
          <w:trHeight w:val="430"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100</w:t>
            </w:r>
          </w:p>
        </w:tc>
      </w:tr>
      <w:tr>
        <w:trPr>
          <w:trHeight w:val="431" w:hRule="exact"/>
        </w:trPr>
        <w:tc>
          <w:tcPr>
            <w:tcW w:w="2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100</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sz w:val="21"/>
              </w:rPr>
              <w:t>100</w:t>
            </w:r>
          </w:p>
        </w:tc>
      </w:tr>
    </w:tbl>
    <w:p>
      <w:pPr>
        <w:pStyle w:val="BodyText"/>
        <w:spacing w:line="241" w:lineRule="exact" w:before="0"/>
        <w:ind w:left="558" w:right="0"/>
        <w:jc w:val="left"/>
      </w:pPr>
      <w:r>
        <w:rPr>
          <w:rFonts w:ascii="宋体" w:hAnsi="宋体" w:cs="宋体" w:eastAsia="宋体" w:hint="default"/>
        </w:rPr>
        <w:t>3</w:t>
      </w:r>
      <w:r>
        <w:rPr/>
        <w:t>．单项金额虽不重大但单项计提坏账准备的应收款项</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095"/>
        <w:gridCol w:w="5142"/>
      </w:tblGrid>
      <w:tr>
        <w:trPr>
          <w:trHeight w:val="554"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142" w:type="dxa"/>
            <w:tcBorders>
              <w:top w:val="single" w:sz="4" w:space="0" w:color="000000"/>
              <w:left w:val="single" w:sz="4" w:space="0" w:color="000000"/>
              <w:bottom w:val="single" w:sz="4" w:space="0" w:color="000000"/>
              <w:right w:val="nil" w:sz="6" w:space="0" w:color="auto"/>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应收款项的未来现金流量现值与按组合计提坏账准备</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的应收款项的未来现金流量现值存在显著差异。</w:t>
            </w:r>
          </w:p>
        </w:tc>
      </w:tr>
      <w:tr>
        <w:trPr>
          <w:trHeight w:val="556" w:hRule="exact"/>
        </w:trPr>
        <w:tc>
          <w:tcPr>
            <w:tcW w:w="30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14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单独进行减值测试，根据其未来现金流量现值低于其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账面价值的差额计提坏账准备。</w:t>
            </w:r>
          </w:p>
        </w:tc>
      </w:tr>
    </w:tbl>
    <w:p>
      <w:pPr>
        <w:pStyle w:val="BodyText"/>
        <w:spacing w:line="241" w:lineRule="exact" w:before="0"/>
        <w:ind w:left="558" w:right="0"/>
        <w:jc w:val="left"/>
      </w:pPr>
      <w:r>
        <w:rPr>
          <w:spacing w:val="-3"/>
        </w:rPr>
        <w:t>对应收票据、预付款项、应收利息、长期应收款等其他应收款项，根据其未来现金流量</w:t>
      </w:r>
    </w:p>
    <w:p>
      <w:pPr>
        <w:pStyle w:val="BodyText"/>
        <w:spacing w:line="240" w:lineRule="auto" w:before="133"/>
        <w:ind w:left="138" w:right="0"/>
        <w:jc w:val="both"/>
      </w:pPr>
      <w:r>
        <w:rPr/>
        <w:t>现值低于其账面价值的差额计提坏账准备。</w:t>
      </w:r>
    </w:p>
    <w:p>
      <w:pPr>
        <w:pStyle w:val="BodyText"/>
        <w:spacing w:line="355" w:lineRule="auto" w:before="134"/>
        <w:ind w:left="138" w:right="1784" w:firstLine="420"/>
        <w:jc w:val="left"/>
      </w:pPr>
      <w:r>
        <w:rPr>
          <w:rFonts w:ascii="宋体" w:hAnsi="宋体" w:cs="宋体" w:eastAsia="宋体" w:hint="default"/>
        </w:rPr>
        <w:t>[</w:t>
      </w:r>
      <w:r>
        <w:rPr/>
        <w:t>注</w:t>
      </w:r>
      <w:r>
        <w:rPr>
          <w:spacing w:val="-44"/>
        </w:rPr>
        <w:t> </w:t>
      </w:r>
      <w:r>
        <w:rPr>
          <w:rFonts w:ascii="宋体" w:hAnsi="宋体" w:cs="宋体" w:eastAsia="宋体" w:hint="default"/>
        </w:rPr>
        <w:t>1]</w:t>
      </w:r>
      <w:r>
        <w:rPr/>
        <w:t>：截止</w:t>
      </w:r>
      <w:r>
        <w:rPr>
          <w:spacing w:val="-44"/>
        </w:rPr>
        <w:t> </w:t>
      </w:r>
      <w:r>
        <w:rPr>
          <w:rFonts w:ascii="宋体" w:hAnsi="宋体" w:cs="宋体" w:eastAsia="宋体" w:hint="default"/>
        </w:rPr>
        <w:t>2014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t>日，本公司工业泵板块下属子公司包括湖南利欧、长沙 天鹅、大连华能、无锡锡泵及该等子公司下属子公司。</w:t>
      </w:r>
    </w:p>
    <w:p>
      <w:pPr>
        <w:pStyle w:val="BodyText"/>
        <w:spacing w:line="357" w:lineRule="auto" w:before="32"/>
        <w:ind w:left="138" w:right="1783" w:firstLine="420"/>
        <w:jc w:val="left"/>
      </w:pPr>
      <w:r>
        <w:rPr>
          <w:rFonts w:ascii="宋体" w:hAnsi="宋体" w:cs="宋体" w:eastAsia="宋体" w:hint="default"/>
        </w:rPr>
        <w:t>[</w:t>
      </w:r>
      <w:r>
        <w:rPr/>
        <w:t>注</w:t>
      </w:r>
      <w:r>
        <w:rPr>
          <w:spacing w:val="-44"/>
        </w:rPr>
        <w:t> </w:t>
      </w:r>
      <w:r>
        <w:rPr>
          <w:rFonts w:ascii="宋体" w:hAnsi="宋体" w:cs="宋体" w:eastAsia="宋体" w:hint="default"/>
        </w:rPr>
        <w:t>2]</w:t>
      </w:r>
      <w:r>
        <w:rPr/>
        <w:t>：截止</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t>日，本公司互联网板块下属子公司包括上海漫酷、上海 氩氪、琥珀传播、聚嘉网络及该等子公司下属子公司。</w:t>
      </w:r>
    </w:p>
    <w:p>
      <w:pPr>
        <w:pStyle w:val="BodyText"/>
        <w:spacing w:line="357" w:lineRule="auto"/>
        <w:ind w:left="558" w:right="8318"/>
        <w:jc w:val="left"/>
      </w:pPr>
      <w:bookmarkStart w:name="(十一) 存货" w:id="140"/>
      <w:bookmarkEnd w:id="140"/>
      <w:r>
        <w:rPr/>
      </w:r>
      <w:r>
        <w:rPr>
          <w:rFonts w:ascii="宋体" w:hAnsi="宋体" w:cs="宋体" w:eastAsia="宋体" w:hint="default"/>
        </w:rPr>
        <w:t>(</w:t>
      </w:r>
      <w:r>
        <w:rPr/>
        <w:t>十一</w:t>
      </w:r>
      <w:r>
        <w:rPr>
          <w:rFonts w:ascii="宋体" w:hAnsi="宋体" w:cs="宋体" w:eastAsia="宋体" w:hint="default"/>
        </w:rPr>
        <w:t>)</w:t>
      </w:r>
      <w:r>
        <w:rPr>
          <w:rFonts w:ascii="宋体" w:hAnsi="宋体" w:cs="宋体" w:eastAsia="宋体" w:hint="default"/>
          <w:spacing w:val="5"/>
        </w:rPr>
        <w:t> </w:t>
      </w:r>
      <w:r>
        <w:rPr/>
        <w:t>存货 </w:t>
      </w:r>
      <w:r>
        <w:rPr>
          <w:rFonts w:ascii="宋体" w:hAnsi="宋体" w:cs="宋体" w:eastAsia="宋体" w:hint="default"/>
        </w:rPr>
        <w:t>1.</w:t>
      </w:r>
      <w:r>
        <w:rPr>
          <w:rFonts w:ascii="宋体" w:hAnsi="宋体" w:cs="宋体" w:eastAsia="宋体" w:hint="default"/>
          <w:spacing w:val="-2"/>
        </w:rPr>
        <w:t> </w:t>
      </w:r>
      <w:r>
        <w:rPr/>
        <w:t>存货的分类</w:t>
      </w:r>
    </w:p>
    <w:p>
      <w:pPr>
        <w:pStyle w:val="BodyText"/>
        <w:spacing w:line="357" w:lineRule="auto"/>
        <w:ind w:left="138" w:right="0" w:firstLine="420"/>
        <w:jc w:val="left"/>
      </w:pPr>
      <w:r>
        <w:rPr>
          <w:spacing w:val="-3"/>
        </w:rPr>
        <w:t>存货包括在日常活动中持有以备出售的产成品或商品、处在生产过程中的在产品、在生</w:t>
      </w:r>
      <w:r>
        <w:rPr/>
        <w:t> 产过程或提供劳务过程中耗用的材料和物料等。</w:t>
      </w:r>
    </w:p>
    <w:p>
      <w:pPr>
        <w:pStyle w:val="BodyText"/>
        <w:spacing w:line="355" w:lineRule="auto"/>
        <w:ind w:left="558" w:right="6308"/>
        <w:jc w:val="left"/>
      </w:pPr>
      <w:r>
        <w:rPr>
          <w:rFonts w:ascii="宋体" w:hAnsi="宋体" w:cs="宋体" w:eastAsia="宋体" w:hint="default"/>
        </w:rPr>
        <w:t>2.</w:t>
      </w:r>
      <w:r>
        <w:rPr>
          <w:rFonts w:ascii="宋体" w:hAnsi="宋体" w:cs="宋体" w:eastAsia="宋体" w:hint="default"/>
          <w:spacing w:val="-1"/>
        </w:rPr>
        <w:t> </w:t>
      </w:r>
      <w:r>
        <w:rPr/>
        <w:t>发出存货的计价方法 发出存货采用月末一次加权平均法。</w:t>
      </w:r>
    </w:p>
    <w:p>
      <w:pPr>
        <w:pStyle w:val="BodyText"/>
        <w:spacing w:line="355" w:lineRule="auto" w:before="33"/>
        <w:ind w:left="557" w:right="0"/>
        <w:jc w:val="left"/>
      </w:pPr>
      <w:r>
        <w:rPr>
          <w:rFonts w:ascii="宋体" w:hAnsi="宋体" w:cs="宋体" w:eastAsia="宋体" w:hint="default"/>
        </w:rPr>
        <w:t>3.</w:t>
      </w:r>
      <w:r>
        <w:rPr>
          <w:rFonts w:ascii="宋体" w:hAnsi="宋体" w:cs="宋体" w:eastAsia="宋体" w:hint="default"/>
          <w:spacing w:val="-1"/>
        </w:rPr>
        <w:t> </w:t>
      </w:r>
      <w:r>
        <w:rPr/>
        <w:t>存货可变现净值的确定依据及存货跌价准备的计提方法 </w:t>
      </w:r>
      <w:r>
        <w:rPr>
          <w:spacing w:val="-3"/>
        </w:rPr>
        <w:t>资产负债表日，存货采用成本与可变现净值孰低计量，按照单个存货成本高于可变现净</w:t>
      </w:r>
    </w:p>
    <w:p>
      <w:pPr>
        <w:pStyle w:val="BodyText"/>
        <w:spacing w:line="357" w:lineRule="auto" w:before="33"/>
        <w:ind w:right="1792"/>
        <w:jc w:val="both"/>
      </w:pPr>
      <w:r>
        <w:rPr>
          <w:spacing w:val="-3"/>
        </w:rPr>
        <w:t>值的差额计提存货跌价准备。直接用于出售的存货，在正常生产经营过程中以该存货的估计</w:t>
      </w:r>
      <w:r>
        <w:rPr>
          <w:spacing w:val="-75"/>
        </w:rPr>
        <w:t> </w:t>
      </w:r>
      <w:r>
        <w:rPr>
          <w:spacing w:val="-75"/>
        </w:rPr>
      </w:r>
      <w:r>
        <w:rPr>
          <w:spacing w:val="-3"/>
        </w:rPr>
        <w:t>售价减去估计的销售费用和相关税费后的金额确定其可变现净值；需要经过加工的存货，在</w:t>
      </w:r>
      <w:r>
        <w:rPr>
          <w:spacing w:val="-75"/>
        </w:rPr>
        <w:t> </w:t>
      </w:r>
      <w:r>
        <w:rPr>
          <w:spacing w:val="-75"/>
        </w:rPr>
      </w:r>
      <w:r>
        <w:rPr>
          <w:spacing w:val="-3"/>
        </w:rPr>
        <w:t>正常生产经营过程中以所生产的产成品的估计售价减去至完工时估计将要发生的成本、估计</w:t>
      </w:r>
      <w:r>
        <w:rPr>
          <w:spacing w:val="-73"/>
        </w:rPr>
        <w:t> </w:t>
      </w:r>
      <w:r>
        <w:rPr>
          <w:spacing w:val="-73"/>
        </w:rPr>
      </w:r>
      <w:r>
        <w:rPr>
          <w:spacing w:val="-3"/>
        </w:rPr>
        <w:t>的销售费用和相关税费后的金额确定其可变现净值；资产负债表日，同一项存货中一部分有</w:t>
      </w:r>
      <w:r>
        <w:rPr>
          <w:spacing w:val="-75"/>
        </w:rPr>
        <w:t> </w:t>
      </w:r>
      <w:r>
        <w:rPr>
          <w:spacing w:val="-75"/>
        </w:rPr>
      </w:r>
      <w:r>
        <w:rPr>
          <w:spacing w:val="-3"/>
        </w:rPr>
        <w:t>合同价格约定、其他部分不存在合同价格的，分别确定其可变现净值，并与其对应的成本进</w:t>
      </w:r>
      <w:r>
        <w:rPr>
          <w:spacing w:val="-72"/>
        </w:rPr>
        <w:t> </w:t>
      </w:r>
      <w:r>
        <w:rPr>
          <w:spacing w:val="-72"/>
        </w:rPr>
      </w:r>
      <w:r>
        <w:rPr/>
        <w:t>行比较，分别确定存货跌价准备的计提或转回的金额。</w:t>
      </w:r>
    </w:p>
    <w:p>
      <w:pPr>
        <w:pStyle w:val="BodyText"/>
        <w:spacing w:line="357" w:lineRule="auto"/>
        <w:ind w:left="557" w:right="6729"/>
        <w:jc w:val="left"/>
      </w:pPr>
      <w:r>
        <w:rPr>
          <w:rFonts w:ascii="宋体" w:hAnsi="宋体" w:cs="宋体" w:eastAsia="宋体" w:hint="default"/>
        </w:rPr>
        <w:t>4.</w:t>
      </w:r>
      <w:r>
        <w:rPr>
          <w:rFonts w:ascii="宋体" w:hAnsi="宋体" w:cs="宋体" w:eastAsia="宋体" w:hint="default"/>
          <w:spacing w:val="-1"/>
        </w:rPr>
        <w:t> </w:t>
      </w:r>
      <w:r>
        <w:rPr/>
        <w:t>存货的盘存制度 存货的盘存制度为永续盘存制。</w:t>
      </w:r>
    </w:p>
    <w:p>
      <w:pPr>
        <w:spacing w:after="0" w:line="357"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240" w:lineRule="auto" w:before="35"/>
        <w:ind w:left="558" w:right="0"/>
        <w:jc w:val="left"/>
      </w:pPr>
      <w:r>
        <w:rPr>
          <w:rFonts w:ascii="宋体" w:hAnsi="宋体" w:cs="宋体" w:eastAsia="宋体" w:hint="default"/>
        </w:rPr>
        <w:t>5.</w:t>
      </w:r>
      <w:r>
        <w:rPr>
          <w:rFonts w:ascii="宋体" w:hAnsi="宋体" w:cs="宋体" w:eastAsia="宋体" w:hint="default"/>
          <w:spacing w:val="-2"/>
        </w:rPr>
        <w:t> </w:t>
      </w:r>
      <w:r>
        <w:rPr/>
        <w:t>低值易耗品和包装物的摊销方法</w:t>
      </w:r>
    </w:p>
    <w:p>
      <w:pPr>
        <w:pStyle w:val="BodyText"/>
        <w:spacing w:line="357" w:lineRule="auto" w:before="133"/>
        <w:ind w:left="557" w:right="7149"/>
        <w:jc w:val="left"/>
      </w:pPr>
      <w:r>
        <w:rPr>
          <w:rFonts w:ascii="宋体" w:hAnsi="宋体" w:cs="宋体" w:eastAsia="宋体" w:hint="default"/>
        </w:rPr>
        <w:t>(1) </w:t>
      </w:r>
      <w:r>
        <w:rPr/>
        <w:t>低值易耗品 按照一次转销法进行摊销。 </w:t>
      </w:r>
      <w:r>
        <w:rPr>
          <w:rFonts w:ascii="宋体" w:hAnsi="宋体" w:cs="宋体" w:eastAsia="宋体" w:hint="default"/>
        </w:rPr>
        <w:t>(2)</w:t>
      </w:r>
      <w:r>
        <w:rPr>
          <w:rFonts w:ascii="宋体" w:hAnsi="宋体" w:cs="宋体" w:eastAsia="宋体" w:hint="default"/>
          <w:spacing w:val="1"/>
        </w:rPr>
        <w:t> </w:t>
      </w:r>
      <w:r>
        <w:rPr/>
        <w:t>包装物 按照一次转销法进行摊销。 </w:t>
      </w:r>
      <w:bookmarkStart w:name="(十二) 长期股权投资" w:id="141"/>
      <w:bookmarkEnd w:id="141"/>
      <w:r>
        <w:rPr/>
      </w: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2"/>
        </w:rPr>
        <w:t> </w:t>
      </w:r>
      <w:r>
        <w:rPr/>
        <w:t>长期股权投资</w:t>
      </w:r>
    </w:p>
    <w:p>
      <w:pPr>
        <w:pStyle w:val="BodyText"/>
        <w:spacing w:line="355" w:lineRule="auto" w:before="31"/>
        <w:ind w:left="557" w:right="0"/>
        <w:jc w:val="left"/>
      </w:pPr>
      <w:r>
        <w:rPr>
          <w:rFonts w:ascii="宋体" w:hAnsi="宋体" w:cs="宋体" w:eastAsia="宋体" w:hint="default"/>
        </w:rPr>
        <w:t>1.</w:t>
      </w:r>
      <w:r>
        <w:rPr>
          <w:rFonts w:ascii="宋体" w:hAnsi="宋体" w:cs="宋体" w:eastAsia="宋体" w:hint="default"/>
          <w:spacing w:val="-1"/>
        </w:rPr>
        <w:t> </w:t>
      </w:r>
      <w:r>
        <w:rPr/>
        <w:t>共同控制、重要影响的判断 </w:t>
      </w:r>
      <w:r>
        <w:rPr>
          <w:spacing w:val="-3"/>
        </w:rPr>
        <w:t>按照相关约定对某项安排所共有的控制，并且该安排的相关活动必须经过分享控制权的</w:t>
      </w:r>
    </w:p>
    <w:p>
      <w:pPr>
        <w:pStyle w:val="BodyText"/>
        <w:spacing w:line="357" w:lineRule="auto" w:before="32"/>
        <w:ind w:right="1795"/>
        <w:jc w:val="both"/>
      </w:pPr>
      <w:r>
        <w:rPr>
          <w:spacing w:val="-3"/>
        </w:rPr>
        <w:t>参与方一致同意后才能决策，认定为共同控制。对被投资单位的财务和经营政策有参与决策</w:t>
      </w:r>
      <w:r>
        <w:rPr>
          <w:spacing w:val="-75"/>
        </w:rPr>
        <w:t> </w:t>
      </w:r>
      <w:r>
        <w:rPr>
          <w:spacing w:val="-75"/>
        </w:rPr>
      </w:r>
      <w:r>
        <w:rPr/>
        <w:t>的权力，但并不能够控制或者与其他方一起共同控制这些政策的制定，认定为重大影响。</w:t>
      </w:r>
    </w:p>
    <w:p>
      <w:pPr>
        <w:pStyle w:val="BodyText"/>
        <w:spacing w:line="240" w:lineRule="auto"/>
        <w:ind w:left="557" w:right="0"/>
        <w:jc w:val="left"/>
      </w:pPr>
      <w:r>
        <w:rPr>
          <w:rFonts w:ascii="宋体" w:hAnsi="宋体" w:cs="宋体" w:eastAsia="宋体" w:hint="default"/>
        </w:rPr>
        <w:t>2.</w:t>
      </w:r>
      <w:r>
        <w:rPr>
          <w:rFonts w:ascii="宋体" w:hAnsi="宋体" w:cs="宋体" w:eastAsia="宋体" w:hint="default"/>
          <w:spacing w:val="-2"/>
        </w:rPr>
        <w:t> </w:t>
      </w:r>
      <w:r>
        <w:rPr/>
        <w:t>投资成本的确定</w:t>
      </w:r>
    </w:p>
    <w:p>
      <w:pPr>
        <w:pStyle w:val="BodyText"/>
        <w:spacing w:line="357" w:lineRule="auto" w:before="134"/>
        <w:ind w:right="1689" w:firstLine="420"/>
        <w:jc w:val="left"/>
      </w:pPr>
      <w:r>
        <w:rPr>
          <w:rFonts w:ascii="宋体" w:hAnsi="宋体" w:cs="宋体" w:eastAsia="宋体" w:hint="default"/>
        </w:rPr>
        <w:t>(1)</w:t>
      </w:r>
      <w:r>
        <w:rPr>
          <w:rFonts w:ascii="宋体" w:hAnsi="宋体" w:cs="宋体" w:eastAsia="宋体" w:hint="default"/>
          <w:spacing w:val="11"/>
        </w:rPr>
        <w:t> </w:t>
      </w:r>
      <w:r>
        <w:rPr>
          <w:spacing w:val="-3"/>
        </w:rPr>
        <w:t>同一控制下的企业合并形成的，合并方以支付现金、转让非现金资产、承担债务或</w:t>
      </w:r>
      <w:r>
        <w:rPr/>
        <w:t> </w:t>
      </w:r>
      <w:r>
        <w:rPr>
          <w:spacing w:val="-3"/>
        </w:rPr>
        <w:t>发行权益性证券作为合并对价的，在合并日按照取得被合并方所有者权益在最终控制方合并</w:t>
      </w:r>
      <w:r>
        <w:rPr>
          <w:spacing w:val="-73"/>
        </w:rPr>
        <w:t> </w:t>
      </w:r>
      <w:r>
        <w:rPr>
          <w:spacing w:val="-73"/>
        </w:rPr>
      </w:r>
      <w:r>
        <w:rPr>
          <w:spacing w:val="-3"/>
        </w:rPr>
        <w:t>财务报表中的账面价值的份额作为其初始投资成本。长期股权投资初始投资成本与支付的合</w:t>
      </w:r>
      <w:r>
        <w:rPr>
          <w:spacing w:val="-73"/>
        </w:rPr>
        <w:t> </w:t>
      </w:r>
      <w:r>
        <w:rPr>
          <w:spacing w:val="-73"/>
        </w:rPr>
      </w:r>
      <w:r>
        <w:rPr/>
        <w:t>并对价的账面价值或发行股份的面值总额之间的差额调整资本公积；资本公积不足冲减的， 调整留存收益。</w:t>
      </w:r>
    </w:p>
    <w:p>
      <w:pPr>
        <w:pStyle w:val="BodyText"/>
        <w:spacing w:line="357" w:lineRule="auto" w:before="31"/>
        <w:ind w:left="138" w:right="1684" w:firstLine="420"/>
        <w:jc w:val="left"/>
      </w:pPr>
      <w:r>
        <w:rPr>
          <w:spacing w:val="2"/>
        </w:rPr>
        <w:t>公司通过多次交易分步实现同一控制下企业合并形成的长期股权投资，判断是否属于</w:t>
      </w:r>
      <w:r>
        <w:rPr/>
        <w:t> “一揽子交易”。</w:t>
      </w:r>
    </w:p>
    <w:p>
      <w:pPr>
        <w:pStyle w:val="BodyText"/>
        <w:spacing w:line="357" w:lineRule="auto" w:before="31"/>
        <w:ind w:right="1793" w:firstLine="420"/>
        <w:jc w:val="both"/>
      </w:pPr>
      <w:r>
        <w:rPr>
          <w:spacing w:val="-3"/>
        </w:rPr>
        <w:t>属于“一揽子交易”的，把各项交易作为一项取得控制权的交易进行会计处理。不属于</w:t>
      </w:r>
      <w:r>
        <w:rPr/>
        <w:t> </w:t>
      </w:r>
      <w:r>
        <w:rPr>
          <w:spacing w:val="-3"/>
        </w:rPr>
        <w:t>“一揽子交易”的，在合并日，根据合并后应享有被合并方净资产在最终控制方合并财务报</w:t>
      </w:r>
      <w:r>
        <w:rPr>
          <w:spacing w:val="-74"/>
        </w:rPr>
        <w:t> </w:t>
      </w:r>
      <w:r>
        <w:rPr>
          <w:spacing w:val="-74"/>
        </w:rPr>
      </w:r>
      <w:r>
        <w:rPr>
          <w:spacing w:val="-3"/>
        </w:rPr>
        <w:t>表中的账面价值的份额确定初始投资成本。合并日长期股权投资的初始投资成本，与达到合</w:t>
      </w:r>
      <w:r>
        <w:rPr>
          <w:spacing w:val="-75"/>
        </w:rPr>
        <w:t> </w:t>
      </w:r>
      <w:r>
        <w:rPr>
          <w:spacing w:val="-75"/>
        </w:rPr>
      </w:r>
      <w:r>
        <w:rPr>
          <w:spacing w:val="2"/>
        </w:rPr>
        <w:t>并前的长期股权投资账面价值加上合并日进一步取得股份新支付对价的账面价值之和的差</w:t>
      </w:r>
      <w:r>
        <w:rPr>
          <w:spacing w:val="-82"/>
        </w:rPr>
        <w:t> </w:t>
      </w:r>
      <w:r>
        <w:rPr>
          <w:spacing w:val="-82"/>
        </w:rPr>
      </w:r>
      <w:r>
        <w:rPr/>
        <w:t>额，调整资本公积；资本公积不足冲减的，调整留存收益。</w:t>
      </w:r>
    </w:p>
    <w:p>
      <w:pPr>
        <w:pStyle w:val="BodyText"/>
        <w:spacing w:line="355" w:lineRule="auto" w:before="31"/>
        <w:ind w:right="1780" w:firstLine="420"/>
        <w:jc w:val="left"/>
      </w:pPr>
      <w:r>
        <w:rPr>
          <w:rFonts w:ascii="宋体" w:hAnsi="宋体" w:cs="宋体" w:eastAsia="宋体" w:hint="default"/>
        </w:rPr>
        <w:t>(2)</w:t>
      </w:r>
      <w:r>
        <w:rPr>
          <w:rFonts w:ascii="宋体" w:hAnsi="宋体" w:cs="宋体" w:eastAsia="宋体" w:hint="default"/>
          <w:spacing w:val="17"/>
        </w:rPr>
        <w:t> </w:t>
      </w:r>
      <w:r>
        <w:rPr>
          <w:spacing w:val="-3"/>
        </w:rPr>
        <w:t>非同一控制下的企业合并形成的，在购买日按照支付的合并对价的公允价值作为其</w:t>
      </w:r>
      <w:r>
        <w:rPr/>
        <w:t> 初始投资成本。</w:t>
      </w:r>
    </w:p>
    <w:p>
      <w:pPr>
        <w:pStyle w:val="BodyText"/>
        <w:spacing w:line="355" w:lineRule="auto" w:before="33"/>
        <w:ind w:left="138" w:right="0" w:firstLine="420"/>
        <w:jc w:val="left"/>
      </w:pPr>
      <w:r>
        <w:rPr>
          <w:spacing w:val="-3"/>
        </w:rPr>
        <w:t>公司通过多次交易分步实现非同一控制下企业合并形成的长期股权投资，区分个别财务</w:t>
      </w:r>
      <w:r>
        <w:rPr/>
        <w:t> 报表和合并财务报表进行相关会计处理：</w:t>
      </w:r>
    </w:p>
    <w:p>
      <w:pPr>
        <w:pStyle w:val="BodyText"/>
        <w:spacing w:line="355" w:lineRule="auto" w:before="33"/>
        <w:ind w:right="1782" w:firstLine="420"/>
        <w:jc w:val="left"/>
      </w:pPr>
      <w:r>
        <w:rPr>
          <w:rFonts w:ascii="宋体" w:hAnsi="宋体" w:cs="宋体" w:eastAsia="宋体" w:hint="default"/>
        </w:rPr>
        <w:t>1)</w:t>
      </w:r>
      <w:r>
        <w:rPr>
          <w:rFonts w:ascii="宋体" w:hAnsi="宋体" w:cs="宋体" w:eastAsia="宋体" w:hint="default"/>
          <w:spacing w:val="12"/>
        </w:rPr>
        <w:t> </w:t>
      </w:r>
      <w:r>
        <w:rPr/>
        <w:t>在个别财务报表中，按照原持有的股权投资的账面价值加上新增投资成本之和，作 为改按成本法核算的初始投资成本。</w:t>
      </w:r>
    </w:p>
    <w:p>
      <w:pPr>
        <w:pStyle w:val="BodyText"/>
        <w:spacing w:line="357" w:lineRule="auto" w:before="32"/>
        <w:ind w:left="557" w:right="0"/>
        <w:jc w:val="left"/>
      </w:pPr>
      <w:r>
        <w:rPr>
          <w:rFonts w:ascii="宋体" w:hAnsi="宋体" w:cs="宋体" w:eastAsia="宋体" w:hint="default"/>
        </w:rPr>
        <w:t>2)</w:t>
      </w:r>
      <w:r>
        <w:rPr>
          <w:rFonts w:ascii="宋体" w:hAnsi="宋体" w:cs="宋体" w:eastAsia="宋体" w:hint="default"/>
          <w:spacing w:val="-1"/>
        </w:rPr>
        <w:t> </w:t>
      </w:r>
      <w:r>
        <w:rPr/>
        <w:t>在合并财务报表中，判断是否属于“一揽子交易”。 </w:t>
      </w:r>
      <w:r>
        <w:rPr>
          <w:spacing w:val="-3"/>
        </w:rPr>
        <w:t>属于“一揽子交易”的，把各项交易作为一项取得控制权的交易进行会计处理。不属于</w:t>
      </w:r>
    </w:p>
    <w:p>
      <w:pPr>
        <w:pStyle w:val="BodyText"/>
        <w:spacing w:line="357" w:lineRule="auto"/>
        <w:ind w:left="138" w:right="1793"/>
        <w:jc w:val="both"/>
      </w:pPr>
      <w:r>
        <w:rPr>
          <w:spacing w:val="-3"/>
        </w:rPr>
        <w:t>“一揽子交易”的，对于购买日之前持有的被购买方的股权，按照该股权在购买日的公允价</w:t>
      </w:r>
      <w:r>
        <w:rPr>
          <w:spacing w:val="-74"/>
        </w:rPr>
        <w:t> </w:t>
      </w:r>
      <w:r>
        <w:rPr>
          <w:spacing w:val="-74"/>
        </w:rPr>
      </w:r>
      <w:r>
        <w:rPr>
          <w:spacing w:val="-3"/>
        </w:rPr>
        <w:t>值进行重新计量，公允价值与其账面价值的差额计入当期投资收益；购买日之前持有的被购</w:t>
      </w:r>
      <w:r>
        <w:rPr>
          <w:spacing w:val="-75"/>
        </w:rPr>
        <w:t> </w:t>
      </w:r>
      <w:r>
        <w:rPr>
          <w:spacing w:val="-75"/>
        </w:rPr>
      </w:r>
      <w:r>
        <w:rPr>
          <w:spacing w:val="-3"/>
        </w:rPr>
        <w:t>买方的股权涉及权益法核算下的其他综合收益等的，与其相关的其他综合收益等转为购买日</w:t>
      </w:r>
    </w:p>
    <w:p>
      <w:pPr>
        <w:spacing w:after="0" w:line="357"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1793"/>
        <w:jc w:val="both"/>
      </w:pPr>
      <w:r>
        <w:rPr>
          <w:spacing w:val="-3"/>
        </w:rPr>
        <w:t>所属当期收益。但由于被投资方重新计量设定受益计划净负债或净资产变动而产生的其他综</w:t>
      </w:r>
      <w:r>
        <w:rPr>
          <w:spacing w:val="-73"/>
        </w:rPr>
        <w:t> </w:t>
      </w:r>
      <w:r>
        <w:rPr>
          <w:spacing w:val="-73"/>
        </w:rPr>
      </w:r>
      <w:r>
        <w:rPr/>
        <w:t>合收益除外。</w:t>
      </w:r>
    </w:p>
    <w:p>
      <w:pPr>
        <w:pStyle w:val="BodyText"/>
        <w:spacing w:line="357" w:lineRule="auto" w:before="33"/>
        <w:ind w:left="138" w:right="1683" w:firstLine="420"/>
        <w:jc w:val="left"/>
      </w:pPr>
      <w:r>
        <w:rPr>
          <w:rFonts w:ascii="宋体" w:hAnsi="宋体" w:cs="宋体" w:eastAsia="宋体" w:hint="default"/>
        </w:rPr>
        <w:t>(3)</w:t>
      </w:r>
      <w:r>
        <w:rPr>
          <w:rFonts w:ascii="宋体" w:hAnsi="宋体" w:cs="宋体" w:eastAsia="宋体" w:hint="default"/>
          <w:spacing w:val="8"/>
        </w:rPr>
        <w:t> </w:t>
      </w:r>
      <w:r>
        <w:rPr>
          <w:spacing w:val="-3"/>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92"/>
        </w:rPr>
        <w:t> </w:t>
      </w:r>
      <w:r>
        <w:rPr>
          <w:spacing w:val="-92"/>
        </w:rPr>
      </w:r>
      <w:r>
        <w:rPr/>
        <w:t>以债务重组方式取得的，按《企业会计准则第</w:t>
      </w:r>
      <w:r>
        <w:rPr>
          <w:spacing w:val="-46"/>
        </w:rPr>
        <w:t> </w:t>
      </w:r>
      <w:r>
        <w:rPr>
          <w:rFonts w:ascii="宋体" w:hAnsi="宋体" w:cs="宋体" w:eastAsia="宋体" w:hint="default"/>
        </w:rPr>
        <w:t>12</w:t>
      </w:r>
      <w:r>
        <w:rPr>
          <w:rFonts w:ascii="宋体" w:hAnsi="宋体" w:cs="宋体" w:eastAsia="宋体" w:hint="default"/>
          <w:spacing w:val="-46"/>
        </w:rPr>
        <w:t> </w:t>
      </w:r>
      <w:r>
        <w:rPr/>
        <w:t>号——债务重组》确定其初始投资成本；</w:t>
      </w:r>
    </w:p>
    <w:p>
      <w:pPr>
        <w:pStyle w:val="BodyText"/>
        <w:spacing w:line="357" w:lineRule="auto"/>
        <w:ind w:left="138" w:right="1793"/>
        <w:jc w:val="both"/>
      </w:pPr>
      <w:r>
        <w:rPr>
          <w:spacing w:val="-3"/>
        </w:rPr>
        <w:t>以非货币性资产交换取得的，按《企业会计准则第</w:t>
      </w:r>
      <w:r>
        <w:rPr>
          <w:spacing w:val="-64"/>
        </w:rPr>
        <w:t> </w:t>
      </w:r>
      <w:r>
        <w:rPr>
          <w:rFonts w:ascii="宋体" w:hAnsi="宋体" w:cs="宋体" w:eastAsia="宋体" w:hint="default"/>
        </w:rPr>
        <w:t>7</w:t>
      </w:r>
      <w:r>
        <w:rPr>
          <w:rFonts w:ascii="宋体" w:hAnsi="宋体" w:cs="宋体" w:eastAsia="宋体" w:hint="default"/>
          <w:spacing w:val="-64"/>
        </w:rPr>
        <w:t> </w:t>
      </w:r>
      <w:r>
        <w:rPr/>
        <w:t>号——非货币性资产交换》确定其初始 投资成本。</w:t>
      </w:r>
    </w:p>
    <w:p>
      <w:pPr>
        <w:pStyle w:val="BodyText"/>
        <w:spacing w:line="355" w:lineRule="auto"/>
        <w:ind w:left="558" w:right="0"/>
        <w:jc w:val="left"/>
      </w:pPr>
      <w:r>
        <w:rPr>
          <w:rFonts w:ascii="宋体" w:hAnsi="宋体" w:cs="宋体" w:eastAsia="宋体" w:hint="default"/>
        </w:rPr>
        <w:t>3.</w:t>
      </w:r>
      <w:r>
        <w:rPr>
          <w:rFonts w:ascii="宋体" w:hAnsi="宋体" w:cs="宋体" w:eastAsia="宋体" w:hint="default"/>
          <w:spacing w:val="-1"/>
        </w:rPr>
        <w:t> </w:t>
      </w:r>
      <w:r>
        <w:rPr/>
        <w:t>后续计量及损益确认方法 </w:t>
      </w:r>
      <w:r>
        <w:rPr>
          <w:spacing w:val="-3"/>
        </w:rPr>
        <w:t>对被投资单位实施控制的长期股权投资采用成本法核算；对联营企业和合营企业的长期</w:t>
      </w:r>
    </w:p>
    <w:p>
      <w:pPr>
        <w:pStyle w:val="BodyText"/>
        <w:spacing w:line="240" w:lineRule="auto" w:before="33"/>
        <w:ind w:left="138" w:right="0"/>
        <w:jc w:val="both"/>
      </w:pPr>
      <w:r>
        <w:rPr/>
        <w:t>股权投资，采用权益法核算。</w:t>
      </w:r>
    </w:p>
    <w:p>
      <w:pPr>
        <w:pStyle w:val="BodyText"/>
        <w:spacing w:line="240" w:lineRule="auto" w:before="133"/>
        <w:ind w:left="558" w:right="0"/>
        <w:jc w:val="left"/>
      </w:pPr>
      <w:r>
        <w:rPr>
          <w:rFonts w:ascii="宋体" w:hAnsi="宋体" w:cs="宋体" w:eastAsia="宋体" w:hint="default"/>
        </w:rPr>
        <w:t>4.</w:t>
      </w:r>
      <w:r>
        <w:rPr>
          <w:rFonts w:ascii="宋体" w:hAnsi="宋体" w:cs="宋体" w:eastAsia="宋体" w:hint="default"/>
          <w:spacing w:val="-2"/>
        </w:rPr>
        <w:t> </w:t>
      </w:r>
      <w:r>
        <w:rPr/>
        <w:t>通过多次交易分步处置对子公司投资至丧失控制权的的处理方法</w:t>
      </w:r>
    </w:p>
    <w:p>
      <w:pPr>
        <w:pStyle w:val="BodyText"/>
        <w:spacing w:line="355" w:lineRule="auto" w:before="134"/>
        <w:ind w:left="558" w:right="1673"/>
        <w:jc w:val="left"/>
      </w:pPr>
      <w:r>
        <w:rPr>
          <w:rFonts w:ascii="宋体" w:hAnsi="宋体" w:cs="宋体" w:eastAsia="宋体" w:hint="default"/>
        </w:rPr>
        <w:t>(1) </w:t>
      </w:r>
      <w:r>
        <w:rPr/>
        <w:t>个别财务报表 </w:t>
      </w:r>
      <w:r>
        <w:rPr>
          <w:spacing w:val="-5"/>
        </w:rPr>
        <w:t>对处置的股权，其账面价值与实际取得价款之间的差额，计入当期损益。对于剩余股权，</w:t>
      </w:r>
    </w:p>
    <w:p>
      <w:pPr>
        <w:pStyle w:val="BodyText"/>
        <w:spacing w:line="355" w:lineRule="auto" w:before="33"/>
        <w:ind w:left="138" w:right="1792"/>
        <w:jc w:val="both"/>
      </w:pPr>
      <w:r>
        <w:rPr>
          <w:spacing w:val="-3"/>
        </w:rPr>
        <w:t>对被投资单位仍具有重大影响或者与其他方一起实施共同控制的，转为权益法核算；不能再</w:t>
      </w:r>
      <w:r>
        <w:rPr>
          <w:spacing w:val="-75"/>
        </w:rPr>
        <w:t> </w:t>
      </w:r>
      <w:r>
        <w:rPr>
          <w:spacing w:val="-75"/>
        </w:rPr>
      </w:r>
      <w:r>
        <w:rPr>
          <w:spacing w:val="-3"/>
        </w:rPr>
        <w:t>对被投资单位实施控制、共同控制或重大影响的，确认为可供出售金融资产，按公允价值计</w:t>
      </w:r>
      <w:r>
        <w:rPr>
          <w:spacing w:val="-72"/>
        </w:rPr>
        <w:t> </w:t>
      </w:r>
      <w:r>
        <w:rPr>
          <w:spacing w:val="-72"/>
        </w:rPr>
      </w:r>
      <w:r>
        <w:rPr/>
        <w:t>量。</w:t>
      </w:r>
    </w:p>
    <w:p>
      <w:pPr>
        <w:pStyle w:val="BodyText"/>
        <w:spacing w:line="240" w:lineRule="auto" w:before="33"/>
        <w:ind w:left="558" w:right="0"/>
        <w:jc w:val="left"/>
      </w:pPr>
      <w:r>
        <w:rPr>
          <w:rFonts w:ascii="宋体" w:hAnsi="宋体" w:cs="宋体" w:eastAsia="宋体" w:hint="default"/>
        </w:rPr>
        <w:t>(2)</w:t>
      </w:r>
      <w:r>
        <w:rPr>
          <w:rFonts w:ascii="宋体" w:hAnsi="宋体" w:cs="宋体" w:eastAsia="宋体" w:hint="default"/>
          <w:spacing w:val="-1"/>
        </w:rPr>
        <w:t> </w:t>
      </w:r>
      <w:r>
        <w:rPr/>
        <w:t>合并财务报表</w:t>
      </w:r>
    </w:p>
    <w:p>
      <w:pPr>
        <w:pStyle w:val="BodyText"/>
        <w:spacing w:line="357" w:lineRule="auto" w:before="133"/>
        <w:ind w:left="558" w:right="0"/>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 </w:t>
      </w:r>
      <w:r>
        <w:rPr>
          <w:spacing w:val="-3"/>
        </w:rPr>
        <w:t>在丧失控制权之前，处置价款与处置长期股权投资相对应享有子公司自购买日或合并日</w:t>
      </w:r>
    </w:p>
    <w:p>
      <w:pPr>
        <w:pStyle w:val="BodyText"/>
        <w:spacing w:line="357" w:lineRule="auto"/>
        <w:ind w:left="138" w:right="1683"/>
        <w:jc w:val="left"/>
      </w:pPr>
      <w:r>
        <w:rPr>
          <w:spacing w:val="-5"/>
        </w:rPr>
        <w:t>开始持续计算的净资产份额之间的差额，调整资本公积（资本溢价），资本溢价不足冲减的，</w:t>
      </w:r>
      <w:r>
        <w:rPr>
          <w:spacing w:val="-96"/>
        </w:rPr>
        <w:t> </w:t>
      </w:r>
      <w:r>
        <w:rPr>
          <w:spacing w:val="-96"/>
        </w:rPr>
      </w:r>
      <w:r>
        <w:rPr/>
        <w:t>冲减留存收益。</w:t>
      </w:r>
    </w:p>
    <w:p>
      <w:pPr>
        <w:pStyle w:val="BodyText"/>
        <w:spacing w:line="357" w:lineRule="auto"/>
        <w:ind w:left="138" w:right="1792" w:firstLine="420"/>
        <w:jc w:val="both"/>
      </w:pPr>
      <w:r>
        <w:rPr>
          <w:spacing w:val="-3"/>
        </w:rPr>
        <w:t>丧失对原子公司控制权时，对于剩余股权，按照其在丧失控制权日的公允价值进行重新</w:t>
      </w:r>
      <w:r>
        <w:rPr/>
        <w:t> </w:t>
      </w:r>
      <w:r>
        <w:rPr>
          <w:spacing w:val="-3"/>
        </w:rPr>
        <w:t>计量。处置股权取得的对价与剩余股权公允价值之和，减去按原持股比例计算应享有原有子</w:t>
      </w:r>
      <w:r>
        <w:rPr>
          <w:spacing w:val="-75"/>
        </w:rPr>
        <w:t> </w:t>
      </w:r>
      <w:r>
        <w:rPr>
          <w:spacing w:val="-75"/>
        </w:rPr>
      </w:r>
      <w:r>
        <w:rPr>
          <w:spacing w:val="-3"/>
        </w:rPr>
        <w:t>公司自购买日或合并日开始持续计算的净资产的份额之间的差额，计入丧失控制权当期的投</w:t>
      </w:r>
      <w:r>
        <w:rPr>
          <w:spacing w:val="-73"/>
        </w:rPr>
        <w:t> </w:t>
      </w:r>
      <w:r>
        <w:rPr>
          <w:spacing w:val="-73"/>
        </w:rPr>
      </w:r>
      <w:r>
        <w:rPr>
          <w:spacing w:val="-3"/>
        </w:rPr>
        <w:t>资收益，同时冲减商誉。与原有子公司股权投资相关的其他综合收益等，应当在丧失控制权</w:t>
      </w:r>
      <w:r>
        <w:rPr>
          <w:spacing w:val="-72"/>
        </w:rPr>
        <w:t> </w:t>
      </w:r>
      <w:r>
        <w:rPr>
          <w:spacing w:val="-72"/>
        </w:rPr>
      </w:r>
      <w:r>
        <w:rPr/>
        <w:t>时转为当期投资收益。</w:t>
      </w:r>
    </w:p>
    <w:p>
      <w:pPr>
        <w:pStyle w:val="BodyText"/>
        <w:spacing w:line="357" w:lineRule="auto"/>
        <w:ind w:left="558" w:right="0"/>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 </w:t>
      </w:r>
      <w:r>
        <w:rPr>
          <w:spacing w:val="-3"/>
        </w:rPr>
        <w:t>将各项交易作为一项处置子公司并丧失控制权的交易进行会计处理。但是，在丧失控制</w:t>
      </w:r>
    </w:p>
    <w:p>
      <w:pPr>
        <w:pStyle w:val="BodyText"/>
        <w:spacing w:line="355" w:lineRule="auto"/>
        <w:ind w:left="138" w:right="1793"/>
        <w:jc w:val="both"/>
      </w:pPr>
      <w:r>
        <w:rPr>
          <w:spacing w:val="-3"/>
        </w:rPr>
        <w:t>权之前每一次处置价款与处置投资对应的享有该子公司净资产份额的差额，在合并财务报表</w:t>
      </w:r>
      <w:r>
        <w:rPr>
          <w:spacing w:val="-73"/>
        </w:rPr>
        <w:t> </w:t>
      </w:r>
      <w:r>
        <w:rPr>
          <w:spacing w:val="-73"/>
        </w:rPr>
      </w:r>
      <w:r>
        <w:rPr/>
        <w:t>中确认为其他综合收益，在丧失控制权时一并转入丧失控制权当期的损益。</w:t>
      </w:r>
    </w:p>
    <w:p>
      <w:pPr>
        <w:pStyle w:val="BodyText"/>
        <w:spacing w:line="240" w:lineRule="auto" w:before="33"/>
        <w:ind w:left="558" w:right="0"/>
        <w:jc w:val="left"/>
      </w:pPr>
      <w:bookmarkStart w:name="(十三) 投资性房地产" w:id="142"/>
      <w:bookmarkEnd w:id="142"/>
      <w:r>
        <w:rPr/>
      </w:r>
      <w:r>
        <w:rPr>
          <w:rFonts w:ascii="宋体" w:hAnsi="宋体" w:cs="宋体" w:eastAsia="宋体" w:hint="default"/>
        </w:rPr>
        <w:t>(</w:t>
      </w:r>
      <w:r>
        <w:rPr/>
        <w:t>十三</w:t>
      </w:r>
      <w:r>
        <w:rPr>
          <w:rFonts w:ascii="宋体" w:hAnsi="宋体" w:cs="宋体" w:eastAsia="宋体" w:hint="default"/>
        </w:rPr>
        <w:t>)</w:t>
      </w:r>
      <w:r>
        <w:rPr>
          <w:rFonts w:ascii="宋体" w:hAnsi="宋体" w:cs="宋体" w:eastAsia="宋体" w:hint="default"/>
          <w:spacing w:val="-2"/>
        </w:rPr>
        <w:t> </w:t>
      </w:r>
      <w:r>
        <w:rPr/>
        <w:t>投资性房地产</w:t>
      </w:r>
    </w:p>
    <w:p>
      <w:pPr>
        <w:pStyle w:val="BodyText"/>
        <w:spacing w:line="357" w:lineRule="auto" w:before="133"/>
        <w:ind w:right="1782" w:firstLine="420"/>
        <w:jc w:val="left"/>
      </w:pPr>
      <w:r>
        <w:rPr>
          <w:rFonts w:ascii="宋体" w:hAnsi="宋体" w:cs="宋体" w:eastAsia="宋体" w:hint="default"/>
        </w:rPr>
        <w:t>1.</w:t>
      </w:r>
      <w:r>
        <w:rPr>
          <w:rFonts w:ascii="宋体" w:hAnsi="宋体" w:cs="宋体" w:eastAsia="宋体" w:hint="default"/>
          <w:spacing w:val="12"/>
        </w:rPr>
        <w:t> </w:t>
      </w:r>
      <w:r>
        <w:rPr/>
        <w:t>投资性房地产包括已出租的土地使用权、持有并准备增值后转让的土地使用权和已 出租的建筑物。</w:t>
      </w:r>
    </w:p>
    <w:p>
      <w:pPr>
        <w:pStyle w:val="BodyText"/>
        <w:spacing w:line="240" w:lineRule="auto"/>
        <w:ind w:left="558" w:right="0"/>
        <w:jc w:val="left"/>
      </w:pPr>
      <w:r>
        <w:rPr>
          <w:rFonts w:ascii="宋体" w:hAnsi="宋体" w:cs="宋体" w:eastAsia="宋体" w:hint="default"/>
        </w:rPr>
        <w:t>2.</w:t>
      </w:r>
      <w:r>
        <w:rPr>
          <w:rFonts w:ascii="宋体" w:hAnsi="宋体" w:cs="宋体" w:eastAsia="宋体" w:hint="default"/>
          <w:spacing w:val="12"/>
        </w:rPr>
        <w:t> </w:t>
      </w:r>
      <w:r>
        <w:rPr/>
        <w:t>投资性房地产按照成本进行初始计量，采用成本模式进行后续计量，并采用与固定</w:t>
      </w:r>
    </w:p>
    <w:p>
      <w:pPr>
        <w:spacing w:after="0" w:line="240"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558" w:right="5468" w:hanging="420"/>
        <w:jc w:val="left"/>
      </w:pPr>
      <w:r>
        <w:rPr/>
        <w:t>资产和无形资产相同的方法计提折旧或进行摊销。 </w:t>
      </w:r>
      <w:bookmarkStart w:name="(十四) 固定资产" w:id="143"/>
      <w:bookmarkEnd w:id="143"/>
      <w:r>
        <w:rPr/>
      </w:r>
      <w:r>
        <w:rPr>
          <w:rFonts w:ascii="宋体" w:hAnsi="宋体" w:cs="宋体" w:eastAsia="宋体" w:hint="default"/>
        </w:rPr>
        <w:t>(</w:t>
      </w:r>
      <w:r>
        <w:rPr/>
        <w:t>十四</w:t>
      </w:r>
      <w:r>
        <w:rPr>
          <w:rFonts w:ascii="宋体" w:hAnsi="宋体" w:cs="宋体" w:eastAsia="宋体" w:hint="default"/>
        </w:rPr>
        <w:t>)</w:t>
      </w:r>
      <w:r>
        <w:rPr>
          <w:rFonts w:ascii="宋体" w:hAnsi="宋体" w:cs="宋体" w:eastAsia="宋体" w:hint="default"/>
          <w:spacing w:val="-2"/>
        </w:rPr>
        <w:t> </w:t>
      </w:r>
      <w:r>
        <w:rPr/>
        <w:t>固定资产</w:t>
      </w:r>
    </w:p>
    <w:p>
      <w:pPr>
        <w:pStyle w:val="BodyText"/>
        <w:spacing w:line="357" w:lineRule="auto" w:before="33"/>
        <w:ind w:left="558" w:right="0"/>
        <w:jc w:val="left"/>
      </w:pPr>
      <w:r>
        <w:rPr>
          <w:rFonts w:ascii="宋体" w:hAnsi="宋体" w:cs="宋体" w:eastAsia="宋体" w:hint="default"/>
        </w:rPr>
        <w:t>1.</w:t>
      </w:r>
      <w:r>
        <w:rPr>
          <w:rFonts w:ascii="宋体" w:hAnsi="宋体" w:cs="宋体" w:eastAsia="宋体" w:hint="default"/>
          <w:spacing w:val="-1"/>
        </w:rPr>
        <w:t> </w:t>
      </w:r>
      <w:r>
        <w:rPr/>
        <w:t>固定资产确认条件 </w:t>
      </w:r>
      <w:r>
        <w:rPr>
          <w:spacing w:val="-3"/>
        </w:rPr>
        <w:t>固定资产是指为生产商品、提供劳务、出租或经营管理而持有的，使用年限超过一个会</w:t>
      </w:r>
    </w:p>
    <w:p>
      <w:pPr>
        <w:pStyle w:val="BodyText"/>
        <w:spacing w:line="355" w:lineRule="auto" w:before="31"/>
        <w:ind w:left="138" w:right="1684"/>
        <w:jc w:val="left"/>
      </w:pPr>
      <w:r>
        <w:rPr>
          <w:spacing w:val="-3"/>
        </w:rPr>
        <w:t>计年度的有形资产。固定资产在同时满足经济利益很可能流入、成本能够可靠计量时予以确</w:t>
      </w:r>
      <w:r>
        <w:rPr>
          <w:spacing w:val="-75"/>
        </w:rPr>
        <w:t> </w:t>
      </w:r>
      <w:r>
        <w:rPr>
          <w:spacing w:val="-75"/>
        </w:rPr>
      </w:r>
      <w:r>
        <w:rPr/>
        <w:t>认。</w:t>
      </w:r>
    </w:p>
    <w:p>
      <w:pPr>
        <w:pStyle w:val="BodyText"/>
        <w:spacing w:line="240" w:lineRule="auto" w:before="33"/>
        <w:ind w:left="558" w:right="0"/>
        <w:jc w:val="left"/>
      </w:pPr>
      <w:r>
        <w:rPr>
          <w:rFonts w:ascii="宋体" w:hAnsi="宋体" w:cs="宋体" w:eastAsia="宋体" w:hint="default"/>
        </w:rPr>
        <w:t>2.</w:t>
      </w:r>
      <w:r>
        <w:rPr>
          <w:rFonts w:ascii="宋体" w:hAnsi="宋体" w:cs="宋体" w:eastAsia="宋体" w:hint="default"/>
          <w:spacing w:val="-2"/>
        </w:rPr>
        <w:t> </w:t>
      </w:r>
      <w:r>
        <w:rPr/>
        <w:t>各类固定资产的折旧方法</w:t>
      </w:r>
    </w:p>
    <w:p>
      <w:pPr>
        <w:spacing w:line="240" w:lineRule="auto" w:before="10"/>
        <w:rPr>
          <w:rFonts w:ascii="宋体" w:hAnsi="宋体" w:cs="宋体" w:eastAsia="宋体" w:hint="default"/>
          <w:sz w:val="12"/>
          <w:szCs w:val="12"/>
        </w:rPr>
      </w:pPr>
    </w:p>
    <w:tbl>
      <w:tblPr>
        <w:tblW w:w="0" w:type="auto"/>
        <w:jc w:val="left"/>
        <w:tblInd w:w="478" w:type="dxa"/>
        <w:tblLayout w:type="fixed"/>
        <w:tblCellMar>
          <w:top w:w="0" w:type="dxa"/>
          <w:left w:w="0" w:type="dxa"/>
          <w:bottom w:w="0" w:type="dxa"/>
          <w:right w:w="0" w:type="dxa"/>
        </w:tblCellMar>
        <w:tblLook w:val="01E0"/>
      </w:tblPr>
      <w:tblGrid>
        <w:gridCol w:w="2004"/>
        <w:gridCol w:w="1611"/>
        <w:gridCol w:w="1484"/>
        <w:gridCol w:w="1485"/>
        <w:gridCol w:w="1486"/>
      </w:tblGrid>
      <w:tr>
        <w:trPr>
          <w:trHeight w:val="46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tabs>
                <w:tab w:pos="769" w:val="left" w:leader="none"/>
              </w:tabs>
              <w:spacing w:line="240" w:lineRule="auto" w:before="56"/>
              <w:ind w:left="349"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64"/>
              <w:jc w:val="righ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p>
        </w:tc>
      </w:tr>
      <w:tr>
        <w:trPr>
          <w:trHeight w:val="463"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3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0" w:right="0"/>
              <w:jc w:val="center"/>
              <w:rPr>
                <w:rFonts w:ascii="宋体" w:hAnsi="宋体" w:cs="宋体" w:eastAsia="宋体" w:hint="default"/>
                <w:sz w:val="21"/>
                <w:szCs w:val="21"/>
              </w:rPr>
            </w:pPr>
            <w:r>
              <w:rPr>
                <w:rFonts w:ascii="宋体"/>
                <w:sz w:val="21"/>
              </w:rPr>
              <w:t>20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z w:val="21"/>
              </w:rPr>
              <w:t>4.75</w:t>
            </w:r>
          </w:p>
        </w:tc>
      </w:tr>
      <w:tr>
        <w:trPr>
          <w:trHeight w:val="46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3-10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9.50-31.67</w:t>
            </w:r>
          </w:p>
        </w:tc>
      </w:tr>
      <w:tr>
        <w:trPr>
          <w:trHeight w:val="46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09" w:right="0"/>
              <w:jc w:val="center"/>
              <w:rPr>
                <w:rFonts w:ascii="宋体" w:hAnsi="宋体" w:cs="宋体" w:eastAsia="宋体" w:hint="default"/>
                <w:sz w:val="21"/>
                <w:szCs w:val="21"/>
              </w:rPr>
            </w:pPr>
            <w:r>
              <w:rPr>
                <w:rFonts w:ascii="宋体"/>
                <w:sz w:val="21"/>
              </w:rPr>
              <w:t>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19.00</w:t>
            </w:r>
          </w:p>
        </w:tc>
      </w:tr>
      <w:tr>
        <w:trPr>
          <w:trHeight w:val="464" w:hRule="exact"/>
        </w:trPr>
        <w:tc>
          <w:tcPr>
            <w:tcW w:w="20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3-10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21"/>
                <w:szCs w:val="21"/>
              </w:rPr>
            </w:pPr>
            <w:r>
              <w:rPr>
                <w:rFonts w:ascii="宋体"/>
                <w:sz w:val="21"/>
              </w:rPr>
              <w:t>5.00</w:t>
            </w:r>
          </w:p>
        </w:tc>
        <w:tc>
          <w:tcPr>
            <w:tcW w:w="14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9.50-31.67</w:t>
            </w:r>
          </w:p>
        </w:tc>
      </w:tr>
    </w:tbl>
    <w:p>
      <w:pPr>
        <w:pStyle w:val="BodyText"/>
        <w:spacing w:line="241" w:lineRule="exact" w:before="0"/>
        <w:ind w:left="558" w:right="0"/>
        <w:jc w:val="left"/>
      </w:pPr>
      <w:bookmarkStart w:name="(十五) 在建工程" w:id="144"/>
      <w:bookmarkEnd w:id="144"/>
      <w:r>
        <w:rPr/>
      </w:r>
      <w:r>
        <w:rPr>
          <w:rFonts w:ascii="宋体" w:hAnsi="宋体" w:cs="宋体" w:eastAsia="宋体" w:hint="default"/>
        </w:rPr>
        <w:t>(</w:t>
      </w:r>
      <w:r>
        <w:rPr/>
        <w:t>十五</w:t>
      </w:r>
      <w:r>
        <w:rPr>
          <w:rFonts w:ascii="宋体" w:hAnsi="宋体" w:cs="宋体" w:eastAsia="宋体" w:hint="default"/>
        </w:rPr>
        <w:t>)</w:t>
      </w:r>
      <w:r>
        <w:rPr>
          <w:rFonts w:ascii="宋体" w:hAnsi="宋体" w:cs="宋体" w:eastAsia="宋体" w:hint="default"/>
          <w:spacing w:val="-2"/>
        </w:rPr>
        <w:t> </w:t>
      </w:r>
      <w:r>
        <w:rPr/>
        <w:t>在建工程</w:t>
      </w:r>
    </w:p>
    <w:p>
      <w:pPr>
        <w:pStyle w:val="BodyText"/>
        <w:spacing w:line="357" w:lineRule="auto" w:before="133"/>
        <w:ind w:right="1798" w:firstLine="420"/>
        <w:jc w:val="both"/>
      </w:pPr>
      <w:r>
        <w:rPr>
          <w:rFonts w:ascii="宋体" w:hAnsi="宋体" w:cs="宋体" w:eastAsia="宋体" w:hint="default"/>
        </w:rPr>
        <w:t>1.</w:t>
      </w:r>
      <w:r>
        <w:rPr>
          <w:rFonts w:ascii="宋体" w:hAnsi="宋体" w:cs="宋体" w:eastAsia="宋体" w:hint="default"/>
          <w:spacing w:val="12"/>
        </w:rPr>
        <w:t> </w:t>
      </w:r>
      <w:r>
        <w:rPr/>
        <w:t>在建工程同时满足经济利益很可能流入、成本能够可靠计量则予以确认。在建工程 按建造该项资产达到预定可使用状态前所发生的实际成本计量。</w:t>
      </w:r>
    </w:p>
    <w:p>
      <w:pPr>
        <w:pStyle w:val="BodyText"/>
        <w:spacing w:line="357" w:lineRule="auto"/>
        <w:ind w:right="1795" w:firstLine="420"/>
        <w:jc w:val="both"/>
      </w:pPr>
      <w:r>
        <w:rPr>
          <w:rFonts w:ascii="宋体" w:hAnsi="宋体" w:cs="宋体" w:eastAsia="宋体" w:hint="default"/>
        </w:rPr>
        <w:t>2.</w:t>
      </w:r>
      <w:r>
        <w:rPr>
          <w:rFonts w:ascii="宋体" w:hAnsi="宋体" w:cs="宋体" w:eastAsia="宋体" w:hint="default"/>
          <w:spacing w:val="11"/>
        </w:rPr>
        <w:t> </w:t>
      </w:r>
      <w:r>
        <w:rPr/>
        <w:t>在建工程达到预定可使用状态时，按工程实际成本转入固定资产。已达到预定可使 </w:t>
      </w:r>
      <w:r>
        <w:rPr>
          <w:spacing w:val="-3"/>
        </w:rPr>
        <w:t>用状态但尚未办理竣工决算的，先按估计价值转入固定资产，待办理竣工决算后再按实际成</w:t>
      </w:r>
      <w:r>
        <w:rPr>
          <w:spacing w:val="-75"/>
        </w:rPr>
        <w:t> </w:t>
      </w:r>
      <w:r>
        <w:rPr>
          <w:spacing w:val="-75"/>
        </w:rPr>
      </w:r>
      <w:r>
        <w:rPr/>
        <w:t>本调整原暂估价值，但不再调整原已计提的折旧。</w:t>
      </w:r>
    </w:p>
    <w:p>
      <w:pPr>
        <w:pStyle w:val="BodyText"/>
        <w:spacing w:line="240" w:lineRule="auto"/>
        <w:ind w:left="558" w:right="0"/>
        <w:jc w:val="left"/>
      </w:pPr>
      <w:bookmarkStart w:name="(十六) 借款费用" w:id="145"/>
      <w:bookmarkEnd w:id="145"/>
      <w:r>
        <w:rPr/>
      </w:r>
      <w:r>
        <w:rPr>
          <w:rFonts w:ascii="宋体" w:hAnsi="宋体" w:cs="宋体" w:eastAsia="宋体" w:hint="default"/>
        </w:rPr>
        <w:t>(</w:t>
      </w:r>
      <w:r>
        <w:rPr/>
        <w:t>十六</w:t>
      </w:r>
      <w:r>
        <w:rPr>
          <w:rFonts w:ascii="宋体" w:hAnsi="宋体" w:cs="宋体" w:eastAsia="宋体" w:hint="default"/>
        </w:rPr>
        <w:t>)</w:t>
      </w:r>
      <w:r>
        <w:rPr>
          <w:rFonts w:ascii="宋体" w:hAnsi="宋体" w:cs="宋体" w:eastAsia="宋体" w:hint="default"/>
          <w:spacing w:val="-2"/>
        </w:rPr>
        <w:t> </w:t>
      </w:r>
      <w:r>
        <w:rPr/>
        <w:t>借款费用</w:t>
      </w:r>
    </w:p>
    <w:p>
      <w:pPr>
        <w:pStyle w:val="BodyText"/>
        <w:spacing w:line="355" w:lineRule="auto" w:before="134"/>
        <w:ind w:left="557" w:right="0"/>
        <w:jc w:val="left"/>
      </w:pPr>
      <w:r>
        <w:rPr>
          <w:rFonts w:ascii="宋体" w:hAnsi="宋体" w:cs="宋体" w:eastAsia="宋体" w:hint="default"/>
        </w:rPr>
        <w:t>1.</w:t>
      </w:r>
      <w:r>
        <w:rPr>
          <w:rFonts w:ascii="宋体" w:hAnsi="宋体" w:cs="宋体" w:eastAsia="宋体" w:hint="default"/>
          <w:spacing w:val="-1"/>
        </w:rPr>
        <w:t> </w:t>
      </w:r>
      <w:r>
        <w:rPr/>
        <w:t>借款费用资本化的确认原则 </w:t>
      </w:r>
      <w:r>
        <w:rPr>
          <w:spacing w:val="-3"/>
        </w:rPr>
        <w:t>公司发生的借款费用，可直接归属于符合资本化条件的资产的购建或者生产的，予以资</w:t>
      </w:r>
    </w:p>
    <w:p>
      <w:pPr>
        <w:pStyle w:val="BodyText"/>
        <w:spacing w:line="355" w:lineRule="auto" w:before="33"/>
        <w:ind w:left="557" w:right="2529" w:hanging="420"/>
        <w:jc w:val="left"/>
      </w:pPr>
      <w:r>
        <w:rPr/>
        <w:t>本化，计入相关资产成本；其他借款费用，在发生时确认为费用，计入当期损益。 </w:t>
      </w:r>
      <w:r>
        <w:rPr>
          <w:rFonts w:ascii="宋体" w:hAnsi="宋体" w:cs="宋体" w:eastAsia="宋体" w:hint="default"/>
        </w:rPr>
        <w:t>2</w:t>
      </w:r>
      <w:r>
        <w:rPr/>
        <w:t>．借款费用资本化期间</w:t>
      </w:r>
    </w:p>
    <w:p>
      <w:pPr>
        <w:pStyle w:val="BodyText"/>
        <w:spacing w:line="357" w:lineRule="auto" w:before="32"/>
        <w:ind w:right="1793" w:firstLine="420"/>
        <w:jc w:val="both"/>
      </w:pPr>
      <w:r>
        <w:rPr>
          <w:rFonts w:ascii="宋体" w:hAnsi="宋体" w:cs="宋体" w:eastAsia="宋体" w:hint="default"/>
        </w:rPr>
        <w:t>(1) </w:t>
      </w:r>
      <w:r>
        <w:rPr>
          <w:spacing w:val="-3"/>
        </w:rPr>
        <w:t>当借款费用同时满足下列条件时，开始资本化：</w:t>
      </w:r>
      <w:r>
        <w:rPr>
          <w:rFonts w:ascii="宋体" w:hAnsi="宋体" w:cs="宋体" w:eastAsia="宋体" w:hint="default"/>
          <w:spacing w:val="-3"/>
        </w:rPr>
        <w:t>1) </w:t>
      </w:r>
      <w:r>
        <w:rPr>
          <w:spacing w:val="-3"/>
        </w:rPr>
        <w:t>资产支出已经发生；</w:t>
      </w:r>
      <w:r>
        <w:rPr>
          <w:rFonts w:ascii="宋体" w:hAnsi="宋体" w:cs="宋体" w:eastAsia="宋体" w:hint="default"/>
          <w:spacing w:val="-3"/>
        </w:rPr>
        <w:t>2)</w:t>
      </w:r>
      <w:r>
        <w:rPr>
          <w:rFonts w:ascii="宋体" w:hAnsi="宋体" w:cs="宋体" w:eastAsia="宋体" w:hint="default"/>
          <w:spacing w:val="12"/>
        </w:rPr>
        <w:t> </w:t>
      </w:r>
      <w:r>
        <w:rPr/>
        <w:t>借款费 用已经发生；</w:t>
      </w:r>
      <w:r>
        <w:rPr>
          <w:rFonts w:ascii="宋体" w:hAnsi="宋体" w:cs="宋体" w:eastAsia="宋体" w:hint="default"/>
        </w:rPr>
        <w:t>3)</w:t>
      </w:r>
      <w:r>
        <w:rPr>
          <w:rFonts w:ascii="宋体" w:hAnsi="宋体" w:cs="宋体" w:eastAsia="宋体" w:hint="default"/>
          <w:spacing w:val="11"/>
        </w:rPr>
        <w:t> </w:t>
      </w:r>
      <w:r>
        <w:rPr/>
        <w:t>为使资产达到预定可使用或可销售状态所必要的购建或者生产活动已经开 始。</w:t>
      </w:r>
    </w:p>
    <w:p>
      <w:pPr>
        <w:pStyle w:val="BodyText"/>
        <w:spacing w:line="240" w:lineRule="auto" w:before="31"/>
        <w:ind w:left="558" w:right="0"/>
        <w:jc w:val="left"/>
      </w:pPr>
      <w:r>
        <w:rPr>
          <w:rFonts w:ascii="宋体" w:hAnsi="宋体" w:cs="宋体" w:eastAsia="宋体" w:hint="default"/>
        </w:rPr>
        <w:t>(2)</w:t>
      </w:r>
      <w:r>
        <w:rPr>
          <w:rFonts w:ascii="宋体" w:hAnsi="宋体" w:cs="宋体" w:eastAsia="宋体" w:hint="default"/>
          <w:spacing w:val="1"/>
        </w:rPr>
        <w:t> </w:t>
      </w:r>
      <w:r>
        <w:rPr/>
        <w:t>若符</w:t>
      </w:r>
      <w:r>
        <w:rPr>
          <w:spacing w:val="-2"/>
        </w:rPr>
        <w:t>合</w:t>
      </w:r>
      <w:r>
        <w:rPr/>
        <w:t>资本化条件的资产在购建或者生产过程中发生非正常中断</w:t>
      </w:r>
      <w:r>
        <w:rPr>
          <w:spacing w:val="-88"/>
        </w:rPr>
        <w:t>，</w:t>
      </w:r>
      <w:r>
        <w:rPr/>
        <w:t>并且中断时间连</w:t>
      </w:r>
    </w:p>
    <w:p>
      <w:pPr>
        <w:pStyle w:val="BodyText"/>
        <w:spacing w:line="357" w:lineRule="auto" w:before="133"/>
        <w:ind w:left="138" w:right="1780"/>
        <w:jc w:val="left"/>
      </w:pPr>
      <w:r>
        <w:rPr/>
        <w:t>续超过</w:t>
      </w:r>
      <w:r>
        <w:rPr>
          <w:spacing w:val="-45"/>
        </w:rPr>
        <w:t> </w:t>
      </w:r>
      <w:r>
        <w:rPr>
          <w:rFonts w:ascii="宋体" w:hAnsi="宋体" w:cs="宋体" w:eastAsia="宋体" w:hint="default"/>
        </w:rPr>
        <w:t>3</w:t>
      </w:r>
      <w:r>
        <w:rPr>
          <w:rFonts w:ascii="宋体" w:hAnsi="宋体" w:cs="宋体" w:eastAsia="宋体" w:hint="default"/>
          <w:spacing w:val="-44"/>
        </w:rPr>
        <w:t> </w:t>
      </w:r>
      <w:r>
        <w:rPr>
          <w:spacing w:val="-3"/>
        </w:rPr>
        <w:t>个月，暂停借款费用的资本化；中断期间发生的借款费用确认为当期费用，直至资</w:t>
      </w:r>
      <w:r>
        <w:rPr/>
        <w:t> 产的购建或者生产活动重新开始。</w:t>
      </w:r>
    </w:p>
    <w:p>
      <w:pPr>
        <w:pStyle w:val="BodyText"/>
        <w:spacing w:line="357" w:lineRule="auto"/>
        <w:ind w:left="138" w:right="1794" w:firstLine="420"/>
        <w:jc w:val="both"/>
      </w:pPr>
      <w:r>
        <w:rPr>
          <w:rFonts w:ascii="宋体" w:hAnsi="宋体" w:cs="宋体" w:eastAsia="宋体" w:hint="default"/>
        </w:rPr>
        <w:t>(3)</w:t>
      </w:r>
      <w:r>
        <w:rPr>
          <w:rFonts w:ascii="宋体" w:hAnsi="宋体" w:cs="宋体" w:eastAsia="宋体" w:hint="default"/>
          <w:spacing w:val="17"/>
        </w:rPr>
        <w:t> </w:t>
      </w:r>
      <w:r>
        <w:rPr>
          <w:spacing w:val="-3"/>
        </w:rPr>
        <w:t>当所购建或者生产符合资本化条件的资产达到预定可使用或可销售状态时，借款费</w:t>
      </w:r>
      <w:r>
        <w:rPr/>
        <w:t> 用停止资本化。</w:t>
      </w:r>
    </w:p>
    <w:p>
      <w:pPr>
        <w:pStyle w:val="BodyText"/>
        <w:spacing w:line="355" w:lineRule="auto" w:before="31"/>
        <w:ind w:left="557" w:right="0"/>
        <w:jc w:val="left"/>
      </w:pPr>
      <w:r>
        <w:rPr>
          <w:rFonts w:ascii="宋体" w:hAnsi="宋体" w:cs="宋体" w:eastAsia="宋体" w:hint="default"/>
        </w:rPr>
        <w:t>3</w:t>
      </w:r>
      <w:r>
        <w:rPr/>
        <w:t>．借款费用资本化率以及资本化金额 </w:t>
      </w:r>
      <w:r>
        <w:rPr>
          <w:spacing w:val="-3"/>
        </w:rPr>
        <w:t>为购建或者生产符合资本化条件的资产而借入专门借款的，以专门借款当期实际发生的</w:t>
      </w:r>
    </w:p>
    <w:p>
      <w:pPr>
        <w:spacing w:after="0" w:line="355"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left="138" w:right="1793"/>
        <w:jc w:val="both"/>
      </w:pPr>
      <w:r>
        <w:rPr>
          <w:spacing w:val="-3"/>
        </w:rPr>
        <w:t>利息费用（包括按照实际利率法确定的折价或溢价的摊销），减去将尚未动用的借款资金存</w:t>
      </w:r>
      <w:r>
        <w:rPr>
          <w:spacing w:val="-74"/>
        </w:rPr>
        <w:t> </w:t>
      </w:r>
      <w:r>
        <w:rPr>
          <w:spacing w:val="-74"/>
        </w:rPr>
      </w:r>
      <w:r>
        <w:rPr>
          <w:spacing w:val="-3"/>
        </w:rPr>
        <w:t>入银行取得的利息收入或进行暂时性投资取得的投资收益后的金额，确定应予资本化的利息</w:t>
      </w:r>
      <w:r>
        <w:rPr>
          <w:spacing w:val="-73"/>
        </w:rPr>
        <w:t> </w:t>
      </w:r>
      <w:r>
        <w:rPr>
          <w:spacing w:val="-73"/>
        </w:rPr>
      </w:r>
      <w:r>
        <w:rPr>
          <w:spacing w:val="-3"/>
        </w:rPr>
        <w:t>金额；为购建或者生产符合资本化条件的资产占用了一般借款的，根据累计资产支出超过专</w:t>
      </w:r>
      <w:r>
        <w:rPr>
          <w:spacing w:val="-75"/>
        </w:rPr>
        <w:t> </w:t>
      </w:r>
      <w:r>
        <w:rPr>
          <w:spacing w:val="-75"/>
        </w:rPr>
      </w:r>
      <w:r>
        <w:rPr>
          <w:spacing w:val="-3"/>
        </w:rPr>
        <w:t>门借款的资产支出加权平均数乘以占用一般借款的资本化率，计算确定一般借款应予资本化</w:t>
      </w:r>
      <w:r>
        <w:rPr>
          <w:spacing w:val="-73"/>
        </w:rPr>
        <w:t> </w:t>
      </w:r>
      <w:r>
        <w:rPr>
          <w:spacing w:val="-73"/>
        </w:rPr>
      </w:r>
      <w:r>
        <w:rPr/>
        <w:t>的利息金额。</w:t>
      </w:r>
    </w:p>
    <w:p>
      <w:pPr>
        <w:pStyle w:val="BodyText"/>
        <w:spacing w:line="240" w:lineRule="auto"/>
        <w:ind w:left="453" w:right="0"/>
        <w:jc w:val="left"/>
      </w:pPr>
      <w:bookmarkStart w:name="(十七) 无形资产" w:id="146"/>
      <w:bookmarkEnd w:id="146"/>
      <w:r>
        <w:rPr/>
      </w:r>
      <w:r>
        <w:rPr>
          <w:rFonts w:ascii="宋体" w:hAnsi="宋体" w:cs="宋体" w:eastAsia="宋体" w:hint="default"/>
        </w:rPr>
        <w:t>(</w:t>
      </w:r>
      <w:r>
        <w:rPr/>
        <w:t>十七</w:t>
      </w:r>
      <w:r>
        <w:rPr>
          <w:rFonts w:ascii="宋体" w:hAnsi="宋体" w:cs="宋体" w:eastAsia="宋体" w:hint="default"/>
        </w:rPr>
        <w:t>)</w:t>
      </w:r>
      <w:r>
        <w:rPr>
          <w:rFonts w:ascii="宋体" w:hAnsi="宋体" w:cs="宋体" w:eastAsia="宋体" w:hint="default"/>
          <w:spacing w:val="-2"/>
        </w:rPr>
        <w:t> </w:t>
      </w:r>
      <w:r>
        <w:rPr/>
        <w:t>无形资产</w:t>
      </w:r>
    </w:p>
    <w:p>
      <w:pPr>
        <w:pStyle w:val="BodyText"/>
        <w:spacing w:line="240" w:lineRule="auto" w:before="134"/>
        <w:ind w:left="558" w:right="0"/>
        <w:jc w:val="left"/>
      </w:pPr>
      <w:r>
        <w:rPr>
          <w:rFonts w:ascii="宋体" w:hAnsi="宋体" w:cs="宋体" w:eastAsia="宋体" w:hint="default"/>
        </w:rPr>
        <w:t>1.</w:t>
      </w:r>
      <w:r>
        <w:rPr>
          <w:rFonts w:ascii="宋体" w:hAnsi="宋体" w:cs="宋体" w:eastAsia="宋体" w:hint="default"/>
          <w:spacing w:val="-2"/>
        </w:rPr>
        <w:t> </w:t>
      </w:r>
      <w:r>
        <w:rPr/>
        <w:t>无形资产包括土地使用权、专利权及非专利技术等，按成本进行初始计量。</w:t>
      </w:r>
    </w:p>
    <w:p>
      <w:pPr>
        <w:pStyle w:val="BodyText"/>
        <w:spacing w:line="357" w:lineRule="auto" w:before="133"/>
        <w:ind w:right="1792" w:firstLine="420"/>
        <w:jc w:val="both"/>
      </w:pPr>
      <w:r>
        <w:rPr>
          <w:rFonts w:ascii="宋体" w:hAnsi="宋体" w:cs="宋体" w:eastAsia="宋体" w:hint="default"/>
        </w:rPr>
        <w:t>2.</w:t>
      </w:r>
      <w:r>
        <w:rPr>
          <w:rFonts w:ascii="宋体" w:hAnsi="宋体" w:cs="宋体" w:eastAsia="宋体" w:hint="default"/>
          <w:spacing w:val="11"/>
        </w:rPr>
        <w:t> </w:t>
      </w:r>
      <w:r>
        <w:rPr/>
        <w:t>使用寿命有限的无形资产，在使用寿命内按照与该项无形资产有关的经济利益的预 </w:t>
      </w:r>
      <w:r>
        <w:rPr>
          <w:spacing w:val="-3"/>
        </w:rPr>
        <w:t>期实现方式系统合理地摊销，无法可靠确定预期实现方式的，采用直线法摊销。具体年限如</w:t>
      </w:r>
      <w:r>
        <w:rPr>
          <w:spacing w:val="-72"/>
        </w:rPr>
        <w:t> </w:t>
      </w:r>
      <w:r>
        <w:rPr>
          <w:spacing w:val="-72"/>
        </w:rPr>
      </w:r>
      <w:r>
        <w:rPr/>
        <w:t>下：</w:t>
      </w:r>
    </w:p>
    <w:p>
      <w:pPr>
        <w:spacing w:line="240" w:lineRule="auto" w:before="12"/>
        <w:rPr>
          <w:rFonts w:ascii="宋体" w:hAnsi="宋体" w:cs="宋体" w:eastAsia="宋体" w:hint="default"/>
          <w:sz w:val="4"/>
          <w:szCs w:val="4"/>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6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5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3"/>
              <w:jc w:val="center"/>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46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21"/>
                <w:szCs w:val="21"/>
              </w:rPr>
            </w:pPr>
            <w:r>
              <w:rPr>
                <w:rFonts w:ascii="宋体"/>
                <w:sz w:val="21"/>
              </w:rPr>
              <w:t>50</w:t>
            </w:r>
          </w:p>
        </w:tc>
      </w:tr>
      <w:tr>
        <w:trPr>
          <w:trHeight w:val="463"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宋体" w:hAnsi="宋体" w:cs="宋体" w:eastAsia="宋体" w:hint="default"/>
                <w:sz w:val="21"/>
                <w:szCs w:val="21"/>
              </w:rPr>
            </w:pPr>
            <w:r>
              <w:rPr>
                <w:rFonts w:ascii="宋体"/>
                <w:sz w:val="21"/>
              </w:rPr>
              <w:t>5</w:t>
            </w:r>
          </w:p>
        </w:tc>
      </w:tr>
      <w:tr>
        <w:trPr>
          <w:trHeight w:val="46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宋体" w:hAnsi="宋体" w:cs="宋体" w:eastAsia="宋体" w:hint="default"/>
                <w:sz w:val="21"/>
                <w:szCs w:val="21"/>
              </w:rPr>
            </w:pPr>
            <w:r>
              <w:rPr>
                <w:rFonts w:ascii="宋体"/>
                <w:sz w:val="21"/>
              </w:rPr>
              <w:t>5</w:t>
            </w:r>
          </w:p>
        </w:tc>
      </w:tr>
      <w:tr>
        <w:trPr>
          <w:trHeight w:val="46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宋体" w:hAnsi="宋体" w:cs="宋体" w:eastAsia="宋体" w:hint="default"/>
                <w:sz w:val="21"/>
                <w:szCs w:val="21"/>
              </w:rPr>
            </w:pPr>
            <w:r>
              <w:rPr>
                <w:rFonts w:ascii="宋体"/>
                <w:sz w:val="21"/>
              </w:rPr>
              <w:t>8</w:t>
            </w:r>
          </w:p>
        </w:tc>
      </w:tr>
    </w:tbl>
    <w:p>
      <w:pPr>
        <w:pStyle w:val="BodyText"/>
        <w:spacing w:line="240" w:lineRule="auto" w:before="5"/>
        <w:ind w:left="558" w:right="0"/>
        <w:jc w:val="left"/>
      </w:pPr>
      <w:r>
        <w:rPr>
          <w:rFonts w:ascii="宋体" w:hAnsi="宋体" w:cs="宋体" w:eastAsia="宋体" w:hint="default"/>
        </w:rPr>
        <w:t>3.</w:t>
      </w:r>
      <w:r>
        <w:rPr>
          <w:rFonts w:ascii="宋体" w:hAnsi="宋体" w:cs="宋体" w:eastAsia="宋体" w:hint="default"/>
          <w:spacing w:val="12"/>
        </w:rPr>
        <w:t> </w:t>
      </w:r>
      <w:r>
        <w:rPr/>
        <w:t>内部研究开发项目研究阶段的支出，于发生时计入当期损益。内部研究开发项目开</w:t>
      </w:r>
    </w:p>
    <w:p>
      <w:pPr>
        <w:pStyle w:val="BodyText"/>
        <w:spacing w:line="357" w:lineRule="auto" w:before="134"/>
        <w:ind w:right="1792"/>
        <w:jc w:val="both"/>
      </w:pPr>
      <w:r>
        <w:rPr/>
        <w:t>发阶段的支出，同时满足下列条件的，确认为无形资产： </w:t>
      </w:r>
      <w:r>
        <w:rPr>
          <w:rFonts w:ascii="宋体" w:hAnsi="宋体" w:cs="宋体" w:eastAsia="宋体" w:hint="default"/>
        </w:rPr>
        <w:t>(1)</w:t>
      </w:r>
      <w:r>
        <w:rPr>
          <w:rFonts w:ascii="宋体" w:hAnsi="宋体" w:cs="宋体" w:eastAsia="宋体" w:hint="default"/>
          <w:spacing w:val="14"/>
        </w:rPr>
        <w:t> </w:t>
      </w:r>
      <w:r>
        <w:rPr/>
        <w:t>完成该无形资产以使其能够 </w:t>
      </w:r>
      <w:r>
        <w:rPr>
          <w:spacing w:val="-3"/>
        </w:rPr>
        <w:t>使用或出售在技术上具有可行性；</w:t>
      </w:r>
      <w:r>
        <w:rPr>
          <w:rFonts w:ascii="宋体" w:hAnsi="宋体" w:cs="宋体" w:eastAsia="宋体" w:hint="default"/>
          <w:spacing w:val="-3"/>
        </w:rPr>
        <w:t>(2) </w:t>
      </w:r>
      <w:r>
        <w:rPr>
          <w:spacing w:val="-3"/>
        </w:rPr>
        <w:t>具有完成该无形资产并使用或出售的意图；</w:t>
      </w:r>
      <w:r>
        <w:rPr>
          <w:rFonts w:ascii="宋体" w:hAnsi="宋体" w:cs="宋体" w:eastAsia="宋体" w:hint="default"/>
          <w:spacing w:val="-3"/>
        </w:rPr>
        <w:t>(3)</w:t>
      </w:r>
      <w:r>
        <w:rPr>
          <w:rFonts w:ascii="宋体" w:hAnsi="宋体" w:cs="宋体" w:eastAsia="宋体" w:hint="default"/>
          <w:spacing w:val="33"/>
        </w:rPr>
        <w:t> </w:t>
      </w:r>
      <w:r>
        <w:rPr/>
        <w:t>无形 </w:t>
      </w:r>
      <w:r>
        <w:rPr>
          <w:spacing w:val="-3"/>
        </w:rPr>
        <w:t>资产产生经济利益的方式，包括能够证明运用该无形资产生产的产品存在市场或无形资产自</w:t>
      </w:r>
      <w:r>
        <w:rPr>
          <w:spacing w:val="-73"/>
        </w:rPr>
        <w:t> </w:t>
      </w:r>
      <w:r>
        <w:rPr>
          <w:spacing w:val="-73"/>
        </w:rPr>
      </w:r>
      <w:r>
        <w:rPr>
          <w:spacing w:val="-3"/>
        </w:rPr>
        <w:t>身存在市场，无形资产将在内部使用的，能证明其有用性；</w:t>
      </w:r>
      <w:r>
        <w:rPr>
          <w:rFonts w:ascii="宋体" w:hAnsi="宋体" w:cs="宋体" w:eastAsia="宋体" w:hint="default"/>
          <w:spacing w:val="-3"/>
        </w:rPr>
        <w:t>(4)</w:t>
      </w:r>
      <w:r>
        <w:rPr>
          <w:rFonts w:ascii="宋体" w:hAnsi="宋体" w:cs="宋体" w:eastAsia="宋体" w:hint="default"/>
          <w:spacing w:val="20"/>
        </w:rPr>
        <w:t> </w:t>
      </w:r>
      <w:r>
        <w:rPr>
          <w:spacing w:val="-2"/>
        </w:rPr>
        <w:t>有足够的技术、财务资源和</w:t>
      </w:r>
      <w:r>
        <w:rPr/>
        <w:t> </w:t>
      </w:r>
      <w:r>
        <w:rPr>
          <w:spacing w:val="-3"/>
        </w:rPr>
        <w:t>其他资源支持，以完成该无形资产的开发，并有能力使用或出售该无形资产；</w:t>
      </w:r>
      <w:r>
        <w:rPr>
          <w:rFonts w:ascii="宋体" w:hAnsi="宋体" w:cs="宋体" w:eastAsia="宋体" w:hint="default"/>
          <w:spacing w:val="-3"/>
        </w:rPr>
        <w:t>(5)</w:t>
      </w:r>
      <w:r>
        <w:rPr>
          <w:rFonts w:ascii="宋体" w:hAnsi="宋体" w:cs="宋体" w:eastAsia="宋体" w:hint="default"/>
          <w:spacing w:val="22"/>
        </w:rPr>
        <w:t> </w:t>
      </w:r>
      <w:r>
        <w:rPr/>
        <w:t>归属于该 无形资产开发阶段的支出能够可靠地计量。</w:t>
      </w:r>
    </w:p>
    <w:p>
      <w:pPr>
        <w:pStyle w:val="BodyText"/>
        <w:spacing w:line="357" w:lineRule="auto" w:before="71"/>
        <w:ind w:right="1792" w:firstLine="420"/>
        <w:jc w:val="both"/>
      </w:pPr>
      <w:r>
        <w:rPr>
          <w:spacing w:val="-3"/>
        </w:rPr>
        <w:t>公司划分内部研究开发项目研究阶段支出和开发阶段支出的具体标准：研究阶段，是指</w:t>
      </w:r>
      <w:r>
        <w:rPr/>
        <w:t> </w:t>
      </w:r>
      <w:r>
        <w:rPr>
          <w:spacing w:val="-3"/>
        </w:rPr>
        <w:t>为获取新的技术和知识等进行的有计划的调查，为进一步的开发活动进行资料及相关方面的</w:t>
      </w:r>
      <w:r>
        <w:rPr>
          <w:spacing w:val="-73"/>
        </w:rPr>
        <w:t> </w:t>
      </w:r>
      <w:r>
        <w:rPr>
          <w:spacing w:val="-73"/>
        </w:rPr>
      </w:r>
      <w:r>
        <w:rPr>
          <w:spacing w:val="-3"/>
        </w:rPr>
        <w:t>准备，将来是否会转入开发、开发后是否会形成无形资产等具有较大的不确定性；开发阶段</w:t>
      </w:r>
      <w:r>
        <w:rPr>
          <w:spacing w:val="-72"/>
        </w:rPr>
        <w:t> </w:t>
      </w:r>
      <w:r>
        <w:rPr>
          <w:spacing w:val="-72"/>
        </w:rPr>
      </w:r>
      <w:r>
        <w:rPr>
          <w:spacing w:val="-3"/>
        </w:rPr>
        <w:t>相对研究阶段而言，是指完成了研究阶段的工作，在很大程度上形成一项新产品或新技术的</w:t>
      </w:r>
      <w:r>
        <w:rPr>
          <w:spacing w:val="-75"/>
        </w:rPr>
        <w:t> </w:t>
      </w:r>
      <w:r>
        <w:rPr>
          <w:spacing w:val="-75"/>
        </w:rPr>
      </w:r>
      <w:r>
        <w:rPr/>
        <w:t>基本条件已经具备。</w:t>
      </w:r>
    </w:p>
    <w:p>
      <w:pPr>
        <w:pStyle w:val="BodyText"/>
        <w:spacing w:line="391" w:lineRule="auto" w:before="72"/>
        <w:ind w:left="558" w:right="0"/>
        <w:jc w:val="left"/>
      </w:pPr>
      <w:bookmarkStart w:name="(十八) 部分长期资产减值" w:id="147"/>
      <w:bookmarkEnd w:id="147"/>
      <w:r>
        <w:rPr/>
      </w:r>
      <w:r>
        <w:rPr>
          <w:rFonts w:ascii="宋体" w:hAnsi="宋体" w:cs="宋体" w:eastAsia="宋体" w:hint="default"/>
        </w:rPr>
        <w:t>(</w:t>
      </w:r>
      <w:r>
        <w:rPr/>
        <w:t>十八</w:t>
      </w:r>
      <w:r>
        <w:rPr>
          <w:rFonts w:ascii="宋体" w:hAnsi="宋体" w:cs="宋体" w:eastAsia="宋体" w:hint="default"/>
        </w:rPr>
        <w:t>)</w:t>
      </w:r>
      <w:r>
        <w:rPr>
          <w:rFonts w:ascii="宋体" w:hAnsi="宋体" w:cs="宋体" w:eastAsia="宋体" w:hint="default"/>
          <w:spacing w:val="-1"/>
        </w:rPr>
        <w:t> </w:t>
      </w:r>
      <w:r>
        <w:rPr/>
        <w:t>部分长期资产减值 </w:t>
      </w:r>
      <w:r>
        <w:rPr>
          <w:spacing w:val="-3"/>
        </w:rPr>
        <w:t>对长期股权投资、采用成本模式计量的投资性房地产、固定资产、在建工程、使用寿命</w:t>
      </w:r>
    </w:p>
    <w:p>
      <w:pPr>
        <w:pStyle w:val="BodyText"/>
        <w:spacing w:line="357" w:lineRule="auto" w:before="1"/>
        <w:ind w:right="1795"/>
        <w:jc w:val="both"/>
      </w:pPr>
      <w:r>
        <w:rPr/>
        <w:t>有限的无形资产等长期资产</w:t>
      </w:r>
      <w:r>
        <w:rPr>
          <w:rFonts w:ascii="宋体" w:hAnsi="宋体" w:cs="宋体" w:eastAsia="宋体" w:hint="default"/>
        </w:rPr>
        <w:t>,</w:t>
      </w:r>
      <w:r>
        <w:rPr/>
        <w:t>在资产负债表日有迹象表明发生减值的，估计其可收回金额。</w:t>
      </w:r>
      <w:r>
        <w:rPr>
          <w:spacing w:val="-92"/>
        </w:rPr>
        <w:t> </w:t>
      </w:r>
      <w:r>
        <w:rPr>
          <w:spacing w:val="-92"/>
        </w:rPr>
      </w:r>
      <w:r>
        <w:rPr>
          <w:spacing w:val="-3"/>
        </w:rPr>
        <w:t>对因企业合并所形成的商誉和使用寿命不确定的无形资产，无论是否存在减值迹象，每年都</w:t>
      </w:r>
      <w:r>
        <w:rPr>
          <w:spacing w:val="-75"/>
        </w:rPr>
        <w:t> </w:t>
      </w:r>
      <w:r>
        <w:rPr>
          <w:spacing w:val="-75"/>
        </w:rPr>
      </w:r>
      <w:r>
        <w:rPr/>
        <w:t>进行减值测试。商誉结合与其相关的资产组或者资产组组合进行减值测试。</w:t>
      </w:r>
    </w:p>
    <w:p>
      <w:pPr>
        <w:pStyle w:val="BodyText"/>
        <w:spacing w:line="240" w:lineRule="auto" w:before="31"/>
        <w:ind w:left="557" w:right="0"/>
        <w:jc w:val="left"/>
      </w:pPr>
      <w:r>
        <w:rPr>
          <w:spacing w:val="-3"/>
        </w:rPr>
        <w:t>可收回金额的计量结果表明，该等长期资产的可收回金额低于其账面价值的，将资产的</w:t>
      </w:r>
    </w:p>
    <w:p>
      <w:pPr>
        <w:spacing w:after="0" w:line="240"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138" w:right="0"/>
        <w:jc w:val="left"/>
      </w:pPr>
      <w:r>
        <w:rPr>
          <w:spacing w:val="-3"/>
        </w:rPr>
        <w:t>账面价值减记至可收回金额，减记的金额确认为资产减值损失，计入当期损益，同时计提相</w:t>
      </w:r>
      <w:r>
        <w:rPr>
          <w:spacing w:val="-72"/>
        </w:rPr>
        <w:t> </w:t>
      </w:r>
      <w:r>
        <w:rPr>
          <w:spacing w:val="-72"/>
        </w:rPr>
      </w:r>
      <w:r>
        <w:rPr/>
        <w:t>应的资产减值准备。</w:t>
      </w:r>
    </w:p>
    <w:p>
      <w:pPr>
        <w:pStyle w:val="BodyText"/>
        <w:spacing w:line="240" w:lineRule="auto" w:before="33"/>
        <w:ind w:left="558" w:right="0"/>
        <w:jc w:val="left"/>
      </w:pPr>
      <w:bookmarkStart w:name="(十九) 长期待摊费用" w:id="148"/>
      <w:bookmarkEnd w:id="148"/>
      <w:r>
        <w:rPr/>
      </w:r>
      <w:r>
        <w:rPr>
          <w:rFonts w:ascii="宋体" w:hAnsi="宋体" w:cs="宋体" w:eastAsia="宋体" w:hint="default"/>
        </w:rPr>
        <w:t>(</w:t>
      </w:r>
      <w:r>
        <w:rPr/>
        <w:t>十九</w:t>
      </w:r>
      <w:r>
        <w:rPr>
          <w:rFonts w:ascii="宋体" w:hAnsi="宋体" w:cs="宋体" w:eastAsia="宋体" w:hint="default"/>
        </w:rPr>
        <w:t>)</w:t>
      </w:r>
      <w:r>
        <w:rPr>
          <w:rFonts w:ascii="宋体" w:hAnsi="宋体" w:cs="宋体" w:eastAsia="宋体" w:hint="default"/>
          <w:spacing w:val="-2"/>
        </w:rPr>
        <w:t> </w:t>
      </w:r>
      <w:r>
        <w:rPr/>
        <w:t>长期待摊费用</w:t>
      </w:r>
    </w:p>
    <w:p>
      <w:pPr>
        <w:pStyle w:val="BodyText"/>
        <w:spacing w:line="357" w:lineRule="auto" w:before="133"/>
        <w:ind w:right="1794" w:firstLine="420"/>
        <w:jc w:val="both"/>
      </w:pPr>
      <w:r>
        <w:rPr>
          <w:spacing w:val="-3"/>
        </w:rPr>
        <w:t>长期待摊费用核算已经支出，但摊销期限在</w:t>
      </w:r>
      <w:r>
        <w:rPr>
          <w:spacing w:val="-50"/>
        </w:rPr>
        <w:t> </w:t>
      </w:r>
      <w:r>
        <w:rPr>
          <w:rFonts w:ascii="宋体" w:hAnsi="宋体" w:cs="宋体" w:eastAsia="宋体" w:hint="default"/>
        </w:rPr>
        <w:t>1</w:t>
      </w:r>
      <w:r>
        <w:rPr>
          <w:rFonts w:ascii="宋体" w:hAnsi="宋体" w:cs="宋体" w:eastAsia="宋体" w:hint="default"/>
          <w:spacing w:val="-50"/>
        </w:rPr>
        <w:t> </w:t>
      </w:r>
      <w:r>
        <w:rPr/>
        <w:t>年以上</w:t>
      </w:r>
      <w:r>
        <w:rPr>
          <w:rFonts w:ascii="宋体" w:hAnsi="宋体" w:cs="宋体" w:eastAsia="宋体" w:hint="default"/>
        </w:rPr>
        <w:t>(</w:t>
      </w:r>
      <w:r>
        <w:rPr/>
        <w:t>不含</w:t>
      </w:r>
      <w:r>
        <w:rPr>
          <w:spacing w:val="-52"/>
        </w:rPr>
        <w:t> </w:t>
      </w:r>
      <w:r>
        <w:rPr>
          <w:rFonts w:ascii="宋体" w:hAnsi="宋体" w:cs="宋体" w:eastAsia="宋体" w:hint="default"/>
        </w:rPr>
        <w:t>1</w:t>
      </w:r>
      <w:r>
        <w:rPr>
          <w:rFonts w:ascii="宋体" w:hAnsi="宋体" w:cs="宋体" w:eastAsia="宋体" w:hint="default"/>
          <w:spacing w:val="-51"/>
        </w:rPr>
        <w:t> </w:t>
      </w:r>
      <w:r>
        <w:rPr>
          <w:spacing w:val="-4"/>
        </w:rPr>
        <w:t>年</w:t>
      </w:r>
      <w:r>
        <w:rPr>
          <w:rFonts w:ascii="宋体" w:hAnsi="宋体" w:cs="宋体" w:eastAsia="宋体" w:hint="default"/>
          <w:spacing w:val="-4"/>
        </w:rPr>
        <w:t>)</w:t>
      </w:r>
      <w:r>
        <w:rPr>
          <w:spacing w:val="-4"/>
        </w:rPr>
        <w:t>的各项费用。长期待摊</w:t>
      </w:r>
      <w:r>
        <w:rPr/>
        <w:t> </w:t>
      </w:r>
      <w:r>
        <w:rPr>
          <w:spacing w:val="-3"/>
        </w:rPr>
        <w:t>费用按实际发生额入账，在受益期或规定的期限内分期平均摊销。如果长期待摊的费用项目</w:t>
      </w:r>
      <w:r>
        <w:rPr>
          <w:spacing w:val="-75"/>
        </w:rPr>
        <w:t> </w:t>
      </w:r>
      <w:r>
        <w:rPr>
          <w:spacing w:val="-75"/>
        </w:rPr>
      </w:r>
      <w:r>
        <w:rPr/>
        <w:t>不能使以后会计期间受益则将尚未摊销的该项目的摊余价值全部转入当期损益。</w:t>
      </w:r>
    </w:p>
    <w:p>
      <w:pPr>
        <w:pStyle w:val="BodyText"/>
        <w:spacing w:line="240" w:lineRule="auto" w:before="72"/>
        <w:ind w:left="557" w:right="0"/>
        <w:jc w:val="left"/>
      </w:pPr>
      <w:bookmarkStart w:name="(二十) 职工薪酬" w:id="149"/>
      <w:bookmarkEnd w:id="149"/>
      <w:r>
        <w:rPr/>
      </w:r>
      <w:r>
        <w:rPr>
          <w:rFonts w:ascii="宋体" w:hAnsi="宋体" w:cs="宋体" w:eastAsia="宋体" w:hint="default"/>
        </w:rPr>
        <w:t>(</w:t>
      </w:r>
      <w:r>
        <w:rPr/>
        <w:t>二十</w:t>
      </w:r>
      <w:r>
        <w:rPr>
          <w:rFonts w:ascii="宋体" w:hAnsi="宋体" w:cs="宋体" w:eastAsia="宋体" w:hint="default"/>
        </w:rPr>
        <w:t>)</w:t>
      </w:r>
      <w:r>
        <w:rPr>
          <w:rFonts w:ascii="宋体" w:hAnsi="宋体" w:cs="宋体" w:eastAsia="宋体" w:hint="default"/>
          <w:spacing w:val="-2"/>
        </w:rPr>
        <w:t> </w:t>
      </w:r>
      <w:r>
        <w:rPr/>
        <w:t>职工薪酬</w:t>
      </w:r>
    </w:p>
    <w:p>
      <w:pPr>
        <w:pStyle w:val="BodyText"/>
        <w:spacing w:line="240" w:lineRule="auto" w:before="172"/>
        <w:ind w:left="558" w:right="0"/>
        <w:jc w:val="left"/>
      </w:pPr>
      <w:r>
        <w:rPr>
          <w:rFonts w:ascii="宋体" w:hAnsi="宋体" w:cs="宋体" w:eastAsia="宋体" w:hint="default"/>
        </w:rPr>
        <w:t>1.</w:t>
      </w:r>
      <w:r>
        <w:rPr>
          <w:rFonts w:ascii="宋体" w:hAnsi="宋体" w:cs="宋体" w:eastAsia="宋体" w:hint="default"/>
          <w:spacing w:val="-2"/>
        </w:rPr>
        <w:t> </w:t>
      </w:r>
      <w:r>
        <w:rPr/>
        <w:t>职工薪酬包括短期薪酬、离职后福利、辞退福利和其他长期职工福利。</w:t>
      </w:r>
    </w:p>
    <w:p>
      <w:pPr>
        <w:pStyle w:val="BodyText"/>
        <w:spacing w:line="357" w:lineRule="auto" w:before="133"/>
        <w:ind w:left="558" w:right="0"/>
        <w:jc w:val="left"/>
      </w:pPr>
      <w:r>
        <w:rPr>
          <w:rFonts w:ascii="宋体" w:hAnsi="宋体" w:cs="宋体" w:eastAsia="宋体" w:hint="default"/>
        </w:rPr>
        <w:t>2.</w:t>
      </w:r>
      <w:r>
        <w:rPr>
          <w:rFonts w:ascii="宋体" w:hAnsi="宋体" w:cs="宋体" w:eastAsia="宋体" w:hint="default"/>
          <w:spacing w:val="-1"/>
        </w:rPr>
        <w:t> </w:t>
      </w:r>
      <w:r>
        <w:rPr/>
        <w:t>短期薪酬的会计处理方法 </w:t>
      </w:r>
      <w:r>
        <w:rPr>
          <w:spacing w:val="-3"/>
        </w:rPr>
        <w:t>在职工为公司提供服务的会计期间，将实际发生的短期薪酬确认为负债，并计入当期损</w:t>
      </w:r>
    </w:p>
    <w:p>
      <w:pPr>
        <w:pStyle w:val="BodyText"/>
        <w:spacing w:line="240" w:lineRule="auto"/>
        <w:ind w:left="138" w:right="0"/>
        <w:jc w:val="left"/>
      </w:pPr>
      <w:r>
        <w:rPr/>
        <w:t>益或相关资产成本。</w:t>
      </w:r>
    </w:p>
    <w:p>
      <w:pPr>
        <w:pStyle w:val="BodyText"/>
        <w:spacing w:line="357" w:lineRule="auto" w:before="133"/>
        <w:ind w:left="557" w:right="5259"/>
        <w:jc w:val="left"/>
      </w:pPr>
      <w:r>
        <w:rPr>
          <w:rFonts w:ascii="宋体" w:hAnsi="宋体" w:cs="宋体" w:eastAsia="宋体" w:hint="default"/>
        </w:rPr>
        <w:t>3.</w:t>
      </w:r>
      <w:r>
        <w:rPr>
          <w:rFonts w:ascii="宋体" w:hAnsi="宋体" w:cs="宋体" w:eastAsia="宋体" w:hint="default"/>
          <w:spacing w:val="-1"/>
        </w:rPr>
        <w:t> </w:t>
      </w:r>
      <w:r>
        <w:rPr/>
        <w:t>离职后福利的会计处理方法 离职后福利分为设定提存计划和设定受益计划。</w:t>
      </w:r>
    </w:p>
    <w:p>
      <w:pPr>
        <w:pStyle w:val="BodyText"/>
        <w:spacing w:line="357" w:lineRule="auto"/>
        <w:ind w:left="138" w:right="1794" w:firstLine="420"/>
        <w:jc w:val="both"/>
      </w:pPr>
      <w:r>
        <w:rPr>
          <w:rFonts w:ascii="宋体" w:hAnsi="宋体" w:cs="宋体" w:eastAsia="宋体" w:hint="default"/>
        </w:rPr>
        <w:t>(1)</w:t>
      </w:r>
      <w:r>
        <w:rPr>
          <w:rFonts w:ascii="宋体" w:hAnsi="宋体" w:cs="宋体" w:eastAsia="宋体" w:hint="default"/>
          <w:spacing w:val="17"/>
        </w:rPr>
        <w:t> </w:t>
      </w:r>
      <w:r>
        <w:rPr>
          <w:spacing w:val="-3"/>
        </w:rPr>
        <w:t>在职工为公司提供服务的会计期间，根据设定提存计划计算的应缴存金额确认为负</w:t>
      </w:r>
      <w:r>
        <w:rPr/>
        <w:t> 债，并计入当期损益或相关资产成本。</w:t>
      </w:r>
    </w:p>
    <w:p>
      <w:pPr>
        <w:pStyle w:val="BodyText"/>
        <w:spacing w:line="240" w:lineRule="auto"/>
        <w:ind w:left="558" w:right="0"/>
        <w:jc w:val="left"/>
      </w:pPr>
      <w:r>
        <w:rPr>
          <w:rFonts w:ascii="宋体" w:hAnsi="宋体" w:cs="宋体" w:eastAsia="宋体" w:hint="default"/>
        </w:rPr>
        <w:t>(2)</w:t>
      </w:r>
      <w:r>
        <w:rPr>
          <w:rFonts w:ascii="宋体" w:hAnsi="宋体" w:cs="宋体" w:eastAsia="宋体" w:hint="default"/>
          <w:spacing w:val="-1"/>
        </w:rPr>
        <w:t> </w:t>
      </w:r>
      <w:r>
        <w:rPr/>
        <w:t>对设定受益计划的会计处理通常包括下列步骤：</w:t>
      </w:r>
    </w:p>
    <w:p>
      <w:pPr>
        <w:pStyle w:val="BodyText"/>
        <w:spacing w:line="357" w:lineRule="auto" w:before="134"/>
        <w:ind w:right="1684" w:firstLine="420"/>
        <w:jc w:val="left"/>
      </w:pPr>
      <w:r>
        <w:rPr>
          <w:rFonts w:ascii="宋体" w:hAnsi="宋体" w:cs="宋体" w:eastAsia="宋体" w:hint="default"/>
        </w:rPr>
        <w:t>1)</w:t>
      </w:r>
      <w:r>
        <w:rPr>
          <w:rFonts w:ascii="宋体" w:hAnsi="宋体" w:cs="宋体" w:eastAsia="宋体" w:hint="default"/>
          <w:spacing w:val="6"/>
        </w:rPr>
        <w:t> </w:t>
      </w:r>
      <w:r>
        <w:rPr/>
        <w:t>根据预期累计福利单位法，采用无偏且相互一致的精算假设对有关人口统计变量和 </w:t>
      </w:r>
      <w:r>
        <w:rPr>
          <w:spacing w:val="-5"/>
        </w:rPr>
        <w:t>财务变量等作出估计，计量设定受益计划所产生的义务，并确定相关义务的所属期间。同时，</w:t>
      </w:r>
      <w:r>
        <w:rPr>
          <w:spacing w:val="-94"/>
        </w:rPr>
        <w:t> </w:t>
      </w:r>
      <w:r>
        <w:rPr>
          <w:spacing w:val="-94"/>
        </w:rPr>
      </w:r>
      <w:r>
        <w:rPr/>
        <w:t>对设定受益计划所产生的义务予以折现，以确定设定受益计划义务的现值和当期服务成本；</w:t>
      </w:r>
    </w:p>
    <w:p>
      <w:pPr>
        <w:pStyle w:val="BodyText"/>
        <w:spacing w:line="357" w:lineRule="auto" w:before="31"/>
        <w:ind w:right="1794" w:firstLine="420"/>
        <w:jc w:val="both"/>
      </w:pPr>
      <w:r>
        <w:rPr>
          <w:rFonts w:ascii="宋体" w:hAnsi="宋体" w:cs="宋体" w:eastAsia="宋体" w:hint="default"/>
        </w:rPr>
        <w:t>2)</w:t>
      </w:r>
      <w:r>
        <w:rPr>
          <w:rFonts w:ascii="宋体" w:hAnsi="宋体" w:cs="宋体" w:eastAsia="宋体" w:hint="default"/>
          <w:spacing w:val="13"/>
        </w:rPr>
        <w:t> </w:t>
      </w:r>
      <w:r>
        <w:rPr/>
        <w:t>设定受益计划存在资产的，将设定受益计划义务现值减去设定受益计划资产公允价 </w:t>
      </w:r>
      <w:r>
        <w:rPr>
          <w:spacing w:val="2"/>
        </w:rPr>
        <w:t>值所形成的赤字或盈余确认为一项设定受益计划净负债或净资产。设定受益计划存在盈余</w:t>
      </w:r>
      <w:r>
        <w:rPr>
          <w:spacing w:val="-82"/>
        </w:rPr>
        <w:t> </w:t>
      </w:r>
      <w:r>
        <w:rPr>
          <w:spacing w:val="-82"/>
        </w:rPr>
      </w:r>
      <w:r>
        <w:rPr/>
        <w:t>的，以设定受益计划的盈余和资产上限两项的孰低者计量设定受益计划净资产；</w:t>
      </w:r>
    </w:p>
    <w:p>
      <w:pPr>
        <w:pStyle w:val="BodyText"/>
        <w:spacing w:line="357" w:lineRule="auto"/>
        <w:ind w:right="1793" w:firstLine="420"/>
        <w:jc w:val="both"/>
      </w:pPr>
      <w:r>
        <w:rPr>
          <w:rFonts w:ascii="宋体" w:hAnsi="宋体" w:cs="宋体" w:eastAsia="宋体" w:hint="default"/>
        </w:rPr>
        <w:t>3)</w:t>
      </w:r>
      <w:r>
        <w:rPr>
          <w:rFonts w:ascii="宋体" w:hAnsi="宋体" w:cs="宋体" w:eastAsia="宋体" w:hint="default"/>
          <w:spacing w:val="11"/>
        </w:rPr>
        <w:t> </w:t>
      </w:r>
      <w:r>
        <w:rPr/>
        <w:t>期末，将设定受益计划产生的职工薪酬成本确认为服务成本、设定受益计划净负债 </w:t>
      </w:r>
      <w:r>
        <w:rPr>
          <w:spacing w:val="-3"/>
        </w:rPr>
        <w:t>或净资产的利息净额以及重新计量设定受益计划净负债或净资产所产生的变动等三部分，其</w:t>
      </w:r>
      <w:r>
        <w:rPr>
          <w:spacing w:val="-73"/>
        </w:rPr>
        <w:t> </w:t>
      </w:r>
      <w:r>
        <w:rPr>
          <w:spacing w:val="-73"/>
        </w:rPr>
      </w:r>
      <w:r>
        <w:rPr>
          <w:spacing w:val="-3"/>
        </w:rPr>
        <w:t>中服务成本和设定受益计划净负债或净资产的利息净额计入当期损益或相关资产成本，重新</w:t>
      </w:r>
      <w:r>
        <w:rPr>
          <w:spacing w:val="-73"/>
        </w:rPr>
        <w:t> </w:t>
      </w:r>
      <w:r>
        <w:rPr>
          <w:spacing w:val="-73"/>
        </w:rPr>
      </w:r>
      <w:r>
        <w:rPr>
          <w:spacing w:val="-3"/>
        </w:rPr>
        <w:t>计量设定受益计划净负债或净资产所产生的变动计入其他综合收益，并且在后续会计期间不</w:t>
      </w:r>
      <w:r>
        <w:rPr>
          <w:spacing w:val="-73"/>
        </w:rPr>
        <w:t> </w:t>
      </w:r>
      <w:r>
        <w:rPr>
          <w:spacing w:val="-73"/>
        </w:rPr>
      </w:r>
      <w:r>
        <w:rPr/>
        <w:t>允许转回至损益，但可以在权益范围内转移这些在其他综合收益确认的金额。</w:t>
      </w:r>
    </w:p>
    <w:p>
      <w:pPr>
        <w:pStyle w:val="BodyText"/>
        <w:spacing w:line="357" w:lineRule="auto"/>
        <w:ind w:left="558" w:right="0"/>
        <w:jc w:val="left"/>
      </w:pPr>
      <w:r>
        <w:rPr>
          <w:rFonts w:ascii="宋体" w:hAnsi="宋体" w:cs="宋体" w:eastAsia="宋体" w:hint="default"/>
        </w:rPr>
        <w:t>4.</w:t>
      </w:r>
      <w:r>
        <w:rPr>
          <w:rFonts w:ascii="宋体" w:hAnsi="宋体" w:cs="宋体" w:eastAsia="宋体" w:hint="default"/>
          <w:spacing w:val="-1"/>
        </w:rPr>
        <w:t> </w:t>
      </w:r>
      <w:r>
        <w:rPr/>
        <w:t>辞退福利的会计处理方法 </w:t>
      </w:r>
      <w:r>
        <w:rPr>
          <w:spacing w:val="-3"/>
        </w:rPr>
        <w:t>向职工提供的辞退福利，在下列两者孰早日确认辞退福利产生的职工薪酬负债，并计入</w:t>
      </w:r>
    </w:p>
    <w:p>
      <w:pPr>
        <w:pStyle w:val="BodyText"/>
        <w:spacing w:line="357" w:lineRule="auto"/>
        <w:ind w:left="138" w:right="1690"/>
        <w:jc w:val="left"/>
      </w:pPr>
      <w:r>
        <w:rPr/>
        <w:t>当期损益：</w:t>
      </w:r>
      <w:r>
        <w:rPr>
          <w:rFonts w:ascii="宋体" w:hAnsi="宋体" w:cs="宋体" w:eastAsia="宋体" w:hint="default"/>
        </w:rPr>
        <w:t>(1)</w:t>
      </w:r>
      <w:r>
        <w:rPr>
          <w:rFonts w:ascii="宋体" w:hAnsi="宋体" w:cs="宋体" w:eastAsia="宋体" w:hint="default"/>
          <w:spacing w:val="-2"/>
        </w:rPr>
        <w:t> </w:t>
      </w:r>
      <w:r>
        <w:rPr/>
        <w:t>公司不能单方面撤回因解除劳动关系计划或裁减建议所提供的辞退福利时； </w:t>
      </w:r>
      <w:r>
        <w:rPr>
          <w:rFonts w:ascii="宋体" w:hAnsi="宋体" w:cs="宋体" w:eastAsia="宋体" w:hint="default"/>
        </w:rPr>
        <w:t>(2)</w:t>
      </w:r>
      <w:r>
        <w:rPr>
          <w:rFonts w:ascii="宋体" w:hAnsi="宋体" w:cs="宋体" w:eastAsia="宋体" w:hint="default"/>
          <w:spacing w:val="-1"/>
        </w:rPr>
        <w:t> </w:t>
      </w:r>
      <w:r>
        <w:rPr/>
        <w:t>公司确认与涉及支付辞退福利的重组相关的成本或费用时。</w:t>
      </w:r>
    </w:p>
    <w:p>
      <w:pPr>
        <w:pStyle w:val="BodyText"/>
        <w:spacing w:line="355" w:lineRule="auto"/>
        <w:ind w:left="557" w:right="0"/>
        <w:jc w:val="left"/>
      </w:pPr>
      <w:r>
        <w:rPr>
          <w:rFonts w:ascii="宋体" w:hAnsi="宋体" w:cs="宋体" w:eastAsia="宋体" w:hint="default"/>
        </w:rPr>
        <w:t>5.</w:t>
      </w:r>
      <w:r>
        <w:rPr>
          <w:rFonts w:ascii="宋体" w:hAnsi="宋体" w:cs="宋体" w:eastAsia="宋体" w:hint="default"/>
          <w:spacing w:val="-1"/>
        </w:rPr>
        <w:t> </w:t>
      </w:r>
      <w:r>
        <w:rPr/>
        <w:t>其他长期职工福利的会计处理方法 </w:t>
      </w:r>
      <w:r>
        <w:rPr>
          <w:spacing w:val="-3"/>
        </w:rPr>
        <w:t>向职工提供的其他长期福利，符合设定提存计划条件的，按照设定提存计划的有关规定</w:t>
      </w:r>
    </w:p>
    <w:p>
      <w:pPr>
        <w:pStyle w:val="BodyText"/>
        <w:spacing w:line="240" w:lineRule="auto" w:before="33"/>
        <w:ind w:right="0"/>
        <w:jc w:val="left"/>
      </w:pPr>
      <w:r>
        <w:rPr>
          <w:spacing w:val="-3"/>
        </w:rPr>
        <w:t>进行会计处理；除此之外的其他长期福利，按照设定受益计划的有关规定进行会计处理，为</w:t>
      </w:r>
    </w:p>
    <w:p>
      <w:pPr>
        <w:spacing w:after="0" w:line="240"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left="138" w:right="1794"/>
        <w:jc w:val="both"/>
      </w:pPr>
      <w:r>
        <w:rPr>
          <w:spacing w:val="-3"/>
        </w:rPr>
        <w:t>简化相关会计处理，将其产生的职工薪酬成本确认为服务成本、其他长期职工福利净负债或</w:t>
      </w:r>
      <w:r>
        <w:rPr>
          <w:spacing w:val="-75"/>
        </w:rPr>
        <w:t> </w:t>
      </w:r>
      <w:r>
        <w:rPr>
          <w:spacing w:val="-75"/>
        </w:rPr>
      </w:r>
      <w:r>
        <w:rPr>
          <w:spacing w:val="2"/>
        </w:rPr>
        <w:t>净资产的利息净额以及重新计量其他长期职工福利净负债或净资产所产生的变动等组成项</w:t>
      </w:r>
      <w:r>
        <w:rPr>
          <w:spacing w:val="-82"/>
        </w:rPr>
        <w:t> </w:t>
      </w:r>
      <w:r>
        <w:rPr>
          <w:spacing w:val="-82"/>
        </w:rPr>
      </w:r>
      <w:r>
        <w:rPr/>
        <w:t>目的总净额计入当期损益或相关资产成本。</w:t>
      </w:r>
    </w:p>
    <w:p>
      <w:pPr>
        <w:pStyle w:val="BodyText"/>
        <w:spacing w:line="240" w:lineRule="auto"/>
        <w:ind w:left="558" w:right="0"/>
        <w:jc w:val="left"/>
      </w:pPr>
      <w:bookmarkStart w:name="(二十一) 预计负债" w:id="150"/>
      <w:bookmarkEnd w:id="150"/>
      <w:r>
        <w:rPr/>
      </w:r>
      <w:r>
        <w:rPr>
          <w:rFonts w:ascii="宋体" w:hAnsi="宋体" w:cs="宋体" w:eastAsia="宋体" w:hint="default"/>
        </w:rPr>
        <w:t>(</w:t>
      </w:r>
      <w:r>
        <w:rPr/>
        <w:t>二十一</w:t>
      </w:r>
      <w:r>
        <w:rPr>
          <w:rFonts w:ascii="宋体" w:hAnsi="宋体" w:cs="宋体" w:eastAsia="宋体" w:hint="default"/>
        </w:rPr>
        <w:t>)</w:t>
      </w:r>
      <w:r>
        <w:rPr>
          <w:rFonts w:ascii="宋体" w:hAnsi="宋体" w:cs="宋体" w:eastAsia="宋体" w:hint="default"/>
          <w:spacing w:val="-2"/>
        </w:rPr>
        <w:t> </w:t>
      </w:r>
      <w:r>
        <w:rPr/>
        <w:t>预计负债</w:t>
      </w:r>
    </w:p>
    <w:p>
      <w:pPr>
        <w:pStyle w:val="BodyText"/>
        <w:spacing w:line="357" w:lineRule="auto" w:before="134"/>
        <w:ind w:right="1794" w:firstLine="420"/>
        <w:jc w:val="both"/>
      </w:pPr>
      <w:r>
        <w:rPr>
          <w:rFonts w:ascii="宋体" w:hAnsi="宋体" w:cs="宋体" w:eastAsia="宋体" w:hint="default"/>
        </w:rPr>
        <w:t>1.</w:t>
      </w:r>
      <w:r>
        <w:rPr>
          <w:rFonts w:ascii="宋体" w:hAnsi="宋体" w:cs="宋体" w:eastAsia="宋体" w:hint="default"/>
          <w:spacing w:val="13"/>
        </w:rPr>
        <w:t> </w:t>
      </w:r>
      <w:r>
        <w:rPr/>
        <w:t>因对外提供担保、诉讼事项、产品质量保证、亏损合同等或有事项形成的义务成为 </w:t>
      </w:r>
      <w:r>
        <w:rPr>
          <w:spacing w:val="-3"/>
        </w:rPr>
        <w:t>公司承担的现时义务，履行该义务很可能导致经济利益流出公司，且该义务的金额能够可靠</w:t>
      </w:r>
      <w:r>
        <w:rPr>
          <w:spacing w:val="-75"/>
        </w:rPr>
        <w:t> </w:t>
      </w:r>
      <w:r>
        <w:rPr>
          <w:spacing w:val="-75"/>
        </w:rPr>
      </w:r>
      <w:r>
        <w:rPr/>
        <w:t>的计量时，公司将该项义务确认为预计负债。</w:t>
      </w:r>
    </w:p>
    <w:p>
      <w:pPr>
        <w:pStyle w:val="BodyText"/>
        <w:spacing w:line="355" w:lineRule="auto"/>
        <w:ind w:right="1798" w:firstLine="420"/>
        <w:jc w:val="both"/>
      </w:pPr>
      <w:r>
        <w:rPr>
          <w:rFonts w:ascii="宋体" w:hAnsi="宋体" w:cs="宋体" w:eastAsia="宋体" w:hint="default"/>
        </w:rPr>
        <w:t>2.</w:t>
      </w:r>
      <w:r>
        <w:rPr>
          <w:rFonts w:ascii="宋体" w:hAnsi="宋体" w:cs="宋体" w:eastAsia="宋体" w:hint="default"/>
          <w:spacing w:val="12"/>
        </w:rPr>
        <w:t> </w:t>
      </w:r>
      <w:r>
        <w:rPr/>
        <w:t>公司按照履行相关现时义务所需支出的最佳估计数对预计负债进行初始计量，并在 资产负债表日对预计负债的账面价值进行复核。</w:t>
      </w:r>
    </w:p>
    <w:p>
      <w:pPr>
        <w:pStyle w:val="BodyText"/>
        <w:spacing w:line="355" w:lineRule="auto" w:before="33"/>
        <w:ind w:left="558" w:right="8307"/>
        <w:jc w:val="left"/>
      </w:pPr>
      <w:bookmarkStart w:name="(二十二) 收入" w:id="151"/>
      <w:bookmarkEnd w:id="151"/>
      <w:r>
        <w:rPr/>
      </w:r>
      <w:r>
        <w:rPr>
          <w:rFonts w:ascii="宋体" w:hAnsi="宋体" w:cs="宋体" w:eastAsia="宋体" w:hint="default"/>
        </w:rPr>
        <w:t>(</w:t>
      </w:r>
      <w:r>
        <w:rPr/>
        <w:t>二十二</w:t>
      </w:r>
      <w:r>
        <w:rPr>
          <w:rFonts w:ascii="宋体" w:hAnsi="宋体" w:cs="宋体" w:eastAsia="宋体" w:hint="default"/>
        </w:rPr>
        <w:t>)</w:t>
      </w:r>
      <w:r>
        <w:rPr>
          <w:rFonts w:ascii="宋体" w:hAnsi="宋体" w:cs="宋体" w:eastAsia="宋体" w:hint="default"/>
          <w:spacing w:val="-4"/>
        </w:rPr>
        <w:t> </w:t>
      </w:r>
      <w:r>
        <w:rPr/>
        <w:t>收入</w:t>
      </w:r>
      <w:r>
        <w:rPr>
          <w:spacing w:val="-2"/>
        </w:rPr>
        <w:t> </w:t>
      </w:r>
      <w:r>
        <w:rPr>
          <w:rFonts w:ascii="宋体" w:hAnsi="宋体" w:cs="宋体" w:eastAsia="宋体" w:hint="default"/>
        </w:rPr>
        <w:t>1. </w:t>
      </w:r>
      <w:r>
        <w:rPr/>
        <w:t>销售商品</w:t>
      </w:r>
    </w:p>
    <w:p>
      <w:pPr>
        <w:pStyle w:val="BodyText"/>
        <w:spacing w:line="357" w:lineRule="auto" w:before="33"/>
        <w:ind w:right="1793" w:firstLine="420"/>
        <w:jc w:val="both"/>
      </w:pPr>
      <w:r>
        <w:rPr>
          <w:spacing w:val="-4"/>
        </w:rPr>
        <w:t>销售商品收入在同时满足下列条件时予以确认：</w:t>
      </w:r>
      <w:r>
        <w:rPr>
          <w:rFonts w:ascii="宋体" w:hAnsi="宋体" w:cs="宋体" w:eastAsia="宋体" w:hint="default"/>
          <w:spacing w:val="-4"/>
        </w:rPr>
        <w:t>(1)</w:t>
      </w:r>
      <w:r>
        <w:rPr>
          <w:rFonts w:ascii="宋体" w:hAnsi="宋体" w:cs="宋体" w:eastAsia="宋体" w:hint="default"/>
          <w:spacing w:val="20"/>
        </w:rPr>
        <w:t> </w:t>
      </w:r>
      <w:r>
        <w:rPr>
          <w:spacing w:val="-1"/>
        </w:rPr>
        <w:t>将商品所有权上的主要风险和报酬</w:t>
      </w:r>
      <w:r>
        <w:rPr/>
        <w:t> </w:t>
      </w:r>
      <w:r>
        <w:rPr>
          <w:spacing w:val="-5"/>
        </w:rPr>
        <w:t>转移给购货方；</w:t>
      </w:r>
      <w:r>
        <w:rPr>
          <w:rFonts w:ascii="宋体" w:hAnsi="宋体" w:cs="宋体" w:eastAsia="宋体" w:hint="default"/>
          <w:spacing w:val="-5"/>
        </w:rPr>
        <w:t>(2)</w:t>
      </w:r>
      <w:r>
        <w:rPr>
          <w:rFonts w:ascii="宋体" w:hAnsi="宋体" w:cs="宋体" w:eastAsia="宋体" w:hint="default"/>
          <w:spacing w:val="-38"/>
        </w:rPr>
        <w:t> </w:t>
      </w:r>
      <w:r>
        <w:rPr/>
        <w:t>公司不再保留通常与所有权相联系的继续管理权，也不再对已售出的商 </w:t>
      </w:r>
      <w:r>
        <w:rPr>
          <w:spacing w:val="-9"/>
        </w:rPr>
        <w:t>品实施有效控制；</w:t>
      </w:r>
      <w:r>
        <w:rPr>
          <w:rFonts w:ascii="宋体" w:hAnsi="宋体" w:cs="宋体" w:eastAsia="宋体" w:hint="default"/>
          <w:spacing w:val="-9"/>
        </w:rPr>
        <w:t>(3)</w:t>
      </w:r>
      <w:r>
        <w:rPr>
          <w:rFonts w:ascii="宋体" w:hAnsi="宋体" w:cs="宋体" w:eastAsia="宋体" w:hint="default"/>
        </w:rPr>
        <w:t> </w:t>
      </w:r>
      <w:r>
        <w:rPr>
          <w:spacing w:val="-7"/>
        </w:rPr>
        <w:t>收入的金额能够可靠地计量；</w:t>
      </w:r>
      <w:r>
        <w:rPr>
          <w:rFonts w:ascii="宋体" w:hAnsi="宋体" w:cs="宋体" w:eastAsia="宋体" w:hint="default"/>
          <w:spacing w:val="-7"/>
        </w:rPr>
        <w:t>(4)</w:t>
      </w:r>
      <w:r>
        <w:rPr>
          <w:rFonts w:ascii="宋体" w:hAnsi="宋体" w:cs="宋体" w:eastAsia="宋体" w:hint="default"/>
        </w:rPr>
        <w:t> </w:t>
      </w:r>
      <w:r>
        <w:rPr>
          <w:spacing w:val="-7"/>
        </w:rPr>
        <w:t>相关的经济利益很可能流入；</w:t>
      </w:r>
      <w:r>
        <w:rPr>
          <w:rFonts w:ascii="宋体" w:hAnsi="宋体" w:cs="宋体" w:eastAsia="宋体" w:hint="default"/>
          <w:spacing w:val="-7"/>
        </w:rPr>
        <w:t>(5)</w:t>
      </w:r>
      <w:r>
        <w:rPr>
          <w:rFonts w:ascii="宋体" w:hAnsi="宋体" w:cs="宋体" w:eastAsia="宋体" w:hint="default"/>
          <w:spacing w:val="21"/>
        </w:rPr>
        <w:t> </w:t>
      </w:r>
      <w:r>
        <w:rPr/>
        <w:t>相 关的已发生或将发生的成本能够可靠地计量。</w:t>
      </w:r>
    </w:p>
    <w:p>
      <w:pPr>
        <w:pStyle w:val="BodyText"/>
        <w:spacing w:line="357" w:lineRule="auto"/>
        <w:ind w:right="1792" w:firstLine="420"/>
        <w:jc w:val="both"/>
      </w:pPr>
      <w:r>
        <w:rPr>
          <w:spacing w:val="-5"/>
        </w:rPr>
        <w:t>出口销售，采用 </w:t>
      </w:r>
      <w:r>
        <w:rPr>
          <w:rFonts w:ascii="宋体" w:hAnsi="宋体" w:cs="宋体" w:eastAsia="宋体" w:hint="default"/>
        </w:rPr>
        <w:t>DDP</w:t>
      </w:r>
      <w:r>
        <w:rPr>
          <w:rFonts w:ascii="宋体" w:hAnsi="宋体" w:cs="宋体" w:eastAsia="宋体" w:hint="default"/>
          <w:spacing w:val="-70"/>
        </w:rPr>
        <w:t> </w:t>
      </w:r>
      <w:r>
        <w:rPr>
          <w:spacing w:val="-3"/>
        </w:rPr>
        <w:t>贸易方式的，即对需运抵至公司国外仓库的货物，公司在购货方提</w:t>
      </w:r>
      <w:r>
        <w:rPr/>
        <w:t> </w:t>
      </w:r>
      <w:r>
        <w:rPr>
          <w:spacing w:val="-3"/>
        </w:rPr>
        <w:t>取商品并验收合格后确认销售收入；其他方式的，在收齐装箱单、销售发票、出口报关单且</w:t>
      </w:r>
      <w:r>
        <w:rPr>
          <w:spacing w:val="-73"/>
        </w:rPr>
        <w:t> </w:t>
      </w:r>
      <w:r>
        <w:rPr>
          <w:spacing w:val="-73"/>
        </w:rPr>
      </w:r>
      <w:r>
        <w:rPr>
          <w:spacing w:val="-3"/>
        </w:rPr>
        <w:t>办妥货物交单手续，并且货物离岸后确认销售收入。国内销售，公司在移交商品并经购货方</w:t>
      </w:r>
      <w:r>
        <w:rPr>
          <w:spacing w:val="-72"/>
        </w:rPr>
        <w:t> </w:t>
      </w:r>
      <w:r>
        <w:rPr>
          <w:spacing w:val="-72"/>
        </w:rPr>
      </w:r>
      <w:r>
        <w:rPr/>
        <w:t>验收合格后确认销售收入。</w:t>
      </w:r>
    </w:p>
    <w:p>
      <w:pPr>
        <w:pStyle w:val="BodyText"/>
        <w:spacing w:line="357" w:lineRule="auto"/>
        <w:ind w:left="558" w:right="1793"/>
        <w:jc w:val="left"/>
      </w:pPr>
      <w:r>
        <w:rPr>
          <w:rFonts w:ascii="宋体" w:hAnsi="宋体" w:cs="宋体" w:eastAsia="宋体" w:hint="default"/>
        </w:rPr>
        <w:t>2. </w:t>
      </w:r>
      <w:r>
        <w:rPr/>
        <w:t>提供劳务 提供劳务交易的结果在资产负债表日能够可靠估计的</w:t>
      </w:r>
      <w:r>
        <w:rPr>
          <w:rFonts w:ascii="宋体" w:hAnsi="宋体" w:cs="宋体" w:eastAsia="宋体" w:hint="default"/>
        </w:rPr>
        <w:t>(</w:t>
      </w:r>
      <w:r>
        <w:rPr/>
        <w:t>同时满足收入的金额能够可靠地</w:t>
      </w:r>
    </w:p>
    <w:p>
      <w:pPr>
        <w:pStyle w:val="BodyText"/>
        <w:spacing w:line="357" w:lineRule="auto"/>
        <w:ind w:right="1689"/>
        <w:jc w:val="left"/>
      </w:pPr>
      <w:r>
        <w:rPr>
          <w:spacing w:val="-3"/>
        </w:rPr>
        <w:t>计量、相关经济利益很可能流入、交易的完工进度能够可靠地确定、交易中已发生和将发生</w:t>
      </w:r>
      <w:r>
        <w:rPr>
          <w:spacing w:val="-72"/>
        </w:rPr>
        <w:t> </w:t>
      </w:r>
      <w:r>
        <w:rPr>
          <w:spacing w:val="-72"/>
        </w:rPr>
      </w:r>
      <w:r>
        <w:rPr/>
        <w:t>的成本能够可靠地计量</w:t>
      </w:r>
      <w:r>
        <w:rPr>
          <w:rFonts w:ascii="宋体" w:hAnsi="宋体" w:cs="宋体" w:eastAsia="宋体" w:hint="default"/>
        </w:rPr>
        <w:t>)</w:t>
      </w:r>
      <w:r>
        <w:rPr/>
        <w:t>，采用完工百分比法确认提供劳务的收入，并按已经发生的成本占</w:t>
      </w:r>
      <w:r>
        <w:rPr>
          <w:spacing w:val="-92"/>
        </w:rPr>
        <w:t> </w:t>
      </w:r>
      <w:r>
        <w:rPr>
          <w:spacing w:val="-92"/>
        </w:rPr>
      </w:r>
      <w:r>
        <w:rPr>
          <w:spacing w:val="-3"/>
        </w:rPr>
        <w:t>估计总成本的比例确定提供劳务交易的完工进度。提供劳务交易的结果在资产负债表日不能</w:t>
      </w:r>
      <w:r>
        <w:rPr>
          <w:spacing w:val="-73"/>
        </w:rPr>
        <w:t> </w:t>
      </w:r>
      <w:r>
        <w:rPr>
          <w:spacing w:val="-73"/>
        </w:rPr>
      </w:r>
      <w:r>
        <w:rPr>
          <w:spacing w:val="-3"/>
        </w:rPr>
        <w:t>够可靠估计的，若已经发生的劳务成本预计能够得到补偿，按已经发生的劳务成本金额确认</w:t>
      </w:r>
      <w:r>
        <w:rPr>
          <w:spacing w:val="-75"/>
        </w:rPr>
        <w:t> </w:t>
      </w:r>
      <w:r>
        <w:rPr>
          <w:spacing w:val="-75"/>
        </w:rPr>
      </w:r>
      <w:r>
        <w:rPr/>
        <w:t>提供劳务收入，并按相同金额结转劳务成本；若已经发生的劳务成本预计不能够得到补偿， 将已经发生的劳务成本计入当期损益，不确认劳务收入。</w:t>
      </w:r>
    </w:p>
    <w:p>
      <w:pPr>
        <w:pStyle w:val="BodyText"/>
        <w:spacing w:line="357" w:lineRule="auto" w:before="31"/>
        <w:ind w:right="1684" w:firstLine="420"/>
        <w:jc w:val="left"/>
      </w:pPr>
      <w:r>
        <w:rPr>
          <w:spacing w:val="-3"/>
        </w:rPr>
        <w:t>针对媒介代理服务收入的具体确认标准为：公司承接业务后，按照客户要求选择媒体并</w:t>
      </w:r>
      <w:r>
        <w:rPr/>
        <w:t> </w:t>
      </w:r>
      <w:r>
        <w:rPr>
          <w:spacing w:val="-3"/>
        </w:rPr>
        <w:t>与其签订投放合同，由公司与媒体沟通编制媒介排期表，媒体按照经客户确认的媒介排期表</w:t>
      </w:r>
      <w:r>
        <w:rPr>
          <w:spacing w:val="-75"/>
        </w:rPr>
        <w:t> </w:t>
      </w:r>
      <w:r>
        <w:rPr>
          <w:spacing w:val="-75"/>
        </w:rPr>
      </w:r>
      <w:r>
        <w:rPr>
          <w:spacing w:val="-3"/>
        </w:rPr>
        <w:t>执行广告发布。广告发布后，公司收集结案报告、投放数据等信息，送客户核实。经公司和</w:t>
      </w:r>
      <w:r>
        <w:rPr>
          <w:spacing w:val="-79"/>
        </w:rPr>
        <w:t> </w:t>
      </w:r>
      <w:r>
        <w:rPr>
          <w:spacing w:val="-79"/>
        </w:rPr>
      </w:r>
      <w:r>
        <w:rPr>
          <w:spacing w:val="-5"/>
        </w:rPr>
        <w:t>客户共同对广告发布情况确认后，报告至公司财务部门，财务部门再核实相应的客户合同后，</w:t>
      </w:r>
      <w:r>
        <w:rPr>
          <w:spacing w:val="-92"/>
        </w:rPr>
        <w:t> </w:t>
      </w:r>
      <w:r>
        <w:rPr>
          <w:spacing w:val="-92"/>
        </w:rPr>
      </w:r>
      <w:r>
        <w:rPr>
          <w:spacing w:val="-3"/>
        </w:rPr>
        <w:t>确认收入。针对媒体给予公司的广告投放返点，按照权责发生制确认，并冲减相应的营业成</w:t>
      </w:r>
      <w:r>
        <w:rPr>
          <w:spacing w:val="-72"/>
        </w:rPr>
        <w:t> </w:t>
      </w:r>
      <w:r>
        <w:rPr>
          <w:spacing w:val="-72"/>
        </w:rPr>
      </w:r>
      <w:r>
        <w:rPr/>
        <w:t>本。</w:t>
      </w:r>
    </w:p>
    <w:p>
      <w:pPr>
        <w:pStyle w:val="BodyText"/>
        <w:spacing w:line="240" w:lineRule="auto" w:before="70"/>
        <w:ind w:left="558" w:right="0"/>
        <w:jc w:val="left"/>
      </w:pPr>
      <w:r>
        <w:rPr/>
        <w:t>针对数字营销服务收入</w:t>
      </w:r>
      <w:r>
        <w:rPr>
          <w:spacing w:val="-96"/>
        </w:rPr>
        <w:t>，</w:t>
      </w:r>
      <w:r>
        <w:rPr/>
        <w:t>主要包括了创意和社会化媒体营销服务等</w:t>
      </w:r>
      <w:r>
        <w:rPr>
          <w:spacing w:val="-96"/>
        </w:rPr>
        <w:t>，</w:t>
      </w:r>
      <w:r>
        <w:rPr/>
        <w:t>具体的确认标准为：</w:t>
      </w:r>
    </w:p>
    <w:p>
      <w:pPr>
        <w:spacing w:after="0" w:line="240"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right="1689"/>
        <w:jc w:val="left"/>
      </w:pPr>
      <w:r>
        <w:rPr>
          <w:rFonts w:ascii="宋体" w:hAnsi="宋体" w:cs="宋体" w:eastAsia="宋体" w:hint="default"/>
        </w:rPr>
        <w:t>1) </w:t>
      </w:r>
      <w:r>
        <w:rPr/>
        <w:t>创意：公司承接业务后，按照客户要求制作相应的网站及网络创意广告等，并与其签订</w:t>
      </w:r>
      <w:r>
        <w:rPr>
          <w:spacing w:val="-93"/>
        </w:rPr>
        <w:t> </w:t>
      </w:r>
      <w:r>
        <w:rPr>
          <w:spacing w:val="-93"/>
        </w:rPr>
      </w:r>
      <w:r>
        <w:rPr>
          <w:spacing w:val="-3"/>
        </w:rPr>
        <w:t>创意制作合同。公司根据合同约定的时间或经客户再次确认后的时间，按照各阶段完成相应</w:t>
      </w:r>
      <w:r>
        <w:rPr>
          <w:spacing w:val="-75"/>
        </w:rPr>
        <w:t> </w:t>
      </w:r>
      <w:r>
        <w:rPr>
          <w:spacing w:val="-75"/>
        </w:rPr>
      </w:r>
      <w:r>
        <w:rPr>
          <w:spacing w:val="-3"/>
        </w:rPr>
        <w:t>的制作内容，并按照相关验收要求提交客户审核。经收到客户对创意制作确认完成或相关制</w:t>
      </w:r>
      <w:r>
        <w:rPr>
          <w:spacing w:val="-75"/>
        </w:rPr>
        <w:t> </w:t>
      </w:r>
      <w:r>
        <w:rPr>
          <w:spacing w:val="-75"/>
        </w:rPr>
      </w:r>
      <w:r>
        <w:rPr>
          <w:spacing w:val="-5"/>
        </w:rPr>
        <w:t>作成果上线后，报告至公司财务部门，财务部门再核实相应的客户合同后，确认收入。</w:t>
      </w:r>
      <w:r>
        <w:rPr>
          <w:rFonts w:ascii="宋体" w:hAnsi="宋体" w:cs="宋体" w:eastAsia="宋体" w:hint="default"/>
          <w:spacing w:val="-5"/>
        </w:rPr>
        <w:t>2)</w:t>
      </w:r>
      <w:r>
        <w:rPr>
          <w:rFonts w:ascii="宋体" w:hAnsi="宋体" w:cs="宋体" w:eastAsia="宋体" w:hint="default"/>
          <w:spacing w:val="3"/>
        </w:rPr>
        <w:t> </w:t>
      </w:r>
      <w:r>
        <w:rPr/>
        <w:t>社</w:t>
      </w:r>
      <w:r>
        <w:rPr>
          <w:spacing w:val="-103"/>
        </w:rPr>
        <w:t> </w:t>
      </w:r>
      <w:r>
        <w:rPr/>
        <w:t>会化媒体营销：公司承接业务后，按照客户要求对其品牌形象和公司产品等进行媒体传播、 </w:t>
      </w:r>
      <w:r>
        <w:rPr>
          <w:spacing w:val="-3"/>
        </w:rPr>
        <w:t>推广等，并与其签订相应的合同。公司根据合同约定内容，执行相应媒体传播、线上线下等</w:t>
      </w:r>
      <w:r>
        <w:rPr>
          <w:spacing w:val="-73"/>
        </w:rPr>
        <w:t> </w:t>
      </w:r>
      <w:r>
        <w:rPr>
          <w:spacing w:val="-73"/>
        </w:rPr>
      </w:r>
      <w:r>
        <w:rPr>
          <w:spacing w:val="-3"/>
        </w:rPr>
        <w:t>推广服务，并按照合同约定周期或内容形成相应的工作量数据等，送客户核实。经客户对工</w:t>
      </w:r>
      <w:r>
        <w:rPr>
          <w:spacing w:val="-72"/>
        </w:rPr>
        <w:t> </w:t>
      </w:r>
      <w:r>
        <w:rPr>
          <w:spacing w:val="-72"/>
        </w:rPr>
      </w:r>
      <w:r>
        <w:rPr/>
        <w:t>作量数据确认后，报告至公司财务部门，财务部门再核实相应的客户合同后，确认收入。</w:t>
      </w:r>
    </w:p>
    <w:p>
      <w:pPr>
        <w:pStyle w:val="BodyText"/>
        <w:spacing w:line="355" w:lineRule="auto" w:before="71"/>
        <w:ind w:left="557" w:right="1684"/>
        <w:jc w:val="left"/>
      </w:pPr>
      <w:r>
        <w:rPr>
          <w:rFonts w:ascii="宋体" w:hAnsi="宋体" w:cs="宋体" w:eastAsia="宋体" w:hint="default"/>
        </w:rPr>
        <w:t>3.</w:t>
      </w:r>
      <w:r>
        <w:rPr>
          <w:rFonts w:ascii="宋体" w:hAnsi="宋体" w:cs="宋体" w:eastAsia="宋体" w:hint="default"/>
          <w:spacing w:val="-1"/>
        </w:rPr>
        <w:t> </w:t>
      </w:r>
      <w:r>
        <w:rPr/>
        <w:t>让渡资产使用权 </w:t>
      </w:r>
      <w:r>
        <w:rPr>
          <w:spacing w:val="-3"/>
        </w:rPr>
        <w:t>让渡资产使用权在同时满足相关的经济利益很可能流入、收入金额能够可靠计量时，确</w:t>
      </w:r>
    </w:p>
    <w:p>
      <w:pPr>
        <w:pStyle w:val="BodyText"/>
        <w:spacing w:line="355" w:lineRule="auto" w:before="33"/>
        <w:ind w:right="0"/>
        <w:jc w:val="left"/>
      </w:pPr>
      <w:r>
        <w:rPr>
          <w:spacing w:val="-3"/>
        </w:rPr>
        <w:t>认让渡资产使用权的收入。利息收入按照他人使用本公司货币资金的时间和实际利率计算确</w:t>
      </w:r>
      <w:r>
        <w:rPr>
          <w:spacing w:val="-73"/>
        </w:rPr>
        <w:t> </w:t>
      </w:r>
      <w:r>
        <w:rPr>
          <w:spacing w:val="-73"/>
        </w:rPr>
      </w:r>
      <w:r>
        <w:rPr/>
        <w:t>定；使用费收入按有关合同或协议约定的收费时间和方法计算确定。</w:t>
      </w:r>
    </w:p>
    <w:p>
      <w:pPr>
        <w:pStyle w:val="BodyText"/>
        <w:spacing w:line="240" w:lineRule="auto" w:before="32"/>
        <w:ind w:left="557" w:right="0"/>
        <w:jc w:val="left"/>
      </w:pPr>
      <w:bookmarkStart w:name="(二十三) 政府补助" w:id="152"/>
      <w:bookmarkEnd w:id="152"/>
      <w:r>
        <w:rPr/>
      </w:r>
      <w:r>
        <w:rPr>
          <w:rFonts w:ascii="宋体" w:hAnsi="宋体" w:cs="宋体" w:eastAsia="宋体" w:hint="default"/>
        </w:rPr>
        <w:t>(</w:t>
      </w:r>
      <w:r>
        <w:rPr/>
        <w:t>二十三</w:t>
      </w:r>
      <w:r>
        <w:rPr>
          <w:rFonts w:ascii="宋体" w:hAnsi="宋体" w:cs="宋体" w:eastAsia="宋体" w:hint="default"/>
        </w:rPr>
        <w:t>)</w:t>
      </w:r>
      <w:r>
        <w:rPr>
          <w:rFonts w:ascii="宋体" w:hAnsi="宋体" w:cs="宋体" w:eastAsia="宋体" w:hint="default"/>
          <w:spacing w:val="-2"/>
        </w:rPr>
        <w:t> </w:t>
      </w:r>
      <w:r>
        <w:rPr/>
        <w:t>政府补助</w:t>
      </w:r>
    </w:p>
    <w:p>
      <w:pPr>
        <w:pStyle w:val="BodyText"/>
        <w:spacing w:line="355" w:lineRule="auto" w:before="134"/>
        <w:ind w:left="557" w:right="0"/>
        <w:jc w:val="left"/>
      </w:pPr>
      <w:r>
        <w:rPr>
          <w:rFonts w:ascii="宋体" w:hAnsi="宋体" w:cs="宋体" w:eastAsia="宋体" w:hint="default"/>
        </w:rPr>
        <w:t>1.</w:t>
      </w:r>
      <w:r>
        <w:rPr>
          <w:rFonts w:ascii="宋体" w:hAnsi="宋体" w:cs="宋体" w:eastAsia="宋体" w:hint="default"/>
          <w:spacing w:val="-1"/>
        </w:rPr>
        <w:t> </w:t>
      </w:r>
      <w:r>
        <w:rPr/>
        <w:t>与资产相关的政府补助判断依据及会计处理方法 </w:t>
      </w:r>
      <w:r>
        <w:rPr>
          <w:spacing w:val="-3"/>
        </w:rPr>
        <w:t>公司取得的、用于购建或以其他方式形成长期资产的政府补助划分为与资产相关的政府</w:t>
      </w:r>
    </w:p>
    <w:p>
      <w:pPr>
        <w:pStyle w:val="BodyText"/>
        <w:spacing w:line="355" w:lineRule="auto" w:before="33"/>
        <w:ind w:right="0"/>
        <w:jc w:val="left"/>
      </w:pPr>
      <w:r>
        <w:rPr>
          <w:spacing w:val="-3"/>
        </w:rPr>
        <w:t>补助。与资产相关的政府补助，确认为递延收益，并在相关资产使用寿命内平均分配，计入</w:t>
      </w:r>
      <w:r>
        <w:rPr>
          <w:spacing w:val="-73"/>
        </w:rPr>
        <w:t> </w:t>
      </w:r>
      <w:r>
        <w:rPr>
          <w:spacing w:val="-73"/>
        </w:rPr>
      </w:r>
      <w:r>
        <w:rPr/>
        <w:t>当期损益。但是，按照名义金额计量的政府补助，直接计入当期损益。</w:t>
      </w:r>
    </w:p>
    <w:p>
      <w:pPr>
        <w:pStyle w:val="BodyText"/>
        <w:spacing w:line="355" w:lineRule="auto" w:before="34"/>
        <w:ind w:left="557" w:right="0"/>
        <w:jc w:val="left"/>
      </w:pPr>
      <w:r>
        <w:rPr>
          <w:rFonts w:ascii="宋体" w:hAnsi="宋体" w:cs="宋体" w:eastAsia="宋体" w:hint="default"/>
        </w:rPr>
        <w:t>2.</w:t>
      </w:r>
      <w:r>
        <w:rPr>
          <w:rFonts w:ascii="宋体" w:hAnsi="宋体" w:cs="宋体" w:eastAsia="宋体" w:hint="default"/>
          <w:spacing w:val="-1"/>
        </w:rPr>
        <w:t> </w:t>
      </w:r>
      <w:r>
        <w:rPr/>
        <w:t>与收益相关的政府补助判断依据及会计处理方法 </w:t>
      </w:r>
      <w:r>
        <w:rPr>
          <w:spacing w:val="-3"/>
        </w:rPr>
        <w:t>除与资产相关的政府补助之外的政府补助划分为与收益相关的政府补助。与收益相关的</w:t>
      </w:r>
    </w:p>
    <w:p>
      <w:pPr>
        <w:pStyle w:val="BodyText"/>
        <w:spacing w:line="357" w:lineRule="auto" w:before="32"/>
        <w:ind w:right="0"/>
        <w:jc w:val="left"/>
      </w:pPr>
      <w:r>
        <w:rPr>
          <w:spacing w:val="-3"/>
        </w:rPr>
        <w:t>政府补助，用于补偿以后期间的相关费用或损失的，确认为递延收益，在确认相关费用的期</w:t>
      </w:r>
      <w:r>
        <w:rPr>
          <w:spacing w:val="-72"/>
        </w:rPr>
        <w:t> </w:t>
      </w:r>
      <w:r>
        <w:rPr>
          <w:spacing w:val="-72"/>
        </w:rPr>
      </w:r>
      <w:r>
        <w:rPr/>
        <w:t>间，计入当期损益；用于补偿已发生的相关费用或损失的，直接计入当期损益。</w:t>
      </w:r>
    </w:p>
    <w:p>
      <w:pPr>
        <w:pStyle w:val="BodyText"/>
        <w:spacing w:line="240" w:lineRule="auto"/>
        <w:ind w:left="557" w:right="0"/>
        <w:jc w:val="left"/>
      </w:pPr>
      <w:bookmarkStart w:name="(二十四) 递延所得税资产、递延所得税负债" w:id="153"/>
      <w:bookmarkEnd w:id="153"/>
      <w:r>
        <w:rPr/>
      </w:r>
      <w:r>
        <w:rPr>
          <w:rFonts w:ascii="宋体" w:hAnsi="宋体" w:cs="宋体" w:eastAsia="宋体" w:hint="default"/>
        </w:rPr>
        <w:t>(</w:t>
      </w:r>
      <w:r>
        <w:rPr/>
        <w:t>二十四</w:t>
      </w:r>
      <w:r>
        <w:rPr>
          <w:rFonts w:ascii="宋体" w:hAnsi="宋体" w:cs="宋体" w:eastAsia="宋体" w:hint="default"/>
        </w:rPr>
        <w:t>)</w:t>
      </w:r>
      <w:r>
        <w:rPr>
          <w:rFonts w:ascii="宋体" w:hAnsi="宋体" w:cs="宋体" w:eastAsia="宋体" w:hint="default"/>
          <w:spacing w:val="-2"/>
        </w:rPr>
        <w:t> </w:t>
      </w:r>
      <w:r>
        <w:rPr/>
        <w:t>递延所得税资产、递延所得税负债</w:t>
      </w:r>
    </w:p>
    <w:p>
      <w:pPr>
        <w:pStyle w:val="BodyText"/>
        <w:spacing w:line="357" w:lineRule="auto" w:before="134"/>
        <w:ind w:right="1793" w:firstLine="420"/>
        <w:jc w:val="both"/>
      </w:pPr>
      <w:r>
        <w:rPr>
          <w:rFonts w:ascii="宋体" w:hAnsi="宋体" w:cs="宋体" w:eastAsia="宋体" w:hint="default"/>
        </w:rPr>
        <w:t>1.</w:t>
      </w:r>
      <w:r>
        <w:rPr>
          <w:rFonts w:ascii="宋体" w:hAnsi="宋体" w:cs="宋体" w:eastAsia="宋体" w:hint="default"/>
          <w:spacing w:val="17"/>
        </w:rPr>
        <w:t> </w:t>
      </w:r>
      <w:r>
        <w:rPr>
          <w:spacing w:val="-3"/>
        </w:rPr>
        <w:t>根据资产、负债的账面价值与其计税基础之间的差额</w:t>
      </w:r>
      <w:r>
        <w:rPr>
          <w:rFonts w:ascii="宋体" w:hAnsi="宋体" w:cs="宋体" w:eastAsia="宋体" w:hint="default"/>
          <w:spacing w:val="-3"/>
        </w:rPr>
        <w:t>(</w:t>
      </w:r>
      <w:r>
        <w:rPr>
          <w:spacing w:val="-3"/>
        </w:rPr>
        <w:t>未作为资产和负债确认的项目</w:t>
      </w:r>
      <w:r>
        <w:rPr/>
        <w:t> 按照税法规定可以确定其计税基础的，该计税基础与其账面数之间的差额</w:t>
      </w:r>
      <w:r>
        <w:rPr>
          <w:rFonts w:ascii="宋体" w:hAnsi="宋体" w:cs="宋体" w:eastAsia="宋体" w:hint="default"/>
        </w:rPr>
        <w:t>)</w:t>
      </w:r>
      <w:r>
        <w:rPr/>
        <w:t>，按照预期收回</w:t>
      </w:r>
      <w:r>
        <w:rPr>
          <w:spacing w:val="-90"/>
        </w:rPr>
        <w:t> </w:t>
      </w:r>
      <w:r>
        <w:rPr>
          <w:spacing w:val="-90"/>
        </w:rPr>
      </w:r>
      <w:r>
        <w:rPr/>
        <w:t>该资产或清偿该负债期间的适用税率计算确认递延所得税资产或递延所得税负债。</w:t>
      </w:r>
    </w:p>
    <w:p>
      <w:pPr>
        <w:pStyle w:val="BodyText"/>
        <w:spacing w:line="357" w:lineRule="auto"/>
        <w:ind w:right="1795" w:firstLine="420"/>
        <w:jc w:val="both"/>
      </w:pPr>
      <w:r>
        <w:rPr>
          <w:rFonts w:ascii="宋体" w:hAnsi="宋体" w:cs="宋体" w:eastAsia="宋体" w:hint="default"/>
        </w:rPr>
        <w:t>2.</w:t>
      </w:r>
      <w:r>
        <w:rPr>
          <w:rFonts w:ascii="宋体" w:hAnsi="宋体" w:cs="宋体" w:eastAsia="宋体" w:hint="default"/>
          <w:spacing w:val="12"/>
        </w:rPr>
        <w:t> </w:t>
      </w:r>
      <w:r>
        <w:rPr>
          <w:spacing w:val="5"/>
        </w:rPr>
        <w:t>确认递延所得税资产以很可能取得用来抵扣可抵扣暂时性差异的应纳税所得额为</w:t>
      </w:r>
      <w:r>
        <w:rPr/>
        <w:t> </w:t>
      </w:r>
      <w:r>
        <w:rPr>
          <w:spacing w:val="-3"/>
        </w:rPr>
        <w:t>限。资产负债表日，有确凿证据表明未来期间很可能获得足够的应纳税所得额用来抵扣可抵</w:t>
      </w:r>
      <w:r>
        <w:rPr>
          <w:spacing w:val="-75"/>
        </w:rPr>
        <w:t> </w:t>
      </w:r>
      <w:r>
        <w:rPr>
          <w:spacing w:val="-75"/>
        </w:rPr>
      </w:r>
      <w:r>
        <w:rPr/>
        <w:t>扣暂时性差异的，确认以前会计期间未确认的递延所得税资产。</w:t>
      </w:r>
    </w:p>
    <w:p>
      <w:pPr>
        <w:pStyle w:val="BodyText"/>
        <w:spacing w:line="357" w:lineRule="auto"/>
        <w:ind w:left="138" w:right="1793" w:firstLine="420"/>
        <w:jc w:val="both"/>
      </w:pPr>
      <w:r>
        <w:rPr>
          <w:rFonts w:ascii="宋体" w:hAnsi="宋体" w:cs="宋体" w:eastAsia="宋体" w:hint="default"/>
        </w:rPr>
        <w:t>3.</w:t>
      </w:r>
      <w:r>
        <w:rPr>
          <w:rFonts w:ascii="宋体" w:hAnsi="宋体" w:cs="宋体" w:eastAsia="宋体" w:hint="default"/>
          <w:spacing w:val="11"/>
        </w:rPr>
        <w:t> </w:t>
      </w:r>
      <w:r>
        <w:rPr/>
        <w:t>资产负债表日，对递延所得税资产的账面价值进行复核，如果未来期间很可能无法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pStyle w:val="BodyText"/>
        <w:spacing w:line="355" w:lineRule="auto" w:before="32"/>
        <w:ind w:right="1798" w:firstLine="420"/>
        <w:jc w:val="both"/>
      </w:pPr>
      <w:r>
        <w:rPr>
          <w:rFonts w:ascii="宋体" w:hAnsi="宋体" w:cs="宋体" w:eastAsia="宋体" w:hint="default"/>
        </w:rPr>
        <w:t>4.</w:t>
      </w:r>
      <w:r>
        <w:rPr>
          <w:rFonts w:ascii="宋体" w:hAnsi="宋体" w:cs="宋体" w:eastAsia="宋体" w:hint="default"/>
          <w:spacing w:val="12"/>
        </w:rPr>
        <w:t> </w:t>
      </w:r>
      <w:r>
        <w:rPr/>
        <w:t>公司当期所得税和递延所得税作为所得税费用或收益计入当期损益，但不包括下列 情况产生的所得税：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2"/>
        </w:rPr>
        <w:t> </w:t>
      </w:r>
      <w:r>
        <w:rPr/>
        <w:t>直接在所有者权益中确认的交易或者事项。</w:t>
      </w:r>
    </w:p>
    <w:p>
      <w:pPr>
        <w:pStyle w:val="BodyText"/>
        <w:spacing w:line="240" w:lineRule="auto" w:before="33"/>
        <w:ind w:left="557" w:right="0"/>
        <w:jc w:val="left"/>
      </w:pPr>
      <w:bookmarkStart w:name="(二十五) 经营租赁" w:id="154"/>
      <w:bookmarkEnd w:id="154"/>
      <w:r>
        <w:rPr/>
      </w: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2"/>
        </w:rPr>
        <w:t> </w:t>
      </w:r>
      <w:r>
        <w:rPr/>
        <w:t>经营租赁</w:t>
      </w:r>
    </w:p>
    <w:p>
      <w:pPr>
        <w:spacing w:after="0" w:line="240"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238" w:right="1688" w:firstLine="420"/>
        <w:jc w:val="left"/>
      </w:pPr>
      <w:r>
        <w:rPr>
          <w:spacing w:val="-3"/>
        </w:rPr>
        <w:t>公司为承租人时，在租赁期内各个期间按照直线法将租金计入相关资产成本或确认为当</w:t>
      </w:r>
      <w:r>
        <w:rPr/>
        <w:t> 期损益，发生的初始直接费用，直接计入当期损益。或有租金在实际发生时计入当期损益。</w:t>
      </w:r>
    </w:p>
    <w:p>
      <w:pPr>
        <w:pStyle w:val="BodyText"/>
        <w:spacing w:line="357" w:lineRule="auto" w:before="33"/>
        <w:ind w:left="238" w:right="1792" w:firstLine="420"/>
        <w:jc w:val="both"/>
      </w:pPr>
      <w:r>
        <w:rPr>
          <w:spacing w:val="-3"/>
        </w:rPr>
        <w:t>公司为出租人时，在租赁期内各个期间按照直线法将租金确认为当期损益，发生的初始</w:t>
      </w:r>
      <w:r>
        <w:rPr/>
        <w:t> </w:t>
      </w:r>
      <w:r>
        <w:rPr>
          <w:spacing w:val="-3"/>
        </w:rPr>
        <w:t>直接费用，除金额较大的予以资本化并分期计入损益外，均直接计入当期损益。或有租金在</w:t>
      </w:r>
      <w:r>
        <w:rPr>
          <w:spacing w:val="-72"/>
        </w:rPr>
        <w:t> </w:t>
      </w:r>
      <w:r>
        <w:rPr>
          <w:spacing w:val="-72"/>
        </w:rPr>
      </w:r>
      <w:r>
        <w:rPr/>
        <w:t>实际发生时计入当期损益。</w:t>
      </w:r>
    </w:p>
    <w:p>
      <w:pPr>
        <w:pStyle w:val="BodyText"/>
        <w:spacing w:line="391" w:lineRule="auto" w:before="71"/>
        <w:ind w:left="657" w:right="5786"/>
        <w:jc w:val="left"/>
      </w:pPr>
      <w:bookmarkStart w:name="(二十六) 其他重要的会计政策和会计估计" w:id="155"/>
      <w:bookmarkEnd w:id="155"/>
      <w:r>
        <w:rPr/>
      </w:r>
      <w:r>
        <w:rPr>
          <w:rFonts w:ascii="宋体" w:hAnsi="宋体" w:cs="宋体" w:eastAsia="宋体" w:hint="default"/>
        </w:rPr>
        <w:t>(</w:t>
      </w:r>
      <w:r>
        <w:rPr/>
        <w:t>二十六</w:t>
      </w:r>
      <w:r>
        <w:rPr>
          <w:rFonts w:ascii="宋体" w:hAnsi="宋体" w:cs="宋体" w:eastAsia="宋体" w:hint="default"/>
        </w:rPr>
        <w:t>)</w:t>
      </w:r>
      <w:r>
        <w:rPr>
          <w:rFonts w:ascii="宋体" w:hAnsi="宋体" w:cs="宋体" w:eastAsia="宋体" w:hint="default"/>
          <w:spacing w:val="-2"/>
        </w:rPr>
        <w:t> </w:t>
      </w:r>
      <w:r>
        <w:rPr/>
        <w:t>其他重要的会计政策和会计估计 </w:t>
      </w:r>
      <w:r>
        <w:rPr>
          <w:rFonts w:ascii="宋体" w:hAnsi="宋体" w:cs="宋体" w:eastAsia="宋体" w:hint="default"/>
        </w:rPr>
        <w:t>1.</w:t>
      </w:r>
      <w:r>
        <w:rPr>
          <w:rFonts w:ascii="宋体" w:hAnsi="宋体" w:cs="宋体" w:eastAsia="宋体" w:hint="default"/>
          <w:spacing w:val="-2"/>
        </w:rPr>
        <w:t> </w:t>
      </w:r>
      <w:r>
        <w:rPr/>
        <w:t>终止经营的确认标准、会计处理方法</w:t>
      </w:r>
    </w:p>
    <w:p>
      <w:pPr>
        <w:pStyle w:val="BodyText"/>
        <w:spacing w:line="355" w:lineRule="auto" w:before="41"/>
        <w:ind w:left="237" w:right="1688" w:firstLine="420"/>
        <w:jc w:val="left"/>
      </w:pPr>
      <w:r>
        <w:rPr>
          <w:spacing w:val="-3"/>
        </w:rPr>
        <w:t>满足下列条件之一的已被企业处置或被企业划归为持有待售的、在经营和编制财务报表</w:t>
      </w:r>
      <w:r>
        <w:rPr/>
        <w:t> 时能够单独区分的组成部分确认为终止经营：</w:t>
      </w:r>
    </w:p>
    <w:p>
      <w:pPr>
        <w:pStyle w:val="BodyText"/>
        <w:spacing w:line="240" w:lineRule="auto" w:before="73"/>
        <w:ind w:left="657" w:right="1688"/>
        <w:jc w:val="left"/>
      </w:pPr>
      <w:r>
        <w:rPr>
          <w:rFonts w:ascii="宋体" w:hAnsi="宋体" w:cs="宋体" w:eastAsia="宋体" w:hint="default"/>
        </w:rPr>
        <w:t>(1)</w:t>
      </w:r>
      <w:r>
        <w:rPr>
          <w:rFonts w:ascii="宋体" w:hAnsi="宋体" w:cs="宋体" w:eastAsia="宋体" w:hint="default"/>
          <w:spacing w:val="-1"/>
        </w:rPr>
        <w:t> </w:t>
      </w:r>
      <w:r>
        <w:rPr/>
        <w:t>该组成部分代表一项独立的主要业务或一个主要经营地区；</w:t>
      </w:r>
    </w:p>
    <w:p>
      <w:pPr>
        <w:pStyle w:val="BodyText"/>
        <w:spacing w:line="355" w:lineRule="auto" w:before="174"/>
        <w:ind w:left="238" w:right="1688" w:firstLine="420"/>
        <w:jc w:val="left"/>
      </w:pPr>
      <w:r>
        <w:rPr>
          <w:rFonts w:ascii="宋体" w:hAnsi="宋体" w:cs="宋体" w:eastAsia="宋体" w:hint="default"/>
        </w:rPr>
        <w:t>(2)</w:t>
      </w:r>
      <w:r>
        <w:rPr>
          <w:rFonts w:ascii="宋体" w:hAnsi="宋体" w:cs="宋体" w:eastAsia="宋体" w:hint="default"/>
          <w:spacing w:val="29"/>
        </w:rPr>
        <w:t> </w:t>
      </w:r>
      <w:r>
        <w:rPr>
          <w:spacing w:val="2"/>
        </w:rPr>
        <w:t>该组成部分是拟对一项独立的主要业务或一个主要经营地区进行处置计划的一部</w:t>
      </w:r>
      <w:r>
        <w:rPr/>
        <w:t> 分；</w:t>
      </w:r>
    </w:p>
    <w:p>
      <w:pPr>
        <w:pStyle w:val="BodyText"/>
        <w:spacing w:line="391" w:lineRule="auto" w:before="73"/>
        <w:ind w:left="658" w:right="2738"/>
        <w:jc w:val="left"/>
      </w:pPr>
      <w:r>
        <w:rPr>
          <w:rFonts w:ascii="宋体" w:hAnsi="宋体" w:cs="宋体" w:eastAsia="宋体" w:hint="default"/>
        </w:rPr>
        <w:t>(3) </w:t>
      </w:r>
      <w:r>
        <w:rPr/>
        <w:t>该组成部分是仅仅为了再出售而取得的子公司。 本公司终止经营的情况见本财务报表附注其他重要事项之终止经营的说明。 </w:t>
      </w:r>
      <w:r>
        <w:rPr>
          <w:rFonts w:ascii="宋体" w:hAnsi="宋体" w:cs="宋体" w:eastAsia="宋体" w:hint="default"/>
        </w:rPr>
        <w:t>2.</w:t>
      </w:r>
      <w:r>
        <w:rPr>
          <w:rFonts w:ascii="宋体" w:hAnsi="宋体" w:cs="宋体" w:eastAsia="宋体" w:hint="default"/>
          <w:spacing w:val="-2"/>
        </w:rPr>
        <w:t> </w:t>
      </w:r>
      <w:r>
        <w:rPr/>
        <w:t>与回购公司股份相关的会计处理方法</w:t>
      </w:r>
    </w:p>
    <w:p>
      <w:pPr>
        <w:pStyle w:val="BodyText"/>
        <w:spacing w:line="357" w:lineRule="auto" w:before="1"/>
        <w:ind w:left="238" w:right="1683" w:firstLine="420"/>
        <w:jc w:val="left"/>
      </w:pPr>
      <w:r>
        <w:rPr>
          <w:spacing w:val="-3"/>
        </w:rPr>
        <w:t>因减少注册资本或奖励职工等原因收购本公司股份的，按实际支付的金额作为库存股处</w:t>
      </w:r>
      <w:r>
        <w:rPr/>
        <w:t> </w:t>
      </w:r>
      <w:r>
        <w:rPr>
          <w:spacing w:val="-3"/>
        </w:rPr>
        <w:t>理，同时进行备查登记。如果将回购的股份注销，则将按注销股票面值和注销股数计算的股</w:t>
      </w:r>
      <w:r>
        <w:rPr>
          <w:spacing w:val="-72"/>
        </w:rPr>
        <w:t> </w:t>
      </w:r>
      <w:r>
        <w:rPr>
          <w:spacing w:val="-72"/>
        </w:rPr>
      </w:r>
      <w:r>
        <w:rPr>
          <w:spacing w:val="-3"/>
        </w:rPr>
        <w:t>票面值总额与实际回购所支付的金额之间的差额冲减资本公积，资本公积不足冲减的，冲减</w:t>
      </w:r>
      <w:r>
        <w:rPr>
          <w:spacing w:val="-75"/>
        </w:rPr>
        <w:t> </w:t>
      </w:r>
      <w:r>
        <w:rPr>
          <w:spacing w:val="-75"/>
        </w:rPr>
      </w:r>
      <w:r>
        <w:rPr>
          <w:spacing w:val="-3"/>
        </w:rPr>
        <w:t>留存收益；如果将回购的股份奖励给本公司职工属于以权益结算的股份支付，于职工行权购</w:t>
      </w:r>
      <w:r>
        <w:rPr>
          <w:spacing w:val="-75"/>
        </w:rPr>
        <w:t> </w:t>
      </w:r>
      <w:r>
        <w:rPr>
          <w:spacing w:val="-75"/>
        </w:rPr>
      </w:r>
      <w:r>
        <w:rPr>
          <w:spacing w:val="-5"/>
        </w:rPr>
        <w:t>买本公司股份收到价款时，转销交付职工的库存股成本和等待期内资本公积（其他资本公积）</w:t>
      </w:r>
      <w:r>
        <w:rPr>
          <w:spacing w:val="-92"/>
        </w:rPr>
        <w:t> </w:t>
      </w:r>
      <w:r>
        <w:rPr>
          <w:spacing w:val="-92"/>
        </w:rPr>
      </w:r>
      <w:r>
        <w:rPr/>
        <w:t>累计金额，同时，按照其差额调整资本公积（股本溢价）。</w:t>
      </w:r>
    </w:p>
    <w:p>
      <w:pPr>
        <w:pStyle w:val="BodyText"/>
        <w:spacing w:line="240" w:lineRule="auto" w:before="72"/>
        <w:ind w:left="658" w:right="1688"/>
        <w:jc w:val="left"/>
      </w:pPr>
      <w:bookmarkStart w:name="(二十七) 重要会计政策变更" w:id="156"/>
      <w:bookmarkEnd w:id="156"/>
      <w:r>
        <w:rPr/>
      </w:r>
      <w:r>
        <w:rPr>
          <w:rFonts w:ascii="宋体" w:hAnsi="宋体" w:cs="宋体" w:eastAsia="宋体" w:hint="default"/>
        </w:rPr>
        <w:t>(</w:t>
      </w:r>
      <w:r>
        <w:rPr/>
        <w:t>二十七</w:t>
      </w:r>
      <w:r>
        <w:rPr>
          <w:rFonts w:ascii="宋体" w:hAnsi="宋体" w:cs="宋体" w:eastAsia="宋体" w:hint="default"/>
        </w:rPr>
        <w:t>)</w:t>
      </w:r>
      <w:r>
        <w:rPr>
          <w:rFonts w:ascii="宋体" w:hAnsi="宋体" w:cs="宋体" w:eastAsia="宋体" w:hint="default"/>
          <w:spacing w:val="-2"/>
        </w:rPr>
        <w:t> </w:t>
      </w:r>
      <w:r>
        <w:rPr/>
        <w:t>重要会计政策变更</w:t>
      </w:r>
    </w:p>
    <w:p>
      <w:pPr>
        <w:pStyle w:val="BodyText"/>
        <w:spacing w:line="240" w:lineRule="auto" w:before="172"/>
        <w:ind w:left="658" w:right="1688"/>
        <w:jc w:val="left"/>
      </w:pPr>
      <w:r>
        <w:rPr>
          <w:rFonts w:ascii="宋体" w:hAnsi="宋体" w:cs="宋体" w:eastAsia="宋体" w:hint="default"/>
        </w:rPr>
        <w:t>(1)</w:t>
      </w:r>
      <w:r>
        <w:rPr>
          <w:rFonts w:ascii="宋体" w:hAnsi="宋体" w:cs="宋体" w:eastAsia="宋体" w:hint="default"/>
          <w:spacing w:val="-1"/>
        </w:rPr>
        <w:t> </w:t>
      </w:r>
      <w:r>
        <w:rPr/>
        <w:t>会计政策变更的内容和原因</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4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53" w:lineRule="exact"/>
              <w:ind w:left="54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2"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备  注</w:t>
            </w:r>
          </w:p>
        </w:tc>
      </w:tr>
      <w:tr>
        <w:trPr>
          <w:trHeight w:val="109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541"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日或</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年度起执</w:t>
            </w:r>
          </w:p>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sz w:val="21"/>
                <w:szCs w:val="21"/>
              </w:rPr>
              <w:t>行财政部于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pacing w:val="-3"/>
                <w:sz w:val="21"/>
                <w:szCs w:val="21"/>
              </w:rPr>
              <w:t>年修订或新制定发布的《企业会</w:t>
            </w:r>
          </w:p>
          <w:p>
            <w:pPr>
              <w:pStyle w:val="TableParagraph"/>
              <w:spacing w:line="272" w:lineRule="exact" w:before="26"/>
              <w:ind w:left="122" w:right="167"/>
              <w:jc w:val="left"/>
              <w:rPr>
                <w:rFonts w:ascii="宋体" w:hAnsi="宋体" w:cs="宋体" w:eastAsia="宋体" w:hint="default"/>
                <w:sz w:val="21"/>
                <w:szCs w:val="21"/>
              </w:rPr>
            </w:pPr>
            <w:r>
              <w:rPr>
                <w:rFonts w:ascii="宋体" w:hAnsi="宋体" w:cs="宋体" w:eastAsia="宋体" w:hint="default"/>
                <w:sz w:val="21"/>
                <w:szCs w:val="21"/>
              </w:rPr>
              <w:t>计准则第</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号──职工薪酬》等八项具体会计准 则。</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1" w:right="125"/>
              <w:jc w:val="both"/>
              <w:rPr>
                <w:rFonts w:ascii="宋体" w:hAnsi="宋体" w:cs="宋体" w:eastAsia="宋体" w:hint="default"/>
                <w:sz w:val="21"/>
                <w:szCs w:val="21"/>
              </w:rPr>
            </w:pPr>
            <w:r>
              <w:rPr>
                <w:rFonts w:ascii="宋体" w:hAnsi="宋体" w:cs="宋体" w:eastAsia="宋体" w:hint="default"/>
                <w:sz w:val="21"/>
                <w:szCs w:val="21"/>
              </w:rPr>
              <w:t>本次变更经公司第 四届董事会第四次 会议审议通过。</w:t>
            </w:r>
          </w:p>
        </w:tc>
        <w:tc>
          <w:tcPr>
            <w:tcW w:w="191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before="0"/>
        <w:ind w:left="658" w:right="1688"/>
        <w:jc w:val="left"/>
      </w:pPr>
      <w:r>
        <w:rPr>
          <w:rFonts w:ascii="宋体" w:hAnsi="宋体" w:cs="宋体" w:eastAsia="宋体" w:hint="default"/>
        </w:rPr>
        <w:t>(2)</w:t>
      </w:r>
      <w:r>
        <w:rPr>
          <w:rFonts w:ascii="宋体" w:hAnsi="宋体" w:cs="宋体" w:eastAsia="宋体" w:hint="default"/>
          <w:spacing w:val="-1"/>
        </w:rPr>
        <w:t> </w:t>
      </w:r>
      <w:r>
        <w:rPr/>
        <w:t>受重要影响的报表项目和金额</w:t>
      </w:r>
    </w:p>
    <w:p>
      <w:pPr>
        <w:pStyle w:val="BodyText"/>
        <w:spacing w:line="240" w:lineRule="auto" w:before="134"/>
        <w:ind w:left="658" w:right="1688"/>
        <w:jc w:val="left"/>
      </w:pPr>
      <w:r>
        <w:rPr/>
        <w:t>实施上述八项具体会计准则对本公司</w:t>
      </w:r>
      <w:r>
        <w:rPr>
          <w:spacing w:val="-53"/>
        </w:rPr>
        <w:t> </w:t>
      </w:r>
      <w:r>
        <w:rPr>
          <w:rFonts w:ascii="宋体" w:hAnsi="宋体" w:cs="宋体" w:eastAsia="宋体" w:hint="default"/>
        </w:rPr>
        <w:t>2014</w:t>
      </w:r>
      <w:r>
        <w:rPr>
          <w:rFonts w:ascii="宋体" w:hAnsi="宋体" w:cs="宋体" w:eastAsia="宋体" w:hint="default"/>
          <w:spacing w:val="-54"/>
        </w:rPr>
        <w:t> </w:t>
      </w:r>
      <w:r>
        <w:rPr/>
        <w:t>年度财务报表比较数据产生影响。</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3528"/>
        <w:gridCol w:w="1967"/>
        <w:gridCol w:w="3028"/>
      </w:tblGrid>
      <w:tr>
        <w:trPr>
          <w:trHeight w:val="441"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288"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17"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3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备  注</w:t>
            </w:r>
          </w:p>
        </w:tc>
      </w:tr>
      <w:tr>
        <w:trPr>
          <w:trHeight w:val="44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日资产负债表项目</w:t>
            </w:r>
          </w:p>
        </w:tc>
        <w:tc>
          <w:tcPr>
            <w:tcW w:w="1967" w:type="dxa"/>
            <w:tcBorders>
              <w:top w:val="single" w:sz="4" w:space="0" w:color="000000"/>
              <w:left w:val="single" w:sz="4" w:space="0" w:color="000000"/>
              <w:bottom w:val="single" w:sz="4" w:space="0" w:color="000000"/>
              <w:right w:val="single" w:sz="4" w:space="0" w:color="000000"/>
            </w:tcBorders>
          </w:tcPr>
          <w:p>
            <w:pP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-7,000,000.00</w:t>
            </w:r>
          </w:p>
        </w:tc>
        <w:tc>
          <w:tcPr>
            <w:tcW w:w="3028" w:type="dxa"/>
            <w:vMerge w:val="restart"/>
            <w:tcBorders>
              <w:top w:val="single" w:sz="4" w:space="0" w:color="000000"/>
              <w:left w:val="single" w:sz="4" w:space="0" w:color="000000"/>
              <w:right w:val="nil" w:sz="6" w:space="0" w:color="auto"/>
            </w:tcBorders>
          </w:tcPr>
          <w:p>
            <w:pPr>
              <w:pStyle w:val="TableParagraph"/>
              <w:spacing w:line="240" w:lineRule="auto" w:before="9"/>
              <w:ind w:left="103" w:right="106"/>
              <w:jc w:val="both"/>
              <w:rPr>
                <w:rFonts w:ascii="宋体" w:hAnsi="宋体" w:cs="宋体" w:eastAsia="宋体" w:hint="default"/>
                <w:sz w:val="18"/>
                <w:szCs w:val="18"/>
              </w:rPr>
            </w:pPr>
            <w:r>
              <w:rPr>
                <w:rFonts w:ascii="宋体" w:hAnsi="宋体" w:cs="宋体" w:eastAsia="宋体" w:hint="default"/>
                <w:spacing w:val="-5"/>
                <w:sz w:val="18"/>
                <w:szCs w:val="18"/>
              </w:rPr>
              <w:t>对原持有的对持有的不具有控制、共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同控制、重大影响，且其公允价值不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能可靠计量的股权投资，由长期股权</w:t>
            </w:r>
          </w:p>
        </w:tc>
      </w:tr>
      <w:tr>
        <w:trPr>
          <w:trHeight w:val="44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7,000,000.00</w:t>
            </w:r>
          </w:p>
        </w:tc>
        <w:tc>
          <w:tcPr>
            <w:tcW w:w="3028" w:type="dxa"/>
            <w:vMerge/>
            <w:tcBorders>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528"/>
        <w:gridCol w:w="1967"/>
        <w:gridCol w:w="3028"/>
      </w:tblGrid>
      <w:tr>
        <w:trPr>
          <w:trHeight w:val="517" w:hRule="exact"/>
        </w:trPr>
        <w:tc>
          <w:tcPr>
            <w:tcW w:w="3528" w:type="dxa"/>
            <w:tcBorders>
              <w:top w:val="single" w:sz="4" w:space="0" w:color="000000"/>
              <w:left w:val="nil" w:sz="6" w:space="0" w:color="auto"/>
              <w:bottom w:val="single" w:sz="4" w:space="0" w:color="000000"/>
              <w:right w:val="single" w:sz="4" w:space="0" w:color="000000"/>
            </w:tcBorders>
          </w:tcPr>
          <w:p>
            <w:pPr/>
          </w:p>
        </w:tc>
        <w:tc>
          <w:tcPr>
            <w:tcW w:w="1967" w:type="dxa"/>
            <w:tcBorders>
              <w:top w:val="single" w:sz="4" w:space="0" w:color="000000"/>
              <w:left w:val="single" w:sz="4" w:space="0" w:color="000000"/>
              <w:bottom w:val="single" w:sz="4" w:space="0" w:color="000000"/>
              <w:right w:val="single" w:sz="4" w:space="0" w:color="000000"/>
            </w:tcBorders>
          </w:tcPr>
          <w:p>
            <w:pPr/>
          </w:p>
        </w:tc>
        <w:tc>
          <w:tcPr>
            <w:tcW w:w="302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投资转入按成本计量的可供出售金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融资产核算。</w:t>
            </w:r>
          </w:p>
        </w:tc>
      </w:tr>
      <w:tr>
        <w:trPr>
          <w:trHeight w:val="1024"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-2,834,176.34</w:t>
            </w:r>
          </w:p>
        </w:tc>
        <w:tc>
          <w:tcPr>
            <w:tcW w:w="3028" w:type="dxa"/>
            <w:tcBorders>
              <w:top w:val="single" w:sz="4" w:space="0" w:color="000000"/>
              <w:left w:val="single" w:sz="4" w:space="0" w:color="000000"/>
              <w:bottom w:val="single" w:sz="4" w:space="0" w:color="000000"/>
              <w:right w:val="nil" w:sz="6" w:space="0" w:color="auto"/>
            </w:tcBorders>
          </w:tcPr>
          <w:p>
            <w:pPr>
              <w:pStyle w:val="TableParagraph"/>
              <w:spacing w:line="237" w:lineRule="auto" w:before="11"/>
              <w:ind w:left="103" w:right="107"/>
              <w:jc w:val="both"/>
              <w:rPr>
                <w:rFonts w:ascii="宋体" w:hAnsi="宋体" w:cs="宋体" w:eastAsia="宋体" w:hint="default"/>
                <w:sz w:val="18"/>
                <w:szCs w:val="18"/>
              </w:rPr>
            </w:pPr>
            <w:r>
              <w:rPr>
                <w:rFonts w:ascii="宋体" w:hAnsi="宋体" w:cs="宋体" w:eastAsia="宋体" w:hint="default"/>
                <w:spacing w:val="-5"/>
                <w:sz w:val="18"/>
                <w:szCs w:val="18"/>
              </w:rPr>
              <w:t>原权益法确认的，对因被投资单位实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现其他综合收益而产生的所有者权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益的变动，按公司应享有的份额，由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资本公积转入其他综合收益核算。</w:t>
            </w:r>
          </w:p>
        </w:tc>
      </w:tr>
      <w:tr>
        <w:trPr>
          <w:trHeight w:val="79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1,757,945.84</w:t>
            </w:r>
          </w:p>
        </w:tc>
        <w:tc>
          <w:tcPr>
            <w:tcW w:w="30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3" w:right="39"/>
              <w:jc w:val="left"/>
              <w:rPr>
                <w:rFonts w:ascii="宋体" w:hAnsi="宋体" w:cs="宋体" w:eastAsia="宋体" w:hint="default"/>
                <w:sz w:val="18"/>
                <w:szCs w:val="18"/>
              </w:rPr>
            </w:pPr>
            <w:r>
              <w:rPr>
                <w:rFonts w:ascii="宋体" w:hAnsi="宋体" w:cs="宋体" w:eastAsia="宋体" w:hint="default"/>
                <w:sz w:val="18"/>
                <w:szCs w:val="18"/>
              </w:rPr>
              <w:t>对境外经营的财务报表进行折算时， </w:t>
            </w:r>
            <w:r>
              <w:rPr>
                <w:rFonts w:ascii="宋体" w:hAnsi="宋体" w:cs="宋体" w:eastAsia="宋体" w:hint="default"/>
                <w:spacing w:val="7"/>
                <w:sz w:val="18"/>
                <w:szCs w:val="18"/>
              </w:rPr>
              <w:t>由外币报表折算差额转至其他综合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收益项目列报，并删除本项目</w:t>
            </w:r>
          </w:p>
        </w:tc>
      </w:tr>
      <w:tr>
        <w:trPr>
          <w:trHeight w:val="44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1,076,230.50</w:t>
            </w:r>
          </w:p>
        </w:tc>
        <w:tc>
          <w:tcPr>
            <w:tcW w:w="3028"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-33,607,972.15</w:t>
            </w:r>
          </w:p>
        </w:tc>
        <w:tc>
          <w:tcPr>
            <w:tcW w:w="3028" w:type="dxa"/>
            <w:vMerge w:val="restart"/>
            <w:tcBorders>
              <w:top w:val="single" w:sz="4" w:space="0" w:color="000000"/>
              <w:left w:val="single" w:sz="4" w:space="0" w:color="000000"/>
              <w:right w:val="nil" w:sz="6" w:space="0" w:color="auto"/>
            </w:tcBorders>
          </w:tcPr>
          <w:p>
            <w:pPr>
              <w:pStyle w:val="TableParagraph"/>
              <w:spacing w:line="237" w:lineRule="auto" w:before="12"/>
              <w:ind w:left="103" w:right="107"/>
              <w:jc w:val="both"/>
              <w:rPr>
                <w:rFonts w:ascii="宋体" w:hAnsi="宋体" w:cs="宋体" w:eastAsia="宋体" w:hint="default"/>
                <w:sz w:val="18"/>
                <w:szCs w:val="18"/>
              </w:rPr>
            </w:pPr>
            <w:r>
              <w:rPr>
                <w:rFonts w:ascii="宋体" w:hAnsi="宋体" w:cs="宋体" w:eastAsia="宋体" w:hint="default"/>
                <w:spacing w:val="-5"/>
                <w:sz w:val="18"/>
                <w:szCs w:val="18"/>
              </w:rPr>
              <w:t>原与资产相关的政府补助，对尚未摊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销完毕的余额，由其他非流动负债转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入递延收益项目列报</w:t>
            </w:r>
          </w:p>
        </w:tc>
      </w:tr>
      <w:tr>
        <w:trPr>
          <w:trHeight w:val="440" w:hRule="exact"/>
        </w:trPr>
        <w:tc>
          <w:tcPr>
            <w:tcW w:w="3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33,607,972.15</w:t>
            </w:r>
          </w:p>
        </w:tc>
        <w:tc>
          <w:tcPr>
            <w:tcW w:w="3028" w:type="dxa"/>
            <w:vMerge/>
            <w:tcBorders>
              <w:left w:val="single" w:sz="4" w:space="0" w:color="000000"/>
              <w:bottom w:val="single" w:sz="4" w:space="0" w:color="000000"/>
              <w:right w:val="nil" w:sz="6" w:space="0" w:color="auto"/>
            </w:tcBorders>
          </w:tcPr>
          <w:p>
            <w:pPr/>
          </w:p>
        </w:tc>
      </w:tr>
    </w:tbl>
    <w:p>
      <w:pPr>
        <w:pStyle w:val="BodyText"/>
        <w:spacing w:line="241" w:lineRule="exact" w:before="0"/>
        <w:ind w:left="638" w:right="1683"/>
        <w:jc w:val="left"/>
      </w:pPr>
      <w:r>
        <w:rPr/>
        <w:t>实施上述八项具体会计准则未对本公司</w:t>
      </w:r>
      <w:r>
        <w:rPr>
          <w:spacing w:val="-45"/>
        </w:rPr>
        <w:t> </w:t>
      </w:r>
      <w:r>
        <w:rPr>
          <w:rFonts w:ascii="宋体" w:hAnsi="宋体" w:cs="宋体" w:eastAsia="宋体" w:hint="default"/>
        </w:rPr>
        <w:t>2014</w:t>
      </w:r>
      <w:r>
        <w:rPr>
          <w:rFonts w:ascii="宋体" w:hAnsi="宋体" w:cs="宋体" w:eastAsia="宋体" w:hint="default"/>
          <w:spacing w:val="-44"/>
        </w:rPr>
        <w:t> </w:t>
      </w:r>
      <w:r>
        <w:rPr/>
        <w:t>年度财务报表比较数据中的总资产、负债</w:t>
      </w:r>
    </w:p>
    <w:p>
      <w:pPr>
        <w:pStyle w:val="BodyText"/>
        <w:spacing w:line="240" w:lineRule="auto" w:before="134"/>
        <w:ind w:left="218" w:right="1683"/>
        <w:jc w:val="left"/>
      </w:pPr>
      <w:r>
        <w:rPr/>
        <w:t>总额、净资产以及净利润产生影响。</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Heading2"/>
        <w:spacing w:line="240" w:lineRule="auto"/>
        <w:ind w:left="700" w:right="1683"/>
        <w:jc w:val="left"/>
        <w:rPr>
          <w:rFonts w:ascii="黑体" w:hAnsi="黑体" w:cs="黑体" w:eastAsia="黑体" w:hint="default"/>
          <w:b w:val="0"/>
          <w:bCs w:val="0"/>
        </w:rPr>
      </w:pPr>
      <w:bookmarkStart w:name="六、税（费）项" w:id="157"/>
      <w:bookmarkEnd w:id="157"/>
      <w:r>
        <w:rPr>
          <w:b w:val="0"/>
          <w:bCs w:val="0"/>
        </w:rPr>
      </w:r>
      <w:r>
        <w:rPr>
          <w:rFonts w:ascii="黑体" w:hAnsi="黑体" w:cs="黑体" w:eastAsia="黑体" w:hint="default"/>
        </w:rPr>
        <w:t>六、税（费）项</w:t>
      </w:r>
      <w:r>
        <w:rPr>
          <w:rFonts w:ascii="黑体" w:hAnsi="黑体" w:cs="黑体" w:eastAsia="黑体" w:hint="default"/>
          <w:b w:val="0"/>
          <w:bCs w:val="0"/>
        </w:rPr>
      </w:r>
    </w:p>
    <w:p>
      <w:pPr>
        <w:pStyle w:val="BodyText"/>
        <w:spacing w:line="240" w:lineRule="auto" w:before="199"/>
        <w:ind w:left="637" w:right="1683"/>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主要税种及税率</w:t>
      </w:r>
    </w:p>
    <w:p>
      <w:pPr>
        <w:spacing w:line="240" w:lineRule="auto" w:before="11"/>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1596"/>
        <w:gridCol w:w="4452"/>
        <w:gridCol w:w="2478"/>
      </w:tblGrid>
      <w:tr>
        <w:trPr>
          <w:trHeight w:val="46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税  种</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计 税 依 据</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税  率</w:t>
            </w:r>
          </w:p>
        </w:tc>
      </w:tr>
      <w:tr>
        <w:trPr>
          <w:trHeight w:val="46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6"/>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65"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sz w:val="18"/>
              </w:rPr>
              <w:t>5%</w:t>
            </w:r>
          </w:p>
        </w:tc>
      </w:tr>
      <w:tr>
        <w:trPr>
          <w:trHeight w:val="476"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3" w:right="0"/>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宋体" w:hAnsi="宋体" w:cs="宋体" w:eastAsia="宋体" w:hint="default"/>
                <w:sz w:val="18"/>
                <w:szCs w:val="18"/>
              </w:rPr>
              <w:t>20%/30%</w:t>
            </w:r>
            <w:r>
              <w:rPr>
                <w:rFonts w:ascii="宋体" w:hAnsi="宋体" w:cs="宋体" w:eastAsia="宋体" w:hint="default"/>
                <w:sz w:val="18"/>
                <w:szCs w:val="18"/>
              </w:rPr>
              <w:t>后余值的</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计缴</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46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46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sz w:val="18"/>
              </w:rPr>
              <w:t>3%</w:t>
            </w:r>
          </w:p>
        </w:tc>
      </w:tr>
      <w:tr>
        <w:trPr>
          <w:trHeight w:val="46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sz w:val="18"/>
              </w:rPr>
              <w:t>2%</w:t>
            </w:r>
          </w:p>
        </w:tc>
      </w:tr>
      <w:tr>
        <w:trPr>
          <w:trHeight w:val="46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等</w:t>
            </w:r>
          </w:p>
        </w:tc>
      </w:tr>
      <w:tr>
        <w:trPr>
          <w:trHeight w:val="463"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计费销售额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sz w:val="18"/>
              </w:rPr>
              <w:t>3%</w:t>
            </w:r>
          </w:p>
        </w:tc>
      </w:tr>
      <w:tr>
        <w:trPr>
          <w:trHeight w:val="464" w:hRule="exact"/>
        </w:trPr>
        <w:tc>
          <w:tcPr>
            <w:tcW w:w="15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4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4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7"/>
              <w:jc w:val="center"/>
              <w:rPr>
                <w:rFonts w:ascii="宋体" w:hAnsi="宋体" w:cs="宋体" w:eastAsia="宋体" w:hint="default"/>
                <w:sz w:val="18"/>
                <w:szCs w:val="18"/>
              </w:rPr>
            </w:pPr>
            <w:r>
              <w:rPr>
                <w:rFonts w:ascii="宋体"/>
                <w:sz w:val="18"/>
              </w:rPr>
              <w:t>1%</w:t>
            </w:r>
          </w:p>
        </w:tc>
      </w:tr>
    </w:tbl>
    <w:p>
      <w:pPr>
        <w:pStyle w:val="BodyText"/>
        <w:spacing w:line="357" w:lineRule="auto" w:before="5"/>
        <w:ind w:left="217" w:right="1683" w:firstLine="420"/>
        <w:jc w:val="left"/>
      </w:pPr>
      <w:r>
        <w:rPr>
          <w:rFonts w:ascii="宋体" w:hAnsi="宋体" w:cs="宋体" w:eastAsia="宋体" w:hint="default"/>
        </w:rPr>
        <w:t>[</w:t>
      </w:r>
      <w:r>
        <w:rPr/>
        <w:t>注 </w:t>
      </w:r>
      <w:r>
        <w:rPr>
          <w:rFonts w:ascii="宋体" w:hAnsi="宋体" w:cs="宋体" w:eastAsia="宋体" w:hint="default"/>
          <w:spacing w:val="-3"/>
        </w:rPr>
        <w:t>1]</w:t>
      </w:r>
      <w:r>
        <w:rPr>
          <w:spacing w:val="-3"/>
        </w:rPr>
        <w:t>：出口货物实行“免、抵、退”税政策，产品的出口退税率主要为</w:t>
      </w:r>
      <w:r>
        <w:rPr>
          <w:spacing w:val="-81"/>
        </w:rPr>
        <w:t> </w:t>
      </w:r>
      <w:r>
        <w:rPr>
          <w:rFonts w:ascii="宋体" w:hAnsi="宋体" w:cs="宋体" w:eastAsia="宋体" w:hint="default"/>
          <w:spacing w:val="-3"/>
        </w:rPr>
        <w:t>5%</w:t>
      </w:r>
      <w:r>
        <w:rPr>
          <w:spacing w:val="-3"/>
        </w:rPr>
        <w:t>、</w:t>
      </w:r>
      <w:r>
        <w:rPr>
          <w:rFonts w:ascii="宋体" w:hAnsi="宋体" w:cs="宋体" w:eastAsia="宋体" w:hint="default"/>
          <w:spacing w:val="-3"/>
        </w:rPr>
        <w:t>9%</w:t>
      </w:r>
      <w:r>
        <w:rPr>
          <w:spacing w:val="-3"/>
        </w:rPr>
        <w:t>、</w:t>
      </w:r>
      <w:r>
        <w:rPr>
          <w:rFonts w:ascii="宋体" w:hAnsi="宋体" w:cs="宋体" w:eastAsia="宋体" w:hint="default"/>
          <w:spacing w:val="-3"/>
        </w:rPr>
        <w:t>13%</w:t>
      </w:r>
      <w:r>
        <w:rPr>
          <w:spacing w:val="-3"/>
        </w:rPr>
        <w:t>、</w:t>
      </w:r>
      <w:r>
        <w:rPr/>
        <w:t> </w:t>
      </w:r>
      <w:r>
        <w:rPr>
          <w:rFonts w:ascii="宋体" w:hAnsi="宋体" w:cs="宋体" w:eastAsia="宋体" w:hint="default"/>
        </w:rPr>
        <w:t>15%</w:t>
      </w:r>
      <w:r>
        <w:rPr/>
        <w:t>和</w:t>
      </w:r>
      <w:r>
        <w:rPr>
          <w:spacing w:val="-53"/>
        </w:rPr>
        <w:t> </w:t>
      </w:r>
      <w:r>
        <w:rPr>
          <w:rFonts w:ascii="宋体" w:hAnsi="宋体" w:cs="宋体" w:eastAsia="宋体" w:hint="default"/>
        </w:rPr>
        <w:t>17%</w:t>
      </w:r>
      <w:r>
        <w:rPr/>
        <w:t>。</w:t>
      </w:r>
    </w:p>
    <w:p>
      <w:pPr>
        <w:pStyle w:val="BodyText"/>
        <w:spacing w:line="357" w:lineRule="auto" w:before="71"/>
        <w:ind w:left="217" w:right="1794" w:firstLine="420"/>
        <w:jc w:val="both"/>
      </w:pPr>
      <w:r>
        <w:rPr>
          <w:rFonts w:ascii="宋体" w:hAnsi="宋体" w:cs="宋体" w:eastAsia="宋体" w:hint="default"/>
        </w:rPr>
        <w:t>[</w:t>
      </w:r>
      <w:r>
        <w:rPr/>
        <w:t>注</w:t>
      </w:r>
      <w:r>
        <w:rPr>
          <w:spacing w:val="-87"/>
        </w:rPr>
        <w:t> </w:t>
      </w:r>
      <w:r>
        <w:rPr>
          <w:rFonts w:ascii="宋体" w:hAnsi="宋体" w:cs="宋体" w:eastAsia="宋体" w:hint="default"/>
        </w:rPr>
        <w:t>2]</w:t>
      </w:r>
      <w:r>
        <w:rPr/>
        <w:t>：子公司长沙天鹅、大连华能、湖南利欧、无锡锡泵、恒流流体、锡泵安装和琥 珀传播按当期应纳流转税额的</w:t>
      </w:r>
      <w:r>
        <w:rPr>
          <w:spacing w:val="12"/>
        </w:rPr>
        <w:t> </w:t>
      </w:r>
      <w:r>
        <w:rPr>
          <w:rFonts w:ascii="宋体" w:hAnsi="宋体" w:cs="宋体" w:eastAsia="宋体" w:hint="default"/>
        </w:rPr>
        <w:t>7%</w:t>
      </w:r>
      <w:r>
        <w:rPr/>
        <w:t>计缴；子公司上海漫酷、聚胜广告、易合广告、上海氩氪 和上海沃动按当期应纳流转税额的</w:t>
      </w:r>
      <w:r>
        <w:rPr>
          <w:spacing w:val="11"/>
        </w:rPr>
        <w:t> </w:t>
      </w:r>
      <w:r>
        <w:rPr>
          <w:rFonts w:ascii="宋体" w:hAnsi="宋体" w:cs="宋体" w:eastAsia="宋体" w:hint="default"/>
        </w:rPr>
        <w:t>1%</w:t>
      </w:r>
      <w:r>
        <w:rPr/>
        <w:t>计缴；公司及其他境内子公司按当期应纳流转税额的 </w:t>
      </w:r>
      <w:r>
        <w:rPr>
          <w:rFonts w:ascii="宋体" w:hAnsi="宋体" w:cs="宋体" w:eastAsia="宋体" w:hint="default"/>
        </w:rPr>
        <w:t>5%</w:t>
      </w:r>
      <w:r>
        <w:rPr/>
        <w:t>计缴。</w:t>
      </w:r>
    </w:p>
    <w:p>
      <w:pPr>
        <w:spacing w:line="240" w:lineRule="auto" w:before="9"/>
        <w:rPr>
          <w:rFonts w:ascii="宋体" w:hAnsi="宋体" w:cs="宋体" w:eastAsia="宋体" w:hint="default"/>
          <w:sz w:val="16"/>
          <w:szCs w:val="16"/>
        </w:rPr>
      </w:pPr>
    </w:p>
    <w:p>
      <w:pPr>
        <w:pStyle w:val="BodyText"/>
        <w:spacing w:line="240" w:lineRule="auto" w:before="0"/>
        <w:ind w:left="638" w:right="1683"/>
        <w:jc w:val="left"/>
      </w:pPr>
      <w:r>
        <w:rPr/>
        <w:t>不同税率的纳税主体企业所得税税率说明</w:t>
      </w:r>
    </w:p>
    <w:p>
      <w:pPr>
        <w:spacing w:after="0" w:line="240" w:lineRule="auto"/>
        <w:jc w:val="left"/>
        <w:sectPr>
          <w:pgSz w:w="11910" w:h="16840"/>
          <w:pgMar w:header="877" w:footer="938" w:top="1100" w:bottom="1120" w:left="158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5024"/>
        <w:gridCol w:w="3464"/>
      </w:tblGrid>
      <w:tr>
        <w:trPr>
          <w:trHeight w:val="5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纳税主体名称</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551"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sz w:val="18"/>
                <w:szCs w:val="18"/>
              </w:rPr>
              <w:t>本公司、大农实业、长沙天鹅、湖南利欧、无锡锡泵</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sz w:val="18"/>
              </w:rPr>
              <w:t>15%</w:t>
            </w:r>
          </w:p>
        </w:tc>
      </w:tr>
      <w:tr>
        <w:trPr>
          <w:trHeight w:val="55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7"/>
              <w:ind w:left="122" w:right="0"/>
              <w:jc w:val="left"/>
              <w:rPr>
                <w:rFonts w:ascii="宋体" w:hAnsi="宋体" w:cs="宋体" w:eastAsia="宋体" w:hint="default"/>
                <w:sz w:val="18"/>
                <w:szCs w:val="18"/>
              </w:rPr>
            </w:pPr>
            <w:r>
              <w:rPr>
                <w:rFonts w:ascii="宋体" w:hAnsi="宋体" w:cs="宋体" w:eastAsia="宋体" w:hint="default"/>
                <w:sz w:val="18"/>
                <w:szCs w:val="18"/>
              </w:rPr>
              <w:t>除上述以外的其他境内子公司</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18"/>
                <w:szCs w:val="18"/>
              </w:rPr>
            </w:pPr>
            <w:r>
              <w:rPr>
                <w:rFonts w:ascii="宋体"/>
                <w:sz w:val="18"/>
              </w:rPr>
              <w:t>25%</w:t>
            </w:r>
          </w:p>
        </w:tc>
      </w:tr>
      <w:tr>
        <w:trPr>
          <w:trHeight w:val="830" w:hRule="exact"/>
        </w:trPr>
        <w:tc>
          <w:tcPr>
            <w:tcW w:w="50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境外子公司香港利欧、</w:t>
            </w:r>
            <w:r>
              <w:rPr>
                <w:rFonts w:ascii="宋体" w:hAnsi="宋体" w:cs="宋体" w:eastAsia="宋体" w:hint="default"/>
                <w:sz w:val="18"/>
                <w:szCs w:val="18"/>
              </w:rPr>
              <w:t>Crystal Water Products Inc.</w:t>
            </w:r>
            <w:r>
              <w:rPr>
                <w:rFonts w:ascii="宋体" w:hAnsi="宋体" w:cs="宋体" w:eastAsia="宋体" w:hint="default"/>
                <w:sz w:val="18"/>
                <w:szCs w:val="18"/>
              </w:rPr>
              <w:t>、</w:t>
            </w:r>
            <w:r>
              <w:rPr>
                <w:rFonts w:ascii="宋体" w:hAnsi="宋体" w:cs="宋体" w:eastAsia="宋体" w:hint="default"/>
                <w:sz w:val="18"/>
                <w:szCs w:val="18"/>
              </w:rPr>
              <w:t>GAMA</w:t>
            </w:r>
          </w:p>
          <w:p>
            <w:pPr>
              <w:pStyle w:val="TableParagraph"/>
              <w:spacing w:line="232" w:lineRule="exact" w:before="24"/>
              <w:ind w:left="122" w:right="35"/>
              <w:jc w:val="left"/>
              <w:rPr>
                <w:rFonts w:ascii="宋体" w:hAnsi="宋体" w:cs="宋体" w:eastAsia="宋体" w:hint="default"/>
                <w:sz w:val="18"/>
                <w:szCs w:val="18"/>
              </w:rPr>
            </w:pPr>
            <w:r>
              <w:rPr>
                <w:rFonts w:ascii="宋体" w:hAnsi="宋体" w:cs="宋体" w:eastAsia="宋体" w:hint="default"/>
                <w:sz w:val="18"/>
                <w:szCs w:val="18"/>
              </w:rPr>
              <w:t>European Garden Machinery Co. Ltd.</w:t>
            </w:r>
            <w:r>
              <w:rPr>
                <w:rFonts w:ascii="宋体" w:hAnsi="宋体" w:cs="宋体" w:eastAsia="宋体" w:hint="default"/>
                <w:sz w:val="18"/>
                <w:szCs w:val="18"/>
              </w:rPr>
              <w:t>、</w:t>
            </w:r>
            <w:r>
              <w:rPr>
                <w:rFonts w:ascii="宋体" w:hAnsi="宋体" w:cs="宋体" w:eastAsia="宋体" w:hint="default"/>
                <w:sz w:val="18"/>
                <w:szCs w:val="18"/>
              </w:rPr>
              <w:t>LEO ITALIA S.R.L</w:t>
            </w:r>
            <w:r>
              <w:rPr>
                <w:rFonts w:ascii="宋体" w:hAnsi="宋体" w:cs="宋体" w:eastAsia="宋体" w:hint="default"/>
                <w:sz w:val="18"/>
                <w:szCs w:val="18"/>
              </w:rPr>
              <w:t>、 中东利欧</w:t>
            </w:r>
          </w:p>
        </w:tc>
        <w:tc>
          <w:tcPr>
            <w:tcW w:w="346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15" w:right="0"/>
              <w:jc w:val="left"/>
              <w:rPr>
                <w:rFonts w:ascii="宋体" w:hAnsi="宋体" w:cs="宋体" w:eastAsia="宋体" w:hint="default"/>
                <w:sz w:val="18"/>
                <w:szCs w:val="18"/>
              </w:rPr>
            </w:pPr>
            <w:r>
              <w:rPr>
                <w:rFonts w:ascii="宋体" w:hAnsi="宋体" w:cs="宋体" w:eastAsia="宋体" w:hint="default"/>
                <w:sz w:val="18"/>
                <w:szCs w:val="18"/>
              </w:rPr>
              <w:t>按经营所在地区的规定税率</w:t>
            </w:r>
          </w:p>
        </w:tc>
      </w:tr>
    </w:tbl>
    <w:p>
      <w:pPr>
        <w:pStyle w:val="BodyText"/>
        <w:spacing w:line="391" w:lineRule="auto" w:before="6"/>
        <w:ind w:left="658" w:right="1688"/>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税收优惠及批文 </w:t>
      </w:r>
      <w:r>
        <w:rPr>
          <w:spacing w:val="-3"/>
        </w:rPr>
        <w:t>根据浙江省科学技术厅、浙江省财政厅、浙江省国家税务局和浙江省地方税务局联合下</w:t>
      </w:r>
    </w:p>
    <w:p>
      <w:pPr>
        <w:pStyle w:val="BodyText"/>
        <w:spacing w:line="355" w:lineRule="auto" w:before="2"/>
        <w:ind w:left="238" w:right="1779"/>
        <w:jc w:val="left"/>
      </w:pPr>
      <w:r>
        <w:rPr/>
        <w:t>发的浙科高发〔</w:t>
      </w:r>
      <w:r>
        <w:rPr>
          <w:rFonts w:ascii="宋体" w:hAnsi="宋体" w:cs="宋体" w:eastAsia="宋体" w:hint="default"/>
        </w:rPr>
        <w:t>2012</w:t>
      </w:r>
      <w:r>
        <w:rPr/>
        <w:t>〕</w:t>
      </w:r>
      <w:r>
        <w:rPr>
          <w:rFonts w:ascii="宋体" w:hAnsi="宋体" w:cs="宋体" w:eastAsia="宋体" w:hint="default"/>
        </w:rPr>
        <w:t>312</w:t>
      </w:r>
      <w:r>
        <w:rPr>
          <w:rFonts w:ascii="宋体" w:hAnsi="宋体" w:cs="宋体" w:eastAsia="宋体" w:hint="default"/>
          <w:spacing w:val="-46"/>
        </w:rPr>
        <w:t> </w:t>
      </w:r>
      <w:r>
        <w:rPr/>
        <w:t>号文，公司及大农实业通过高新技术企业资格复审，本期按</w:t>
      </w:r>
      <w:r>
        <w:rPr>
          <w:spacing w:val="-45"/>
        </w:rPr>
        <w:t> </w:t>
      </w:r>
      <w:r>
        <w:rPr>
          <w:rFonts w:ascii="宋体" w:hAnsi="宋体" w:cs="宋体" w:eastAsia="宋体" w:hint="default"/>
        </w:rPr>
        <w:t>15% </w:t>
      </w:r>
      <w:r>
        <w:rPr/>
        <w:t>的税率计缴企业所得税。</w:t>
      </w:r>
    </w:p>
    <w:p>
      <w:pPr>
        <w:pStyle w:val="BodyText"/>
        <w:spacing w:line="357" w:lineRule="auto" w:before="73"/>
        <w:ind w:left="237" w:right="1792" w:firstLine="420"/>
        <w:jc w:val="both"/>
      </w:pPr>
      <w:r>
        <w:rPr>
          <w:spacing w:val="-3"/>
        </w:rPr>
        <w:t>根据湖南省科学技术厅、湖南省财政厅、湖南省国家税务局、湖南省地方税务局联合下</w:t>
      </w:r>
      <w:r>
        <w:rPr/>
        <w:t> 发的湘科高办字〔</w:t>
      </w:r>
      <w:r>
        <w:rPr>
          <w:rFonts w:ascii="宋体" w:hAnsi="宋体" w:cs="宋体" w:eastAsia="宋体" w:hint="default"/>
        </w:rPr>
        <w:t>2012</w:t>
      </w:r>
      <w:r>
        <w:rPr/>
        <w:t>〕</w:t>
      </w:r>
      <w:r>
        <w:rPr>
          <w:rFonts w:ascii="宋体" w:hAnsi="宋体" w:cs="宋体" w:eastAsia="宋体" w:hint="default"/>
        </w:rPr>
        <w:t>13</w:t>
      </w:r>
      <w:r>
        <w:rPr>
          <w:rFonts w:ascii="宋体" w:hAnsi="宋体" w:cs="宋体" w:eastAsia="宋体" w:hint="default"/>
          <w:spacing w:val="-64"/>
        </w:rPr>
        <w:t> </w:t>
      </w:r>
      <w:r>
        <w:rPr/>
        <w:t>号文，长沙天鹅通过高新技术企业资格复审，有效期自</w:t>
      </w:r>
      <w:r>
        <w:rPr>
          <w:spacing w:val="-64"/>
        </w:rPr>
        <w:t> </w:t>
      </w:r>
      <w:r>
        <w:rPr>
          <w:rFonts w:ascii="宋体" w:hAnsi="宋体" w:cs="宋体" w:eastAsia="宋体" w:hint="default"/>
        </w:rPr>
        <w:t>2011</w:t>
      </w:r>
      <w:r>
        <w:rPr>
          <w:rFonts w:ascii="宋体" w:hAnsi="宋体" w:cs="宋体" w:eastAsia="宋体" w:hint="default"/>
          <w:spacing w:val="-65"/>
        </w:rPr>
        <w:t> </w:t>
      </w:r>
      <w:r>
        <w:rPr/>
        <w:t>年 </w:t>
      </w:r>
      <w:r>
        <w:rPr>
          <w:rFonts w:ascii="宋体" w:hAnsi="宋体" w:cs="宋体" w:eastAsia="宋体" w:hint="default"/>
        </w:rPr>
        <w:t>11</w:t>
      </w:r>
      <w:r>
        <w:rPr>
          <w:rFonts w:ascii="宋体" w:hAnsi="宋体" w:cs="宋体" w:eastAsia="宋体" w:hint="default"/>
          <w:spacing w:val="-40"/>
        </w:rPr>
        <w:t> </w:t>
      </w:r>
      <w:r>
        <w:rPr/>
        <w:t>月至</w:t>
      </w:r>
      <w:r>
        <w:rPr>
          <w:spacing w:val="-40"/>
        </w:rPr>
        <w:t> </w:t>
      </w: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月。根据湖南省科学技术厅、湖南省财政厅、湖南省国家税务局、湖南 省地方税务局联合下发的湘科高办字〔</w:t>
      </w:r>
      <w:r>
        <w:rPr>
          <w:rFonts w:ascii="宋体" w:hAnsi="宋体" w:cs="宋体" w:eastAsia="宋体" w:hint="default"/>
        </w:rPr>
        <w:t>2014</w:t>
      </w:r>
      <w:r>
        <w:rPr/>
        <w:t>〕</w:t>
      </w:r>
      <w:r>
        <w:rPr>
          <w:rFonts w:ascii="宋体" w:hAnsi="宋体" w:cs="宋体" w:eastAsia="宋体" w:hint="default"/>
        </w:rPr>
        <w:t>158</w:t>
      </w:r>
      <w:r>
        <w:rPr>
          <w:rFonts w:ascii="宋体" w:hAnsi="宋体" w:cs="宋体" w:eastAsia="宋体" w:hint="default"/>
          <w:spacing w:val="-84"/>
        </w:rPr>
        <w:t> </w:t>
      </w:r>
      <w:r>
        <w:rPr/>
        <w:t>号文，长沙天鹅重新被认定为高新技术企 </w:t>
      </w:r>
      <w:r>
        <w:rPr>
          <w:spacing w:val="-4"/>
        </w:rPr>
        <w:t>业，认定有效期为</w:t>
      </w:r>
      <w:r>
        <w:rPr>
          <w:spacing w:val="-58"/>
        </w:rPr>
        <w:t> </w:t>
      </w:r>
      <w:r>
        <w:rPr>
          <w:rFonts w:ascii="宋体" w:hAnsi="宋体" w:cs="宋体" w:eastAsia="宋体" w:hint="default"/>
        </w:rPr>
        <w:t>3</w:t>
      </w:r>
      <w:r>
        <w:rPr>
          <w:rFonts w:ascii="宋体" w:hAnsi="宋体" w:cs="宋体" w:eastAsia="宋体" w:hint="default"/>
          <w:spacing w:val="-57"/>
        </w:rPr>
        <w:t> </w:t>
      </w:r>
      <w:r>
        <w:rPr>
          <w:spacing w:val="-11"/>
        </w:rPr>
        <w:t>年。自</w:t>
      </w:r>
      <w:r>
        <w:rPr>
          <w:spacing w:val="-58"/>
        </w:rPr>
        <w:t> </w:t>
      </w:r>
      <w:r>
        <w:rPr>
          <w:rFonts w:ascii="宋体" w:hAnsi="宋体" w:cs="宋体" w:eastAsia="宋体" w:hint="default"/>
        </w:rPr>
        <w:t>2014</w:t>
      </w:r>
      <w:r>
        <w:rPr>
          <w:rFonts w:ascii="宋体" w:hAnsi="宋体" w:cs="宋体" w:eastAsia="宋体" w:hint="default"/>
          <w:spacing w:val="-58"/>
        </w:rPr>
        <w:t> </w:t>
      </w:r>
      <w:r>
        <w:rPr/>
        <w:t>年起按</w:t>
      </w:r>
      <w:r>
        <w:rPr>
          <w:spacing w:val="-57"/>
        </w:rPr>
        <w:t> </w:t>
      </w:r>
      <w:r>
        <w:rPr>
          <w:rFonts w:ascii="宋体" w:hAnsi="宋体" w:cs="宋体" w:eastAsia="宋体" w:hint="default"/>
        </w:rPr>
        <w:t>15%</w:t>
      </w:r>
      <w:r>
        <w:rPr/>
        <w:t>的税率计缴企业所得税。故本期按</w:t>
      </w:r>
      <w:r>
        <w:rPr>
          <w:spacing w:val="-57"/>
        </w:rPr>
        <w:t> </w:t>
      </w:r>
      <w:r>
        <w:rPr>
          <w:rFonts w:ascii="宋体" w:hAnsi="宋体" w:cs="宋体" w:eastAsia="宋体" w:hint="default"/>
        </w:rPr>
        <w:t>15%</w:t>
      </w:r>
      <w:r>
        <w:rPr/>
        <w:t>的税率计 缴企业所得税。</w:t>
      </w:r>
    </w:p>
    <w:p>
      <w:pPr>
        <w:pStyle w:val="BodyText"/>
        <w:spacing w:line="357" w:lineRule="auto" w:before="71"/>
        <w:ind w:left="237" w:right="1792" w:firstLine="420"/>
        <w:jc w:val="both"/>
      </w:pPr>
      <w:r>
        <w:rPr>
          <w:spacing w:val="-3"/>
        </w:rPr>
        <w:t>根据湖南省科学技术厅、湖南省财政厅、湖南省国家税务局、湖南省地方税务局联合下</w:t>
      </w:r>
      <w:r>
        <w:rPr/>
        <w:t> 发的湘科高办字〔</w:t>
      </w:r>
      <w:r>
        <w:rPr>
          <w:rFonts w:ascii="宋体" w:hAnsi="宋体" w:cs="宋体" w:eastAsia="宋体" w:hint="default"/>
        </w:rPr>
        <w:t>2014</w:t>
      </w:r>
      <w:r>
        <w:rPr/>
        <w:t>〕</w:t>
      </w:r>
      <w:r>
        <w:rPr>
          <w:rFonts w:ascii="宋体" w:hAnsi="宋体" w:cs="宋体" w:eastAsia="宋体" w:hint="default"/>
        </w:rPr>
        <w:t>8</w:t>
      </w:r>
      <w:r>
        <w:rPr>
          <w:rFonts w:ascii="宋体" w:hAnsi="宋体" w:cs="宋体" w:eastAsia="宋体" w:hint="default"/>
          <w:spacing w:val="-46"/>
        </w:rPr>
        <w:t> </w:t>
      </w:r>
      <w:r>
        <w:rPr/>
        <w:t>号文，湖南利欧被认定为高新技术企业，本期按</w:t>
      </w:r>
      <w:r>
        <w:rPr>
          <w:spacing w:val="-45"/>
        </w:rPr>
        <w:t> </w:t>
      </w:r>
      <w:r>
        <w:rPr>
          <w:rFonts w:ascii="宋体" w:hAnsi="宋体" w:cs="宋体" w:eastAsia="宋体" w:hint="default"/>
        </w:rPr>
        <w:t>15%</w:t>
      </w:r>
      <w:r>
        <w:rPr/>
        <w:t>的税率计缴 企业所得税。</w:t>
      </w:r>
    </w:p>
    <w:p>
      <w:pPr>
        <w:pStyle w:val="BodyText"/>
        <w:spacing w:line="355" w:lineRule="auto" w:before="71"/>
        <w:ind w:left="237" w:right="1793" w:firstLine="420"/>
        <w:jc w:val="both"/>
      </w:pPr>
      <w:r>
        <w:rPr/>
        <w:t>根据江苏省高新技术企业认定管理工作协调小组下发的《关于公示江苏省</w:t>
      </w:r>
      <w:r>
        <w:rPr>
          <w:spacing w:val="-44"/>
        </w:rPr>
        <w:t> </w:t>
      </w:r>
      <w:r>
        <w:rPr>
          <w:rFonts w:ascii="宋体" w:hAnsi="宋体" w:cs="宋体" w:eastAsia="宋体" w:hint="default"/>
        </w:rPr>
        <w:t>2014</w:t>
      </w:r>
      <w:r>
        <w:rPr>
          <w:rFonts w:ascii="宋体" w:hAnsi="宋体" w:cs="宋体" w:eastAsia="宋体" w:hint="default"/>
          <w:spacing w:val="-44"/>
        </w:rPr>
        <w:t> </w:t>
      </w:r>
      <w:r>
        <w:rPr/>
        <w:t>年第一 批复审通过高新技术企业名单的通知》</w:t>
      </w:r>
      <w:r>
        <w:rPr>
          <w:rFonts w:ascii="宋体" w:hAnsi="宋体" w:cs="宋体" w:eastAsia="宋体" w:hint="default"/>
        </w:rPr>
        <w:t>(</w:t>
      </w:r>
      <w:r>
        <w:rPr/>
        <w:t>苏高企协〔</w:t>
      </w:r>
      <w:r>
        <w:rPr>
          <w:rFonts w:ascii="宋体" w:hAnsi="宋体" w:cs="宋体" w:eastAsia="宋体" w:hint="default"/>
        </w:rPr>
        <w:t>2014</w:t>
      </w:r>
      <w:r>
        <w:rPr/>
        <w:t>〕</w:t>
      </w:r>
      <w:r>
        <w:rPr>
          <w:rFonts w:ascii="宋体" w:hAnsi="宋体" w:cs="宋体" w:eastAsia="宋体" w:hint="default"/>
        </w:rPr>
        <w:t>12</w:t>
      </w:r>
      <w:r>
        <w:rPr>
          <w:rFonts w:ascii="宋体" w:hAnsi="宋体" w:cs="宋体" w:eastAsia="宋体" w:hint="default"/>
          <w:spacing w:val="10"/>
        </w:rPr>
        <w:t> </w:t>
      </w:r>
      <w:r>
        <w:rPr/>
        <w:t>号</w:t>
      </w:r>
      <w:r>
        <w:rPr>
          <w:rFonts w:ascii="宋体" w:hAnsi="宋体" w:cs="宋体" w:eastAsia="宋体" w:hint="default"/>
        </w:rPr>
        <w:t>)</w:t>
      </w:r>
      <w:r>
        <w:rPr/>
        <w:t>，无锡锡泵通过高新技术 企业资格复审，本期按</w:t>
      </w:r>
      <w:r>
        <w:rPr>
          <w:spacing w:val="-55"/>
        </w:rPr>
        <w:t> </w:t>
      </w:r>
      <w:r>
        <w:rPr>
          <w:rFonts w:ascii="宋体" w:hAnsi="宋体" w:cs="宋体" w:eastAsia="宋体" w:hint="default"/>
        </w:rPr>
        <w:t>15%</w:t>
      </w:r>
      <w:r>
        <w:rPr/>
        <w:t>的税率计缴企业所得税。</w:t>
      </w:r>
    </w:p>
    <w:p>
      <w:pPr>
        <w:pStyle w:val="BodyText"/>
        <w:spacing w:line="357" w:lineRule="auto" w:before="73"/>
        <w:ind w:left="237" w:right="1689" w:firstLine="420"/>
        <w:jc w:val="left"/>
      </w:pPr>
      <w:r>
        <w:rPr/>
        <w:t>大连华能系经民政部门认定的社会福利企业，根据财政部、国家税务总局财税〔</w:t>
      </w:r>
      <w:r>
        <w:rPr>
          <w:rFonts w:ascii="宋体" w:hAnsi="宋体" w:cs="宋体" w:eastAsia="宋体" w:hint="default"/>
        </w:rPr>
        <w:t>2007</w:t>
      </w:r>
      <w:r>
        <w:rPr/>
        <w:t>〕 </w:t>
      </w:r>
      <w:r>
        <w:rPr>
          <w:rFonts w:ascii="宋体" w:hAnsi="宋体" w:cs="宋体" w:eastAsia="宋体" w:hint="default"/>
        </w:rPr>
        <w:t>92</w:t>
      </w:r>
      <w:r>
        <w:rPr>
          <w:rFonts w:ascii="宋体" w:hAnsi="宋体" w:cs="宋体" w:eastAsia="宋体" w:hint="default"/>
          <w:spacing w:val="-61"/>
        </w:rPr>
        <w:t> </w:t>
      </w:r>
      <w:r>
        <w:rPr/>
        <w:t>号文，本期该公司享受增值税按实际安置残疾人员的人数每人每年</w:t>
      </w:r>
      <w:r>
        <w:rPr>
          <w:spacing w:val="-61"/>
        </w:rPr>
        <w:t> </w:t>
      </w:r>
      <w:r>
        <w:rPr>
          <w:rFonts w:ascii="宋体" w:hAnsi="宋体" w:cs="宋体" w:eastAsia="宋体" w:hint="default"/>
        </w:rPr>
        <w:t>3.50</w:t>
      </w:r>
      <w:r>
        <w:rPr>
          <w:rFonts w:ascii="宋体" w:hAnsi="宋体" w:cs="宋体" w:eastAsia="宋体" w:hint="default"/>
          <w:spacing w:val="-62"/>
        </w:rPr>
        <w:t> </w:t>
      </w:r>
      <w:r>
        <w:rPr/>
        <w:t>万元的限额即征 即退的税收优惠政策。</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357" w:lineRule="auto" w:before="0"/>
        <w:ind w:left="657" w:right="6836" w:firstLine="2"/>
        <w:jc w:val="left"/>
        <w:rPr>
          <w:rFonts w:ascii="宋体" w:hAnsi="宋体" w:cs="宋体" w:eastAsia="宋体" w:hint="default"/>
          <w:sz w:val="21"/>
          <w:szCs w:val="21"/>
        </w:rPr>
      </w:pPr>
      <w:bookmarkStart w:name="七、合并财务报表项目注释" w:id="158"/>
      <w:bookmarkEnd w:id="158"/>
      <w:r>
        <w:rPr/>
      </w:r>
      <w:r>
        <w:rPr>
          <w:rFonts w:ascii="黑体" w:hAnsi="黑体" w:cs="黑体" w:eastAsia="黑体" w:hint="default"/>
          <w:b/>
          <w:bCs/>
          <w:sz w:val="21"/>
          <w:szCs w:val="21"/>
        </w:rPr>
        <w:t>七、合并财务报表项目注释</w:t>
      </w:r>
      <w:r>
        <w:rPr>
          <w:rFonts w:ascii="黑体" w:hAnsi="黑体" w:cs="黑体" w:eastAsia="黑体" w:hint="default"/>
          <w:b/>
          <w:bCs/>
          <w:w w:val="99"/>
          <w:sz w:val="21"/>
          <w:szCs w:val="21"/>
        </w:rPr>
        <w:t> </w:t>
      </w:r>
      <w:bookmarkStart w:name="(一) 合并资产负债表项目注释" w:id="159"/>
      <w:bookmarkEnd w:id="159"/>
      <w:r>
        <w:rPr>
          <w:rFonts w:ascii="黑体" w:hAnsi="黑体" w:cs="黑体" w:eastAsia="黑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 </w:t>
      </w:r>
      <w:bookmarkStart w:name="1. 货币资金" w:id="160"/>
      <w:bookmarkEnd w:id="160"/>
      <w:r>
        <w:rPr>
          <w:rFonts w:ascii="宋体" w:hAnsi="宋体" w:cs="宋体" w:eastAsia="宋体" w:hint="default"/>
          <w:sz w:val="21"/>
          <w:szCs w:val="21"/>
        </w:rPr>
      </w:r>
      <w:r>
        <w:rPr>
          <w:rFonts w:ascii="宋体" w:hAnsi="宋体" w:cs="宋体" w:eastAsia="宋体" w:hint="default"/>
          <w:sz w:val="21"/>
          <w:szCs w:val="21"/>
        </w:rPr>
        <w:t>1. </w:t>
      </w:r>
      <w:r>
        <w:rPr>
          <w:rFonts w:ascii="宋体" w:hAnsi="宋体" w:cs="宋体" w:eastAsia="宋体" w:hint="default"/>
          <w:sz w:val="21"/>
          <w:szCs w:val="21"/>
        </w:rPr>
        <w:t>货币资金</w:t>
      </w:r>
    </w:p>
    <w:p>
      <w:pPr>
        <w:pStyle w:val="BodyText"/>
        <w:spacing w:line="240" w:lineRule="auto"/>
        <w:ind w:left="657" w:right="1688"/>
        <w:jc w:val="left"/>
      </w:pPr>
      <w:r>
        <w:rPr>
          <w:rFonts w:ascii="宋体" w:hAnsi="宋体" w:cs="宋体" w:eastAsia="宋体" w:hint="default"/>
        </w:rPr>
        <w:t>(1)</w:t>
      </w:r>
      <w:r>
        <w:rPr>
          <w:rFonts w:ascii="宋体" w:hAnsi="宋体" w:cs="宋体" w:eastAsia="宋体" w:hint="default"/>
          <w:spacing w:val="-2"/>
        </w:rPr>
        <w:t> </w:t>
      </w:r>
      <w:r>
        <w:rPr/>
        <w:t>明细情况</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3857"/>
              <w:jc w:val="righ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right="3857"/>
              <w:jc w:val="right"/>
              <w:rPr>
                <w:rFonts w:ascii="宋体" w:hAnsi="宋体" w:cs="宋体" w:eastAsia="宋体" w:hint="default"/>
                <w:sz w:val="18"/>
                <w:szCs w:val="18"/>
              </w:rPr>
            </w:pPr>
            <w:r>
              <w:rPr>
                <w:rFonts w:ascii="宋体" w:hAnsi="宋体" w:cs="宋体" w:eastAsia="宋体" w:hint="default"/>
                <w:sz w:val="18"/>
                <w:szCs w:val="18"/>
              </w:rPr>
              <w:t>库存现金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903" w:right="0"/>
              <w:jc w:val="left"/>
              <w:rPr>
                <w:rFonts w:ascii="宋体" w:hAnsi="宋体" w:cs="宋体" w:eastAsia="宋体" w:hint="default"/>
                <w:sz w:val="18"/>
                <w:szCs w:val="18"/>
              </w:rPr>
            </w:pPr>
            <w:r>
              <w:rPr>
                <w:rFonts w:ascii="宋体"/>
                <w:sz w:val="18"/>
              </w:rPr>
              <w:t>603,499.95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904" w:right="0"/>
              <w:jc w:val="left"/>
              <w:rPr>
                <w:rFonts w:ascii="宋体" w:hAnsi="宋体" w:cs="宋体" w:eastAsia="宋体" w:hint="default"/>
                <w:sz w:val="18"/>
                <w:szCs w:val="18"/>
              </w:rPr>
            </w:pPr>
            <w:r>
              <w:rPr>
                <w:rFonts w:ascii="宋体"/>
                <w:sz w:val="18"/>
              </w:rPr>
              <w:t>392,929.27</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128,686,589.71</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442,189,907.76</w:t>
            </w:r>
          </w:p>
        </w:tc>
      </w:tr>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50,177,801.77</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39,683,335.24</w:t>
            </w:r>
          </w:p>
        </w:tc>
      </w:tr>
      <w:tr>
        <w:trPr>
          <w:trHeight w:val="46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179,467,891.43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482,266,172.27</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4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3,310,141.36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891,609.61</w:t>
            </w:r>
          </w:p>
        </w:tc>
      </w:tr>
    </w:tbl>
    <w:p>
      <w:pPr>
        <w:pStyle w:val="BodyText"/>
        <w:spacing w:line="241" w:lineRule="exact" w:before="0"/>
        <w:ind w:left="658" w:right="1688"/>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72"/>
        <w:ind w:left="658" w:right="1688"/>
        <w:jc w:val="left"/>
      </w:pPr>
      <w:r>
        <w:rPr>
          <w:spacing w:val="22"/>
        </w:rPr>
        <w:t>期末其他货币资金中包括银行承兑汇票保证金 </w:t>
      </w:r>
      <w:r>
        <w:rPr>
          <w:rFonts w:ascii="宋体" w:hAnsi="宋体" w:cs="宋体" w:eastAsia="宋体" w:hint="default"/>
        </w:rPr>
        <w:t>17,997,666.00 </w:t>
      </w:r>
      <w:r>
        <w:rPr>
          <w:spacing w:val="11"/>
        </w:rPr>
        <w:t>元，</w:t>
      </w:r>
      <w:r>
        <w:rPr>
          <w:spacing w:val="-40"/>
        </w:rPr>
        <w:t> </w:t>
      </w:r>
      <w:r>
        <w:rPr>
          <w:spacing w:val="18"/>
        </w:rPr>
        <w:t>保函保证金</w:t>
      </w:r>
    </w:p>
    <w:p>
      <w:pPr>
        <w:pStyle w:val="BodyText"/>
        <w:spacing w:line="240" w:lineRule="auto" w:before="134"/>
        <w:ind w:left="237" w:right="1688"/>
        <w:jc w:val="left"/>
      </w:pPr>
      <w:r>
        <w:rPr>
          <w:rFonts w:ascii="宋体" w:hAnsi="宋体" w:cs="宋体" w:eastAsia="宋体" w:hint="default"/>
        </w:rPr>
        <w:t>29,769,521.34</w:t>
      </w:r>
      <w:r>
        <w:rPr>
          <w:rFonts w:ascii="宋体" w:hAnsi="宋体" w:cs="宋体" w:eastAsia="宋体" w:hint="default"/>
          <w:spacing w:val="-54"/>
        </w:rPr>
        <w:t> </w:t>
      </w:r>
      <w:r>
        <w:rPr/>
        <w:t>元和质量保证金</w:t>
      </w:r>
      <w:r>
        <w:rPr>
          <w:spacing w:val="-55"/>
        </w:rPr>
        <w:t> </w:t>
      </w:r>
      <w:r>
        <w:rPr>
          <w:rFonts w:ascii="宋体" w:hAnsi="宋体" w:cs="宋体" w:eastAsia="宋体" w:hint="default"/>
        </w:rPr>
        <w:t>1,872,085.00</w:t>
      </w:r>
      <w:r>
        <w:rPr>
          <w:rFonts w:ascii="宋体" w:hAnsi="宋体" w:cs="宋体" w:eastAsia="宋体" w:hint="default"/>
          <w:spacing w:val="-54"/>
        </w:rPr>
        <w:t> </w:t>
      </w:r>
      <w:r>
        <w:rPr/>
        <w:t>元等。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0"/>
        <w:ind w:left="657" w:right="1688"/>
        <w:jc w:val="left"/>
      </w:pPr>
      <w:bookmarkStart w:name="2. 以公允价值计量且其变动计入当期损益的金融资产" w:id="161"/>
      <w:bookmarkEnd w:id="161"/>
      <w:r>
        <w:rPr/>
      </w:r>
      <w:r>
        <w:rPr>
          <w:rFonts w:ascii="宋体" w:hAnsi="宋体" w:cs="宋体" w:eastAsia="宋体" w:hint="default"/>
        </w:rPr>
        <w:t>2.</w:t>
      </w:r>
      <w:r>
        <w:rPr>
          <w:rFonts w:ascii="宋体" w:hAnsi="宋体" w:cs="宋体" w:eastAsia="宋体" w:hint="default"/>
          <w:spacing w:val="-2"/>
        </w:rPr>
        <w:t> </w:t>
      </w:r>
      <w:r>
        <w:rPr/>
        <w:t>以公允价值计量且其变动计入当期损益的金融资产</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8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34" w:right="0"/>
              <w:jc w:val="left"/>
              <w:rPr>
                <w:rFonts w:ascii="宋体" w:hAnsi="宋体" w:cs="宋体" w:eastAsia="宋体" w:hint="default"/>
                <w:sz w:val="18"/>
                <w:szCs w:val="18"/>
              </w:rPr>
            </w:pPr>
            <w:r>
              <w:rPr>
                <w:rFonts w:ascii="宋体"/>
                <w:sz w:val="18"/>
              </w:rPr>
              <w:t>18,517,087.00</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482" w:right="0"/>
              <w:jc w:val="lef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34" w:right="0"/>
              <w:jc w:val="left"/>
              <w:rPr>
                <w:rFonts w:ascii="宋体" w:hAnsi="宋体" w:cs="宋体" w:eastAsia="宋体" w:hint="default"/>
                <w:sz w:val="18"/>
                <w:szCs w:val="18"/>
              </w:rPr>
            </w:pPr>
            <w:r>
              <w:rPr>
                <w:rFonts w:ascii="宋体"/>
                <w:sz w:val="18"/>
              </w:rPr>
              <w:t>18,517,087.00</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34" w:right="0"/>
              <w:jc w:val="left"/>
              <w:rPr>
                <w:rFonts w:ascii="宋体" w:hAnsi="宋体" w:cs="宋体" w:eastAsia="宋体" w:hint="default"/>
                <w:sz w:val="18"/>
                <w:szCs w:val="18"/>
              </w:rPr>
            </w:pPr>
            <w:r>
              <w:rPr>
                <w:rFonts w:ascii="宋体"/>
                <w:sz w:val="18"/>
              </w:rPr>
              <w:t>18,517,087.00</w:t>
            </w:r>
          </w:p>
        </w:tc>
      </w:tr>
    </w:tbl>
    <w:p>
      <w:pPr>
        <w:spacing w:line="240" w:lineRule="auto" w:before="12"/>
        <w:rPr>
          <w:rFonts w:ascii="宋体" w:hAnsi="宋体" w:cs="宋体" w:eastAsia="宋体" w:hint="default"/>
          <w:sz w:val="25"/>
          <w:szCs w:val="25"/>
        </w:rPr>
      </w:pPr>
    </w:p>
    <w:p>
      <w:pPr>
        <w:pStyle w:val="BodyText"/>
        <w:spacing w:line="240" w:lineRule="auto" w:before="35"/>
        <w:ind w:left="658" w:right="1688"/>
        <w:jc w:val="left"/>
      </w:pPr>
      <w:bookmarkStart w:name="3. 应收票据" w:id="162"/>
      <w:bookmarkEnd w:id="162"/>
      <w:r>
        <w:rPr/>
      </w:r>
      <w:r>
        <w:rPr>
          <w:rFonts w:ascii="宋体" w:hAnsi="宋体" w:cs="宋体" w:eastAsia="宋体" w:hint="default"/>
        </w:rPr>
        <w:t>3. </w:t>
      </w:r>
      <w:r>
        <w:rPr/>
        <w:t>应收票据</w:t>
      </w:r>
    </w:p>
    <w:p>
      <w:pPr>
        <w:pStyle w:val="BodyText"/>
        <w:spacing w:line="240" w:lineRule="auto" w:before="175"/>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550"/>
        <w:gridCol w:w="1386"/>
        <w:gridCol w:w="719"/>
        <w:gridCol w:w="1387"/>
        <w:gridCol w:w="1387"/>
        <w:gridCol w:w="728"/>
        <w:gridCol w:w="1386"/>
      </w:tblGrid>
      <w:tr>
        <w:trPr>
          <w:trHeight w:val="463" w:hRule="exact"/>
        </w:trPr>
        <w:tc>
          <w:tcPr>
            <w:tcW w:w="15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4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0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10" w:hRule="exact"/>
        </w:trPr>
        <w:tc>
          <w:tcPr>
            <w:tcW w:w="1550"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17"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40" w:lineRule="auto" w:before="115"/>
              <w:ind w:left="21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33"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2" w:right="0"/>
              <w:jc w:val="left"/>
              <w:rPr>
                <w:rFonts w:ascii="宋体" w:hAnsi="宋体" w:cs="宋体" w:eastAsia="宋体" w:hint="default"/>
                <w:sz w:val="18"/>
                <w:szCs w:val="18"/>
              </w:rPr>
            </w:pPr>
            <w:r>
              <w:rPr>
                <w:rFonts w:ascii="宋体" w:hAnsi="宋体" w:cs="宋体" w:eastAsia="宋体" w:hint="default"/>
                <w:sz w:val="18"/>
                <w:szCs w:val="18"/>
              </w:rPr>
              <w:t>坏账</w:t>
            </w:r>
          </w:p>
          <w:p>
            <w:pPr>
              <w:pStyle w:val="TableParagraph"/>
              <w:spacing w:line="240" w:lineRule="auto" w:before="115"/>
              <w:ind w:left="2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left="332"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64" w:hRule="exact"/>
        </w:trPr>
        <w:tc>
          <w:tcPr>
            <w:tcW w:w="1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sz w:val="18"/>
              </w:rPr>
              <w:t>45,769,566.02</w:t>
            </w:r>
          </w:p>
        </w:tc>
        <w:tc>
          <w:tcPr>
            <w:tcW w:w="71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sz w:val="18"/>
              </w:rPr>
              <w:t>45,769,566.02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14,807,830.60</w:t>
            </w:r>
          </w:p>
        </w:tc>
        <w:tc>
          <w:tcPr>
            <w:tcW w:w="72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14,807,830.60</w:t>
            </w:r>
          </w:p>
        </w:tc>
      </w:tr>
      <w:tr>
        <w:trPr>
          <w:trHeight w:val="464" w:hRule="exact"/>
        </w:trPr>
        <w:tc>
          <w:tcPr>
            <w:tcW w:w="1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8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122,838.01</w:t>
            </w:r>
          </w:p>
        </w:tc>
        <w:tc>
          <w:tcPr>
            <w:tcW w:w="72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宋体"/>
                <w:sz w:val="18"/>
              </w:rPr>
              <w:t>122,838.01</w:t>
            </w:r>
          </w:p>
        </w:tc>
      </w:tr>
      <w:tr>
        <w:trPr>
          <w:trHeight w:val="464" w:hRule="exact"/>
        </w:trPr>
        <w:tc>
          <w:tcPr>
            <w:tcW w:w="1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45,769,566.02</w:t>
            </w:r>
          </w:p>
        </w:tc>
        <w:tc>
          <w:tcPr>
            <w:tcW w:w="71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45,769,566.02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14,930,668.61</w:t>
            </w:r>
          </w:p>
        </w:tc>
        <w:tc>
          <w:tcPr>
            <w:tcW w:w="72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宋体"/>
                <w:sz w:val="18"/>
              </w:rPr>
              <w:t>14,930,668.61</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期末公司已质押的应收票据情况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701"/>
        <w:gridCol w:w="1904"/>
      </w:tblGrid>
      <w:tr>
        <w:trPr>
          <w:trHeight w:val="463"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325" w:right="0"/>
              <w:jc w:val="left"/>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64"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32,555,954.00</w:t>
            </w:r>
          </w:p>
        </w:tc>
      </w:tr>
      <w:tr>
        <w:trPr>
          <w:trHeight w:val="464" w:hRule="exact"/>
        </w:trPr>
        <w:tc>
          <w:tcPr>
            <w:tcW w:w="47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32,555,954.00</w:t>
            </w:r>
          </w:p>
        </w:tc>
      </w:tr>
    </w:tbl>
    <w:p>
      <w:pPr>
        <w:pStyle w:val="BodyText"/>
        <w:spacing w:line="241" w:lineRule="exact" w:before="0"/>
        <w:ind w:left="661" w:right="1688"/>
        <w:jc w:val="left"/>
      </w:pPr>
      <w:r>
        <w:rPr>
          <w:rFonts w:ascii="宋体" w:hAnsi="宋体" w:cs="宋体" w:eastAsia="宋体" w:hint="default"/>
        </w:rPr>
        <w:t>(3)</w:t>
      </w:r>
      <w:r>
        <w:rPr>
          <w:rFonts w:ascii="宋体" w:hAnsi="宋体" w:cs="宋体" w:eastAsia="宋体" w:hint="default"/>
          <w:spacing w:val="-1"/>
        </w:rPr>
        <w:t> </w:t>
      </w:r>
      <w:r>
        <w:rPr/>
        <w:t>期末公司已背书或贴现且在资产负债表日尚未到期的应收票据情况</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59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589" w:right="597"/>
              <w:jc w:val="left"/>
              <w:rPr>
                <w:rFonts w:ascii="宋体" w:hAnsi="宋体" w:cs="宋体" w:eastAsia="宋体" w:hint="default"/>
                <w:sz w:val="18"/>
                <w:szCs w:val="18"/>
              </w:rPr>
            </w:pPr>
            <w:r>
              <w:rPr>
                <w:rFonts w:ascii="宋体" w:hAnsi="宋体" w:cs="宋体" w:eastAsia="宋体" w:hint="default"/>
                <w:sz w:val="18"/>
                <w:szCs w:val="18"/>
              </w:rPr>
              <w:t>期末终止 确认金额</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0"/>
              <w:ind w:left="593" w:right="509" w:hanging="90"/>
              <w:jc w:val="left"/>
              <w:rPr>
                <w:rFonts w:ascii="宋体" w:hAnsi="宋体" w:cs="宋体" w:eastAsia="宋体" w:hint="default"/>
                <w:sz w:val="18"/>
                <w:szCs w:val="18"/>
              </w:rPr>
            </w:pPr>
            <w:r>
              <w:rPr>
                <w:rFonts w:ascii="宋体" w:hAnsi="宋体" w:cs="宋体" w:eastAsia="宋体" w:hint="default"/>
                <w:sz w:val="18"/>
                <w:szCs w:val="18"/>
              </w:rPr>
              <w:t>期末未终止 确认金额</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123,597,478.20</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123,597,478.20</w:t>
            </w:r>
          </w:p>
        </w:tc>
        <w:tc>
          <w:tcPr>
            <w:tcW w:w="191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0"/>
        <w:rPr>
          <w:rFonts w:ascii="宋体" w:hAnsi="宋体" w:cs="宋体" w:eastAsia="宋体" w:hint="default"/>
          <w:sz w:val="20"/>
          <w:szCs w:val="20"/>
        </w:rPr>
      </w:pPr>
    </w:p>
    <w:p>
      <w:pPr>
        <w:pStyle w:val="BodyText"/>
        <w:spacing w:line="240" w:lineRule="auto" w:before="172"/>
        <w:ind w:left="658" w:right="1688"/>
        <w:jc w:val="left"/>
      </w:pPr>
      <w:r>
        <w:rPr>
          <w:rFonts w:ascii="宋体" w:hAnsi="宋体" w:cs="宋体" w:eastAsia="宋体" w:hint="default"/>
        </w:rPr>
        <w:t>(4)</w:t>
      </w:r>
      <w:r>
        <w:rPr>
          <w:rFonts w:ascii="宋体" w:hAnsi="宋体" w:cs="宋体" w:eastAsia="宋体" w:hint="default"/>
          <w:spacing w:val="-1"/>
        </w:rPr>
        <w:t> </w:t>
      </w:r>
      <w:r>
        <w:rPr/>
        <w:t>期末公司不存在因出票人未履约而将其转应收账款的票据情况。</w:t>
      </w:r>
    </w:p>
    <w:p>
      <w:pPr>
        <w:spacing w:line="240" w:lineRule="auto" w:before="0"/>
        <w:rPr>
          <w:rFonts w:ascii="宋体" w:hAnsi="宋体" w:cs="宋体" w:eastAsia="宋体" w:hint="default"/>
          <w:sz w:val="20"/>
          <w:szCs w:val="20"/>
        </w:rPr>
      </w:pPr>
    </w:p>
    <w:p>
      <w:pPr>
        <w:pStyle w:val="BodyText"/>
        <w:spacing w:line="240" w:lineRule="auto" w:before="165"/>
        <w:ind w:left="657" w:right="1688"/>
        <w:jc w:val="left"/>
      </w:pPr>
      <w:bookmarkStart w:name="4. 应收账款" w:id="163"/>
      <w:bookmarkEnd w:id="163"/>
      <w:r>
        <w:rPr/>
      </w:r>
      <w:r>
        <w:rPr>
          <w:rFonts w:ascii="宋体" w:hAnsi="宋体" w:cs="宋体" w:eastAsia="宋体" w:hint="default"/>
        </w:rPr>
        <w:t>4. </w:t>
      </w:r>
      <w:r>
        <w:rPr/>
        <w:t>应收账款</w:t>
      </w:r>
    </w:p>
    <w:p>
      <w:pPr>
        <w:pStyle w:val="BodyText"/>
        <w:spacing w:line="240" w:lineRule="auto" w:before="175"/>
        <w:ind w:left="657" w:right="1688"/>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685"/>
        <w:gridCol w:w="1700"/>
        <w:gridCol w:w="848"/>
        <w:gridCol w:w="1561"/>
        <w:gridCol w:w="1134"/>
        <w:gridCol w:w="1615"/>
      </w:tblGrid>
      <w:tr>
        <w:trPr>
          <w:trHeight w:val="350" w:hRule="exact"/>
        </w:trPr>
        <w:tc>
          <w:tcPr>
            <w:tcW w:w="16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85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9" w:hRule="exact"/>
        </w:trPr>
        <w:tc>
          <w:tcPr>
            <w:tcW w:w="1685" w:type="dxa"/>
            <w:vMerge/>
            <w:tcBorders>
              <w:left w:val="nil" w:sz="6" w:space="0" w:color="auto"/>
              <w:right w:val="single" w:sz="4" w:space="0" w:color="000000"/>
            </w:tcBorders>
          </w:tcPr>
          <w:p>
            <w:pPr/>
          </w:p>
        </w:tc>
        <w:tc>
          <w:tcPr>
            <w:tcW w:w="2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15"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685"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15" w:type="dxa"/>
            <w:vMerge/>
            <w:tcBorders>
              <w:left w:val="single" w:sz="4" w:space="0" w:color="000000"/>
              <w:bottom w:val="single" w:sz="4" w:space="0" w:color="000000"/>
              <w:right w:val="nil" w:sz="6" w:space="0" w:color="auto"/>
            </w:tcBorders>
          </w:tcPr>
          <w:p>
            <w:pPr/>
          </w:p>
        </w:tc>
      </w:tr>
      <w:tr>
        <w:trPr>
          <w:trHeight w:val="5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16" w:firstLine="1"/>
              <w:jc w:val="left"/>
              <w:rPr>
                <w:rFonts w:ascii="宋体" w:hAnsi="宋体" w:cs="宋体" w:eastAsia="宋体" w:hint="default"/>
                <w:sz w:val="18"/>
                <w:szCs w:val="18"/>
              </w:rPr>
            </w:pPr>
            <w:r>
              <w:rPr>
                <w:rFonts w:ascii="宋体" w:hAnsi="宋体" w:cs="宋体" w:eastAsia="宋体" w:hint="default"/>
                <w:sz w:val="18"/>
                <w:szCs w:val="18"/>
              </w:rPr>
              <w:t>单项金额重大并单 项计提坏账准备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16" w:firstLine="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1,546,822,681.50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98.94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85,744,244.22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5.54</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61" w:right="0"/>
              <w:jc w:val="left"/>
              <w:rPr>
                <w:rFonts w:ascii="宋体" w:hAnsi="宋体" w:cs="宋体" w:eastAsia="宋体" w:hint="default"/>
                <w:sz w:val="18"/>
                <w:szCs w:val="18"/>
              </w:rPr>
            </w:pPr>
            <w:r>
              <w:rPr>
                <w:rFonts w:ascii="宋体"/>
                <w:sz w:val="18"/>
              </w:rPr>
              <w:t>1,461,078,437.28</w:t>
            </w:r>
          </w:p>
        </w:tc>
      </w:tr>
      <w:tr>
        <w:trPr>
          <w:trHeight w:val="5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16" w:firstLine="1"/>
              <w:jc w:val="left"/>
              <w:rPr>
                <w:rFonts w:ascii="宋体" w:hAnsi="宋体" w:cs="宋体" w:eastAsia="宋体" w:hint="default"/>
                <w:sz w:val="18"/>
                <w:szCs w:val="18"/>
              </w:rPr>
            </w:pPr>
            <w:r>
              <w:rPr>
                <w:rFonts w:ascii="宋体" w:hAnsi="宋体" w:cs="宋体" w:eastAsia="宋体" w:hint="default"/>
                <w:sz w:val="18"/>
                <w:szCs w:val="18"/>
              </w:rPr>
              <w:t>单项金额不重大但 单项计提坏账准备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16,557,120.53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16,557,120.53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100.00</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1,563,379,802.03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102,301,364.75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6.54</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61" w:right="0"/>
              <w:jc w:val="left"/>
              <w:rPr>
                <w:rFonts w:ascii="宋体" w:hAnsi="宋体" w:cs="宋体" w:eastAsia="宋体" w:hint="default"/>
                <w:sz w:val="18"/>
                <w:szCs w:val="18"/>
              </w:rPr>
            </w:pPr>
            <w:r>
              <w:rPr>
                <w:rFonts w:ascii="宋体"/>
                <w:sz w:val="18"/>
              </w:rPr>
              <w:t>1,461,078,437.28</w:t>
            </w:r>
          </w:p>
        </w:tc>
      </w:tr>
    </w:tbl>
    <w:p>
      <w:pPr>
        <w:spacing w:before="10"/>
        <w:ind w:left="59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685"/>
        <w:gridCol w:w="1700"/>
        <w:gridCol w:w="848"/>
        <w:gridCol w:w="1562"/>
        <w:gridCol w:w="1133"/>
        <w:gridCol w:w="1615"/>
      </w:tblGrid>
      <w:tr>
        <w:trPr>
          <w:trHeight w:val="349" w:hRule="exact"/>
        </w:trPr>
        <w:tc>
          <w:tcPr>
            <w:tcW w:w="16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85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685" w:type="dxa"/>
            <w:vMerge/>
            <w:tcBorders>
              <w:left w:val="nil" w:sz="6" w:space="0" w:color="auto"/>
              <w:right w:val="single" w:sz="4" w:space="0" w:color="000000"/>
            </w:tcBorders>
          </w:tcPr>
          <w:p>
            <w:pPr/>
          </w:p>
        </w:tc>
        <w:tc>
          <w:tcPr>
            <w:tcW w:w="2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15"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685"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15" w:type="dxa"/>
            <w:vMerge/>
            <w:tcBorders>
              <w:left w:val="single" w:sz="4" w:space="0" w:color="000000"/>
              <w:bottom w:val="single" w:sz="4" w:space="0" w:color="000000"/>
              <w:right w:val="nil" w:sz="6" w:space="0" w:color="auto"/>
            </w:tcBorders>
          </w:tcPr>
          <w:p>
            <w:pPr/>
          </w:p>
        </w:tc>
      </w:tr>
      <w:tr>
        <w:trPr>
          <w:trHeight w:val="5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16" w:firstLine="1"/>
              <w:jc w:val="left"/>
              <w:rPr>
                <w:rFonts w:ascii="宋体" w:hAnsi="宋体" w:cs="宋体" w:eastAsia="宋体" w:hint="default"/>
                <w:sz w:val="18"/>
                <w:szCs w:val="18"/>
              </w:rPr>
            </w:pPr>
            <w:r>
              <w:rPr>
                <w:rFonts w:ascii="宋体" w:hAnsi="宋体" w:cs="宋体" w:eastAsia="宋体" w:hint="default"/>
                <w:sz w:val="18"/>
                <w:szCs w:val="18"/>
              </w:rPr>
              <w:t>单项金额重大并单 项计提坏账准备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16" w:firstLine="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700,108,768.65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99.58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58,268,772.29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8.32</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65"/>
              <w:jc w:val="right"/>
              <w:rPr>
                <w:rFonts w:ascii="宋体" w:hAnsi="宋体" w:cs="宋体" w:eastAsia="宋体" w:hint="default"/>
                <w:sz w:val="18"/>
                <w:szCs w:val="18"/>
              </w:rPr>
            </w:pPr>
            <w:r>
              <w:rPr>
                <w:rFonts w:ascii="宋体"/>
                <w:sz w:val="18"/>
              </w:rPr>
              <w:t>641,839,996.36</w:t>
            </w:r>
          </w:p>
        </w:tc>
      </w:tr>
      <w:tr>
        <w:trPr>
          <w:trHeight w:val="557"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16" w:firstLine="1"/>
              <w:jc w:val="left"/>
              <w:rPr>
                <w:rFonts w:ascii="宋体" w:hAnsi="宋体" w:cs="宋体" w:eastAsia="宋体" w:hint="default"/>
                <w:sz w:val="18"/>
                <w:szCs w:val="18"/>
              </w:rPr>
            </w:pPr>
            <w:r>
              <w:rPr>
                <w:rFonts w:ascii="宋体" w:hAnsi="宋体" w:cs="宋体" w:eastAsia="宋体" w:hint="default"/>
                <w:sz w:val="18"/>
                <w:szCs w:val="18"/>
              </w:rPr>
              <w:t>单项金额不重大但 单项计提坏账准备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2,935,472.04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0.42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2,935,472.04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9"/>
              <w:jc w:val="right"/>
              <w:rPr>
                <w:rFonts w:ascii="宋体" w:hAnsi="宋体" w:cs="宋体" w:eastAsia="宋体" w:hint="default"/>
                <w:sz w:val="18"/>
                <w:szCs w:val="18"/>
              </w:rPr>
            </w:pPr>
            <w:r>
              <w:rPr>
                <w:rFonts w:ascii="宋体"/>
                <w:sz w:val="18"/>
              </w:rPr>
              <w:t>100.00</w:t>
            </w:r>
          </w:p>
        </w:tc>
        <w:tc>
          <w:tcPr>
            <w:tcW w:w="161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9"/>
              <w:jc w:val="right"/>
              <w:rPr>
                <w:rFonts w:ascii="宋体" w:hAnsi="宋体" w:cs="宋体" w:eastAsia="宋体" w:hint="default"/>
                <w:sz w:val="18"/>
                <w:szCs w:val="18"/>
              </w:rPr>
            </w:pPr>
            <w:r>
              <w:rPr>
                <w:rFonts w:ascii="宋体"/>
                <w:sz w:val="18"/>
              </w:rPr>
              <w:t>703,044,240.69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9"/>
              <w:jc w:val="right"/>
              <w:rPr>
                <w:rFonts w:ascii="宋体" w:hAnsi="宋体" w:cs="宋体" w:eastAsia="宋体" w:hint="default"/>
                <w:sz w:val="18"/>
                <w:szCs w:val="18"/>
              </w:rPr>
            </w:pPr>
            <w:r>
              <w:rPr>
                <w:rFonts w:ascii="宋体"/>
                <w:sz w:val="18"/>
              </w:rPr>
              <w:t>100.00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9"/>
              <w:jc w:val="right"/>
              <w:rPr>
                <w:rFonts w:ascii="宋体" w:hAnsi="宋体" w:cs="宋体" w:eastAsia="宋体" w:hint="default"/>
                <w:sz w:val="18"/>
                <w:szCs w:val="18"/>
              </w:rPr>
            </w:pPr>
            <w:r>
              <w:rPr>
                <w:rFonts w:ascii="宋体"/>
                <w:sz w:val="18"/>
              </w:rPr>
              <w:t>61,204,244.33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9"/>
              <w:jc w:val="right"/>
              <w:rPr>
                <w:rFonts w:ascii="宋体" w:hAnsi="宋体" w:cs="宋体" w:eastAsia="宋体" w:hint="default"/>
                <w:sz w:val="18"/>
                <w:szCs w:val="18"/>
              </w:rPr>
            </w:pPr>
            <w:r>
              <w:rPr>
                <w:rFonts w:ascii="宋体"/>
                <w:sz w:val="18"/>
              </w:rPr>
              <w:t>8.71</w:t>
            </w:r>
          </w:p>
        </w:tc>
        <w:tc>
          <w:tcPr>
            <w:tcW w:w="16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sz w:val="18"/>
              </w:rPr>
              <w:t>641,839,996.36</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2"/>
        </w:rPr>
        <w:t> </w:t>
      </w:r>
      <w:r>
        <w:rPr/>
        <w:t>组合中，采用账龄分析法计提坏账准备的应收账款</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733"/>
        <w:gridCol w:w="2270"/>
        <w:gridCol w:w="2270"/>
        <w:gridCol w:w="2271"/>
      </w:tblGrid>
      <w:tr>
        <w:trPr>
          <w:trHeight w:val="464" w:hRule="exact"/>
        </w:trPr>
        <w:tc>
          <w:tcPr>
            <w:tcW w:w="1733"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681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3" w:hRule="exact"/>
        </w:trPr>
        <w:tc>
          <w:tcPr>
            <w:tcW w:w="1733"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64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464"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1,281,067,097.98</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30,367,605.51</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2.37</w:t>
            </w:r>
          </w:p>
        </w:tc>
      </w:tr>
      <w:tr>
        <w:trPr>
          <w:trHeight w:val="464"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178,176,345.05</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17,817,634.50</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85"/>
              <w:jc w:val="center"/>
              <w:rPr>
                <w:rFonts w:ascii="宋体" w:hAnsi="宋体" w:cs="宋体" w:eastAsia="宋体" w:hint="default"/>
                <w:sz w:val="18"/>
                <w:szCs w:val="18"/>
              </w:rPr>
            </w:pPr>
            <w:r>
              <w:rPr>
                <w:rFonts w:ascii="宋体"/>
                <w:sz w:val="18"/>
              </w:rPr>
              <w:t>10.00</w:t>
            </w:r>
          </w:p>
        </w:tc>
      </w:tr>
      <w:tr>
        <w:trPr>
          <w:trHeight w:val="463"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57,799,819.24</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16,677,392.99</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85"/>
              <w:jc w:val="center"/>
              <w:rPr>
                <w:rFonts w:ascii="宋体" w:hAnsi="宋体" w:cs="宋体" w:eastAsia="宋体" w:hint="default"/>
                <w:sz w:val="18"/>
                <w:szCs w:val="18"/>
              </w:rPr>
            </w:pPr>
            <w:r>
              <w:rPr>
                <w:rFonts w:ascii="宋体"/>
                <w:sz w:val="18"/>
              </w:rPr>
              <w:t>28.85</w:t>
            </w:r>
          </w:p>
        </w:tc>
      </w:tr>
      <w:tr>
        <w:trPr>
          <w:trHeight w:val="464"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26,431,858.37</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17,880,897.22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85"/>
              <w:jc w:val="center"/>
              <w:rPr>
                <w:rFonts w:ascii="宋体" w:hAnsi="宋体" w:cs="宋体" w:eastAsia="宋体" w:hint="default"/>
                <w:sz w:val="18"/>
                <w:szCs w:val="18"/>
              </w:rPr>
            </w:pPr>
            <w:r>
              <w:rPr>
                <w:rFonts w:ascii="宋体"/>
                <w:sz w:val="18"/>
              </w:rPr>
              <w:t>67.65</w:t>
            </w:r>
          </w:p>
        </w:tc>
      </w:tr>
      <w:tr>
        <w:trPr>
          <w:trHeight w:val="464"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1,754,234.31</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1,407,387.45</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85"/>
              <w:jc w:val="center"/>
              <w:rPr>
                <w:rFonts w:ascii="宋体" w:hAnsi="宋体" w:cs="宋体" w:eastAsia="宋体" w:hint="default"/>
                <w:sz w:val="18"/>
                <w:szCs w:val="18"/>
              </w:rPr>
            </w:pPr>
            <w:r>
              <w:rPr>
                <w:rFonts w:ascii="宋体"/>
                <w:sz w:val="18"/>
              </w:rPr>
              <w:t>80.23</w:t>
            </w:r>
          </w:p>
        </w:tc>
      </w:tr>
      <w:tr>
        <w:trPr>
          <w:trHeight w:val="464"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1,593,326.55</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1,593,326.55</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86"/>
              <w:jc w:val="center"/>
              <w:rPr>
                <w:rFonts w:ascii="宋体" w:hAnsi="宋体" w:cs="宋体" w:eastAsia="宋体" w:hint="default"/>
                <w:sz w:val="18"/>
                <w:szCs w:val="18"/>
              </w:rPr>
            </w:pPr>
            <w:r>
              <w:rPr>
                <w:rFonts w:ascii="宋体"/>
                <w:sz w:val="18"/>
              </w:rPr>
              <w:t>100.00</w:t>
            </w:r>
          </w:p>
        </w:tc>
      </w:tr>
      <w:tr>
        <w:trPr>
          <w:trHeight w:val="464" w:hRule="exact"/>
        </w:trPr>
        <w:tc>
          <w:tcPr>
            <w:tcW w:w="17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1,546,822,681.50</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85,744,244.22</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91" w:right="0"/>
              <w:jc w:val="center"/>
              <w:rPr>
                <w:rFonts w:ascii="宋体" w:hAnsi="宋体" w:cs="宋体" w:eastAsia="宋体" w:hint="default"/>
                <w:sz w:val="18"/>
                <w:szCs w:val="18"/>
              </w:rPr>
            </w:pPr>
            <w:r>
              <w:rPr>
                <w:rFonts w:ascii="宋体"/>
                <w:sz w:val="18"/>
              </w:rPr>
              <w:t>5.54</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after="0" w:line="240" w:lineRule="auto"/>
        <w:jc w:val="left"/>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240" w:lineRule="auto" w:before="35"/>
        <w:ind w:left="658" w:right="1688"/>
        <w:jc w:val="left"/>
      </w:pPr>
      <w:r>
        <w:rPr>
          <w:rFonts w:ascii="宋体" w:hAnsi="宋体" w:cs="宋体" w:eastAsia="宋体" w:hint="default"/>
        </w:rPr>
        <w:t>1)</w:t>
      </w:r>
      <w:r>
        <w:rPr>
          <w:rFonts w:ascii="宋体" w:hAnsi="宋体" w:cs="宋体" w:eastAsia="宋体" w:hint="default"/>
          <w:spacing w:val="-2"/>
        </w:rPr>
        <w:t> </w:t>
      </w:r>
      <w:r>
        <w:rPr/>
        <w:t>本期计提坏账准备金额</w:t>
      </w:r>
      <w:r>
        <w:rPr>
          <w:spacing w:val="-46"/>
        </w:rPr>
        <w:t> </w:t>
      </w:r>
      <w:r>
        <w:rPr>
          <w:rFonts w:ascii="宋体" w:hAnsi="宋体" w:cs="宋体" w:eastAsia="宋体" w:hint="default"/>
        </w:rPr>
        <w:t>34,635,335.91</w:t>
      </w:r>
      <w:r>
        <w:rPr>
          <w:rFonts w:ascii="宋体" w:hAnsi="宋体" w:cs="宋体" w:eastAsia="宋体" w:hint="default"/>
          <w:spacing w:val="-45"/>
        </w:rPr>
        <w:t> </w:t>
      </w:r>
      <w:r>
        <w:rPr/>
        <w:t>元，本期因非同一控制下企业合并转入坏账</w:t>
      </w:r>
    </w:p>
    <w:p>
      <w:pPr>
        <w:pStyle w:val="BodyText"/>
        <w:spacing w:line="240" w:lineRule="auto" w:before="133"/>
        <w:ind w:left="238" w:right="1688"/>
        <w:jc w:val="left"/>
      </w:pPr>
      <w:r>
        <w:rPr/>
        <w:t>准备金额</w:t>
      </w:r>
      <w:r>
        <w:rPr>
          <w:spacing w:val="-54"/>
        </w:rPr>
        <w:t> </w:t>
      </w:r>
      <w:r>
        <w:rPr>
          <w:rFonts w:ascii="宋体" w:hAnsi="宋体" w:cs="宋体" w:eastAsia="宋体" w:hint="default"/>
        </w:rPr>
        <w:t>6,111,739.01</w:t>
      </w:r>
      <w:r>
        <w:rPr>
          <w:rFonts w:ascii="宋体" w:hAnsi="宋体" w:cs="宋体" w:eastAsia="宋体" w:hint="default"/>
          <w:spacing w:val="-3"/>
        </w:rPr>
        <w:t> </w:t>
      </w:r>
      <w:r>
        <w:rPr/>
        <w:t>元，本期收回或转回坏账准备金额</w:t>
      </w:r>
      <w:r>
        <w:rPr>
          <w:spacing w:val="-53"/>
        </w:rPr>
        <w:t> </w:t>
      </w:r>
      <w:r>
        <w:rPr>
          <w:rFonts w:ascii="宋体" w:hAnsi="宋体" w:cs="宋体" w:eastAsia="宋体" w:hint="default"/>
        </w:rPr>
        <w:t>630,916.60</w:t>
      </w:r>
      <w:r>
        <w:rPr>
          <w:rFonts w:ascii="宋体" w:hAnsi="宋体" w:cs="宋体" w:eastAsia="宋体" w:hint="default"/>
          <w:spacing w:val="-53"/>
        </w:rPr>
        <w:t> </w:t>
      </w:r>
      <w:r>
        <w:rPr/>
        <w:t>元。</w:t>
      </w:r>
    </w:p>
    <w:p>
      <w:pPr>
        <w:pStyle w:val="BodyText"/>
        <w:spacing w:line="240" w:lineRule="auto" w:before="174"/>
        <w:ind w:left="658" w:right="1688"/>
        <w:jc w:val="left"/>
      </w:pPr>
      <w:r>
        <w:rPr>
          <w:rFonts w:ascii="宋体" w:hAnsi="宋体" w:cs="宋体" w:eastAsia="宋体" w:hint="default"/>
        </w:rPr>
        <w:t>2)</w:t>
      </w:r>
      <w:r>
        <w:rPr>
          <w:rFonts w:ascii="宋体" w:hAnsi="宋体" w:cs="宋体" w:eastAsia="宋体" w:hint="default"/>
          <w:spacing w:val="-2"/>
        </w:rPr>
        <w:t> </w:t>
      </w:r>
      <w:r>
        <w:rPr/>
        <w:t>本期重要的坏账准备收回情况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346"/>
        <w:gridCol w:w="2599"/>
        <w:gridCol w:w="2598"/>
      </w:tblGrid>
      <w:tr>
        <w:trPr>
          <w:trHeight w:val="465"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收回金额</w:t>
            </w:r>
          </w:p>
        </w:tc>
        <w:tc>
          <w:tcPr>
            <w:tcW w:w="2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63"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广东省桦水水利投资有限公司</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24"/>
              <w:jc w:val="right"/>
              <w:rPr>
                <w:rFonts w:ascii="宋体" w:hAnsi="宋体" w:cs="宋体" w:eastAsia="宋体" w:hint="default"/>
                <w:sz w:val="18"/>
                <w:szCs w:val="18"/>
              </w:rPr>
            </w:pPr>
            <w:r>
              <w:rPr>
                <w:rFonts w:ascii="宋体"/>
                <w:sz w:val="18"/>
              </w:rPr>
              <w:t>630,916.60</w:t>
            </w:r>
          </w:p>
        </w:tc>
        <w:tc>
          <w:tcPr>
            <w:tcW w:w="2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69"/>
              <w:jc w:val="center"/>
              <w:rPr>
                <w:rFonts w:ascii="宋体" w:hAnsi="宋体" w:cs="宋体" w:eastAsia="宋体" w:hint="default"/>
                <w:sz w:val="18"/>
                <w:szCs w:val="18"/>
              </w:rPr>
            </w:pPr>
            <w:r>
              <w:rPr>
                <w:rFonts w:ascii="宋体" w:hAnsi="宋体" w:cs="宋体" w:eastAsia="宋体" w:hint="default"/>
                <w:sz w:val="18"/>
                <w:szCs w:val="18"/>
              </w:rPr>
              <w:t>收回已经核销的应收款项</w:t>
            </w:r>
          </w:p>
        </w:tc>
      </w:tr>
      <w:tr>
        <w:trPr>
          <w:trHeight w:val="464"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624"/>
              <w:jc w:val="right"/>
              <w:rPr>
                <w:rFonts w:ascii="宋体" w:hAnsi="宋体" w:cs="宋体" w:eastAsia="宋体" w:hint="default"/>
                <w:sz w:val="18"/>
                <w:szCs w:val="18"/>
              </w:rPr>
            </w:pPr>
            <w:r>
              <w:rPr>
                <w:rFonts w:ascii="宋体"/>
                <w:sz w:val="18"/>
              </w:rPr>
              <w:t>630,916.60</w:t>
            </w:r>
          </w:p>
        </w:tc>
        <w:tc>
          <w:tcPr>
            <w:tcW w:w="259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
        <w:ind w:left="658" w:right="1688"/>
        <w:jc w:val="left"/>
      </w:pPr>
      <w:r>
        <w:rPr>
          <w:rFonts w:ascii="宋体" w:hAnsi="宋体" w:cs="宋体" w:eastAsia="宋体" w:hint="default"/>
        </w:rPr>
        <w:t>(3)</w:t>
      </w:r>
      <w:r>
        <w:rPr>
          <w:rFonts w:ascii="宋体" w:hAnsi="宋体" w:cs="宋体" w:eastAsia="宋体" w:hint="default"/>
          <w:spacing w:val="-1"/>
        </w:rPr>
        <w:t> </w:t>
      </w:r>
      <w:r>
        <w:rPr/>
        <w:t>本期实际核销的应收账款情况</w:t>
      </w:r>
    </w:p>
    <w:p>
      <w:pPr>
        <w:pStyle w:val="BodyText"/>
        <w:spacing w:line="240" w:lineRule="auto" w:before="172"/>
        <w:ind w:left="658" w:right="1688"/>
        <w:jc w:val="left"/>
      </w:pPr>
      <w:r>
        <w:rPr>
          <w:rFonts w:ascii="宋体" w:hAnsi="宋体" w:cs="宋体" w:eastAsia="宋体" w:hint="default"/>
        </w:rPr>
        <w:t>1)</w:t>
      </w:r>
      <w:r>
        <w:rPr>
          <w:rFonts w:ascii="宋体" w:hAnsi="宋体" w:cs="宋体" w:eastAsia="宋体" w:hint="default"/>
          <w:spacing w:val="-1"/>
        </w:rPr>
        <w:t> </w:t>
      </w:r>
      <w:r>
        <w:rPr/>
        <w:t>本期实际核销应收账款金额</w:t>
      </w:r>
      <w:r>
        <w:rPr>
          <w:spacing w:val="-53"/>
        </w:rPr>
        <w:t> </w:t>
      </w:r>
      <w:r>
        <w:rPr>
          <w:rFonts w:ascii="宋体" w:hAnsi="宋体" w:cs="宋体" w:eastAsia="宋体" w:hint="default"/>
        </w:rPr>
        <w:t>280,871.10</w:t>
      </w:r>
      <w:r>
        <w:rPr>
          <w:rFonts w:ascii="宋体" w:hAnsi="宋体" w:cs="宋体" w:eastAsia="宋体" w:hint="default"/>
          <w:spacing w:val="-54"/>
        </w:rPr>
        <w:t> </w:t>
      </w:r>
      <w:r>
        <w:rPr/>
        <w:t>元。</w:t>
      </w:r>
    </w:p>
    <w:p>
      <w:pPr>
        <w:pStyle w:val="BodyText"/>
        <w:spacing w:line="240" w:lineRule="auto" w:before="174"/>
        <w:ind w:left="658" w:right="1688"/>
        <w:jc w:val="left"/>
      </w:pPr>
      <w:r>
        <w:rPr>
          <w:rFonts w:ascii="宋体" w:hAnsi="宋体" w:cs="宋体" w:eastAsia="宋体" w:hint="default"/>
        </w:rPr>
        <w:t>2)</w:t>
      </w:r>
      <w:r>
        <w:rPr>
          <w:rFonts w:ascii="宋体" w:hAnsi="宋体" w:cs="宋体" w:eastAsia="宋体" w:hint="default"/>
          <w:spacing w:val="-2"/>
        </w:rPr>
        <w:t> </w:t>
      </w:r>
      <w:r>
        <w:rPr/>
        <w:t>本期重要的应收账款核销情况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768"/>
        <w:gridCol w:w="899"/>
        <w:gridCol w:w="1160"/>
        <w:gridCol w:w="1231"/>
        <w:gridCol w:w="1295"/>
        <w:gridCol w:w="1189"/>
      </w:tblGrid>
      <w:tr>
        <w:trPr>
          <w:trHeight w:val="476"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firstLine="90"/>
              <w:jc w:val="left"/>
              <w:rPr>
                <w:rFonts w:ascii="宋体" w:hAnsi="宋体" w:cs="宋体" w:eastAsia="宋体" w:hint="default"/>
                <w:sz w:val="18"/>
                <w:szCs w:val="18"/>
              </w:rPr>
            </w:pPr>
            <w:r>
              <w:rPr>
                <w:rFonts w:ascii="宋体" w:hAnsi="宋体" w:cs="宋体" w:eastAsia="宋体" w:hint="default"/>
                <w:sz w:val="18"/>
                <w:szCs w:val="18"/>
              </w:rPr>
              <w:t>履行的</w:t>
            </w:r>
          </w:p>
          <w:p>
            <w:pPr>
              <w:pStyle w:val="TableParagraph"/>
              <w:spacing w:line="235" w:lineRule="exact"/>
              <w:ind w:left="280" w:right="0"/>
              <w:jc w:val="left"/>
              <w:rPr>
                <w:rFonts w:ascii="宋体" w:hAnsi="宋体" w:cs="宋体" w:eastAsia="宋体" w:hint="default"/>
                <w:sz w:val="18"/>
                <w:szCs w:val="18"/>
              </w:rPr>
            </w:pPr>
            <w:r>
              <w:rPr>
                <w:rFonts w:ascii="宋体" w:hAnsi="宋体" w:cs="宋体" w:eastAsia="宋体" w:hint="default"/>
                <w:sz w:val="18"/>
                <w:szCs w:val="18"/>
              </w:rPr>
              <w:t>核销程序</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37" w:right="0" w:hanging="90"/>
              <w:jc w:val="left"/>
              <w:rPr>
                <w:rFonts w:ascii="宋体" w:hAnsi="宋体" w:cs="宋体" w:eastAsia="宋体" w:hint="default"/>
                <w:sz w:val="18"/>
                <w:szCs w:val="18"/>
              </w:rPr>
            </w:pPr>
            <w:r>
              <w:rPr>
                <w:rFonts w:ascii="宋体" w:hAnsi="宋体" w:cs="宋体" w:eastAsia="宋体" w:hint="default"/>
                <w:sz w:val="18"/>
                <w:szCs w:val="18"/>
              </w:rPr>
              <w:t>款项是否由关</w:t>
            </w:r>
          </w:p>
          <w:p>
            <w:pPr>
              <w:pStyle w:val="TableParagraph"/>
              <w:spacing w:line="235" w:lineRule="exact"/>
              <w:ind w:left="137" w:right="0"/>
              <w:jc w:val="left"/>
              <w:rPr>
                <w:rFonts w:ascii="宋体" w:hAnsi="宋体" w:cs="宋体" w:eastAsia="宋体" w:hint="default"/>
                <w:sz w:val="18"/>
                <w:szCs w:val="18"/>
              </w:rPr>
            </w:pPr>
            <w:r>
              <w:rPr>
                <w:rFonts w:ascii="宋体" w:hAnsi="宋体" w:cs="宋体" w:eastAsia="宋体" w:hint="default"/>
                <w:sz w:val="18"/>
                <w:szCs w:val="18"/>
              </w:rPr>
              <w:t>联交易产生</w:t>
            </w:r>
          </w:p>
        </w:tc>
      </w:tr>
      <w:tr>
        <w:trPr>
          <w:trHeight w:val="478"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北京敏尧东方生物科技有限公司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78"/>
              <w:jc w:val="center"/>
              <w:rPr>
                <w:rFonts w:ascii="宋体" w:hAnsi="宋体" w:cs="宋体" w:eastAsia="宋体" w:hint="default"/>
                <w:sz w:val="18"/>
                <w:szCs w:val="18"/>
              </w:rPr>
            </w:pPr>
            <w:r>
              <w:rPr>
                <w:rFonts w:ascii="宋体" w:hAnsi="宋体" w:cs="宋体" w:eastAsia="宋体" w:hint="default"/>
                <w:sz w:val="18"/>
                <w:szCs w:val="18"/>
              </w:rPr>
              <w:t>媒介款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180,000.00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经上海漫酷董</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事会审批通过</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石首市水利局大型泵站更新改造</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工程建设管理局</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78"/>
              <w:jc w:val="center"/>
              <w:rPr>
                <w:rFonts w:ascii="宋体" w:hAnsi="宋体" w:cs="宋体" w:eastAsia="宋体" w:hint="default"/>
                <w:sz w:val="18"/>
                <w:szCs w:val="18"/>
              </w:rPr>
            </w:pPr>
            <w:r>
              <w:rPr>
                <w:rFonts w:ascii="宋体" w:hAnsi="宋体" w:cs="宋体" w:eastAsia="宋体" w:hint="default"/>
                <w:sz w:val="18"/>
                <w:szCs w:val="18"/>
              </w:rPr>
              <w:t>货</w:t>
            </w:r>
            <w:r>
              <w:rPr>
                <w:rFonts w:ascii="宋体" w:hAnsi="宋体" w:cs="宋体" w:eastAsia="宋体" w:hint="default"/>
                <w:spacing w:val="90"/>
                <w:sz w:val="18"/>
                <w:szCs w:val="18"/>
              </w:rPr>
              <w:t> </w:t>
            </w:r>
            <w:r>
              <w:rPr>
                <w:rFonts w:ascii="宋体" w:hAnsi="宋体" w:cs="宋体" w:eastAsia="宋体" w:hint="default"/>
                <w:sz w:val="18"/>
                <w:szCs w:val="18"/>
              </w:rPr>
              <w:t>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76,000.00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预计无法收回</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1" w:right="0"/>
              <w:jc w:val="left"/>
              <w:rPr>
                <w:rFonts w:ascii="宋体" w:hAnsi="宋体" w:cs="宋体" w:eastAsia="宋体" w:hint="default"/>
                <w:sz w:val="18"/>
                <w:szCs w:val="18"/>
              </w:rPr>
            </w:pPr>
            <w:r>
              <w:rPr>
                <w:rFonts w:ascii="宋体" w:hAnsi="宋体" w:cs="宋体" w:eastAsia="宋体" w:hint="default"/>
                <w:sz w:val="18"/>
                <w:szCs w:val="18"/>
              </w:rPr>
              <w:t>经无锡锡泵董</w:t>
            </w:r>
          </w:p>
          <w:p>
            <w:pPr>
              <w:pStyle w:val="TableParagraph"/>
              <w:spacing w:line="235" w:lineRule="exact"/>
              <w:ind w:left="61" w:right="0"/>
              <w:jc w:val="left"/>
              <w:rPr>
                <w:rFonts w:ascii="宋体" w:hAnsi="宋体" w:cs="宋体" w:eastAsia="宋体" w:hint="default"/>
                <w:sz w:val="18"/>
                <w:szCs w:val="18"/>
              </w:rPr>
            </w:pPr>
            <w:r>
              <w:rPr>
                <w:rFonts w:ascii="宋体" w:hAnsi="宋体" w:cs="宋体" w:eastAsia="宋体" w:hint="default"/>
                <w:sz w:val="18"/>
                <w:szCs w:val="18"/>
              </w:rPr>
              <w:t>事会审批通过</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5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2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89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256,000.00</w:t>
            </w:r>
          </w:p>
        </w:tc>
        <w:tc>
          <w:tcPr>
            <w:tcW w:w="123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bl>
    <w:p>
      <w:pPr>
        <w:pStyle w:val="BodyText"/>
        <w:spacing w:line="391" w:lineRule="auto" w:before="6"/>
        <w:ind w:left="658" w:right="1688"/>
        <w:jc w:val="left"/>
      </w:pPr>
      <w:r>
        <w:rPr>
          <w:rFonts w:ascii="宋体" w:hAnsi="宋体" w:cs="宋体" w:eastAsia="宋体" w:hint="default"/>
        </w:rPr>
        <w:t>(3) </w:t>
      </w:r>
      <w:r>
        <w:rPr/>
        <w:t>应收账款核销说明 </w:t>
      </w:r>
      <w:r>
        <w:rPr>
          <w:spacing w:val="-3"/>
        </w:rPr>
        <w:t>公司应收北京敏尧东方生物科技有限公司、石首市水利局大型泵站更新改造工程建设管</w:t>
      </w:r>
    </w:p>
    <w:p>
      <w:pPr>
        <w:pStyle w:val="BodyText"/>
        <w:spacing w:line="240" w:lineRule="auto" w:before="2"/>
        <w:ind w:left="238" w:right="1688"/>
        <w:jc w:val="left"/>
      </w:pPr>
      <w:r>
        <w:rPr/>
        <w:t>理局等单位货物尾款</w:t>
      </w:r>
      <w:r>
        <w:rPr>
          <w:spacing w:val="-54"/>
        </w:rPr>
        <w:t> </w:t>
      </w:r>
      <w:r>
        <w:rPr>
          <w:rFonts w:ascii="宋体" w:hAnsi="宋体" w:cs="宋体" w:eastAsia="宋体" w:hint="default"/>
        </w:rPr>
        <w:t>280,871.10</w:t>
      </w:r>
      <w:r>
        <w:rPr>
          <w:rFonts w:ascii="宋体" w:hAnsi="宋体" w:cs="宋体" w:eastAsia="宋体" w:hint="default"/>
          <w:spacing w:val="-54"/>
        </w:rPr>
        <w:t> </w:t>
      </w:r>
      <w:r>
        <w:rPr/>
        <w:t>元，预计难以收回，于本期核销。</w:t>
      </w:r>
    </w:p>
    <w:p>
      <w:pPr>
        <w:pStyle w:val="BodyText"/>
        <w:spacing w:line="240" w:lineRule="auto" w:before="172"/>
        <w:ind w:left="657" w:right="1688"/>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365"/>
        <w:gridCol w:w="1726"/>
        <w:gridCol w:w="1726"/>
        <w:gridCol w:w="1727"/>
      </w:tblGrid>
      <w:tr>
        <w:trPr>
          <w:trHeight w:val="478"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337"/>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占应收账款余额</w:t>
            </w:r>
          </w:p>
          <w:p>
            <w:pPr>
              <w:pStyle w:val="TableParagraph"/>
              <w:spacing w:line="235" w:lineRule="exact"/>
              <w:ind w:right="4"/>
              <w:jc w:val="center"/>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6"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2337"/>
              <w:jc w:val="right"/>
              <w:rPr>
                <w:rFonts w:ascii="宋体" w:hAnsi="宋体" w:cs="宋体" w:eastAsia="宋体" w:hint="default"/>
                <w:sz w:val="18"/>
                <w:szCs w:val="18"/>
              </w:rPr>
            </w:pPr>
            <w:r>
              <w:rPr>
                <w:rFonts w:ascii="宋体" w:hAnsi="宋体" w:cs="宋体" w:eastAsia="宋体" w:hint="default"/>
                <w:sz w:val="18"/>
                <w:szCs w:val="18"/>
              </w:rPr>
              <w:t>应收客户一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232,644,101.14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14.88</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1,163,220.51</w:t>
            </w:r>
          </w:p>
        </w:tc>
      </w:tr>
      <w:tr>
        <w:trPr>
          <w:trHeight w:val="577"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right="2337"/>
              <w:jc w:val="right"/>
              <w:rPr>
                <w:rFonts w:ascii="宋体" w:hAnsi="宋体" w:cs="宋体" w:eastAsia="宋体" w:hint="default"/>
                <w:sz w:val="18"/>
                <w:szCs w:val="18"/>
              </w:rPr>
            </w:pPr>
            <w:r>
              <w:rPr>
                <w:rFonts w:ascii="宋体" w:hAnsi="宋体" w:cs="宋体" w:eastAsia="宋体" w:hint="default"/>
                <w:sz w:val="18"/>
                <w:szCs w:val="18"/>
              </w:rPr>
              <w:t>应收客户二</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90,452,588.58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5.79</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452,262.94</w:t>
            </w:r>
          </w:p>
        </w:tc>
      </w:tr>
      <w:tr>
        <w:trPr>
          <w:trHeight w:val="577"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right="2337"/>
              <w:jc w:val="right"/>
              <w:rPr>
                <w:rFonts w:ascii="宋体" w:hAnsi="宋体" w:cs="宋体" w:eastAsia="宋体" w:hint="default"/>
                <w:sz w:val="18"/>
                <w:szCs w:val="18"/>
              </w:rPr>
            </w:pPr>
            <w:r>
              <w:rPr>
                <w:rFonts w:ascii="宋体" w:hAnsi="宋体" w:cs="宋体" w:eastAsia="宋体" w:hint="default"/>
                <w:sz w:val="18"/>
                <w:szCs w:val="18"/>
              </w:rPr>
              <w:t>应收客户三</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58,683,329.12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3.75</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2,934,166.46</w:t>
            </w:r>
          </w:p>
        </w:tc>
      </w:tr>
      <w:tr>
        <w:trPr>
          <w:trHeight w:val="577"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2337"/>
              <w:jc w:val="right"/>
              <w:rPr>
                <w:rFonts w:ascii="宋体" w:hAnsi="宋体" w:cs="宋体" w:eastAsia="宋体" w:hint="default"/>
                <w:sz w:val="18"/>
                <w:szCs w:val="18"/>
              </w:rPr>
            </w:pPr>
            <w:r>
              <w:rPr>
                <w:rFonts w:ascii="宋体" w:hAnsi="宋体" w:cs="宋体" w:eastAsia="宋体" w:hint="default"/>
                <w:sz w:val="18"/>
                <w:szCs w:val="18"/>
              </w:rPr>
              <w:t>应收客户四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55,435,298.90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3.55</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277,176.49</w:t>
            </w:r>
          </w:p>
        </w:tc>
      </w:tr>
      <w:tr>
        <w:trPr>
          <w:trHeight w:val="577"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right="2337"/>
              <w:jc w:val="right"/>
              <w:rPr>
                <w:rFonts w:ascii="宋体" w:hAnsi="宋体" w:cs="宋体" w:eastAsia="宋体" w:hint="default"/>
                <w:sz w:val="18"/>
                <w:szCs w:val="18"/>
              </w:rPr>
            </w:pPr>
            <w:r>
              <w:rPr>
                <w:rFonts w:ascii="宋体" w:hAnsi="宋体" w:cs="宋体" w:eastAsia="宋体" w:hint="default"/>
                <w:sz w:val="18"/>
                <w:szCs w:val="18"/>
              </w:rPr>
              <w:t>应收客户五</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39,011,199.18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2.50</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3,489,468.15</w:t>
            </w:r>
          </w:p>
        </w:tc>
      </w:tr>
      <w:tr>
        <w:trPr>
          <w:trHeight w:val="577"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476,226,516.92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30.47</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8,316,294.55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658" w:right="1688"/>
        <w:jc w:val="left"/>
      </w:pPr>
      <w:bookmarkStart w:name="5. 预付款项" w:id="164"/>
      <w:bookmarkEnd w:id="164"/>
      <w:r>
        <w:rPr/>
      </w:r>
      <w:r>
        <w:rPr>
          <w:rFonts w:ascii="宋体" w:hAnsi="宋体" w:cs="宋体" w:eastAsia="宋体" w:hint="default"/>
        </w:rPr>
        <w:t>5. </w:t>
      </w:r>
      <w:r>
        <w:rPr/>
        <w:t>预付款项</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账龄分析</w:t>
      </w:r>
    </w:p>
    <w:p>
      <w:pPr>
        <w:spacing w:line="240" w:lineRule="auto" w:before="12"/>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995"/>
        <w:gridCol w:w="1292"/>
        <w:gridCol w:w="646"/>
        <w:gridCol w:w="532"/>
        <w:gridCol w:w="1385"/>
        <w:gridCol w:w="1292"/>
        <w:gridCol w:w="815"/>
        <w:gridCol w:w="487"/>
        <w:gridCol w:w="1266"/>
      </w:tblGrid>
      <w:tr>
        <w:trPr>
          <w:trHeight w:val="349" w:hRule="exact"/>
        </w:trPr>
        <w:tc>
          <w:tcPr>
            <w:tcW w:w="995"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61"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995" w:type="dxa"/>
            <w:vMerge/>
            <w:tcBorders>
              <w:left w:val="nil" w:sz="6" w:space="0" w:color="auto"/>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0"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7"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6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009"/>
        <w:gridCol w:w="1292"/>
        <w:gridCol w:w="646"/>
        <w:gridCol w:w="532"/>
        <w:gridCol w:w="1385"/>
        <w:gridCol w:w="1292"/>
        <w:gridCol w:w="815"/>
        <w:gridCol w:w="487"/>
        <w:gridCol w:w="1266"/>
      </w:tblGrid>
      <w:tr>
        <w:trPr>
          <w:trHeight w:val="350" w:hRule="exact"/>
        </w:trPr>
        <w:tc>
          <w:tcPr>
            <w:tcW w:w="1009" w:type="dxa"/>
            <w:tcBorders>
              <w:top w:val="single" w:sz="4" w:space="0" w:color="000000"/>
              <w:left w:val="nil" w:sz="6" w:space="0" w:color="auto"/>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6" w:right="0"/>
              <w:jc w:val="left"/>
              <w:rPr>
                <w:rFonts w:ascii="宋体" w:hAnsi="宋体" w:cs="宋体" w:eastAsia="宋体" w:hint="default"/>
                <w:sz w:val="18"/>
                <w:szCs w:val="18"/>
              </w:rPr>
            </w:pPr>
            <w:r>
              <w:rPr>
                <w:rFonts w:ascii="宋体"/>
                <w:sz w:val="18"/>
              </w:rPr>
              <w:t>(%)</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6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1" w:right="0"/>
              <w:jc w:val="left"/>
              <w:rPr>
                <w:rFonts w:ascii="宋体" w:hAnsi="宋体" w:cs="宋体" w:eastAsia="宋体" w:hint="default"/>
                <w:sz w:val="18"/>
                <w:szCs w:val="18"/>
              </w:rPr>
            </w:pPr>
            <w:r>
              <w:rPr>
                <w:rFonts w:ascii="宋体"/>
                <w:sz w:val="18"/>
              </w:rPr>
              <w:t>80,735,693.80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center"/>
              <w:rPr>
                <w:rFonts w:ascii="宋体" w:hAnsi="宋体" w:cs="宋体" w:eastAsia="宋体" w:hint="default"/>
                <w:sz w:val="18"/>
                <w:szCs w:val="18"/>
              </w:rPr>
            </w:pPr>
            <w:r>
              <w:rPr>
                <w:rFonts w:ascii="宋体"/>
                <w:sz w:val="18"/>
              </w:rPr>
              <w:t>100.00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9"/>
              <w:jc w:val="right"/>
              <w:rPr>
                <w:rFonts w:ascii="宋体" w:hAnsi="宋体" w:cs="宋体" w:eastAsia="宋体" w:hint="default"/>
                <w:sz w:val="18"/>
                <w:szCs w:val="18"/>
              </w:rPr>
            </w:pPr>
            <w:r>
              <w:rPr>
                <w:rFonts w:ascii="宋体"/>
                <w:sz w:val="18"/>
              </w:rPr>
              <w:t>80,735,693.80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0" w:right="0"/>
              <w:jc w:val="left"/>
              <w:rPr>
                <w:rFonts w:ascii="宋体" w:hAnsi="宋体" w:cs="宋体" w:eastAsia="宋体" w:hint="default"/>
                <w:sz w:val="18"/>
                <w:szCs w:val="18"/>
              </w:rPr>
            </w:pPr>
            <w:r>
              <w:rPr>
                <w:rFonts w:ascii="宋体"/>
                <w:sz w:val="18"/>
              </w:rPr>
              <w:t>52,210,669.48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03" w:right="0"/>
              <w:jc w:val="left"/>
              <w:rPr>
                <w:rFonts w:ascii="宋体" w:hAnsi="宋体" w:cs="宋体" w:eastAsia="宋体" w:hint="default"/>
                <w:sz w:val="18"/>
                <w:szCs w:val="18"/>
              </w:rPr>
            </w:pPr>
            <w:r>
              <w:rPr>
                <w:rFonts w:ascii="宋体"/>
                <w:sz w:val="18"/>
              </w:rPr>
              <w:t>100.00</w:t>
            </w:r>
          </w:p>
        </w:tc>
        <w:tc>
          <w:tcPr>
            <w:tcW w:w="48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38"/>
              <w:jc w:val="center"/>
              <w:rPr>
                <w:rFonts w:ascii="宋体" w:hAnsi="宋体" w:cs="宋体" w:eastAsia="宋体" w:hint="default"/>
                <w:sz w:val="18"/>
                <w:szCs w:val="18"/>
              </w:rPr>
            </w:pPr>
            <w:r>
              <w:rPr>
                <w:rFonts w:ascii="宋体"/>
                <w:sz w:val="18"/>
              </w:rPr>
              <w:t>52,210,669.48</w:t>
            </w:r>
          </w:p>
        </w:tc>
      </w:tr>
      <w:tr>
        <w:trPr>
          <w:trHeight w:val="464" w:hRule="exact"/>
        </w:trPr>
        <w:tc>
          <w:tcPr>
            <w:tcW w:w="1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1" w:right="0"/>
              <w:jc w:val="left"/>
              <w:rPr>
                <w:rFonts w:ascii="宋体" w:hAnsi="宋体" w:cs="宋体" w:eastAsia="宋体" w:hint="default"/>
                <w:sz w:val="18"/>
                <w:szCs w:val="18"/>
              </w:rPr>
            </w:pPr>
            <w:r>
              <w:rPr>
                <w:rFonts w:ascii="宋体"/>
                <w:sz w:val="18"/>
              </w:rPr>
              <w:t>80,735,693.80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4"/>
              <w:jc w:val="center"/>
              <w:rPr>
                <w:rFonts w:ascii="宋体" w:hAnsi="宋体" w:cs="宋体" w:eastAsia="宋体" w:hint="default"/>
                <w:sz w:val="18"/>
                <w:szCs w:val="18"/>
              </w:rPr>
            </w:pPr>
            <w:r>
              <w:rPr>
                <w:rFonts w:ascii="宋体"/>
                <w:sz w:val="18"/>
              </w:rPr>
              <w:t>100.00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9"/>
              <w:jc w:val="right"/>
              <w:rPr>
                <w:rFonts w:ascii="宋体" w:hAnsi="宋体" w:cs="宋体" w:eastAsia="宋体" w:hint="default"/>
                <w:sz w:val="18"/>
                <w:szCs w:val="18"/>
              </w:rPr>
            </w:pPr>
            <w:r>
              <w:rPr>
                <w:rFonts w:ascii="宋体"/>
                <w:sz w:val="18"/>
              </w:rPr>
              <w:t>80,735,693.80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0" w:right="0"/>
              <w:jc w:val="left"/>
              <w:rPr>
                <w:rFonts w:ascii="宋体" w:hAnsi="宋体" w:cs="宋体" w:eastAsia="宋体" w:hint="default"/>
                <w:sz w:val="18"/>
                <w:szCs w:val="18"/>
              </w:rPr>
            </w:pPr>
            <w:r>
              <w:rPr>
                <w:rFonts w:ascii="宋体"/>
                <w:sz w:val="18"/>
              </w:rPr>
              <w:t>52,210,669.48</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03" w:right="0"/>
              <w:jc w:val="left"/>
              <w:rPr>
                <w:rFonts w:ascii="宋体" w:hAnsi="宋体" w:cs="宋体" w:eastAsia="宋体" w:hint="default"/>
                <w:sz w:val="18"/>
                <w:szCs w:val="18"/>
              </w:rPr>
            </w:pPr>
            <w:r>
              <w:rPr>
                <w:rFonts w:ascii="宋体"/>
                <w:sz w:val="18"/>
              </w:rPr>
              <w:t>100.00</w:t>
            </w:r>
          </w:p>
        </w:tc>
        <w:tc>
          <w:tcPr>
            <w:tcW w:w="48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38"/>
              <w:jc w:val="center"/>
              <w:rPr>
                <w:rFonts w:ascii="宋体" w:hAnsi="宋体" w:cs="宋体" w:eastAsia="宋体" w:hint="default"/>
                <w:sz w:val="18"/>
                <w:szCs w:val="18"/>
              </w:rPr>
            </w:pPr>
            <w:r>
              <w:rPr>
                <w:rFonts w:ascii="宋体"/>
                <w:sz w:val="18"/>
              </w:rPr>
              <w:t>52,210,669.48</w:t>
            </w:r>
          </w:p>
        </w:tc>
      </w:tr>
    </w:tbl>
    <w:p>
      <w:pPr>
        <w:pStyle w:val="BodyText"/>
        <w:spacing w:line="240" w:lineRule="auto" w:before="7"/>
        <w:ind w:left="553" w:right="1688"/>
        <w:jc w:val="left"/>
      </w:pPr>
      <w:r>
        <w:rPr>
          <w:rFonts w:ascii="宋体" w:hAnsi="宋体" w:cs="宋体" w:eastAsia="宋体" w:hint="default"/>
        </w:rPr>
        <w:t>(2) </w:t>
      </w:r>
      <w:r>
        <w:rPr/>
        <w:t>预付款项金额前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589"/>
        <w:gridCol w:w="2018"/>
        <w:gridCol w:w="1937"/>
      </w:tblGrid>
      <w:tr>
        <w:trPr>
          <w:trHeight w:val="598"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8"/>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6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78" w:lineRule="auto" w:before="11"/>
              <w:ind w:left="557" w:right="338" w:hanging="227"/>
              <w:jc w:val="left"/>
              <w:rPr>
                <w:rFonts w:ascii="宋体" w:hAnsi="宋体" w:cs="宋体" w:eastAsia="宋体" w:hint="default"/>
                <w:sz w:val="18"/>
                <w:szCs w:val="18"/>
              </w:rPr>
            </w:pPr>
            <w:r>
              <w:rPr>
                <w:rFonts w:ascii="宋体" w:hAnsi="宋体" w:cs="宋体" w:eastAsia="宋体" w:hint="default"/>
                <w:sz w:val="18"/>
                <w:szCs w:val="18"/>
              </w:rPr>
              <w:t>占预付款项余额 的比例</w:t>
            </w:r>
            <w:r>
              <w:rPr>
                <w:rFonts w:ascii="宋体" w:hAnsi="宋体" w:cs="宋体" w:eastAsia="宋体" w:hint="default"/>
                <w:sz w:val="18"/>
                <w:szCs w:val="18"/>
              </w:rPr>
              <w:t>(%)</w:t>
            </w:r>
          </w:p>
        </w:tc>
      </w:tr>
      <w:tr>
        <w:trPr>
          <w:trHeight w:val="463"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车智互通</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广告有限公司</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13,156,000.00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16.30</w:t>
            </w:r>
          </w:p>
        </w:tc>
      </w:tr>
      <w:tr>
        <w:trPr>
          <w:trHeight w:val="464"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浙江亿钢新材料有限公司</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11,065,885.18</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13.71</w:t>
            </w:r>
          </w:p>
        </w:tc>
      </w:tr>
      <w:tr>
        <w:trPr>
          <w:trHeight w:val="464"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上海电气集团上海电机厂有限公司</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3,177,200.00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3.94</w:t>
            </w:r>
          </w:p>
        </w:tc>
      </w:tr>
      <w:tr>
        <w:trPr>
          <w:trHeight w:val="463"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2,800,000.00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3.47</w:t>
            </w:r>
          </w:p>
        </w:tc>
      </w:tr>
      <w:tr>
        <w:trPr>
          <w:trHeight w:val="464"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温岭市电磁线厂</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2,605,500.32</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3.23</w:t>
            </w:r>
          </w:p>
        </w:tc>
      </w:tr>
      <w:tr>
        <w:trPr>
          <w:trHeight w:val="464" w:hRule="exact"/>
        </w:trPr>
        <w:tc>
          <w:tcPr>
            <w:tcW w:w="45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32,804,585.50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40.65</w:t>
            </w:r>
          </w:p>
        </w:tc>
      </w:tr>
    </w:tbl>
    <w:p>
      <w:pPr>
        <w:spacing w:line="240" w:lineRule="auto" w:before="13"/>
        <w:rPr>
          <w:rFonts w:ascii="宋体" w:hAnsi="宋体" w:cs="宋体" w:eastAsia="宋体" w:hint="default"/>
          <w:sz w:val="25"/>
          <w:szCs w:val="25"/>
        </w:rPr>
      </w:pPr>
    </w:p>
    <w:p>
      <w:pPr>
        <w:pStyle w:val="BodyText"/>
        <w:spacing w:line="240" w:lineRule="auto" w:before="35"/>
        <w:ind w:left="658" w:right="1688"/>
        <w:jc w:val="left"/>
      </w:pPr>
      <w:bookmarkStart w:name="6. 其他应收款" w:id="165"/>
      <w:bookmarkEnd w:id="165"/>
      <w:r>
        <w:rPr/>
      </w:r>
      <w:r>
        <w:rPr>
          <w:rFonts w:ascii="宋体" w:hAnsi="宋体" w:cs="宋体" w:eastAsia="宋体" w:hint="default"/>
        </w:rPr>
        <w:t>6.</w:t>
      </w:r>
      <w:r>
        <w:rPr>
          <w:rFonts w:ascii="宋体" w:hAnsi="宋体" w:cs="宋体" w:eastAsia="宋体" w:hint="default"/>
          <w:spacing w:val="-2"/>
        </w:rPr>
        <w:t> </w:t>
      </w:r>
      <w:r>
        <w:rPr/>
        <w:t>其他应收款</w:t>
      </w:r>
    </w:p>
    <w:p>
      <w:pPr>
        <w:pStyle w:val="BodyText"/>
        <w:spacing w:line="240" w:lineRule="auto" w:before="133"/>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967"/>
        <w:gridCol w:w="1557"/>
        <w:gridCol w:w="995"/>
        <w:gridCol w:w="1416"/>
        <w:gridCol w:w="1134"/>
        <w:gridCol w:w="1475"/>
      </w:tblGrid>
      <w:tr>
        <w:trPr>
          <w:trHeight w:val="350" w:hRule="exact"/>
        </w:trPr>
        <w:tc>
          <w:tcPr>
            <w:tcW w:w="19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7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967"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5"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967" w:type="dxa"/>
            <w:vMerge/>
            <w:tcBorders>
              <w:left w:val="nil" w:sz="6" w:space="0" w:color="auto"/>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1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75" w:type="dxa"/>
            <w:vMerge/>
            <w:tcBorders>
              <w:left w:val="single" w:sz="4" w:space="0" w:color="000000"/>
              <w:bottom w:val="single" w:sz="4" w:space="0" w:color="000000"/>
              <w:right w:val="nil" w:sz="6" w:space="0" w:color="auto"/>
            </w:tcBorders>
          </w:tcPr>
          <w:p>
            <w:pPr/>
          </w:p>
        </w:tc>
      </w:tr>
      <w:tr>
        <w:trPr>
          <w:trHeight w:val="55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218"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11,279,801.36</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13.70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11,279,801.36</w:t>
            </w:r>
          </w:p>
        </w:tc>
      </w:tr>
      <w:tr>
        <w:trPr>
          <w:trHeight w:val="55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218"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66,599,954.78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80.88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7,959,710.65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11.95</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58,640,244.13</w:t>
            </w:r>
          </w:p>
        </w:tc>
      </w:tr>
      <w:tr>
        <w:trPr>
          <w:trHeight w:val="55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218"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4,465,110.00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5.42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4,465,110.00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100.00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82,344,866.14</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12,424,820.65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15.09</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69,920,045.49</w:t>
            </w:r>
          </w:p>
        </w:tc>
      </w:tr>
    </w:tbl>
    <w:p>
      <w:pPr>
        <w:spacing w:before="10"/>
        <w:ind w:left="59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967"/>
        <w:gridCol w:w="1557"/>
        <w:gridCol w:w="995"/>
        <w:gridCol w:w="1416"/>
        <w:gridCol w:w="1134"/>
        <w:gridCol w:w="1475"/>
      </w:tblGrid>
      <w:tr>
        <w:trPr>
          <w:trHeight w:val="350" w:hRule="exact"/>
        </w:trPr>
        <w:tc>
          <w:tcPr>
            <w:tcW w:w="19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7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967" w:type="dxa"/>
            <w:vMerge/>
            <w:tcBorders>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5"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9" w:hRule="exact"/>
        </w:trPr>
        <w:tc>
          <w:tcPr>
            <w:tcW w:w="1967" w:type="dxa"/>
            <w:vMerge/>
            <w:tcBorders>
              <w:left w:val="nil" w:sz="6" w:space="0" w:color="auto"/>
              <w:bottom w:val="single" w:sz="4" w:space="0" w:color="000000"/>
              <w:right w:val="single" w:sz="4" w:space="0" w:color="000000"/>
            </w:tcBorders>
          </w:tcPr>
          <w:p>
            <w:pP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1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75" w:type="dxa"/>
            <w:vMerge/>
            <w:tcBorders>
              <w:left w:val="single" w:sz="4" w:space="0" w:color="000000"/>
              <w:bottom w:val="single" w:sz="4" w:space="0" w:color="000000"/>
              <w:right w:val="nil" w:sz="6" w:space="0" w:color="auto"/>
            </w:tcBorders>
          </w:tcPr>
          <w:p>
            <w:pPr/>
          </w:p>
        </w:tc>
      </w:tr>
      <w:tr>
        <w:trPr>
          <w:trHeight w:val="55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0" w:right="218"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557"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0" w:right="218"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81,433,237.51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90.54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11,254,870.86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13.82</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5"/>
              <w:jc w:val="right"/>
              <w:rPr>
                <w:rFonts w:ascii="宋体" w:hAnsi="宋体" w:cs="宋体" w:eastAsia="宋体" w:hint="default"/>
                <w:sz w:val="18"/>
                <w:szCs w:val="18"/>
              </w:rPr>
            </w:pPr>
            <w:r>
              <w:rPr>
                <w:rFonts w:ascii="宋体"/>
                <w:sz w:val="18"/>
              </w:rPr>
              <w:t>70,178,366.65</w:t>
            </w:r>
          </w:p>
        </w:tc>
      </w:tr>
      <w:tr>
        <w:trPr>
          <w:trHeight w:val="55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0" w:right="218"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8,509,003.58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9.46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8.23</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5"/>
              <w:jc w:val="right"/>
              <w:rPr>
                <w:rFonts w:ascii="宋体" w:hAnsi="宋体" w:cs="宋体" w:eastAsia="宋体" w:hint="default"/>
                <w:sz w:val="18"/>
                <w:szCs w:val="18"/>
              </w:rPr>
            </w:pPr>
            <w:r>
              <w:rPr>
                <w:rFonts w:ascii="宋体"/>
                <w:sz w:val="18"/>
              </w:rPr>
              <w:t>7,809,003.58</w:t>
            </w:r>
          </w:p>
        </w:tc>
      </w:tr>
      <w:tr>
        <w:trPr>
          <w:trHeight w:val="464"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89,942,241.09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11,954,870.86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13.29</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65"/>
              <w:jc w:val="right"/>
              <w:rPr>
                <w:rFonts w:ascii="宋体" w:hAnsi="宋体" w:cs="宋体" w:eastAsia="宋体" w:hint="default"/>
                <w:sz w:val="18"/>
                <w:szCs w:val="18"/>
              </w:rPr>
            </w:pPr>
            <w:r>
              <w:rPr>
                <w:rFonts w:ascii="宋体"/>
                <w:sz w:val="18"/>
              </w:rPr>
              <w:t>77,987,370.23</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4"/>
        <w:rPr>
          <w:rFonts w:ascii="宋体" w:hAnsi="宋体" w:cs="宋体" w:eastAsia="宋体" w:hint="default"/>
          <w:sz w:val="19"/>
          <w:szCs w:val="19"/>
        </w:rPr>
      </w:pPr>
    </w:p>
    <w:p>
      <w:pPr>
        <w:pStyle w:val="BodyText"/>
        <w:spacing w:line="240" w:lineRule="auto" w:before="35"/>
        <w:ind w:left="658" w:right="1688"/>
        <w:jc w:val="left"/>
      </w:pPr>
      <w:r>
        <w:rPr>
          <w:rFonts w:ascii="宋体" w:hAnsi="宋体" w:cs="宋体" w:eastAsia="宋体" w:hint="default"/>
        </w:rPr>
        <w:t>3)</w:t>
      </w:r>
      <w:r>
        <w:rPr>
          <w:rFonts w:ascii="宋体" w:hAnsi="宋体" w:cs="宋体" w:eastAsia="宋体" w:hint="default"/>
          <w:spacing w:val="-2"/>
        </w:rPr>
        <w:t> </w:t>
      </w:r>
      <w:r>
        <w:rPr/>
        <w:t>组合中，采用账龄分析法计提坏账准备的其他应收款</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730"/>
        <w:gridCol w:w="2271"/>
        <w:gridCol w:w="2269"/>
        <w:gridCol w:w="2273"/>
      </w:tblGrid>
      <w:tr>
        <w:trPr>
          <w:trHeight w:val="484" w:hRule="exact"/>
        </w:trPr>
        <w:tc>
          <w:tcPr>
            <w:tcW w:w="173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681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3" w:hRule="exact"/>
        </w:trPr>
        <w:tc>
          <w:tcPr>
            <w:tcW w:w="1730" w:type="dxa"/>
            <w:vMerge/>
            <w:tcBorders>
              <w:left w:val="nil" w:sz="6" w:space="0" w:color="auto"/>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64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43,499,778.37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1,967,159.95</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4.52</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15,029,728.64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1,502,972.85</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10.00</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3,815,512.29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1,139,136.42</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29.86</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2,623,703.88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1,813,126.54</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69.11</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525,015.35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431,098.64</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82.11</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1,106,216.25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1,106,216.25</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w:t>
            </w:r>
          </w:p>
        </w:tc>
      </w:tr>
      <w:tr>
        <w:trPr>
          <w:trHeight w:val="484" w:hRule="exact"/>
        </w:trPr>
        <w:tc>
          <w:tcPr>
            <w:tcW w:w="17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66,599,954.78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7,959,710.65</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11.95</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pStyle w:val="BodyText"/>
        <w:spacing w:line="240" w:lineRule="auto" w:before="172"/>
        <w:ind w:left="658" w:right="1688"/>
        <w:jc w:val="left"/>
      </w:pPr>
      <w:r>
        <w:rPr/>
        <w:t>本期计提坏账准备金额</w:t>
      </w:r>
      <w:r>
        <w:rPr>
          <w:spacing w:val="-65"/>
        </w:rPr>
        <w:t> </w:t>
      </w:r>
      <w:r>
        <w:rPr>
          <w:rFonts w:ascii="宋体" w:hAnsi="宋体" w:cs="宋体" w:eastAsia="宋体" w:hint="default"/>
        </w:rPr>
        <w:t>353,656.20</w:t>
      </w:r>
      <w:r>
        <w:rPr>
          <w:rFonts w:ascii="宋体" w:hAnsi="宋体" w:cs="宋体" w:eastAsia="宋体" w:hint="default"/>
          <w:spacing w:val="-25"/>
        </w:rPr>
        <w:t> </w:t>
      </w:r>
      <w:r>
        <w:rPr/>
        <w:t>元，本期因非同一控制下企业合并转入坏账准备金</w:t>
      </w:r>
    </w:p>
    <w:p>
      <w:pPr>
        <w:pStyle w:val="BodyText"/>
        <w:spacing w:line="240" w:lineRule="auto" w:before="133"/>
        <w:ind w:left="238" w:right="1688"/>
        <w:jc w:val="left"/>
      </w:pPr>
      <w:r>
        <w:rPr/>
        <w:t>额</w:t>
      </w:r>
      <w:r>
        <w:rPr>
          <w:spacing w:val="-54"/>
        </w:rPr>
        <w:t> </w:t>
      </w:r>
      <w:r>
        <w:rPr>
          <w:rFonts w:ascii="宋体" w:hAnsi="宋体" w:cs="宋体" w:eastAsia="宋体" w:hint="default"/>
        </w:rPr>
        <w:t>116,293.59</w:t>
      </w:r>
      <w:r>
        <w:rPr>
          <w:rFonts w:ascii="宋体" w:hAnsi="宋体" w:cs="宋体" w:eastAsia="宋体" w:hint="default"/>
          <w:spacing w:val="-54"/>
        </w:rPr>
        <w:t> </w:t>
      </w:r>
      <w:r>
        <w:rPr/>
        <w:t>元，本期无收回或转回坏账准备的情况。</w:t>
      </w:r>
    </w:p>
    <w:p>
      <w:pPr>
        <w:pStyle w:val="BodyText"/>
        <w:spacing w:line="240" w:lineRule="auto" w:before="174"/>
        <w:ind w:left="658" w:right="1688"/>
        <w:jc w:val="left"/>
      </w:pPr>
      <w:r>
        <w:rPr>
          <w:rFonts w:ascii="宋体" w:hAnsi="宋体" w:cs="宋体" w:eastAsia="宋体" w:hint="default"/>
        </w:rPr>
        <w:t>(3)</w:t>
      </w:r>
      <w:r>
        <w:rPr>
          <w:rFonts w:ascii="宋体" w:hAnsi="宋体" w:cs="宋体" w:eastAsia="宋体" w:hint="default"/>
          <w:spacing w:val="-1"/>
        </w:rPr>
        <w:t> </w:t>
      </w:r>
      <w:r>
        <w:rPr/>
        <w:t>本期无实际核销的其他应收款情况。</w:t>
      </w:r>
    </w:p>
    <w:p>
      <w:pPr>
        <w:pStyle w:val="BodyText"/>
        <w:spacing w:line="240" w:lineRule="auto" w:before="174"/>
        <w:ind w:left="658" w:right="1688"/>
        <w:jc w:val="left"/>
      </w:pPr>
      <w:r>
        <w:rPr>
          <w:rFonts w:ascii="宋体" w:hAnsi="宋体" w:cs="宋体" w:eastAsia="宋体" w:hint="default"/>
        </w:rPr>
        <w:t>(4)</w:t>
      </w:r>
      <w:r>
        <w:rPr>
          <w:rFonts w:ascii="宋体" w:hAnsi="宋体" w:cs="宋体" w:eastAsia="宋体" w:hint="default"/>
          <w:spacing w:val="-1"/>
        </w:rPr>
        <w:t> </w:t>
      </w:r>
      <w:r>
        <w:rPr/>
        <w:t>其他应收款款项性质分类情况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11,279,801.36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7,623,464.59</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25,415,766.63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45,293,720.74</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22,041,420.94</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12,672,085.49</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10,647,185.71</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15,594,705.91</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12,428,801.15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8,562,951.74</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531,890.35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195,312.62</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82,344,866.14</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89,942,241.09</w:t>
            </w:r>
          </w:p>
        </w:tc>
      </w:tr>
    </w:tbl>
    <w:p>
      <w:pPr>
        <w:pStyle w:val="BodyText"/>
        <w:spacing w:line="240" w:lineRule="auto" w:before="6"/>
        <w:ind w:left="658" w:right="1688"/>
        <w:jc w:val="left"/>
      </w:pPr>
      <w:r>
        <w:rPr>
          <w:rFonts w:ascii="宋体" w:hAnsi="宋体" w:cs="宋体" w:eastAsia="宋体" w:hint="default"/>
        </w:rPr>
        <w:t>(5)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714"/>
        <w:gridCol w:w="1204"/>
        <w:gridCol w:w="1428"/>
        <w:gridCol w:w="872"/>
        <w:gridCol w:w="960"/>
        <w:gridCol w:w="1362"/>
      </w:tblGrid>
      <w:tr>
        <w:trPr>
          <w:trHeight w:val="950"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账  龄</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23" w:right="24"/>
              <w:jc w:val="center"/>
              <w:rPr>
                <w:rFonts w:ascii="宋体" w:hAnsi="宋体" w:cs="宋体" w:eastAsia="宋体" w:hint="default"/>
                <w:sz w:val="18"/>
                <w:szCs w:val="18"/>
              </w:rPr>
            </w:pPr>
            <w:r>
              <w:rPr>
                <w:rFonts w:ascii="宋体" w:hAnsi="宋体" w:cs="宋体" w:eastAsia="宋体" w:hint="default"/>
                <w:sz w:val="18"/>
                <w:szCs w:val="18"/>
              </w:rPr>
              <w:t>占其他应收 款余额的比 例</w:t>
            </w:r>
            <w:r>
              <w:rPr>
                <w:rFonts w:ascii="宋体" w:hAnsi="宋体" w:cs="宋体" w:eastAsia="宋体" w:hint="default"/>
                <w:sz w:val="18"/>
                <w:szCs w:val="18"/>
              </w:rPr>
              <w:t>(%)</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1"/>
              <w:jc w:val="center"/>
              <w:rPr>
                <w:rFonts w:ascii="宋体" w:hAnsi="宋体" w:cs="宋体" w:eastAsia="宋体" w:hint="default"/>
                <w:sz w:val="18"/>
                <w:szCs w:val="18"/>
              </w:rPr>
            </w:pPr>
            <w:r>
              <w:rPr>
                <w:rFonts w:ascii="宋体" w:hAnsi="宋体" w:cs="宋体" w:eastAsia="宋体" w:hint="default"/>
                <w:sz w:val="18"/>
                <w:szCs w:val="18"/>
              </w:rPr>
              <w:t>出口退税</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9" w:right="0"/>
              <w:jc w:val="center"/>
              <w:rPr>
                <w:rFonts w:ascii="宋体" w:hAnsi="宋体" w:cs="宋体" w:eastAsia="宋体" w:hint="default"/>
                <w:sz w:val="18"/>
                <w:szCs w:val="18"/>
              </w:rPr>
            </w:pPr>
            <w:r>
              <w:rPr>
                <w:rFonts w:ascii="宋体"/>
                <w:sz w:val="18"/>
              </w:rPr>
              <w:t>10,663,242.39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12.95</w:t>
            </w:r>
          </w:p>
        </w:tc>
        <w:tc>
          <w:tcPr>
            <w:tcW w:w="136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sz w:val="18"/>
              </w:rPr>
              <w:t>ATEGE ALLGEMEINE TRANSPOR</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1"/>
              <w:jc w:val="center"/>
              <w:rPr>
                <w:rFonts w:ascii="宋体" w:hAnsi="宋体" w:cs="宋体" w:eastAsia="宋体" w:hint="default"/>
                <w:sz w:val="18"/>
                <w:szCs w:val="18"/>
              </w:rPr>
            </w:pPr>
            <w:r>
              <w:rPr>
                <w:rFonts w:ascii="宋体" w:hAnsi="宋体" w:cs="宋体" w:eastAsia="宋体" w:hint="default"/>
                <w:sz w:val="18"/>
                <w:szCs w:val="18"/>
              </w:rPr>
              <w:t>代垫关税</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9" w:right="0"/>
              <w:jc w:val="center"/>
              <w:rPr>
                <w:rFonts w:ascii="宋体" w:hAnsi="宋体" w:cs="宋体" w:eastAsia="宋体" w:hint="default"/>
                <w:sz w:val="18"/>
                <w:szCs w:val="18"/>
              </w:rPr>
            </w:pPr>
            <w:r>
              <w:rPr>
                <w:rFonts w:ascii="宋体"/>
                <w:sz w:val="18"/>
              </w:rPr>
              <w:t>4,542,135.66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5.52</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227,106.78</w:t>
            </w:r>
          </w:p>
        </w:tc>
      </w:tr>
      <w:tr>
        <w:trPr>
          <w:trHeight w:val="48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宇热工业炉（苏州）有限公司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1"/>
              <w:jc w:val="center"/>
              <w:rPr>
                <w:rFonts w:ascii="宋体" w:hAnsi="宋体" w:cs="宋体" w:eastAsia="宋体" w:hint="default"/>
                <w:sz w:val="18"/>
                <w:szCs w:val="18"/>
              </w:rPr>
            </w:pPr>
            <w:r>
              <w:rPr>
                <w:rFonts w:ascii="宋体" w:hAnsi="宋体" w:cs="宋体" w:eastAsia="宋体" w:hint="default"/>
                <w:sz w:val="18"/>
                <w:szCs w:val="18"/>
              </w:rPr>
              <w:t>设备退货款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9" w:right="0"/>
              <w:jc w:val="center"/>
              <w:rPr>
                <w:rFonts w:ascii="宋体" w:hAnsi="宋体" w:cs="宋体" w:eastAsia="宋体" w:hint="default"/>
                <w:sz w:val="18"/>
                <w:szCs w:val="18"/>
              </w:rPr>
            </w:pPr>
            <w:r>
              <w:rPr>
                <w:rFonts w:ascii="宋体"/>
                <w:sz w:val="18"/>
              </w:rPr>
              <w:t>3,752,000.00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4.56</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3,752,000.00</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714"/>
        <w:gridCol w:w="1204"/>
        <w:gridCol w:w="1428"/>
        <w:gridCol w:w="872"/>
        <w:gridCol w:w="960"/>
        <w:gridCol w:w="1362"/>
      </w:tblGrid>
      <w:tr>
        <w:trPr>
          <w:trHeight w:val="48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温岭市东部控股有限公司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9" w:right="0"/>
              <w:jc w:val="center"/>
              <w:rPr>
                <w:rFonts w:ascii="宋体" w:hAnsi="宋体" w:cs="宋体" w:eastAsia="宋体" w:hint="default"/>
                <w:sz w:val="18"/>
                <w:szCs w:val="18"/>
              </w:rPr>
            </w:pPr>
            <w:r>
              <w:rPr>
                <w:rFonts w:ascii="宋体"/>
                <w:sz w:val="18"/>
              </w:rPr>
              <w:t>2,000,000.00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2.43</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100,000.00</w:t>
            </w:r>
          </w:p>
        </w:tc>
      </w:tr>
      <w:tr>
        <w:trPr>
          <w:trHeight w:val="48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长沙上热热处理有限公司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1"/>
              <w:jc w:val="center"/>
              <w:rPr>
                <w:rFonts w:ascii="宋体" w:hAnsi="宋体" w:cs="宋体" w:eastAsia="宋体" w:hint="default"/>
                <w:sz w:val="18"/>
                <w:szCs w:val="18"/>
              </w:rPr>
            </w:pPr>
            <w:r>
              <w:rPr>
                <w:rFonts w:ascii="宋体" w:hAnsi="宋体" w:cs="宋体" w:eastAsia="宋体" w:hint="default"/>
                <w:sz w:val="18"/>
                <w:szCs w:val="18"/>
              </w:rPr>
              <w:t>租金、电费</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9" w:right="0"/>
              <w:jc w:val="center"/>
              <w:rPr>
                <w:rFonts w:ascii="宋体" w:hAnsi="宋体" w:cs="宋体" w:eastAsia="宋体" w:hint="default"/>
                <w:sz w:val="18"/>
                <w:szCs w:val="18"/>
              </w:rPr>
            </w:pPr>
            <w:r>
              <w:rPr>
                <w:rFonts w:ascii="宋体"/>
                <w:sz w:val="18"/>
              </w:rPr>
              <w:t>1,246,414.60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1.51</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62,320.73</w:t>
            </w:r>
          </w:p>
        </w:tc>
      </w:tr>
      <w:tr>
        <w:trPr>
          <w:trHeight w:val="48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0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 w:right="0"/>
              <w:jc w:val="center"/>
              <w:rPr>
                <w:rFonts w:ascii="宋体" w:hAnsi="宋体" w:cs="宋体" w:eastAsia="宋体" w:hint="default"/>
                <w:sz w:val="18"/>
                <w:szCs w:val="18"/>
              </w:rPr>
            </w:pPr>
            <w:r>
              <w:rPr>
                <w:rFonts w:ascii="宋体"/>
                <w:sz w:val="18"/>
              </w:rPr>
              <w:t>22,203,792.65</w:t>
            </w:r>
          </w:p>
        </w:tc>
        <w:tc>
          <w:tcPr>
            <w:tcW w:w="87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26.96</w:t>
            </w:r>
          </w:p>
        </w:tc>
        <w:tc>
          <w:tcPr>
            <w:tcW w:w="1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4,141,427.51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35"/>
        <w:ind w:left="658" w:right="1688"/>
        <w:jc w:val="left"/>
      </w:pPr>
      <w:bookmarkStart w:name="7. 存货" w:id="166"/>
      <w:bookmarkEnd w:id="166"/>
      <w:r>
        <w:rPr/>
      </w:r>
      <w:r>
        <w:rPr>
          <w:rFonts w:ascii="宋体" w:hAnsi="宋体" w:cs="宋体" w:eastAsia="宋体" w:hint="default"/>
        </w:rPr>
        <w:t>7. </w:t>
      </w:r>
      <w:r>
        <w:rPr/>
        <w:t>存货</w:t>
      </w:r>
    </w:p>
    <w:p>
      <w:pPr>
        <w:pStyle w:val="BodyText"/>
        <w:spacing w:line="240" w:lineRule="auto" w:before="174"/>
        <w:ind w:left="657"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1331"/>
        <w:gridCol w:w="1315"/>
        <w:gridCol w:w="1134"/>
        <w:gridCol w:w="1168"/>
        <w:gridCol w:w="1240"/>
        <w:gridCol w:w="1134"/>
        <w:gridCol w:w="1190"/>
      </w:tblGrid>
      <w:tr>
        <w:trPr>
          <w:trHeight w:val="484" w:hRule="exact"/>
        </w:trPr>
        <w:tc>
          <w:tcPr>
            <w:tcW w:w="1331"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56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1"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491" w:hRule="exact"/>
        </w:trPr>
        <w:tc>
          <w:tcPr>
            <w:tcW w:w="1331" w:type="dxa"/>
            <w:vMerge/>
            <w:tcBorders>
              <w:left w:val="nil" w:sz="6" w:space="0" w:color="auto"/>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92"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8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3"/>
              <w:jc w:val="right"/>
              <w:rPr>
                <w:rFonts w:ascii="宋体" w:hAnsi="宋体" w:cs="宋体" w:eastAsia="宋体" w:hint="default"/>
                <w:sz w:val="15"/>
                <w:szCs w:val="15"/>
              </w:rPr>
            </w:pPr>
            <w:r>
              <w:rPr>
                <w:rFonts w:ascii="宋体"/>
                <w:spacing w:val="-1"/>
                <w:sz w:val="15"/>
              </w:rPr>
              <w:t>86,804,616.61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1,701,750.47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2"/>
              <w:jc w:val="right"/>
              <w:rPr>
                <w:rFonts w:ascii="宋体" w:hAnsi="宋体" w:cs="宋体" w:eastAsia="宋体" w:hint="default"/>
                <w:sz w:val="15"/>
                <w:szCs w:val="15"/>
              </w:rPr>
            </w:pPr>
            <w:r>
              <w:rPr>
                <w:rFonts w:ascii="宋体"/>
                <w:spacing w:val="-1"/>
                <w:sz w:val="15"/>
              </w:rPr>
              <w:t>85,102,866.14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85,333,272.65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432,595.04</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84,900,677.61</w:t>
            </w:r>
          </w:p>
        </w:tc>
      </w:tr>
      <w:tr>
        <w:trPr>
          <w:trHeight w:val="48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2"/>
              <w:jc w:val="right"/>
              <w:rPr>
                <w:rFonts w:ascii="宋体" w:hAnsi="宋体" w:cs="宋体" w:eastAsia="宋体" w:hint="default"/>
                <w:sz w:val="15"/>
                <w:szCs w:val="15"/>
              </w:rPr>
            </w:pPr>
            <w:r>
              <w:rPr>
                <w:rFonts w:ascii="宋体"/>
                <w:spacing w:val="-1"/>
                <w:sz w:val="15"/>
              </w:rPr>
              <w:t>143,275,173.52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5,470.00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2"/>
              <w:jc w:val="right"/>
              <w:rPr>
                <w:rFonts w:ascii="宋体" w:hAnsi="宋体" w:cs="宋体" w:eastAsia="宋体" w:hint="default"/>
                <w:sz w:val="15"/>
                <w:szCs w:val="15"/>
              </w:rPr>
            </w:pPr>
            <w:r>
              <w:rPr>
                <w:rFonts w:ascii="宋体"/>
                <w:spacing w:val="-1"/>
                <w:sz w:val="15"/>
              </w:rPr>
              <w:t>143,269,703.52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108,366,782.24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108,366,782.24</w:t>
            </w:r>
          </w:p>
        </w:tc>
      </w:tr>
      <w:tr>
        <w:trPr>
          <w:trHeight w:val="48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20,134,100.26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663,904.23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19,470,196.03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15,771,874.27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206,922.90</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15,564,951.37</w:t>
            </w:r>
          </w:p>
        </w:tc>
      </w:tr>
      <w:tr>
        <w:trPr>
          <w:trHeight w:val="48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191,514,769.45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669,542.55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190,845,226.90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147,041,286.41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829,605.31</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146,211,681.10</w:t>
            </w:r>
          </w:p>
        </w:tc>
      </w:tr>
      <w:tr>
        <w:trPr>
          <w:trHeight w:val="48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宋体" w:hAnsi="宋体" w:cs="宋体" w:eastAsia="宋体" w:hint="default"/>
                <w:sz w:val="15"/>
                <w:szCs w:val="15"/>
              </w:rPr>
            </w:pPr>
            <w:r>
              <w:rPr>
                <w:rFonts w:ascii="宋体"/>
                <w:spacing w:val="-1"/>
                <w:sz w:val="15"/>
              </w:rPr>
              <w:t>3,569,128.72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宋体" w:hAnsi="宋体" w:cs="宋体" w:eastAsia="宋体" w:hint="default"/>
                <w:sz w:val="15"/>
                <w:szCs w:val="15"/>
              </w:rPr>
            </w:pPr>
            <w:r>
              <w:rPr>
                <w:rFonts w:ascii="宋体"/>
                <w:spacing w:val="-1"/>
                <w:sz w:val="15"/>
              </w:rPr>
              <w:t>3,569,128.72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2,823,957.28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2,823,957.28</w:t>
            </w:r>
          </w:p>
        </w:tc>
      </w:tr>
      <w:tr>
        <w:trPr>
          <w:trHeight w:val="484"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宋体" w:hAnsi="宋体" w:cs="宋体" w:eastAsia="宋体" w:hint="default"/>
                <w:sz w:val="15"/>
                <w:szCs w:val="15"/>
              </w:rPr>
            </w:pPr>
            <w:r>
              <w:rPr>
                <w:rFonts w:ascii="宋体"/>
                <w:spacing w:val="-1"/>
                <w:sz w:val="15"/>
              </w:rPr>
              <w:t>2,973,799.36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35,084.24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宋体" w:hAnsi="宋体" w:cs="宋体" w:eastAsia="宋体" w:hint="default"/>
                <w:sz w:val="15"/>
                <w:szCs w:val="15"/>
              </w:rPr>
            </w:pPr>
            <w:r>
              <w:rPr>
                <w:rFonts w:ascii="宋体"/>
                <w:spacing w:val="-1"/>
                <w:sz w:val="15"/>
              </w:rPr>
              <w:t>2,938,715.12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2,538,985.45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26,948.63</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2,512,036.82</w:t>
            </w:r>
          </w:p>
        </w:tc>
      </w:tr>
      <w:tr>
        <w:trPr>
          <w:trHeight w:val="483"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8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宋体" w:hAnsi="宋体" w:cs="宋体" w:eastAsia="宋体" w:hint="default"/>
                <w:sz w:val="15"/>
                <w:szCs w:val="15"/>
              </w:rPr>
            </w:pPr>
            <w:r>
              <w:rPr>
                <w:rFonts w:ascii="宋体"/>
                <w:spacing w:val="-1"/>
                <w:sz w:val="15"/>
              </w:rPr>
              <w:t>3,572,691.27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5,484.95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2"/>
              <w:jc w:val="right"/>
              <w:rPr>
                <w:rFonts w:ascii="宋体" w:hAnsi="宋体" w:cs="宋体" w:eastAsia="宋体" w:hint="default"/>
                <w:sz w:val="15"/>
                <w:szCs w:val="15"/>
              </w:rPr>
            </w:pPr>
            <w:r>
              <w:rPr>
                <w:rFonts w:ascii="宋体"/>
                <w:spacing w:val="-1"/>
                <w:sz w:val="15"/>
              </w:rPr>
              <w:t>3,567,206.32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3,844,093.68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536.18</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3,843,557.50</w:t>
            </w:r>
          </w:p>
        </w:tc>
      </w:tr>
      <w:tr>
        <w:trPr>
          <w:trHeight w:val="485" w:hRule="exact"/>
        </w:trPr>
        <w:tc>
          <w:tcPr>
            <w:tcW w:w="1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451,844,279.19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3,081,236.44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448,763,042.75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365,720,251.98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71" w:right="0"/>
              <w:jc w:val="left"/>
              <w:rPr>
                <w:rFonts w:ascii="宋体" w:hAnsi="宋体" w:cs="宋体" w:eastAsia="宋体" w:hint="default"/>
                <w:sz w:val="15"/>
                <w:szCs w:val="15"/>
              </w:rPr>
            </w:pPr>
            <w:r>
              <w:rPr>
                <w:rFonts w:ascii="宋体"/>
                <w:sz w:val="15"/>
              </w:rPr>
              <w:t>1,496,608.06</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364,223,643.92</w:t>
            </w:r>
          </w:p>
        </w:tc>
      </w:tr>
    </w:tbl>
    <w:p>
      <w:pPr>
        <w:pStyle w:val="BodyText"/>
        <w:spacing w:line="241" w:lineRule="exact" w:before="0"/>
        <w:ind w:left="658" w:right="1688"/>
        <w:jc w:val="left"/>
      </w:pPr>
      <w:r>
        <w:rPr>
          <w:rFonts w:ascii="宋体" w:hAnsi="宋体" w:cs="宋体" w:eastAsia="宋体" w:hint="default"/>
        </w:rPr>
        <w:t>(2)</w:t>
      </w:r>
      <w:r>
        <w:rPr>
          <w:rFonts w:ascii="宋体" w:hAnsi="宋体" w:cs="宋体" w:eastAsia="宋体" w:hint="default"/>
          <w:spacing w:val="-1"/>
        </w:rPr>
        <w:t> </w:t>
      </w:r>
      <w:r>
        <w:rPr/>
        <w:t>存货跌价准备</w:t>
      </w:r>
    </w:p>
    <w:p>
      <w:pPr>
        <w:pStyle w:val="BodyText"/>
        <w:spacing w:line="240" w:lineRule="auto" w:before="133"/>
        <w:ind w:left="658" w:right="1688"/>
        <w:jc w:val="left"/>
      </w:pPr>
      <w:r>
        <w:rPr>
          <w:rFonts w:ascii="宋体" w:hAnsi="宋体" w:cs="宋体" w:eastAsia="宋体" w:hint="default"/>
        </w:rPr>
        <w:t>1) </w:t>
      </w:r>
      <w:r>
        <w:rPr/>
        <w:t>明细情况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358"/>
        <w:gridCol w:w="1428"/>
        <w:gridCol w:w="1540"/>
        <w:gridCol w:w="1289"/>
        <w:gridCol w:w="1343"/>
        <w:gridCol w:w="1554"/>
      </w:tblGrid>
      <w:tr>
        <w:trPr>
          <w:trHeight w:val="482" w:hRule="exact"/>
        </w:trPr>
        <w:tc>
          <w:tcPr>
            <w:tcW w:w="135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9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4"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1358" w:type="dxa"/>
            <w:vMerge/>
            <w:tcBorders>
              <w:left w:val="nil" w:sz="6" w:space="0" w:color="auto"/>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c>
          <w:tcPr>
            <w:tcW w:w="1540"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8" w:right="0"/>
              <w:jc w:val="left"/>
              <w:rPr>
                <w:rFonts w:ascii="宋体" w:hAnsi="宋体" w:cs="宋体" w:eastAsia="宋体" w:hint="default"/>
                <w:sz w:val="18"/>
                <w:szCs w:val="18"/>
              </w:rPr>
            </w:pPr>
            <w:r>
              <w:rPr>
                <w:rFonts w:ascii="宋体" w:hAnsi="宋体" w:cs="宋体" w:eastAsia="宋体" w:hint="default"/>
                <w:sz w:val="18"/>
                <w:szCs w:val="18"/>
              </w:rPr>
              <w:t>转  回</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554" w:type="dxa"/>
            <w:vMerge/>
            <w:tcBorders>
              <w:left w:val="single" w:sz="4" w:space="0" w:color="000000"/>
              <w:bottom w:val="single" w:sz="4" w:space="0" w:color="000000"/>
              <w:right w:val="nil" w:sz="6" w:space="0" w:color="auto"/>
            </w:tcBorders>
          </w:tcPr>
          <w:p>
            <w:pPr/>
          </w:p>
        </w:tc>
      </w:tr>
      <w:tr>
        <w:trPr>
          <w:trHeight w:val="484"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432,595.04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宋体" w:hAnsi="宋体" w:cs="宋体" w:eastAsia="宋体" w:hint="default"/>
                <w:sz w:val="18"/>
                <w:szCs w:val="18"/>
              </w:rPr>
            </w:pPr>
            <w:r>
              <w:rPr>
                <w:rFonts w:ascii="宋体"/>
                <w:sz w:val="18"/>
              </w:rPr>
              <w:t>1,828,385.57</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559,230.14</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6"/>
              <w:jc w:val="right"/>
              <w:rPr>
                <w:rFonts w:ascii="宋体" w:hAnsi="宋体" w:cs="宋体" w:eastAsia="宋体" w:hint="default"/>
                <w:sz w:val="18"/>
                <w:szCs w:val="18"/>
              </w:rPr>
            </w:pPr>
            <w:r>
              <w:rPr>
                <w:rFonts w:ascii="宋体"/>
                <w:sz w:val="18"/>
              </w:rPr>
              <w:t>1,701,750.47</w:t>
            </w:r>
          </w:p>
        </w:tc>
      </w:tr>
      <w:tr>
        <w:trPr>
          <w:trHeight w:val="484"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28"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3"/>
              <w:jc w:val="right"/>
              <w:rPr>
                <w:rFonts w:ascii="宋体" w:hAnsi="宋体" w:cs="宋体" w:eastAsia="宋体" w:hint="default"/>
                <w:sz w:val="18"/>
                <w:szCs w:val="18"/>
              </w:rPr>
            </w:pPr>
            <w:r>
              <w:rPr>
                <w:rFonts w:ascii="宋体"/>
                <w:sz w:val="18"/>
              </w:rPr>
              <w:t>5,470.00</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6"/>
              <w:jc w:val="right"/>
              <w:rPr>
                <w:rFonts w:ascii="宋体" w:hAnsi="宋体" w:cs="宋体" w:eastAsia="宋体" w:hint="default"/>
                <w:sz w:val="18"/>
                <w:szCs w:val="18"/>
              </w:rPr>
            </w:pPr>
            <w:r>
              <w:rPr>
                <w:rFonts w:ascii="宋体"/>
                <w:sz w:val="18"/>
              </w:rPr>
              <w:t>5,470.00</w:t>
            </w:r>
          </w:p>
        </w:tc>
      </w:tr>
      <w:tr>
        <w:trPr>
          <w:trHeight w:val="484"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0"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0"/>
              <w:jc w:val="right"/>
              <w:rPr>
                <w:rFonts w:ascii="宋体" w:hAnsi="宋体" w:cs="宋体" w:eastAsia="宋体" w:hint="default"/>
                <w:sz w:val="18"/>
                <w:szCs w:val="18"/>
              </w:rPr>
            </w:pPr>
            <w:r>
              <w:rPr>
                <w:rFonts w:ascii="宋体"/>
                <w:sz w:val="18"/>
              </w:rPr>
              <w:t>206,922.90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3"/>
              <w:jc w:val="right"/>
              <w:rPr>
                <w:rFonts w:ascii="宋体" w:hAnsi="宋体" w:cs="宋体" w:eastAsia="宋体" w:hint="default"/>
                <w:sz w:val="18"/>
                <w:szCs w:val="18"/>
              </w:rPr>
            </w:pPr>
            <w:r>
              <w:rPr>
                <w:rFonts w:ascii="宋体"/>
                <w:sz w:val="18"/>
              </w:rPr>
              <w:t>661,312.81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2"/>
              <w:jc w:val="right"/>
              <w:rPr>
                <w:rFonts w:ascii="宋体" w:hAnsi="宋体" w:cs="宋体" w:eastAsia="宋体" w:hint="default"/>
                <w:sz w:val="18"/>
                <w:szCs w:val="18"/>
              </w:rPr>
            </w:pPr>
            <w:r>
              <w:rPr>
                <w:rFonts w:ascii="宋体"/>
                <w:sz w:val="18"/>
              </w:rPr>
              <w:t>204,331.48</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6"/>
              <w:jc w:val="right"/>
              <w:rPr>
                <w:rFonts w:ascii="宋体" w:hAnsi="宋体" w:cs="宋体" w:eastAsia="宋体" w:hint="default"/>
                <w:sz w:val="18"/>
                <w:szCs w:val="18"/>
              </w:rPr>
            </w:pPr>
            <w:r>
              <w:rPr>
                <w:rFonts w:ascii="宋体"/>
                <w:sz w:val="18"/>
              </w:rPr>
              <w:t>663,904.23</w:t>
            </w:r>
          </w:p>
        </w:tc>
      </w:tr>
      <w:tr>
        <w:trPr>
          <w:trHeight w:val="484"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79"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0"/>
              <w:jc w:val="right"/>
              <w:rPr>
                <w:rFonts w:ascii="宋体" w:hAnsi="宋体" w:cs="宋体" w:eastAsia="宋体" w:hint="default"/>
                <w:sz w:val="18"/>
                <w:szCs w:val="18"/>
              </w:rPr>
            </w:pPr>
            <w:r>
              <w:rPr>
                <w:rFonts w:ascii="宋体"/>
                <w:sz w:val="18"/>
              </w:rPr>
              <w:t>829,605.31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3"/>
              <w:jc w:val="right"/>
              <w:rPr>
                <w:rFonts w:ascii="宋体" w:hAnsi="宋体" w:cs="宋体" w:eastAsia="宋体" w:hint="default"/>
                <w:sz w:val="18"/>
                <w:szCs w:val="18"/>
              </w:rPr>
            </w:pPr>
            <w:r>
              <w:rPr>
                <w:rFonts w:ascii="宋体"/>
                <w:sz w:val="18"/>
              </w:rPr>
              <w:t>633,165.83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2"/>
              <w:jc w:val="right"/>
              <w:rPr>
                <w:rFonts w:ascii="宋体" w:hAnsi="宋体" w:cs="宋体" w:eastAsia="宋体" w:hint="default"/>
                <w:sz w:val="18"/>
                <w:szCs w:val="18"/>
              </w:rPr>
            </w:pPr>
            <w:r>
              <w:rPr>
                <w:rFonts w:ascii="宋体"/>
                <w:sz w:val="18"/>
              </w:rPr>
              <w:t>793,228.59</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6"/>
              <w:jc w:val="right"/>
              <w:rPr>
                <w:rFonts w:ascii="宋体" w:hAnsi="宋体" w:cs="宋体" w:eastAsia="宋体" w:hint="default"/>
                <w:sz w:val="18"/>
                <w:szCs w:val="18"/>
              </w:rPr>
            </w:pPr>
            <w:r>
              <w:rPr>
                <w:rFonts w:ascii="宋体"/>
                <w:sz w:val="18"/>
              </w:rPr>
              <w:t>669,542.55</w:t>
            </w:r>
          </w:p>
        </w:tc>
      </w:tr>
      <w:tr>
        <w:trPr>
          <w:trHeight w:val="484"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79"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0"/>
              <w:jc w:val="right"/>
              <w:rPr>
                <w:rFonts w:ascii="宋体" w:hAnsi="宋体" w:cs="宋体" w:eastAsia="宋体" w:hint="default"/>
                <w:sz w:val="18"/>
                <w:szCs w:val="18"/>
              </w:rPr>
            </w:pPr>
            <w:r>
              <w:rPr>
                <w:rFonts w:ascii="宋体"/>
                <w:sz w:val="18"/>
              </w:rPr>
              <w:t>26,948.63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3"/>
              <w:jc w:val="right"/>
              <w:rPr>
                <w:rFonts w:ascii="宋体" w:hAnsi="宋体" w:cs="宋体" w:eastAsia="宋体" w:hint="default"/>
                <w:sz w:val="18"/>
                <w:szCs w:val="18"/>
              </w:rPr>
            </w:pPr>
            <w:r>
              <w:rPr>
                <w:rFonts w:ascii="宋体"/>
                <w:sz w:val="18"/>
              </w:rPr>
              <w:t>57,063.51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2"/>
              <w:jc w:val="right"/>
              <w:rPr>
                <w:rFonts w:ascii="宋体" w:hAnsi="宋体" w:cs="宋体" w:eastAsia="宋体" w:hint="default"/>
                <w:sz w:val="18"/>
                <w:szCs w:val="18"/>
              </w:rPr>
            </w:pPr>
            <w:r>
              <w:rPr>
                <w:rFonts w:ascii="宋体"/>
                <w:sz w:val="18"/>
              </w:rPr>
              <w:t>48,927.90</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6"/>
              <w:jc w:val="right"/>
              <w:rPr>
                <w:rFonts w:ascii="宋体" w:hAnsi="宋体" w:cs="宋体" w:eastAsia="宋体" w:hint="default"/>
                <w:sz w:val="18"/>
                <w:szCs w:val="18"/>
              </w:rPr>
            </w:pPr>
            <w:r>
              <w:rPr>
                <w:rFonts w:ascii="宋体"/>
                <w:sz w:val="18"/>
              </w:rPr>
              <w:t>35,084.24</w:t>
            </w:r>
          </w:p>
        </w:tc>
      </w:tr>
      <w:tr>
        <w:trPr>
          <w:trHeight w:val="482"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0"/>
              <w:jc w:val="right"/>
              <w:rPr>
                <w:rFonts w:ascii="宋体" w:hAnsi="宋体" w:cs="宋体" w:eastAsia="宋体" w:hint="default"/>
                <w:sz w:val="18"/>
                <w:szCs w:val="18"/>
              </w:rPr>
            </w:pPr>
            <w:r>
              <w:rPr>
                <w:rFonts w:ascii="宋体"/>
                <w:sz w:val="18"/>
              </w:rPr>
              <w:t>536.18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3"/>
              <w:jc w:val="right"/>
              <w:rPr>
                <w:rFonts w:ascii="宋体" w:hAnsi="宋体" w:cs="宋体" w:eastAsia="宋体" w:hint="default"/>
                <w:sz w:val="18"/>
                <w:szCs w:val="18"/>
              </w:rPr>
            </w:pPr>
            <w:r>
              <w:rPr>
                <w:rFonts w:ascii="宋体"/>
                <w:sz w:val="18"/>
              </w:rPr>
              <w:t>10,762.41</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2"/>
              <w:jc w:val="right"/>
              <w:rPr>
                <w:rFonts w:ascii="宋体" w:hAnsi="宋体" w:cs="宋体" w:eastAsia="宋体" w:hint="default"/>
                <w:sz w:val="18"/>
                <w:szCs w:val="18"/>
              </w:rPr>
            </w:pPr>
            <w:r>
              <w:rPr>
                <w:rFonts w:ascii="宋体"/>
                <w:sz w:val="18"/>
              </w:rPr>
              <w:t>5,813.64</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6"/>
              <w:jc w:val="right"/>
              <w:rPr>
                <w:rFonts w:ascii="宋体" w:hAnsi="宋体" w:cs="宋体" w:eastAsia="宋体" w:hint="default"/>
                <w:sz w:val="18"/>
                <w:szCs w:val="18"/>
              </w:rPr>
            </w:pPr>
            <w:r>
              <w:rPr>
                <w:rFonts w:ascii="宋体"/>
                <w:sz w:val="18"/>
              </w:rPr>
              <w:t>5,484.95</w:t>
            </w:r>
          </w:p>
        </w:tc>
      </w:tr>
      <w:tr>
        <w:trPr>
          <w:trHeight w:val="485" w:hRule="exact"/>
        </w:trPr>
        <w:tc>
          <w:tcPr>
            <w:tcW w:w="13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
              <w:jc w:val="right"/>
              <w:rPr>
                <w:rFonts w:ascii="宋体" w:hAnsi="宋体" w:cs="宋体" w:eastAsia="宋体" w:hint="default"/>
                <w:sz w:val="18"/>
                <w:szCs w:val="18"/>
              </w:rPr>
            </w:pPr>
            <w:r>
              <w:rPr>
                <w:rFonts w:ascii="宋体"/>
                <w:sz w:val="18"/>
              </w:rPr>
              <w:t>1,496,608.06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宋体" w:hAnsi="宋体" w:cs="宋体" w:eastAsia="宋体" w:hint="default"/>
                <w:sz w:val="18"/>
                <w:szCs w:val="18"/>
              </w:rPr>
            </w:pPr>
            <w:r>
              <w:rPr>
                <w:rFonts w:ascii="宋体"/>
                <w:sz w:val="18"/>
              </w:rPr>
              <w:t>3,196,160.13</w:t>
            </w:r>
          </w:p>
        </w:tc>
        <w:tc>
          <w:tcPr>
            <w:tcW w:w="1289"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2"/>
              <w:jc w:val="right"/>
              <w:rPr>
                <w:rFonts w:ascii="宋体" w:hAnsi="宋体" w:cs="宋体" w:eastAsia="宋体" w:hint="default"/>
                <w:sz w:val="18"/>
                <w:szCs w:val="18"/>
              </w:rPr>
            </w:pPr>
            <w:r>
              <w:rPr>
                <w:rFonts w:ascii="宋体"/>
                <w:sz w:val="18"/>
              </w:rPr>
              <w:t>1,611,531.75</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6"/>
              <w:jc w:val="right"/>
              <w:rPr>
                <w:rFonts w:ascii="宋体" w:hAnsi="宋体" w:cs="宋体" w:eastAsia="宋体" w:hint="default"/>
                <w:sz w:val="18"/>
                <w:szCs w:val="18"/>
              </w:rPr>
            </w:pPr>
            <w:r>
              <w:rPr>
                <w:rFonts w:ascii="宋体"/>
                <w:sz w:val="18"/>
              </w:rPr>
              <w:t>3,081,236.44</w:t>
            </w:r>
          </w:p>
        </w:tc>
      </w:tr>
    </w:tbl>
    <w:p>
      <w:pPr>
        <w:pStyle w:val="BodyText"/>
        <w:spacing w:line="240" w:lineRule="auto" w:before="6"/>
        <w:ind w:left="658" w:right="1688"/>
        <w:jc w:val="left"/>
      </w:pPr>
      <w:r>
        <w:rPr/>
        <w:t>销售货物相应转出的存货跌价准备</w:t>
      </w:r>
      <w:r>
        <w:rPr>
          <w:spacing w:val="-52"/>
        </w:rPr>
        <w:t> </w:t>
      </w:r>
      <w:r>
        <w:rPr>
          <w:rFonts w:ascii="宋体" w:hAnsi="宋体" w:cs="宋体" w:eastAsia="宋体" w:hint="default"/>
        </w:rPr>
        <w:t>1,611,531.75</w:t>
      </w:r>
      <w:r>
        <w:rPr>
          <w:rFonts w:ascii="宋体" w:hAnsi="宋体" w:cs="宋体" w:eastAsia="宋体" w:hint="default"/>
          <w:spacing w:val="-54"/>
        </w:rPr>
        <w:t> </w:t>
      </w:r>
      <w:r>
        <w:rPr/>
        <w:t>元。</w:t>
      </w:r>
    </w:p>
    <w:p>
      <w:pPr>
        <w:pStyle w:val="BodyText"/>
        <w:spacing w:line="240" w:lineRule="auto" w:before="172"/>
        <w:ind w:left="657" w:right="1688"/>
        <w:jc w:val="left"/>
      </w:pPr>
      <w:r>
        <w:rPr>
          <w:rFonts w:ascii="宋体" w:hAnsi="宋体" w:cs="宋体" w:eastAsia="宋体" w:hint="default"/>
        </w:rPr>
        <w:t>2)</w:t>
      </w:r>
      <w:r>
        <w:rPr>
          <w:rFonts w:ascii="宋体" w:hAnsi="宋体" w:cs="宋体" w:eastAsia="宋体" w:hint="default"/>
          <w:spacing w:val="-2"/>
        </w:rPr>
        <w:t> </w:t>
      </w:r>
      <w:r>
        <w:rPr/>
        <w:t>确定可变现净值的具体依据、本期转回或转销存货跌价准备的原因说明</w:t>
      </w:r>
    </w:p>
    <w:p>
      <w:pPr>
        <w:spacing w:after="0" w:line="240" w:lineRule="auto"/>
        <w:jc w:val="left"/>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1944"/>
        <w:gridCol w:w="2340"/>
        <w:gridCol w:w="2241"/>
        <w:gridCol w:w="1987"/>
      </w:tblGrid>
      <w:tr>
        <w:trPr>
          <w:trHeight w:val="1070"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9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0" w:lineRule="auto"/>
              <w:ind w:left="713" w:right="624" w:hanging="90"/>
              <w:jc w:val="left"/>
              <w:rPr>
                <w:rFonts w:ascii="宋体" w:hAnsi="宋体" w:cs="宋体" w:eastAsia="宋体" w:hint="default"/>
                <w:sz w:val="18"/>
                <w:szCs w:val="18"/>
              </w:rPr>
            </w:pPr>
            <w:r>
              <w:rPr>
                <w:rFonts w:ascii="宋体" w:hAnsi="宋体" w:cs="宋体" w:eastAsia="宋体" w:hint="default"/>
                <w:sz w:val="18"/>
                <w:szCs w:val="18"/>
              </w:rPr>
              <w:t>计提存货跌价 准备的依据</w:t>
            </w:r>
          </w:p>
        </w:tc>
        <w:tc>
          <w:tcPr>
            <w:tcW w:w="2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0" w:lineRule="auto"/>
              <w:ind w:left="484" w:right="484" w:firstLine="90"/>
              <w:jc w:val="left"/>
              <w:rPr>
                <w:rFonts w:ascii="宋体" w:hAnsi="宋体" w:cs="宋体" w:eastAsia="宋体" w:hint="default"/>
                <w:sz w:val="18"/>
                <w:szCs w:val="18"/>
              </w:rPr>
            </w:pPr>
            <w:r>
              <w:rPr>
                <w:rFonts w:ascii="宋体" w:hAnsi="宋体" w:cs="宋体" w:eastAsia="宋体" w:hint="default"/>
                <w:sz w:val="18"/>
                <w:szCs w:val="18"/>
              </w:rPr>
              <w:t>本期转回存货 跌价准备的原因</w:t>
            </w: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本期转回金额占该项</w:t>
            </w:r>
          </w:p>
          <w:p>
            <w:pPr>
              <w:pStyle w:val="TableParagraph"/>
              <w:spacing w:line="232" w:lineRule="exact" w:before="143"/>
              <w:ind w:left="178" w:right="181"/>
              <w:jc w:val="center"/>
              <w:rPr>
                <w:rFonts w:ascii="宋体" w:hAnsi="宋体" w:cs="宋体" w:eastAsia="宋体" w:hint="default"/>
                <w:sz w:val="18"/>
                <w:szCs w:val="18"/>
              </w:rPr>
            </w:pPr>
            <w:r>
              <w:rPr>
                <w:rFonts w:ascii="宋体" w:hAnsi="宋体" w:cs="宋体" w:eastAsia="宋体" w:hint="default"/>
                <w:sz w:val="18"/>
                <w:szCs w:val="18"/>
              </w:rPr>
              <w:t>存货期末余额的比例 </w:t>
            </w:r>
            <w:r>
              <w:rPr>
                <w:rFonts w:ascii="宋体" w:hAnsi="宋体" w:cs="宋体" w:eastAsia="宋体" w:hint="default"/>
                <w:sz w:val="18"/>
                <w:szCs w:val="18"/>
              </w:rPr>
              <w:t>(%)</w:t>
            </w:r>
          </w:p>
        </w:tc>
      </w:tr>
      <w:tr>
        <w:trPr>
          <w:trHeight w:val="48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r>
        <w:trPr>
          <w:trHeight w:val="485" w:hRule="exact"/>
        </w:trPr>
        <w:tc>
          <w:tcPr>
            <w:tcW w:w="19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24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658" w:right="1688"/>
        <w:jc w:val="left"/>
      </w:pPr>
      <w:bookmarkStart w:name="8. 其他流动资产" w:id="167"/>
      <w:bookmarkEnd w:id="167"/>
      <w:r>
        <w:rPr/>
      </w:r>
      <w:r>
        <w:rPr>
          <w:rFonts w:ascii="宋体" w:hAnsi="宋体" w:cs="宋体" w:eastAsia="宋体" w:hint="default"/>
        </w:rPr>
        <w:t>8.</w:t>
      </w:r>
      <w:r>
        <w:rPr>
          <w:rFonts w:ascii="宋体" w:hAnsi="宋体" w:cs="宋体" w:eastAsia="宋体" w:hint="default"/>
          <w:spacing w:val="-2"/>
        </w:rPr>
        <w:t> </w:t>
      </w:r>
      <w:r>
        <w:rPr/>
        <w:t>其他流动资产</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515"/>
        <w:gridCol w:w="2513"/>
        <w:gridCol w:w="2512"/>
      </w:tblGrid>
      <w:tr>
        <w:trPr>
          <w:trHeight w:val="484"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36,165,902.02</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sz w:val="18"/>
              </w:rPr>
              <w:t>23,538,771.86</w:t>
            </w:r>
          </w:p>
        </w:tc>
      </w:tr>
      <w:tr>
        <w:trPr>
          <w:trHeight w:val="484"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513" w:type="dxa"/>
            <w:tcBorders>
              <w:top w:val="single" w:sz="4" w:space="0" w:color="000000"/>
              <w:left w:val="single" w:sz="4" w:space="0" w:color="000000"/>
              <w:bottom w:val="single" w:sz="4" w:space="0" w:color="000000"/>
              <w:right w:val="single" w:sz="4" w:space="0" w:color="000000"/>
            </w:tcBorders>
          </w:tcPr>
          <w:p>
            <w:pP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sz w:val="18"/>
              </w:rPr>
              <w:t>10,000,000.00</w:t>
            </w:r>
          </w:p>
        </w:tc>
      </w:tr>
      <w:tr>
        <w:trPr>
          <w:trHeight w:val="484" w:hRule="exact"/>
        </w:trPr>
        <w:tc>
          <w:tcPr>
            <w:tcW w:w="3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36,165,902.02</w:t>
            </w:r>
          </w:p>
        </w:tc>
        <w:tc>
          <w:tcPr>
            <w:tcW w:w="2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sz w:val="18"/>
              </w:rPr>
              <w:t>33,538,771.86</w:t>
            </w:r>
          </w:p>
        </w:tc>
      </w:tr>
    </w:tbl>
    <w:p>
      <w:pPr>
        <w:spacing w:line="240" w:lineRule="auto" w:before="13"/>
        <w:rPr>
          <w:rFonts w:ascii="宋体" w:hAnsi="宋体" w:cs="宋体" w:eastAsia="宋体" w:hint="default"/>
          <w:sz w:val="25"/>
          <w:szCs w:val="25"/>
        </w:rPr>
      </w:pPr>
    </w:p>
    <w:p>
      <w:pPr>
        <w:pStyle w:val="BodyText"/>
        <w:spacing w:line="240" w:lineRule="auto" w:before="35"/>
        <w:ind w:left="658" w:right="1688"/>
        <w:jc w:val="left"/>
      </w:pPr>
      <w:bookmarkStart w:name="9. 可供出售金融资产" w:id="168"/>
      <w:bookmarkEnd w:id="168"/>
      <w:r>
        <w:rPr/>
      </w:r>
      <w:r>
        <w:rPr>
          <w:rFonts w:ascii="宋体" w:hAnsi="宋体" w:cs="宋体" w:eastAsia="宋体" w:hint="default"/>
        </w:rPr>
        <w:t>9.</w:t>
      </w:r>
      <w:r>
        <w:rPr>
          <w:rFonts w:ascii="宋体" w:hAnsi="宋体" w:cs="宋体" w:eastAsia="宋体" w:hint="default"/>
          <w:spacing w:val="-2"/>
        </w:rPr>
        <w:t> </w:t>
      </w:r>
      <w:r>
        <w:rPr/>
        <w:t>可供出售金融资产</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034"/>
        <w:gridCol w:w="1298"/>
        <w:gridCol w:w="659"/>
        <w:gridCol w:w="1296"/>
        <w:gridCol w:w="1296"/>
        <w:gridCol w:w="665"/>
        <w:gridCol w:w="1296"/>
      </w:tblGrid>
      <w:tr>
        <w:trPr>
          <w:trHeight w:val="484" w:hRule="exact"/>
        </w:trPr>
        <w:tc>
          <w:tcPr>
            <w:tcW w:w="20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2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25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836" w:hRule="exact"/>
        </w:trPr>
        <w:tc>
          <w:tcPr>
            <w:tcW w:w="2034" w:type="dxa"/>
            <w:vMerge/>
            <w:tcBorders>
              <w:left w:val="nil" w:sz="6" w:space="0" w:color="auto"/>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37" w:right="14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45" w:right="149" w:hanging="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84"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65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7,000,000.00</w:t>
            </w:r>
          </w:p>
        </w:tc>
      </w:tr>
      <w:tr>
        <w:trPr>
          <w:trHeight w:val="484"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其中：按成本计量的</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65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7,000,000.00</w:t>
            </w:r>
          </w:p>
        </w:tc>
      </w:tr>
      <w:tr>
        <w:trPr>
          <w:trHeight w:val="484" w:hRule="exact"/>
        </w:trPr>
        <w:tc>
          <w:tcPr>
            <w:tcW w:w="20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65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7,000,000.00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7,000,000.00</w:t>
            </w:r>
          </w:p>
        </w:tc>
      </w:tr>
    </w:tbl>
    <w:p>
      <w:pPr>
        <w:spacing w:before="10"/>
        <w:ind w:left="598" w:right="168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期末按成本计量的可供出售金融资产</w:t>
      </w: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866"/>
        <w:gridCol w:w="1566"/>
        <w:gridCol w:w="1051"/>
        <w:gridCol w:w="1344"/>
        <w:gridCol w:w="1716"/>
      </w:tblGrid>
      <w:tr>
        <w:trPr>
          <w:trHeight w:val="484" w:hRule="exact"/>
        </w:trPr>
        <w:tc>
          <w:tcPr>
            <w:tcW w:w="286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67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84" w:hRule="exact"/>
        </w:trPr>
        <w:tc>
          <w:tcPr>
            <w:tcW w:w="2866" w:type="dxa"/>
            <w:vMerge/>
            <w:tcBorders>
              <w:left w:val="nil" w:sz="6" w:space="0" w:color="auto"/>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8"/>
              <w:jc w:val="right"/>
              <w:rPr>
                <w:rFonts w:ascii="宋体" w:hAnsi="宋体" w:cs="宋体" w:eastAsia="宋体" w:hint="default"/>
                <w:sz w:val="18"/>
                <w:szCs w:val="18"/>
              </w:rPr>
            </w:pPr>
            <w:r>
              <w:rPr>
                <w:rFonts w:ascii="宋体"/>
                <w:sz w:val="18"/>
              </w:rPr>
              <w:t>1,000,000.00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17"/>
              <w:jc w:val="right"/>
              <w:rPr>
                <w:rFonts w:ascii="宋体" w:hAnsi="宋体" w:cs="宋体" w:eastAsia="宋体" w:hint="default"/>
                <w:sz w:val="18"/>
                <w:szCs w:val="18"/>
              </w:rPr>
            </w:pPr>
            <w:r>
              <w:rPr>
                <w:rFonts w:ascii="宋体"/>
                <w:sz w:val="18"/>
              </w:rPr>
              <w:t>1,000,000.00</w:t>
            </w:r>
          </w:p>
        </w:tc>
      </w:tr>
      <w:tr>
        <w:trPr>
          <w:trHeight w:val="718"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14"/>
              <w:ind w:left="122" w:right="104"/>
              <w:jc w:val="left"/>
              <w:rPr>
                <w:rFonts w:ascii="宋体" w:hAnsi="宋体" w:cs="宋体" w:eastAsia="宋体" w:hint="default"/>
                <w:sz w:val="18"/>
                <w:szCs w:val="18"/>
              </w:rPr>
            </w:pPr>
            <w:r>
              <w:rPr>
                <w:rFonts w:ascii="宋体" w:hAnsi="宋体" w:cs="宋体" w:eastAsia="宋体" w:hint="default"/>
                <w:spacing w:val="7"/>
                <w:sz w:val="18"/>
                <w:szCs w:val="18"/>
              </w:rPr>
              <w:t>温岭市民间融资规范管理服务中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心有限公司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9"/>
              <w:jc w:val="right"/>
              <w:rPr>
                <w:rFonts w:ascii="宋体" w:hAnsi="宋体" w:cs="宋体" w:eastAsia="宋体" w:hint="default"/>
                <w:sz w:val="18"/>
                <w:szCs w:val="18"/>
              </w:rPr>
            </w:pPr>
            <w:r>
              <w:rPr>
                <w:rFonts w:ascii="宋体"/>
                <w:sz w:val="18"/>
              </w:rPr>
              <w:t>6,000,000.00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7"/>
              <w:jc w:val="right"/>
              <w:rPr>
                <w:rFonts w:ascii="宋体" w:hAnsi="宋体" w:cs="宋体" w:eastAsia="宋体" w:hint="default"/>
                <w:sz w:val="18"/>
                <w:szCs w:val="18"/>
              </w:rPr>
            </w:pPr>
            <w:r>
              <w:rPr>
                <w:rFonts w:ascii="宋体"/>
                <w:sz w:val="18"/>
              </w:rPr>
              <w:t>6,000,000.00</w:t>
            </w:r>
          </w:p>
        </w:tc>
      </w:tr>
      <w:tr>
        <w:trPr>
          <w:trHeight w:val="484"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8"/>
              <w:jc w:val="right"/>
              <w:rPr>
                <w:rFonts w:ascii="宋体" w:hAnsi="宋体" w:cs="宋体" w:eastAsia="宋体" w:hint="default"/>
                <w:sz w:val="18"/>
                <w:szCs w:val="18"/>
              </w:rPr>
            </w:pPr>
            <w:r>
              <w:rPr>
                <w:rFonts w:ascii="宋体"/>
                <w:sz w:val="18"/>
              </w:rPr>
              <w:t>7,000,000.00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17"/>
              <w:jc w:val="right"/>
              <w:rPr>
                <w:rFonts w:ascii="宋体" w:hAnsi="宋体" w:cs="宋体" w:eastAsia="宋体" w:hint="default"/>
                <w:sz w:val="18"/>
                <w:szCs w:val="18"/>
              </w:rPr>
            </w:pPr>
            <w:r>
              <w:rPr>
                <w:rFonts w:ascii="宋体"/>
                <w:sz w:val="18"/>
              </w:rPr>
              <w:t>7,000,000.00</w:t>
            </w:r>
          </w:p>
        </w:tc>
      </w:tr>
    </w:tbl>
    <w:p>
      <w:pPr>
        <w:spacing w:before="10"/>
        <w:ind w:left="65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2"/>
        <w:gridCol w:w="687"/>
        <w:gridCol w:w="896"/>
        <w:gridCol w:w="866"/>
        <w:gridCol w:w="796"/>
        <w:gridCol w:w="1328"/>
        <w:gridCol w:w="1116"/>
      </w:tblGrid>
      <w:tr>
        <w:trPr>
          <w:trHeight w:val="484" w:hRule="exact"/>
        </w:trPr>
        <w:tc>
          <w:tcPr>
            <w:tcW w:w="285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2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vMerge w:val="restart"/>
            <w:tcBorders>
              <w:top w:val="single" w:sz="4" w:space="0" w:color="000000"/>
              <w:left w:val="single" w:sz="4" w:space="0" w:color="000000"/>
              <w:right w:val="single" w:sz="4" w:space="0" w:color="000000"/>
            </w:tcBorders>
          </w:tcPr>
          <w:p>
            <w:pPr>
              <w:pStyle w:val="TableParagraph"/>
              <w:spacing w:line="360" w:lineRule="auto" w:before="89"/>
              <w:ind w:left="153" w:right="126" w:hanging="45"/>
              <w:jc w:val="left"/>
              <w:rPr>
                <w:rFonts w:ascii="宋体" w:hAnsi="宋体" w:cs="宋体" w:eastAsia="宋体" w:hint="default"/>
                <w:sz w:val="18"/>
                <w:szCs w:val="18"/>
              </w:rPr>
            </w:pPr>
            <w:r>
              <w:rPr>
                <w:rFonts w:ascii="宋体" w:hAnsi="宋体" w:cs="宋体" w:eastAsia="宋体" w:hint="default"/>
                <w:sz w:val="18"/>
                <w:szCs w:val="18"/>
              </w:rPr>
              <w:t>在被投资单位 持股比例</w:t>
            </w:r>
            <w:r>
              <w:rPr>
                <w:rFonts w:ascii="宋体" w:hAnsi="宋体" w:cs="宋体" w:eastAsia="宋体" w:hint="default"/>
                <w:sz w:val="18"/>
                <w:szCs w:val="18"/>
              </w:rPr>
              <w:t>(%)</w:t>
            </w:r>
          </w:p>
        </w:tc>
        <w:tc>
          <w:tcPr>
            <w:tcW w:w="1116" w:type="dxa"/>
            <w:vMerge w:val="restart"/>
            <w:tcBorders>
              <w:top w:val="single" w:sz="4" w:space="0" w:color="000000"/>
              <w:left w:val="single" w:sz="4" w:space="0" w:color="000000"/>
              <w:right w:val="nil" w:sz="6" w:space="0" w:color="auto"/>
            </w:tcBorders>
          </w:tcPr>
          <w:p>
            <w:pPr>
              <w:pStyle w:val="TableParagraph"/>
              <w:spacing w:line="360" w:lineRule="auto" w:before="89"/>
              <w:ind w:left="182" w:right="206" w:firstLine="180"/>
              <w:jc w:val="left"/>
              <w:rPr>
                <w:rFonts w:ascii="宋体" w:hAnsi="宋体" w:cs="宋体" w:eastAsia="宋体" w:hint="default"/>
                <w:sz w:val="18"/>
                <w:szCs w:val="18"/>
              </w:rPr>
            </w:pPr>
            <w:r>
              <w:rPr>
                <w:rFonts w:ascii="宋体" w:hAnsi="宋体" w:cs="宋体" w:eastAsia="宋体" w:hint="default"/>
                <w:sz w:val="18"/>
                <w:szCs w:val="18"/>
              </w:rPr>
              <w:t>本期 现金红利</w:t>
            </w:r>
          </w:p>
        </w:tc>
      </w:tr>
      <w:tr>
        <w:trPr>
          <w:trHeight w:val="484" w:hRule="exact"/>
        </w:trPr>
        <w:tc>
          <w:tcPr>
            <w:tcW w:w="2852" w:type="dxa"/>
            <w:vMerge/>
            <w:tcBorders>
              <w:left w:val="nil" w:sz="6" w:space="0" w:color="auto"/>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8"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nil" w:sz="6" w:space="0" w:color="auto"/>
            </w:tcBorders>
          </w:tcPr>
          <w:p>
            <w:pPr/>
          </w:p>
        </w:tc>
      </w:tr>
      <w:tr>
        <w:trPr>
          <w:trHeight w:val="484"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浙江温岭农村合作银行</w:t>
            </w:r>
          </w:p>
        </w:tc>
        <w:tc>
          <w:tcPr>
            <w:tcW w:w="68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0.33</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677,600.00</w:t>
            </w:r>
          </w:p>
        </w:tc>
      </w:tr>
      <w:tr>
        <w:trPr>
          <w:trHeight w:val="716"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3"/>
              <w:jc w:val="left"/>
              <w:rPr>
                <w:rFonts w:ascii="宋体" w:hAnsi="宋体" w:cs="宋体" w:eastAsia="宋体" w:hint="default"/>
                <w:sz w:val="18"/>
                <w:szCs w:val="18"/>
              </w:rPr>
            </w:pPr>
            <w:r>
              <w:rPr>
                <w:rFonts w:ascii="宋体" w:hAnsi="宋体" w:cs="宋体" w:eastAsia="宋体" w:hint="default"/>
                <w:spacing w:val="7"/>
                <w:sz w:val="18"/>
                <w:szCs w:val="18"/>
              </w:rPr>
              <w:t>温岭市民间融资规范管理服务中</w:t>
            </w:r>
            <w:r>
              <w:rPr>
                <w:rFonts w:ascii="宋体" w:hAnsi="宋体" w:cs="宋体" w:eastAsia="宋体" w:hint="default"/>
                <w:sz w:val="18"/>
                <w:szCs w:val="18"/>
              </w:rPr>
              <w:t> 心有限公司</w:t>
            </w:r>
          </w:p>
        </w:tc>
        <w:tc>
          <w:tcPr>
            <w:tcW w:w="68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6.00</w:t>
            </w:r>
          </w:p>
        </w:tc>
        <w:tc>
          <w:tcPr>
            <w:tcW w:w="111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677,600.00</w:t>
            </w:r>
          </w:p>
        </w:tc>
      </w:tr>
    </w:tbl>
    <w:p>
      <w:pPr>
        <w:spacing w:line="240" w:lineRule="auto" w:before="1"/>
        <w:rPr>
          <w:rFonts w:ascii="宋体" w:hAnsi="宋体" w:cs="宋体" w:eastAsia="宋体" w:hint="default"/>
          <w:sz w:val="29"/>
          <w:szCs w:val="29"/>
        </w:rPr>
      </w:pPr>
    </w:p>
    <w:p>
      <w:pPr>
        <w:pStyle w:val="BodyText"/>
        <w:spacing w:line="240" w:lineRule="auto" w:before="35"/>
        <w:ind w:left="658" w:right="1688"/>
        <w:jc w:val="left"/>
      </w:pPr>
      <w:bookmarkStart w:name="10. 长期股权投资" w:id="169"/>
      <w:bookmarkEnd w:id="169"/>
      <w:r>
        <w:rPr/>
      </w:r>
      <w:r>
        <w:rPr>
          <w:rFonts w:ascii="宋体" w:hAnsi="宋体" w:cs="宋体" w:eastAsia="宋体" w:hint="default"/>
        </w:rPr>
        <w:t>10.</w:t>
      </w:r>
      <w:r>
        <w:rPr>
          <w:rFonts w:ascii="宋体" w:hAnsi="宋体" w:cs="宋体" w:eastAsia="宋体" w:hint="default"/>
          <w:spacing w:val="-1"/>
        </w:rPr>
        <w:t> </w:t>
      </w:r>
      <w:r>
        <w:rPr/>
        <w:t>长期股权投资</w:t>
      </w:r>
    </w:p>
    <w:p>
      <w:pPr>
        <w:pStyle w:val="BodyText"/>
        <w:spacing w:line="240" w:lineRule="auto" w:before="172"/>
        <w:ind w:left="658" w:right="1688"/>
        <w:jc w:val="left"/>
      </w:pPr>
      <w:r>
        <w:rPr>
          <w:rFonts w:ascii="宋体" w:hAnsi="宋体" w:cs="宋体" w:eastAsia="宋体" w:hint="default"/>
        </w:rPr>
        <w:t>(1)</w:t>
      </w:r>
      <w:r>
        <w:rPr>
          <w:rFonts w:ascii="宋体" w:hAnsi="宋体" w:cs="宋体" w:eastAsia="宋体" w:hint="default"/>
          <w:spacing w:val="-1"/>
        </w:rPr>
        <w:t> </w:t>
      </w:r>
      <w:r>
        <w:rPr/>
        <w:t>分类情况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258"/>
        <w:gridCol w:w="1877"/>
        <w:gridCol w:w="1637"/>
        <w:gridCol w:w="1751"/>
      </w:tblGrid>
      <w:tr>
        <w:trPr>
          <w:trHeight w:val="484" w:hRule="exact"/>
        </w:trPr>
        <w:tc>
          <w:tcPr>
            <w:tcW w:w="325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526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
              <w:jc w:val="center"/>
              <w:rPr>
                <w:rFonts w:ascii="宋体" w:hAnsi="宋体" w:cs="宋体" w:eastAsia="宋体" w:hint="default"/>
                <w:sz w:val="18"/>
                <w:szCs w:val="18"/>
              </w:rPr>
            </w:pPr>
            <w:r>
              <w:rPr>
                <w:rFonts w:ascii="宋体" w:hAnsi="宋体" w:cs="宋体" w:eastAsia="宋体" w:hint="default"/>
                <w:spacing w:val="-3"/>
                <w:sz w:val="18"/>
                <w:szCs w:val="18"/>
              </w:rPr>
              <w:t>期末数</w:t>
            </w:r>
          </w:p>
        </w:tc>
      </w:tr>
      <w:tr>
        <w:trPr>
          <w:trHeight w:val="484" w:hRule="exact"/>
        </w:trPr>
        <w:tc>
          <w:tcPr>
            <w:tcW w:w="3258" w:type="dxa"/>
            <w:vMerge/>
            <w:tcBorders>
              <w:left w:val="nil" w:sz="6" w:space="0" w:color="auto"/>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14"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8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2" w:right="0"/>
              <w:jc w:val="left"/>
              <w:rPr>
                <w:rFonts w:ascii="宋体" w:hAnsi="宋体" w:cs="宋体" w:eastAsia="宋体" w:hint="default"/>
                <w:sz w:val="18"/>
                <w:szCs w:val="18"/>
              </w:rPr>
            </w:pPr>
            <w:r>
              <w:rPr>
                <w:rFonts w:ascii="宋体"/>
                <w:sz w:val="18"/>
              </w:rPr>
              <w:t>74,615,658.61</w:t>
            </w:r>
          </w:p>
        </w:tc>
        <w:tc>
          <w:tcPr>
            <w:tcW w:w="163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74,615,658.61</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2" w:right="0"/>
              <w:jc w:val="left"/>
              <w:rPr>
                <w:rFonts w:ascii="宋体" w:hAnsi="宋体" w:cs="宋体" w:eastAsia="宋体" w:hint="default"/>
                <w:sz w:val="18"/>
                <w:szCs w:val="18"/>
              </w:rPr>
            </w:pPr>
            <w:r>
              <w:rPr>
                <w:rFonts w:ascii="宋体"/>
                <w:sz w:val="18"/>
              </w:rPr>
              <w:t>22,129,769.43</w:t>
            </w:r>
          </w:p>
        </w:tc>
        <w:tc>
          <w:tcPr>
            <w:tcW w:w="163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22,129,769.43</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18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92" w:right="0"/>
              <w:jc w:val="left"/>
              <w:rPr>
                <w:rFonts w:ascii="宋体" w:hAnsi="宋体" w:cs="宋体" w:eastAsia="宋体" w:hint="default"/>
                <w:sz w:val="18"/>
                <w:szCs w:val="18"/>
              </w:rPr>
            </w:pPr>
            <w:r>
              <w:rPr>
                <w:rFonts w:ascii="宋体"/>
                <w:sz w:val="18"/>
              </w:rPr>
              <w:t>96,745,428.04</w:t>
            </w:r>
          </w:p>
        </w:tc>
        <w:tc>
          <w:tcPr>
            <w:tcW w:w="1637"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96,745,428.04</w:t>
            </w:r>
          </w:p>
        </w:tc>
      </w:tr>
    </w:tbl>
    <w:p>
      <w:pPr>
        <w:spacing w:before="10"/>
        <w:ind w:left="65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258"/>
        <w:gridCol w:w="1876"/>
        <w:gridCol w:w="1638"/>
        <w:gridCol w:w="1764"/>
      </w:tblGrid>
      <w:tr>
        <w:trPr>
          <w:trHeight w:val="484" w:hRule="exact"/>
        </w:trPr>
        <w:tc>
          <w:tcPr>
            <w:tcW w:w="325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52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9"/>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484" w:hRule="exact"/>
        </w:trPr>
        <w:tc>
          <w:tcPr>
            <w:tcW w:w="3258" w:type="dxa"/>
            <w:vMerge/>
            <w:tcBorders>
              <w:left w:val="nil" w:sz="6" w:space="0" w:color="auto"/>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20"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876"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78,873,477.17</w:t>
            </w:r>
          </w:p>
        </w:tc>
        <w:tc>
          <w:tcPr>
            <w:tcW w:w="163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78,873,477.17</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22,009,033.98</w:t>
            </w:r>
          </w:p>
        </w:tc>
        <w:tc>
          <w:tcPr>
            <w:tcW w:w="163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22,009,033.98</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29,204,378.02</w:t>
            </w:r>
          </w:p>
        </w:tc>
        <w:tc>
          <w:tcPr>
            <w:tcW w:w="163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29,204,378.02</w:t>
            </w:r>
          </w:p>
        </w:tc>
      </w:tr>
      <w:tr>
        <w:trPr>
          <w:trHeight w:val="484" w:hRule="exact"/>
        </w:trPr>
        <w:tc>
          <w:tcPr>
            <w:tcW w:w="32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130,086,889.17</w:t>
            </w:r>
          </w:p>
        </w:tc>
        <w:tc>
          <w:tcPr>
            <w:tcW w:w="1638"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130,086,889.17</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630"/>
        <w:gridCol w:w="1606"/>
        <w:gridCol w:w="536"/>
        <w:gridCol w:w="1303"/>
        <w:gridCol w:w="1276"/>
        <w:gridCol w:w="1192"/>
      </w:tblGrid>
      <w:tr>
        <w:trPr>
          <w:trHeight w:val="484" w:hRule="exact"/>
        </w:trPr>
        <w:tc>
          <w:tcPr>
            <w:tcW w:w="263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60" w:lineRule="auto"/>
              <w:ind w:left="1052" w:right="1031"/>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3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3"/>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837" w:hRule="exact"/>
        </w:trPr>
        <w:tc>
          <w:tcPr>
            <w:tcW w:w="2630" w:type="dxa"/>
            <w:vMerge/>
            <w:tcBorders>
              <w:left w:val="nil" w:sz="6" w:space="0" w:color="auto"/>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75" w:right="8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459" w:right="473"/>
              <w:jc w:val="center"/>
              <w:rPr>
                <w:rFonts w:ascii="宋体" w:hAnsi="宋体" w:cs="宋体" w:eastAsia="宋体" w:hint="default"/>
                <w:sz w:val="18"/>
                <w:szCs w:val="18"/>
              </w:rPr>
            </w:pPr>
            <w:r>
              <w:rPr>
                <w:rFonts w:ascii="宋体" w:hAnsi="宋体" w:cs="宋体" w:eastAsia="宋体" w:hint="default"/>
                <w:sz w:val="18"/>
                <w:szCs w:val="18"/>
              </w:rPr>
              <w:t>减少 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75" w:right="99"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224" w:right="240"/>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484"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606"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630"/>
        <w:gridCol w:w="1606"/>
        <w:gridCol w:w="536"/>
        <w:gridCol w:w="1303"/>
        <w:gridCol w:w="1276"/>
        <w:gridCol w:w="1192"/>
      </w:tblGrid>
      <w:tr>
        <w:trPr>
          <w:trHeight w:val="484"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78,873,477.17</w:t>
            </w:r>
          </w:p>
        </w:tc>
        <w:tc>
          <w:tcPr>
            <w:tcW w:w="53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7,562,752.37</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5"/>
                <w:szCs w:val="15"/>
              </w:rPr>
            </w:pPr>
            <w:r>
              <w:rPr>
                <w:rFonts w:ascii="宋体"/>
                <w:spacing w:val="-1"/>
                <w:sz w:val="15"/>
              </w:rPr>
              <w:t>-2,820,570.93</w:t>
            </w:r>
          </w:p>
        </w:tc>
      </w:tr>
      <w:tr>
        <w:trPr>
          <w:trHeight w:val="484"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22,009,033.98</w:t>
            </w:r>
          </w:p>
        </w:tc>
        <w:tc>
          <w:tcPr>
            <w:tcW w:w="53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120,735.45</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29,204,378.02</w:t>
            </w:r>
          </w:p>
        </w:tc>
        <w:tc>
          <w:tcPr>
            <w:tcW w:w="53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5"/>
                <w:szCs w:val="15"/>
              </w:rPr>
            </w:pPr>
            <w:r>
              <w:rPr>
                <w:rFonts w:ascii="宋体"/>
                <w:spacing w:val="-1"/>
                <w:sz w:val="15"/>
              </w:rPr>
              <w:t>33,920,373.50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4,734,891.88</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5"/>
                <w:szCs w:val="15"/>
              </w:rPr>
            </w:pPr>
            <w:r>
              <w:rPr>
                <w:rFonts w:ascii="宋体"/>
                <w:spacing w:val="-1"/>
                <w:sz w:val="15"/>
              </w:rPr>
              <w:t>-18,896.40</w:t>
            </w:r>
          </w:p>
        </w:tc>
      </w:tr>
      <w:tr>
        <w:trPr>
          <w:trHeight w:val="484" w:hRule="exact"/>
        </w:trPr>
        <w:tc>
          <w:tcPr>
            <w:tcW w:w="2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4"/>
              <w:jc w:val="right"/>
              <w:rPr>
                <w:rFonts w:ascii="宋体" w:hAnsi="宋体" w:cs="宋体" w:eastAsia="宋体" w:hint="default"/>
                <w:sz w:val="15"/>
                <w:szCs w:val="15"/>
              </w:rPr>
            </w:pPr>
            <w:r>
              <w:rPr>
                <w:rFonts w:ascii="宋体"/>
                <w:spacing w:val="-1"/>
                <w:sz w:val="15"/>
              </w:rPr>
              <w:t>130,086,889.17</w:t>
            </w:r>
          </w:p>
        </w:tc>
        <w:tc>
          <w:tcPr>
            <w:tcW w:w="536"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5"/>
                <w:szCs w:val="15"/>
              </w:rPr>
            </w:pPr>
            <w:r>
              <w:rPr>
                <w:rFonts w:ascii="宋体"/>
                <w:spacing w:val="-1"/>
                <w:sz w:val="15"/>
              </w:rPr>
              <w:t>33,920,373.50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12,418,379.70</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5"/>
                <w:szCs w:val="15"/>
              </w:rPr>
            </w:pPr>
            <w:r>
              <w:rPr>
                <w:rFonts w:ascii="宋体"/>
                <w:spacing w:val="-1"/>
                <w:sz w:val="15"/>
              </w:rPr>
              <w:t>-2,839,467.33</w:t>
            </w:r>
          </w:p>
        </w:tc>
      </w:tr>
    </w:tbl>
    <w:p>
      <w:pPr>
        <w:spacing w:before="10"/>
        <w:ind w:left="65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656"/>
        <w:gridCol w:w="1296"/>
        <w:gridCol w:w="1296"/>
        <w:gridCol w:w="740"/>
        <w:gridCol w:w="372"/>
        <w:gridCol w:w="1416"/>
        <w:gridCol w:w="767"/>
      </w:tblGrid>
      <w:tr>
        <w:trPr>
          <w:trHeight w:val="484" w:hRule="exact"/>
        </w:trPr>
        <w:tc>
          <w:tcPr>
            <w:tcW w:w="265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60" w:lineRule="auto"/>
              <w:ind w:left="1064" w:right="1044"/>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37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6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60" w:lineRule="auto"/>
              <w:ind w:left="4"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838" w:hRule="exact"/>
        </w:trPr>
        <w:tc>
          <w:tcPr>
            <w:tcW w:w="2656"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70" w:right="360" w:firstLine="13"/>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06" w:right="89"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87" w:right="10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3" w:right="96"/>
              <w:jc w:val="left"/>
              <w:rPr>
                <w:rFonts w:ascii="宋体" w:hAnsi="宋体" w:cs="宋体" w:eastAsia="宋体" w:hint="default"/>
                <w:sz w:val="18"/>
                <w:szCs w:val="18"/>
              </w:rPr>
            </w:pPr>
            <w:r>
              <w:rPr>
                <w:rFonts w:ascii="宋体" w:hAnsi="宋体" w:cs="宋体" w:eastAsia="宋体" w:hint="default"/>
                <w:sz w:val="18"/>
                <w:szCs w:val="18"/>
              </w:rPr>
              <w:t>其 他</w:t>
            </w:r>
          </w:p>
        </w:tc>
        <w:tc>
          <w:tcPr>
            <w:tcW w:w="1416" w:type="dxa"/>
            <w:vMerge/>
            <w:tcBorders>
              <w:left w:val="single" w:sz="4" w:space="0" w:color="000000"/>
              <w:bottom w:val="single" w:sz="4" w:space="0" w:color="000000"/>
              <w:right w:val="single" w:sz="4" w:space="0" w:color="000000"/>
            </w:tcBorders>
          </w:tcPr>
          <w:p>
            <w:pPr/>
          </w:p>
        </w:tc>
        <w:tc>
          <w:tcPr>
            <w:tcW w:w="767" w:type="dxa"/>
            <w:vMerge/>
            <w:tcBorders>
              <w:left w:val="single" w:sz="4" w:space="0" w:color="000000"/>
              <w:bottom w:val="single" w:sz="4" w:space="0" w:color="000000"/>
              <w:right w:val="nil" w:sz="6" w:space="0" w:color="auto"/>
            </w:tcBorders>
          </w:tcPr>
          <w:p>
            <w:pPr/>
          </w:p>
        </w:tc>
      </w:tr>
      <w:tr>
        <w:trPr>
          <w:trHeight w:val="482"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9,000,000.00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74,615,658.61</w:t>
            </w:r>
          </w:p>
        </w:tc>
        <w:tc>
          <w:tcPr>
            <w:tcW w:w="76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22,129,769.43</w:t>
            </w:r>
          </w:p>
        </w:tc>
        <w:tc>
          <w:tcPr>
            <w:tcW w:w="76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日立泵制造</w:t>
            </w:r>
            <w:r>
              <w:rPr>
                <w:rFonts w:ascii="宋体" w:hAnsi="宋体" w:cs="宋体" w:eastAsia="宋体" w:hint="default"/>
                <w:sz w:val="18"/>
                <w:szCs w:val="18"/>
              </w:rPr>
              <w:t>(</w:t>
            </w:r>
            <w:r>
              <w:rPr>
                <w:rFonts w:ascii="宋体" w:hAnsi="宋体" w:cs="宋体" w:eastAsia="宋体" w:hint="default"/>
                <w:sz w:val="18"/>
                <w:szCs w:val="18"/>
              </w:rPr>
              <w:t>无锡</w:t>
            </w:r>
            <w:r>
              <w:rPr>
                <w:rFonts w:ascii="宋体" w:hAnsi="宋体" w:cs="宋体" w:eastAsia="宋体" w:hint="default"/>
                <w:sz w:val="18"/>
                <w:szCs w:val="18"/>
              </w:rPr>
              <w:t>)</w:t>
            </w:r>
            <w:r>
              <w:rPr>
                <w:rFonts w:ascii="宋体" w:hAnsi="宋体" w:cs="宋体" w:eastAsia="宋体" w:hint="default"/>
                <w:sz w:val="18"/>
                <w:szCs w:val="18"/>
              </w:rPr>
              <w:t>有限公司</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9,000,000.00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96,745,428.04</w:t>
            </w:r>
          </w:p>
        </w:tc>
        <w:tc>
          <w:tcPr>
            <w:tcW w:w="767" w:type="dxa"/>
            <w:tcBorders>
              <w:top w:val="single" w:sz="4" w:space="0" w:color="000000"/>
              <w:left w:val="single" w:sz="4" w:space="0" w:color="000000"/>
              <w:bottom w:val="single" w:sz="4" w:space="0" w:color="000000"/>
              <w:right w:val="nil" w:sz="6" w:space="0" w:color="auto"/>
            </w:tcBorders>
          </w:tcPr>
          <w:p>
            <w:pPr/>
          </w:p>
        </w:tc>
      </w:tr>
    </w:tbl>
    <w:p>
      <w:pPr>
        <w:spacing w:line="240" w:lineRule="auto" w:before="1"/>
        <w:rPr>
          <w:rFonts w:ascii="宋体" w:hAnsi="宋体" w:cs="宋体" w:eastAsia="宋体" w:hint="default"/>
          <w:sz w:val="29"/>
          <w:szCs w:val="29"/>
        </w:rPr>
      </w:pPr>
    </w:p>
    <w:p>
      <w:pPr>
        <w:pStyle w:val="BodyText"/>
        <w:spacing w:line="240" w:lineRule="auto" w:before="35"/>
        <w:ind w:left="658" w:right="1688"/>
        <w:jc w:val="left"/>
      </w:pPr>
      <w:bookmarkStart w:name="11. 投资性房地产" w:id="170"/>
      <w:bookmarkEnd w:id="170"/>
      <w:r>
        <w:rPr/>
      </w:r>
      <w:r>
        <w:rPr>
          <w:rFonts w:ascii="宋体" w:hAnsi="宋体" w:cs="宋体" w:eastAsia="宋体" w:hint="default"/>
        </w:rPr>
        <w:t>11.</w:t>
      </w:r>
      <w:r>
        <w:rPr>
          <w:rFonts w:ascii="宋体" w:hAnsi="宋体" w:cs="宋体" w:eastAsia="宋体" w:hint="default"/>
          <w:spacing w:val="-1"/>
        </w:rPr>
        <w:t> </w:t>
      </w:r>
      <w:r>
        <w:rPr/>
        <w:t>投资性房地产</w:t>
      </w:r>
    </w:p>
    <w:p>
      <w:pPr>
        <w:pStyle w:val="BodyText"/>
        <w:spacing w:line="240" w:lineRule="auto" w:before="173"/>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144"/>
        <w:gridCol w:w="1350"/>
        <w:gridCol w:w="1350"/>
        <w:gridCol w:w="2643"/>
      </w:tblGrid>
      <w:tr>
        <w:trPr>
          <w:trHeight w:val="5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9"/>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0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6"/>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3,981,339.39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284,962.00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4,266,301.39</w:t>
            </w: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39"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3,981,339.39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284,962.00</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4,266,301.39</w:t>
            </w: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累计折旧和累计摊销</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248,833.70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18,522.54</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267,356.24</w:t>
            </w: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72" w:right="0"/>
              <w:jc w:val="left"/>
              <w:rPr>
                <w:rFonts w:ascii="宋体" w:hAnsi="宋体" w:cs="宋体" w:eastAsia="宋体" w:hint="default"/>
                <w:sz w:val="18"/>
                <w:szCs w:val="18"/>
              </w:rPr>
            </w:pPr>
            <w:r>
              <w:rPr>
                <w:rFonts w:ascii="宋体" w:hAnsi="宋体" w:cs="宋体" w:eastAsia="宋体" w:hint="default"/>
                <w:sz w:val="18"/>
                <w:szCs w:val="18"/>
              </w:rPr>
              <w:t>计提或摊销</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199,066.96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5,699.24</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204,766.20</w:t>
            </w:r>
          </w:p>
        </w:tc>
      </w:tr>
      <w:tr>
        <w:trPr>
          <w:trHeight w:val="439"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57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41"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447,900.66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24,221.78</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7"/>
              <w:jc w:val="right"/>
              <w:rPr>
                <w:rFonts w:ascii="宋体" w:hAnsi="宋体" w:cs="宋体" w:eastAsia="宋体" w:hint="default"/>
                <w:sz w:val="18"/>
                <w:szCs w:val="18"/>
              </w:rPr>
            </w:pPr>
            <w:r>
              <w:rPr>
                <w:rFonts w:ascii="宋体"/>
                <w:sz w:val="18"/>
              </w:rPr>
              <w:t>472,122.44</w:t>
            </w: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2643" w:type="dxa"/>
            <w:tcBorders>
              <w:top w:val="single" w:sz="4" w:space="0" w:color="000000"/>
              <w:left w:val="single" w:sz="4" w:space="0" w:color="000000"/>
              <w:bottom w:val="single" w:sz="4" w:space="0" w:color="000000"/>
              <w:right w:val="nil" w:sz="6" w:space="0" w:color="auto"/>
            </w:tcBorders>
          </w:tcPr>
          <w:p>
            <w:pPr/>
          </w:p>
        </w:tc>
      </w:tr>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3,533,438.73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260,740.22</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3,794,178.95</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144"/>
        <w:gridCol w:w="1350"/>
        <w:gridCol w:w="1350"/>
        <w:gridCol w:w="2643"/>
      </w:tblGrid>
      <w:tr>
        <w:trPr>
          <w:trHeight w:val="440" w:hRule="exact"/>
        </w:trPr>
        <w:tc>
          <w:tcPr>
            <w:tcW w:w="3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sz w:val="18"/>
              </w:rPr>
              <w:t>3,732,505.69</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7" w:right="0"/>
              <w:jc w:val="left"/>
              <w:rPr>
                <w:rFonts w:ascii="宋体" w:hAnsi="宋体" w:cs="宋体" w:eastAsia="宋体" w:hint="default"/>
                <w:sz w:val="18"/>
                <w:szCs w:val="18"/>
              </w:rPr>
            </w:pPr>
            <w:r>
              <w:rPr>
                <w:rFonts w:ascii="宋体"/>
                <w:sz w:val="18"/>
              </w:rPr>
              <w:t>266,439.46</w:t>
            </w:r>
          </w:p>
        </w:tc>
        <w:tc>
          <w:tcPr>
            <w:tcW w:w="26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450" w:right="0"/>
              <w:jc w:val="left"/>
              <w:rPr>
                <w:rFonts w:ascii="宋体" w:hAnsi="宋体" w:cs="宋体" w:eastAsia="宋体" w:hint="default"/>
                <w:sz w:val="18"/>
                <w:szCs w:val="18"/>
              </w:rPr>
            </w:pPr>
            <w:r>
              <w:rPr>
                <w:rFonts w:ascii="宋体"/>
                <w:sz w:val="18"/>
              </w:rPr>
              <w:t>3,998,945.15</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未办妥产权证书的投资性房地产情况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132"/>
        <w:gridCol w:w="2802"/>
        <w:gridCol w:w="2609"/>
      </w:tblGrid>
      <w:tr>
        <w:trPr>
          <w:trHeight w:val="484"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84"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湖南利欧</w:t>
            </w:r>
            <w:r>
              <w:rPr>
                <w:rFonts w:ascii="宋体" w:hAnsi="宋体" w:cs="宋体" w:eastAsia="宋体" w:hint="default"/>
                <w:spacing w:val="-46"/>
                <w:sz w:val="18"/>
                <w:szCs w:val="18"/>
              </w:rPr>
              <w:t> </w:t>
            </w:r>
            <w:r>
              <w:rPr>
                <w:rFonts w:ascii="宋体" w:hAnsi="宋体" w:cs="宋体" w:eastAsia="宋体" w:hint="default"/>
                <w:sz w:val="18"/>
                <w:szCs w:val="18"/>
              </w:rPr>
              <w:t>3,800</w:t>
            </w:r>
            <w:r>
              <w:rPr>
                <w:rFonts w:ascii="宋体" w:hAnsi="宋体" w:cs="宋体" w:eastAsia="宋体" w:hint="default"/>
                <w:spacing w:val="-46"/>
                <w:sz w:val="18"/>
                <w:szCs w:val="18"/>
              </w:rPr>
              <w:t> </w:t>
            </w:r>
            <w:r>
              <w:rPr>
                <w:rFonts w:ascii="宋体" w:hAnsi="宋体" w:cs="宋体" w:eastAsia="宋体" w:hint="default"/>
                <w:sz w:val="18"/>
                <w:szCs w:val="18"/>
              </w:rPr>
              <w:t>台工业泵项目厂房</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3,794,178.95</w:t>
            </w:r>
          </w:p>
        </w:tc>
        <w:tc>
          <w:tcPr>
            <w:tcW w:w="26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6"/>
              <w:jc w:val="center"/>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84" w:hRule="exact"/>
        </w:trPr>
        <w:tc>
          <w:tcPr>
            <w:tcW w:w="31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3,794,178.95</w:t>
            </w:r>
          </w:p>
        </w:tc>
        <w:tc>
          <w:tcPr>
            <w:tcW w:w="2609"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12. 固定资产" w:id="171"/>
      <w:bookmarkEnd w:id="171"/>
      <w:r>
        <w:rPr/>
      </w:r>
      <w:r>
        <w:rPr>
          <w:rFonts w:ascii="宋体" w:hAnsi="宋体" w:cs="宋体" w:eastAsia="宋体" w:hint="default"/>
        </w:rPr>
        <w:t>12.</w:t>
      </w:r>
      <w:r>
        <w:rPr>
          <w:rFonts w:ascii="宋体" w:hAnsi="宋体" w:cs="宋体" w:eastAsia="宋体" w:hint="default"/>
          <w:spacing w:val="-1"/>
        </w:rPr>
        <w:t> </w:t>
      </w:r>
      <w:r>
        <w:rPr/>
        <w:t>固定资产</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806"/>
        <w:gridCol w:w="1480"/>
        <w:gridCol w:w="1502"/>
        <w:gridCol w:w="1578"/>
        <w:gridCol w:w="1415"/>
        <w:gridCol w:w="1496"/>
      </w:tblGrid>
      <w:tr>
        <w:trPr>
          <w:trHeight w:val="838"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453" w:right="474"/>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82"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349,996,392.21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499,334,978.75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27,206,573.34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30,173,409.88</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906,711,354.18</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宋体" w:hAnsi="宋体" w:cs="宋体" w:eastAsia="宋体" w:hint="default"/>
                <w:sz w:val="18"/>
                <w:szCs w:val="18"/>
              </w:rPr>
            </w:pPr>
            <w:r>
              <w:rPr>
                <w:rFonts w:ascii="宋体"/>
                <w:sz w:val="18"/>
              </w:rPr>
              <w:t>15,936,702.72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29,384,984.50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2,245,805.99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10,509,843.80</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58,077,337.01</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购置</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22,481,390.70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1,938,005.99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3,719,929.74</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28,139,326.43</w:t>
            </w:r>
          </w:p>
        </w:tc>
      </w:tr>
      <w:tr>
        <w:trPr>
          <w:trHeight w:val="837"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752" w:right="326" w:hanging="27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在建工程 转入</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0" w:right="0"/>
              <w:jc w:val="center"/>
              <w:rPr>
                <w:rFonts w:ascii="宋体" w:hAnsi="宋体" w:cs="宋体" w:eastAsia="宋体" w:hint="default"/>
                <w:sz w:val="18"/>
                <w:szCs w:val="18"/>
              </w:rPr>
            </w:pPr>
            <w:r>
              <w:rPr>
                <w:rFonts w:ascii="宋体"/>
                <w:sz w:val="18"/>
              </w:rPr>
              <w:t>15,936,702.72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6,903,593.80</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22,840,296.52</w:t>
            </w:r>
          </w:p>
        </w:tc>
      </w:tr>
      <w:tr>
        <w:trPr>
          <w:trHeight w:val="838"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91"/>
              <w:ind w:left="750" w:right="329" w:hanging="27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企业合并 增加</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307,800.00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6,789,914.06</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7,097,714.06</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121,551,181.31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12,985,894.07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3,868,683.39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304,351.44</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138,710,110.21</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46"/>
              <w:jc w:val="right"/>
              <w:rPr>
                <w:rFonts w:ascii="宋体" w:hAnsi="宋体" w:cs="宋体" w:eastAsia="宋体" w:hint="default"/>
                <w:sz w:val="18"/>
                <w:szCs w:val="18"/>
              </w:rPr>
            </w:pPr>
            <w:r>
              <w:rPr>
                <w:rFonts w:ascii="宋体" w:hAnsi="宋体" w:cs="宋体" w:eastAsia="宋体" w:hint="default"/>
                <w:sz w:val="18"/>
                <w:szCs w:val="18"/>
              </w:rPr>
              <w:t>处置或报废</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121,551,181.31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12,985,894.07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3,868,683.39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304,351.44</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138,710,110.21</w:t>
            </w:r>
          </w:p>
        </w:tc>
      </w:tr>
      <w:tr>
        <w:trPr>
          <w:trHeight w:val="482"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244,381,913.62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515,734,069.18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25,583,695.94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40,378,902.24</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826,078,580.98</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宋体" w:hAnsi="宋体" w:cs="宋体" w:eastAsia="宋体" w:hint="default"/>
                <w:sz w:val="18"/>
                <w:szCs w:val="18"/>
              </w:rPr>
            </w:pPr>
            <w:r>
              <w:rPr>
                <w:rFonts w:ascii="宋体"/>
                <w:sz w:val="18"/>
              </w:rPr>
              <w:t>67,883,336.29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219,853,000.09</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20,135,279.20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17,338,782.76</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325,210,398.34</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10,971,059.81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52,978,449.80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3,240,171.94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7,672,464.62</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74,862,146.17</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计提</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10,971,059.81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52,978,449.80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2,947,761.94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4,474,275.32</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71,371,546.87</w:t>
            </w:r>
          </w:p>
        </w:tc>
      </w:tr>
      <w:tr>
        <w:trPr>
          <w:trHeight w:val="836"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662" w:right="416" w:hanging="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企业合并 增加</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292,410.00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3,198,189.30</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3,490,599.30</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宋体" w:hAnsi="宋体" w:cs="宋体" w:eastAsia="宋体" w:hint="default"/>
                <w:sz w:val="18"/>
                <w:szCs w:val="18"/>
              </w:rPr>
            </w:pPr>
            <w:r>
              <w:rPr>
                <w:rFonts w:ascii="宋体"/>
                <w:sz w:val="18"/>
              </w:rPr>
              <w:t>29,033,478.84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4,332,021.84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3,127,704.81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207,484.43</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36,700,689.92</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46"/>
              <w:jc w:val="right"/>
              <w:rPr>
                <w:rFonts w:ascii="宋体" w:hAnsi="宋体" w:cs="宋体" w:eastAsia="宋体" w:hint="default"/>
                <w:sz w:val="18"/>
                <w:szCs w:val="18"/>
              </w:rPr>
            </w:pPr>
            <w:r>
              <w:rPr>
                <w:rFonts w:ascii="宋体" w:hAnsi="宋体" w:cs="宋体" w:eastAsia="宋体" w:hint="default"/>
                <w:sz w:val="18"/>
                <w:szCs w:val="18"/>
              </w:rPr>
              <w:t>处置或报废</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29,033,478.84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4,332,021.84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3,127,704.81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207,484.43</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36,700,689.92</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49,820,917.26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268,499,428.05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20,247,746.33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24,803,762.95</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363,371,854.59</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806"/>
        <w:gridCol w:w="1480"/>
        <w:gridCol w:w="1502"/>
        <w:gridCol w:w="1578"/>
        <w:gridCol w:w="1415"/>
        <w:gridCol w:w="1496"/>
      </w:tblGrid>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3,882,185.16</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3,882,185.16</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36"/>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36"/>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3,882,185.16</w:t>
            </w: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3,882,185.16</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0"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6"/>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194,560,996.36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243,352,455.97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5,335,949.61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宋体" w:hAnsi="宋体" w:cs="宋体" w:eastAsia="宋体" w:hint="default"/>
                <w:sz w:val="18"/>
                <w:szCs w:val="18"/>
              </w:rPr>
            </w:pPr>
            <w:r>
              <w:rPr>
                <w:rFonts w:ascii="宋体"/>
                <w:sz w:val="18"/>
              </w:rPr>
              <w:t>15,575,139.29</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458,824,541.23</w:t>
            </w:r>
          </w:p>
        </w:tc>
      </w:tr>
      <w:tr>
        <w:trPr>
          <w:trHeight w:val="484" w:hRule="exact"/>
        </w:trPr>
        <w:tc>
          <w:tcPr>
            <w:tcW w:w="18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36"/>
              <w:jc w:val="right"/>
              <w:rPr>
                <w:rFonts w:ascii="宋体" w:hAnsi="宋体" w:cs="宋体" w:eastAsia="宋体" w:hint="default"/>
                <w:sz w:val="18"/>
                <w:szCs w:val="18"/>
              </w:rPr>
            </w:pPr>
            <w:r>
              <w:rPr>
                <w:rFonts w:ascii="宋体" w:hAnsi="宋体" w:cs="宋体" w:eastAsia="宋体" w:hint="default"/>
                <w:sz w:val="18"/>
                <w:szCs w:val="18"/>
              </w:rPr>
              <w:t>期初账面价值</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282,113,055.92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275,599,793.50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7,071,294.14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 w:right="0"/>
              <w:jc w:val="center"/>
              <w:rPr>
                <w:rFonts w:ascii="宋体" w:hAnsi="宋体" w:cs="宋体" w:eastAsia="宋体" w:hint="default"/>
                <w:sz w:val="18"/>
                <w:szCs w:val="18"/>
              </w:rPr>
            </w:pPr>
            <w:r>
              <w:rPr>
                <w:rFonts w:ascii="宋体"/>
                <w:sz w:val="18"/>
              </w:rPr>
              <w:t>12,834,627.12</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577,618,770.68</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未办妥产权证书的固定资产的情况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048"/>
        <w:gridCol w:w="2652"/>
        <w:gridCol w:w="2843"/>
      </w:tblGrid>
      <w:tr>
        <w:trPr>
          <w:trHeight w:val="484" w:hRule="exact"/>
        </w:trPr>
        <w:tc>
          <w:tcPr>
            <w:tcW w:w="3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84" w:hRule="exact"/>
        </w:trPr>
        <w:tc>
          <w:tcPr>
            <w:tcW w:w="3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湖南利欧</w:t>
            </w:r>
            <w:r>
              <w:rPr>
                <w:rFonts w:ascii="宋体" w:hAnsi="宋体" w:cs="宋体" w:eastAsia="宋体" w:hint="default"/>
                <w:spacing w:val="-46"/>
                <w:sz w:val="18"/>
                <w:szCs w:val="18"/>
              </w:rPr>
              <w:t> </w:t>
            </w:r>
            <w:r>
              <w:rPr>
                <w:rFonts w:ascii="宋体" w:hAnsi="宋体" w:cs="宋体" w:eastAsia="宋体" w:hint="default"/>
                <w:sz w:val="18"/>
                <w:szCs w:val="18"/>
              </w:rPr>
              <w:t>3800</w:t>
            </w:r>
            <w:r>
              <w:rPr>
                <w:rFonts w:ascii="宋体" w:hAnsi="宋体" w:cs="宋体" w:eastAsia="宋体" w:hint="default"/>
                <w:spacing w:val="-45"/>
                <w:sz w:val="18"/>
                <w:szCs w:val="18"/>
              </w:rPr>
              <w:t> </w:t>
            </w:r>
            <w:r>
              <w:rPr>
                <w:rFonts w:ascii="宋体" w:hAnsi="宋体" w:cs="宋体" w:eastAsia="宋体" w:hint="default"/>
                <w:sz w:val="18"/>
                <w:szCs w:val="18"/>
              </w:rPr>
              <w:t>台工业泵项目厂房等</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78,404,589.01</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7"/>
              <w:jc w:val="center"/>
              <w:rPr>
                <w:rFonts w:ascii="宋体" w:hAnsi="宋体" w:cs="宋体" w:eastAsia="宋体" w:hint="default"/>
                <w:sz w:val="18"/>
                <w:szCs w:val="18"/>
              </w:rPr>
            </w:pPr>
            <w:r>
              <w:rPr>
                <w:rFonts w:ascii="宋体" w:hAnsi="宋体" w:cs="宋体" w:eastAsia="宋体" w:hint="default"/>
                <w:sz w:val="18"/>
                <w:szCs w:val="18"/>
              </w:rPr>
              <w:t>申请办理中</w:t>
            </w:r>
          </w:p>
        </w:tc>
      </w:tr>
      <w:tr>
        <w:trPr>
          <w:trHeight w:val="484" w:hRule="exact"/>
        </w:trPr>
        <w:tc>
          <w:tcPr>
            <w:tcW w:w="3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78,404,589.01</w:t>
            </w:r>
          </w:p>
        </w:tc>
        <w:tc>
          <w:tcPr>
            <w:tcW w:w="2843"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13. 在建工程" w:id="172"/>
      <w:bookmarkEnd w:id="172"/>
      <w:r>
        <w:rPr/>
      </w:r>
      <w:r>
        <w:rPr>
          <w:rFonts w:ascii="宋体" w:hAnsi="宋体" w:cs="宋体" w:eastAsia="宋体" w:hint="default"/>
        </w:rPr>
        <w:t>13.</w:t>
      </w:r>
      <w:r>
        <w:rPr>
          <w:rFonts w:ascii="宋体" w:hAnsi="宋体" w:cs="宋体" w:eastAsia="宋体" w:hint="default"/>
          <w:spacing w:val="-1"/>
        </w:rPr>
        <w:t> </w:t>
      </w:r>
      <w:r>
        <w:rPr/>
        <w:t>在建工程</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156"/>
        <w:gridCol w:w="1246"/>
        <w:gridCol w:w="560"/>
        <w:gridCol w:w="1267"/>
        <w:gridCol w:w="1322"/>
        <w:gridCol w:w="659"/>
        <w:gridCol w:w="1344"/>
      </w:tblGrid>
      <w:tr>
        <w:trPr>
          <w:trHeight w:val="484" w:hRule="exact"/>
        </w:trPr>
        <w:tc>
          <w:tcPr>
            <w:tcW w:w="215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32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71"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838" w:hRule="exact"/>
        </w:trPr>
        <w:tc>
          <w:tcPr>
            <w:tcW w:w="2156" w:type="dxa"/>
            <w:vMerge/>
            <w:tcBorders>
              <w:left w:val="nil" w:sz="6" w:space="0" w:color="auto"/>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91" w:right="9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58" w:right="12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82"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60"/>
              <w:jc w:val="right"/>
              <w:rPr>
                <w:rFonts w:ascii="宋体" w:hAnsi="宋体" w:cs="宋体" w:eastAsia="宋体" w:hint="default"/>
                <w:sz w:val="15"/>
                <w:szCs w:val="15"/>
              </w:rPr>
            </w:pPr>
            <w:r>
              <w:rPr>
                <w:rFonts w:ascii="宋体"/>
                <w:spacing w:val="-1"/>
                <w:sz w:val="15"/>
              </w:rPr>
              <w:t>100,155,471.43</w:t>
            </w:r>
          </w:p>
        </w:tc>
        <w:tc>
          <w:tcPr>
            <w:tcW w:w="56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9"/>
              <w:jc w:val="right"/>
              <w:rPr>
                <w:rFonts w:ascii="宋体" w:hAnsi="宋体" w:cs="宋体" w:eastAsia="宋体" w:hint="default"/>
                <w:sz w:val="15"/>
                <w:szCs w:val="15"/>
              </w:rPr>
            </w:pPr>
            <w:r>
              <w:rPr>
                <w:rFonts w:ascii="宋体"/>
                <w:spacing w:val="-1"/>
                <w:sz w:val="15"/>
              </w:rPr>
              <w:t>100,155,471.43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75" w:right="0"/>
              <w:jc w:val="left"/>
              <w:rPr>
                <w:rFonts w:ascii="宋体" w:hAnsi="宋体" w:cs="宋体" w:eastAsia="宋体" w:hint="default"/>
                <w:sz w:val="15"/>
                <w:szCs w:val="15"/>
              </w:rPr>
            </w:pPr>
            <w:r>
              <w:rPr>
                <w:rFonts w:ascii="宋体"/>
                <w:sz w:val="15"/>
              </w:rPr>
              <w:t>13,392,007.20</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13,392,007.20</w:t>
            </w:r>
          </w:p>
        </w:tc>
      </w:tr>
      <w:tr>
        <w:trPr>
          <w:trHeight w:val="484"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职工宿舍项目</w:t>
            </w:r>
          </w:p>
        </w:tc>
        <w:tc>
          <w:tcPr>
            <w:tcW w:w="124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50" w:right="0"/>
              <w:jc w:val="left"/>
              <w:rPr>
                <w:rFonts w:ascii="宋体" w:hAnsi="宋体" w:cs="宋体" w:eastAsia="宋体" w:hint="default"/>
                <w:sz w:val="15"/>
                <w:szCs w:val="15"/>
              </w:rPr>
            </w:pPr>
            <w:r>
              <w:rPr>
                <w:rFonts w:ascii="宋体"/>
                <w:sz w:val="15"/>
              </w:rPr>
              <w:t>6,748,320.61</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6,748,320.61</w:t>
            </w:r>
          </w:p>
        </w:tc>
      </w:tr>
      <w:tr>
        <w:trPr>
          <w:trHeight w:val="484"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9"/>
              <w:jc w:val="right"/>
              <w:rPr>
                <w:rFonts w:ascii="宋体" w:hAnsi="宋体" w:cs="宋体" w:eastAsia="宋体" w:hint="default"/>
                <w:sz w:val="15"/>
                <w:szCs w:val="15"/>
              </w:rPr>
            </w:pPr>
            <w:r>
              <w:rPr>
                <w:rFonts w:ascii="宋体"/>
                <w:spacing w:val="-1"/>
                <w:sz w:val="15"/>
              </w:rPr>
              <w:t>13,903,147.17</w:t>
            </w:r>
          </w:p>
        </w:tc>
        <w:tc>
          <w:tcPr>
            <w:tcW w:w="56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59"/>
              <w:jc w:val="right"/>
              <w:rPr>
                <w:rFonts w:ascii="宋体" w:hAnsi="宋体" w:cs="宋体" w:eastAsia="宋体" w:hint="default"/>
                <w:sz w:val="15"/>
                <w:szCs w:val="15"/>
              </w:rPr>
            </w:pPr>
            <w:r>
              <w:rPr>
                <w:rFonts w:ascii="宋体"/>
                <w:spacing w:val="-1"/>
                <w:sz w:val="15"/>
              </w:rPr>
              <w:t>13,903,147.17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350" w:right="0"/>
              <w:jc w:val="left"/>
              <w:rPr>
                <w:rFonts w:ascii="宋体" w:hAnsi="宋体" w:cs="宋体" w:eastAsia="宋体" w:hint="default"/>
                <w:sz w:val="15"/>
                <w:szCs w:val="15"/>
              </w:rPr>
            </w:pPr>
            <w:r>
              <w:rPr>
                <w:rFonts w:ascii="宋体"/>
                <w:sz w:val="15"/>
              </w:rPr>
              <w:t>3,984,514.79</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3,984,514.79</w:t>
            </w:r>
          </w:p>
        </w:tc>
      </w:tr>
      <w:tr>
        <w:trPr>
          <w:trHeight w:val="484"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60"/>
              <w:jc w:val="right"/>
              <w:rPr>
                <w:rFonts w:ascii="宋体" w:hAnsi="宋体" w:cs="宋体" w:eastAsia="宋体" w:hint="default"/>
                <w:sz w:val="15"/>
                <w:szCs w:val="15"/>
              </w:rPr>
            </w:pPr>
            <w:r>
              <w:rPr>
                <w:rFonts w:ascii="宋体"/>
                <w:spacing w:val="-1"/>
                <w:sz w:val="15"/>
              </w:rPr>
              <w:t>114,058,618.60</w:t>
            </w:r>
          </w:p>
        </w:tc>
        <w:tc>
          <w:tcPr>
            <w:tcW w:w="560"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9"/>
              <w:jc w:val="right"/>
              <w:rPr>
                <w:rFonts w:ascii="宋体" w:hAnsi="宋体" w:cs="宋体" w:eastAsia="宋体" w:hint="default"/>
                <w:sz w:val="15"/>
                <w:szCs w:val="15"/>
              </w:rPr>
            </w:pPr>
            <w:r>
              <w:rPr>
                <w:rFonts w:ascii="宋体"/>
                <w:spacing w:val="-1"/>
                <w:sz w:val="15"/>
              </w:rPr>
              <w:t>114,058,618.60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75" w:right="0"/>
              <w:jc w:val="left"/>
              <w:rPr>
                <w:rFonts w:ascii="宋体" w:hAnsi="宋体" w:cs="宋体" w:eastAsia="宋体" w:hint="default"/>
                <w:sz w:val="15"/>
                <w:szCs w:val="15"/>
              </w:rPr>
            </w:pPr>
            <w:r>
              <w:rPr>
                <w:rFonts w:ascii="宋体"/>
                <w:sz w:val="15"/>
              </w:rPr>
              <w:t>24,124,842.60</w:t>
            </w:r>
          </w:p>
        </w:tc>
        <w:tc>
          <w:tcPr>
            <w:tcW w:w="65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64"/>
              <w:jc w:val="right"/>
              <w:rPr>
                <w:rFonts w:ascii="宋体" w:hAnsi="宋体" w:cs="宋体" w:eastAsia="宋体" w:hint="default"/>
                <w:sz w:val="15"/>
                <w:szCs w:val="15"/>
              </w:rPr>
            </w:pPr>
            <w:r>
              <w:rPr>
                <w:rFonts w:ascii="宋体"/>
                <w:spacing w:val="-1"/>
                <w:sz w:val="15"/>
              </w:rPr>
              <w:t>24,124,842.60</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重要在建工程项目本期变动情况</w:t>
      </w:r>
    </w:p>
    <w:p>
      <w:pPr>
        <w:spacing w:line="240" w:lineRule="auto" w:before="11"/>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2105"/>
        <w:gridCol w:w="913"/>
        <w:gridCol w:w="1252"/>
        <w:gridCol w:w="1196"/>
        <w:gridCol w:w="1097"/>
        <w:gridCol w:w="895"/>
        <w:gridCol w:w="1266"/>
      </w:tblGrid>
      <w:tr>
        <w:trPr>
          <w:trHeight w:val="48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转入固定资产</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35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3"/>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center"/>
              <w:rPr>
                <w:rFonts w:ascii="宋体" w:hAnsi="宋体" w:cs="宋体" w:eastAsia="宋体" w:hint="default"/>
                <w:sz w:val="15"/>
                <w:szCs w:val="15"/>
              </w:rPr>
            </w:pPr>
            <w:r>
              <w:rPr>
                <w:rFonts w:ascii="宋体" w:hAnsi="宋体" w:cs="宋体" w:eastAsia="宋体" w:hint="default"/>
                <w:sz w:val="15"/>
                <w:szCs w:val="15"/>
              </w:rPr>
              <w:t>33000</w:t>
            </w:r>
            <w:r>
              <w:rPr>
                <w:rFonts w:ascii="宋体" w:hAnsi="宋体" w:cs="宋体" w:eastAsia="宋体" w:hint="default"/>
                <w:spacing w:val="-39"/>
                <w:sz w:val="15"/>
                <w:szCs w:val="15"/>
              </w:rPr>
              <w:t> </w:t>
            </w:r>
            <w:r>
              <w:rPr>
                <w:rFonts w:ascii="宋体" w:hAnsi="宋体" w:cs="宋体" w:eastAsia="宋体" w:hint="default"/>
                <w:sz w:val="15"/>
                <w:szCs w:val="15"/>
              </w:rPr>
              <w:t>万元</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9"/>
              <w:jc w:val="right"/>
              <w:rPr>
                <w:rFonts w:ascii="宋体" w:hAnsi="宋体" w:cs="宋体" w:eastAsia="宋体" w:hint="default"/>
                <w:sz w:val="15"/>
                <w:szCs w:val="15"/>
              </w:rPr>
            </w:pPr>
            <w:r>
              <w:rPr>
                <w:rFonts w:ascii="宋体"/>
                <w:spacing w:val="-1"/>
                <w:sz w:val="15"/>
              </w:rPr>
              <w:t>13,392,007.20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9"/>
              <w:jc w:val="right"/>
              <w:rPr>
                <w:rFonts w:ascii="宋体" w:hAnsi="宋体" w:cs="宋体" w:eastAsia="宋体" w:hint="default"/>
                <w:sz w:val="15"/>
                <w:szCs w:val="15"/>
              </w:rPr>
            </w:pPr>
            <w:r>
              <w:rPr>
                <w:rFonts w:ascii="宋体"/>
                <w:spacing w:val="-1"/>
                <w:sz w:val="15"/>
              </w:rPr>
              <w:t>86,763,464.23</w:t>
            </w:r>
          </w:p>
        </w:tc>
        <w:tc>
          <w:tcPr>
            <w:tcW w:w="109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64"/>
              <w:jc w:val="right"/>
              <w:rPr>
                <w:rFonts w:ascii="宋体" w:hAnsi="宋体" w:cs="宋体" w:eastAsia="宋体" w:hint="default"/>
                <w:sz w:val="15"/>
                <w:szCs w:val="15"/>
              </w:rPr>
            </w:pPr>
            <w:r>
              <w:rPr>
                <w:rFonts w:ascii="宋体"/>
                <w:spacing w:val="-1"/>
                <w:sz w:val="15"/>
              </w:rPr>
              <w:t>100,155,471.43</w:t>
            </w:r>
          </w:p>
        </w:tc>
      </w:tr>
      <w:tr>
        <w:trPr>
          <w:trHeight w:val="48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职工宿舍项目</w:t>
            </w:r>
          </w:p>
        </w:tc>
        <w:tc>
          <w:tcPr>
            <w:tcW w:w="91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9"/>
              <w:jc w:val="right"/>
              <w:rPr>
                <w:rFonts w:ascii="宋体" w:hAnsi="宋体" w:cs="宋体" w:eastAsia="宋体" w:hint="default"/>
                <w:sz w:val="15"/>
                <w:szCs w:val="15"/>
              </w:rPr>
            </w:pPr>
            <w:r>
              <w:rPr>
                <w:rFonts w:ascii="宋体"/>
                <w:spacing w:val="-1"/>
                <w:sz w:val="15"/>
              </w:rPr>
              <w:t>6,748,320.61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9"/>
              <w:jc w:val="right"/>
              <w:rPr>
                <w:rFonts w:ascii="宋体" w:hAnsi="宋体" w:cs="宋体" w:eastAsia="宋体" w:hint="default"/>
                <w:sz w:val="15"/>
                <w:szCs w:val="15"/>
              </w:rPr>
            </w:pPr>
            <w:r>
              <w:rPr>
                <w:rFonts w:ascii="宋体"/>
                <w:spacing w:val="-1"/>
                <w:sz w:val="15"/>
              </w:rPr>
              <w:t>7,823,967.61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
              <w:jc w:val="center"/>
              <w:rPr>
                <w:rFonts w:ascii="宋体" w:hAnsi="宋体" w:cs="宋体" w:eastAsia="宋体" w:hint="default"/>
                <w:sz w:val="15"/>
                <w:szCs w:val="15"/>
              </w:rPr>
            </w:pPr>
            <w:r>
              <w:rPr>
                <w:rFonts w:ascii="宋体"/>
                <w:sz w:val="15"/>
              </w:rPr>
              <w:t>14,572,288.22</w:t>
            </w:r>
          </w:p>
        </w:tc>
        <w:tc>
          <w:tcPr>
            <w:tcW w:w="89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91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9"/>
              <w:jc w:val="right"/>
              <w:rPr>
                <w:rFonts w:ascii="宋体" w:hAnsi="宋体" w:cs="宋体" w:eastAsia="宋体" w:hint="default"/>
                <w:sz w:val="15"/>
                <w:szCs w:val="15"/>
              </w:rPr>
            </w:pPr>
            <w:r>
              <w:rPr>
                <w:rFonts w:ascii="宋体"/>
                <w:spacing w:val="-1"/>
                <w:sz w:val="15"/>
              </w:rPr>
              <w:t>3,984,514.79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9"/>
              <w:jc w:val="right"/>
              <w:rPr>
                <w:rFonts w:ascii="宋体" w:hAnsi="宋体" w:cs="宋体" w:eastAsia="宋体" w:hint="default"/>
                <w:sz w:val="15"/>
                <w:szCs w:val="15"/>
              </w:rPr>
            </w:pPr>
            <w:r>
              <w:rPr>
                <w:rFonts w:ascii="宋体"/>
                <w:spacing w:val="-1"/>
                <w:sz w:val="15"/>
              </w:rPr>
              <w:t>18,186,640.68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 w:right="0"/>
              <w:jc w:val="center"/>
              <w:rPr>
                <w:rFonts w:ascii="宋体" w:hAnsi="宋体" w:cs="宋体" w:eastAsia="宋体" w:hint="default"/>
                <w:sz w:val="15"/>
                <w:szCs w:val="15"/>
              </w:rPr>
            </w:pPr>
            <w:r>
              <w:rPr>
                <w:rFonts w:ascii="宋体"/>
                <w:sz w:val="15"/>
              </w:rPr>
              <w:t>8,268,008.30</w:t>
            </w:r>
          </w:p>
        </w:tc>
        <w:tc>
          <w:tcPr>
            <w:tcW w:w="89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64"/>
              <w:jc w:val="right"/>
              <w:rPr>
                <w:rFonts w:ascii="宋体" w:hAnsi="宋体" w:cs="宋体" w:eastAsia="宋体" w:hint="default"/>
                <w:sz w:val="15"/>
                <w:szCs w:val="15"/>
              </w:rPr>
            </w:pPr>
            <w:r>
              <w:rPr>
                <w:rFonts w:ascii="宋体"/>
                <w:spacing w:val="-1"/>
                <w:sz w:val="15"/>
              </w:rPr>
              <w:t>13,903,147.17</w:t>
            </w:r>
          </w:p>
        </w:tc>
      </w:tr>
      <w:tr>
        <w:trPr>
          <w:trHeight w:val="48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1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9"/>
              <w:jc w:val="right"/>
              <w:rPr>
                <w:rFonts w:ascii="宋体" w:hAnsi="宋体" w:cs="宋体" w:eastAsia="宋体" w:hint="default"/>
                <w:sz w:val="15"/>
                <w:szCs w:val="15"/>
              </w:rPr>
            </w:pPr>
            <w:r>
              <w:rPr>
                <w:rFonts w:ascii="宋体"/>
                <w:spacing w:val="-1"/>
                <w:sz w:val="15"/>
              </w:rPr>
              <w:t>24,124,842.60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59"/>
              <w:jc w:val="right"/>
              <w:rPr>
                <w:rFonts w:ascii="宋体" w:hAnsi="宋体" w:cs="宋体" w:eastAsia="宋体" w:hint="default"/>
                <w:sz w:val="15"/>
                <w:szCs w:val="15"/>
              </w:rPr>
            </w:pPr>
            <w:r>
              <w:rPr>
                <w:rFonts w:ascii="宋体"/>
                <w:spacing w:val="-1"/>
                <w:sz w:val="15"/>
              </w:rPr>
              <w:t>112,774,072.52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8"/>
              <w:jc w:val="center"/>
              <w:rPr>
                <w:rFonts w:ascii="宋体" w:hAnsi="宋体" w:cs="宋体" w:eastAsia="宋体" w:hint="default"/>
                <w:sz w:val="15"/>
                <w:szCs w:val="15"/>
              </w:rPr>
            </w:pPr>
            <w:r>
              <w:rPr>
                <w:rFonts w:ascii="宋体"/>
                <w:sz w:val="15"/>
              </w:rPr>
              <w:t>22,840,296.52</w:t>
            </w:r>
          </w:p>
        </w:tc>
        <w:tc>
          <w:tcPr>
            <w:tcW w:w="89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4"/>
              <w:ind w:right="107"/>
              <w:jc w:val="right"/>
              <w:rPr>
                <w:rFonts w:ascii="宋体" w:hAnsi="宋体" w:cs="宋体" w:eastAsia="宋体" w:hint="default"/>
                <w:sz w:val="15"/>
                <w:szCs w:val="15"/>
              </w:rPr>
            </w:pPr>
            <w:r>
              <w:rPr>
                <w:rFonts w:ascii="宋体"/>
                <w:spacing w:val="-1"/>
                <w:sz w:val="15"/>
              </w:rPr>
              <w:t>114,058,618.60</w:t>
            </w:r>
          </w:p>
        </w:tc>
      </w:tr>
    </w:tbl>
    <w:p>
      <w:pPr>
        <w:spacing w:before="10"/>
        <w:ind w:left="65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226"/>
        <w:gridCol w:w="1274"/>
        <w:gridCol w:w="674"/>
        <w:gridCol w:w="1028"/>
        <w:gridCol w:w="1135"/>
        <w:gridCol w:w="983"/>
        <w:gridCol w:w="1200"/>
      </w:tblGrid>
      <w:tr>
        <w:trPr>
          <w:trHeight w:val="836"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45" w:right="47" w:firstLine="37"/>
              <w:jc w:val="left"/>
              <w:rPr>
                <w:rFonts w:ascii="宋体" w:hAnsi="宋体" w:cs="宋体" w:eastAsia="宋体" w:hint="default"/>
                <w:sz w:val="18"/>
                <w:szCs w:val="18"/>
              </w:rPr>
            </w:pPr>
            <w:r>
              <w:rPr>
                <w:rFonts w:ascii="宋体" w:hAnsi="宋体" w:cs="宋体" w:eastAsia="宋体" w:hint="default"/>
                <w:sz w:val="18"/>
                <w:szCs w:val="18"/>
              </w:rPr>
              <w:t>工程累计投入 占预算比例</w:t>
            </w:r>
            <w:r>
              <w:rPr>
                <w:rFonts w:ascii="宋体" w:hAnsi="宋体" w:cs="宋体" w:eastAsia="宋体" w:hint="default"/>
                <w:sz w:val="18"/>
                <w:szCs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6" w:right="61" w:hanging="46"/>
              <w:jc w:val="left"/>
              <w:rPr>
                <w:rFonts w:ascii="宋体" w:hAnsi="宋体" w:cs="宋体" w:eastAsia="宋体" w:hint="default"/>
                <w:sz w:val="18"/>
                <w:szCs w:val="18"/>
              </w:rPr>
            </w:pPr>
            <w:r>
              <w:rPr>
                <w:rFonts w:ascii="宋体" w:hAnsi="宋体" w:cs="宋体" w:eastAsia="宋体" w:hint="default"/>
                <w:sz w:val="18"/>
                <w:szCs w:val="18"/>
              </w:rPr>
              <w:t>工程进 度</w:t>
            </w:r>
            <w:r>
              <w:rPr>
                <w:rFonts w:ascii="宋体" w:hAnsi="宋体" w:cs="宋体" w:eastAsia="宋体" w:hint="default"/>
                <w:sz w:val="18"/>
                <w:szCs w:val="18"/>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57" w:right="59" w:firstLine="90"/>
              <w:jc w:val="left"/>
              <w:rPr>
                <w:rFonts w:ascii="宋体" w:hAnsi="宋体" w:cs="宋体" w:eastAsia="宋体" w:hint="default"/>
                <w:sz w:val="18"/>
                <w:szCs w:val="18"/>
              </w:rPr>
            </w:pPr>
            <w:r>
              <w:rPr>
                <w:rFonts w:ascii="宋体" w:hAnsi="宋体" w:cs="宋体" w:eastAsia="宋体" w:hint="default"/>
                <w:sz w:val="18"/>
                <w:szCs w:val="18"/>
              </w:rPr>
              <w:t>利息资本 化累计金额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12" w:right="110" w:firstLine="90"/>
              <w:jc w:val="left"/>
              <w:rPr>
                <w:rFonts w:ascii="宋体" w:hAnsi="宋体" w:cs="宋体" w:eastAsia="宋体" w:hint="default"/>
                <w:sz w:val="18"/>
                <w:szCs w:val="18"/>
              </w:rPr>
            </w:pPr>
            <w:r>
              <w:rPr>
                <w:rFonts w:ascii="宋体" w:hAnsi="宋体" w:cs="宋体" w:eastAsia="宋体" w:hint="default"/>
                <w:sz w:val="18"/>
                <w:szCs w:val="18"/>
              </w:rPr>
              <w:t>本期利息 资本化金额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0" w:right="35" w:hanging="45"/>
              <w:jc w:val="left"/>
              <w:rPr>
                <w:rFonts w:ascii="宋体" w:hAnsi="宋体" w:cs="宋体" w:eastAsia="宋体" w:hint="default"/>
                <w:sz w:val="18"/>
                <w:szCs w:val="18"/>
              </w:rPr>
            </w:pPr>
            <w:r>
              <w:rPr>
                <w:rFonts w:ascii="宋体" w:hAnsi="宋体" w:cs="宋体" w:eastAsia="宋体" w:hint="default"/>
                <w:sz w:val="18"/>
                <w:szCs w:val="18"/>
              </w:rPr>
              <w:t>本期利息资 本化率</w:t>
            </w:r>
            <w:r>
              <w:rPr>
                <w:rFonts w:ascii="宋体" w:hAnsi="宋体" w:cs="宋体" w:eastAsia="宋体" w:hint="default"/>
                <w:sz w:val="18"/>
                <w:szCs w:val="18"/>
              </w:rPr>
              <w:t>(%)</w:t>
            </w: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484"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东部产业集聚区基建项目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宋体" w:hAnsi="宋体" w:cs="宋体" w:eastAsia="宋体" w:hint="default"/>
                <w:sz w:val="18"/>
                <w:szCs w:val="18"/>
              </w:rPr>
            </w:pPr>
            <w:r>
              <w:rPr>
                <w:rFonts w:ascii="宋体"/>
                <w:sz w:val="18"/>
              </w:rPr>
              <w:t>30.30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宋体" w:hAnsi="宋体" w:cs="宋体" w:eastAsia="宋体" w:hint="default"/>
                <w:sz w:val="18"/>
                <w:szCs w:val="18"/>
              </w:rPr>
            </w:pPr>
            <w:r>
              <w:rPr>
                <w:rFonts w:ascii="宋体"/>
                <w:sz w:val="18"/>
              </w:rPr>
              <w:t>35.00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3"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84"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职工宿舍项目</w:t>
            </w:r>
          </w:p>
        </w:tc>
        <w:tc>
          <w:tcPr>
            <w:tcW w:w="12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9"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84"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2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79" w:right="0"/>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84" w:hRule="exact"/>
        </w:trPr>
        <w:tc>
          <w:tcPr>
            <w:tcW w:w="2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658" w:right="1688"/>
        <w:jc w:val="left"/>
      </w:pPr>
      <w:bookmarkStart w:name="14. 无形资产" w:id="173"/>
      <w:bookmarkEnd w:id="173"/>
      <w:r>
        <w:rPr/>
      </w:r>
      <w:r>
        <w:rPr>
          <w:rFonts w:ascii="宋体" w:hAnsi="宋体" w:cs="宋体" w:eastAsia="宋体" w:hint="default"/>
        </w:rPr>
        <w:t>14.</w:t>
      </w:r>
      <w:r>
        <w:rPr>
          <w:rFonts w:ascii="宋体" w:hAnsi="宋体" w:cs="宋体" w:eastAsia="宋体" w:hint="default"/>
          <w:spacing w:val="-1"/>
        </w:rPr>
        <w:t> </w:t>
      </w:r>
      <w:r>
        <w:rPr/>
        <w:t>无形资产</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703"/>
        <w:gridCol w:w="1476"/>
        <w:gridCol w:w="1386"/>
        <w:gridCol w:w="1116"/>
        <w:gridCol w:w="1386"/>
        <w:gridCol w:w="1476"/>
      </w:tblGrid>
      <w:tr>
        <w:trPr>
          <w:trHeight w:val="540"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7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16"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451"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118,512,071.30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9,348,727.78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613,605.00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30,046,632.08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158,521,036.16</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33"/>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147,160,190.00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3,118,615.71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150,278,805.71</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购置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147,160,190.00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3,017,220.99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150,177,410.99</w:t>
            </w:r>
          </w:p>
        </w:tc>
      </w:tr>
      <w:tr>
        <w:trPr>
          <w:trHeight w:val="836"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700" w:right="275" w:hanging="27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企业合并 增加</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101,394.72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101,394.72</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right="133"/>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33,162,661.84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262,568.38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33,425,230.22</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处置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33,162,661.84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262,568.38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33,425,230.22</w:t>
            </w:r>
          </w:p>
        </w:tc>
      </w:tr>
      <w:tr>
        <w:trPr>
          <w:trHeight w:val="482"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232,509,599.46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12,204,775.11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613,605.00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30,046,632.08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275,374,611.65</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13,006,313.15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6,436,329.07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343,838.36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13,264,906.89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33,051,387.47</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33"/>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4,773,259.39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1,502,730.91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115,633.16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4,195,082.68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10,586,706.14</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计提</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4,773,259.39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1,430,245.94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115,633.16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4,195,082.68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10,514,221.17</w:t>
            </w:r>
          </w:p>
        </w:tc>
      </w:tr>
      <w:tr>
        <w:trPr>
          <w:trHeight w:val="836"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752" w:right="223" w:hanging="27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企业合并 增加</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72,484.97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72,484.97</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33"/>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4,774,275.48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69,458.97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4,843,734.45</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91"/>
              <w:jc w:val="center"/>
              <w:rPr>
                <w:rFonts w:ascii="宋体" w:hAnsi="宋体" w:cs="宋体" w:eastAsia="宋体" w:hint="default"/>
                <w:sz w:val="18"/>
                <w:szCs w:val="18"/>
              </w:rPr>
            </w:pPr>
            <w:r>
              <w:rPr>
                <w:rFonts w:ascii="宋体" w:hAnsi="宋体" w:cs="宋体" w:eastAsia="宋体" w:hint="default"/>
                <w:sz w:val="18"/>
                <w:szCs w:val="18"/>
              </w:rPr>
              <w:t>处置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4,774,275.48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69,458.97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4,843,734.45</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13,005,297.06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7,869,601.01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459,471.52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17,459,989.57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38,794,359.16</w:t>
            </w: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33"/>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219,504,302.40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4,335,174.10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154,133.48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12,586,642.51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236,580,252.49</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703"/>
        <w:gridCol w:w="1476"/>
        <w:gridCol w:w="1386"/>
        <w:gridCol w:w="1116"/>
        <w:gridCol w:w="1386"/>
        <w:gridCol w:w="1476"/>
      </w:tblGrid>
      <w:tr>
        <w:trPr>
          <w:trHeight w:val="484" w:hRule="exact"/>
        </w:trPr>
        <w:tc>
          <w:tcPr>
            <w:tcW w:w="1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sz w:val="18"/>
              </w:rPr>
              <w:t>105,505,758.15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2" w:right="0"/>
              <w:jc w:val="left"/>
              <w:rPr>
                <w:rFonts w:ascii="宋体" w:hAnsi="宋体" w:cs="宋体" w:eastAsia="宋体" w:hint="default"/>
                <w:sz w:val="18"/>
                <w:szCs w:val="18"/>
              </w:rPr>
            </w:pPr>
            <w:r>
              <w:rPr>
                <w:rFonts w:ascii="宋体"/>
                <w:sz w:val="18"/>
              </w:rPr>
              <w:t>2,912,398.71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sz w:val="18"/>
              </w:rPr>
              <w:t>269,766.64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sz w:val="18"/>
              </w:rPr>
              <w:t>16,781,725.19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sz w:val="18"/>
              </w:rPr>
              <w:t>125,469,648.69</w:t>
            </w: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15. 商誉" w:id="174"/>
      <w:bookmarkEnd w:id="174"/>
      <w:r>
        <w:rPr/>
      </w:r>
      <w:r>
        <w:rPr>
          <w:rFonts w:ascii="宋体" w:hAnsi="宋体" w:cs="宋体" w:eastAsia="宋体" w:hint="default"/>
        </w:rPr>
        <w:t>15. </w:t>
      </w:r>
      <w:r>
        <w:rPr/>
        <w:t>商誉</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商誉账面原值</w:t>
      </w:r>
    </w:p>
    <w:p>
      <w:pPr>
        <w:spacing w:line="240" w:lineRule="auto" w:before="11"/>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20"/>
        <w:gridCol w:w="1365"/>
        <w:gridCol w:w="1553"/>
        <w:gridCol w:w="1092"/>
        <w:gridCol w:w="1568"/>
      </w:tblGrid>
      <w:tr>
        <w:trPr>
          <w:trHeight w:val="838"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91"/>
              <w:ind w:left="849" w:right="764" w:hanging="113"/>
              <w:jc w:val="left"/>
              <w:rPr>
                <w:rFonts w:ascii="宋体" w:hAnsi="宋体" w:cs="宋体" w:eastAsia="宋体" w:hint="default"/>
                <w:sz w:val="18"/>
                <w:szCs w:val="18"/>
              </w:rPr>
            </w:pPr>
            <w:r>
              <w:rPr>
                <w:rFonts w:ascii="宋体" w:hAnsi="宋体" w:cs="宋体" w:eastAsia="宋体" w:hint="default"/>
                <w:spacing w:val="-4"/>
                <w:sz w:val="18"/>
                <w:szCs w:val="18"/>
              </w:rPr>
              <w:t>被投资单位名称或</w:t>
            </w:r>
            <w:r>
              <w:rPr>
                <w:rFonts w:ascii="宋体" w:hAnsi="宋体" w:cs="宋体" w:eastAsia="宋体" w:hint="default"/>
                <w:sz w:val="18"/>
                <w:szCs w:val="18"/>
              </w:rPr>
              <w:t> </w:t>
            </w:r>
            <w:r>
              <w:rPr>
                <w:rFonts w:ascii="宋体" w:hAnsi="宋体" w:cs="宋体" w:eastAsia="宋体" w:hint="default"/>
                <w:spacing w:val="-4"/>
                <w:sz w:val="18"/>
                <w:szCs w:val="18"/>
              </w:rPr>
              <w:t>形成商誉的事项</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pacing w:val="-3"/>
                <w:sz w:val="18"/>
                <w:szCs w:val="18"/>
              </w:rPr>
              <w:t>期初数</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本期企业合并形成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pacing w:val="-4"/>
                <w:sz w:val="18"/>
                <w:szCs w:val="18"/>
              </w:rPr>
              <w:t>本期减少</w:t>
            </w: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pacing w:val="-3"/>
                <w:sz w:val="18"/>
                <w:szCs w:val="18"/>
              </w:rPr>
              <w:t>期末数</w:t>
            </w:r>
          </w:p>
        </w:tc>
      </w:tr>
      <w:tr>
        <w:trPr>
          <w:trHeight w:val="482"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pacing w:val="-4"/>
                <w:sz w:val="18"/>
                <w:szCs w:val="18"/>
              </w:rPr>
              <w:t>长沙利欧天鹅工业泵有限公司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pacing w:val="-3"/>
                <w:sz w:val="18"/>
              </w:rPr>
              <w:t>53,497,420.45</w:t>
            </w:r>
          </w:p>
        </w:tc>
        <w:tc>
          <w:tcPr>
            <w:tcW w:w="15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3"/>
                <w:sz w:val="18"/>
              </w:rPr>
              <w:t>53,497,420.45</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pacing w:val="-4"/>
                <w:sz w:val="18"/>
                <w:szCs w:val="18"/>
              </w:rPr>
              <w:t>大连利欧华能泵业有限公司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宋体" w:hAnsi="宋体" w:cs="宋体" w:eastAsia="宋体" w:hint="default"/>
                <w:sz w:val="18"/>
                <w:szCs w:val="18"/>
              </w:rPr>
            </w:pPr>
            <w:r>
              <w:rPr>
                <w:rFonts w:ascii="宋体"/>
                <w:spacing w:val="-3"/>
                <w:sz w:val="18"/>
              </w:rPr>
              <w:t>16,036,931.11</w:t>
            </w:r>
          </w:p>
        </w:tc>
        <w:tc>
          <w:tcPr>
            <w:tcW w:w="15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宋体" w:hAnsi="宋体" w:cs="宋体" w:eastAsia="宋体" w:hint="default"/>
                <w:sz w:val="18"/>
                <w:szCs w:val="18"/>
              </w:rPr>
            </w:pPr>
            <w:r>
              <w:rPr>
                <w:rFonts w:ascii="宋体"/>
                <w:spacing w:val="-3"/>
                <w:sz w:val="18"/>
              </w:rPr>
              <w:t>16,036,931.11</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pacing w:val="-4"/>
                <w:sz w:val="18"/>
                <w:szCs w:val="18"/>
              </w:rPr>
              <w:t>无锡利欧锡泵制造有限公司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宋体" w:hAnsi="宋体" w:cs="宋体" w:eastAsia="宋体" w:hint="default"/>
                <w:sz w:val="18"/>
                <w:szCs w:val="18"/>
              </w:rPr>
            </w:pPr>
            <w:r>
              <w:rPr>
                <w:rFonts w:ascii="宋体"/>
                <w:spacing w:val="-3"/>
                <w:sz w:val="18"/>
              </w:rPr>
              <w:t>12,148,268.70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宋体" w:hAnsi="宋体" w:cs="宋体" w:eastAsia="宋体" w:hint="default"/>
                <w:sz w:val="18"/>
                <w:szCs w:val="18"/>
              </w:rPr>
            </w:pPr>
            <w:r>
              <w:rPr>
                <w:rFonts w:ascii="宋体"/>
                <w:spacing w:val="-3"/>
                <w:sz w:val="18"/>
              </w:rPr>
              <w:t>12,148,268.70</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pacing w:val="-4"/>
                <w:sz w:val="18"/>
                <w:szCs w:val="18"/>
              </w:rPr>
              <w:t>上海漫酷广告有限公司</w:t>
            </w:r>
          </w:p>
        </w:tc>
        <w:tc>
          <w:tcPr>
            <w:tcW w:w="13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宋体" w:hAnsi="宋体" w:cs="宋体" w:eastAsia="宋体" w:hint="default"/>
                <w:sz w:val="18"/>
                <w:szCs w:val="18"/>
              </w:rPr>
            </w:pPr>
            <w:r>
              <w:rPr>
                <w:rFonts w:ascii="宋体"/>
                <w:spacing w:val="-3"/>
                <w:sz w:val="18"/>
              </w:rPr>
              <w:t>324,524,576.81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宋体" w:hAnsi="宋体" w:cs="宋体" w:eastAsia="宋体" w:hint="default"/>
                <w:sz w:val="18"/>
                <w:szCs w:val="18"/>
              </w:rPr>
            </w:pPr>
            <w:r>
              <w:rPr>
                <w:rFonts w:ascii="宋体"/>
                <w:spacing w:val="-3"/>
                <w:sz w:val="18"/>
              </w:rPr>
              <w:t>324,524,576.81</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pacing w:val="-4"/>
                <w:sz w:val="18"/>
                <w:szCs w:val="18"/>
              </w:rPr>
              <w:t>上海氩氪广告有限公司</w:t>
            </w:r>
          </w:p>
        </w:tc>
        <w:tc>
          <w:tcPr>
            <w:tcW w:w="13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8" w:right="0"/>
              <w:jc w:val="center"/>
              <w:rPr>
                <w:rFonts w:ascii="宋体" w:hAnsi="宋体" w:cs="宋体" w:eastAsia="宋体" w:hint="default"/>
                <w:sz w:val="18"/>
                <w:szCs w:val="18"/>
              </w:rPr>
            </w:pPr>
            <w:r>
              <w:rPr>
                <w:rFonts w:ascii="宋体"/>
                <w:spacing w:val="-3"/>
                <w:sz w:val="18"/>
              </w:rPr>
              <w:t>104,955,445.37</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宋体" w:hAnsi="宋体" w:cs="宋体" w:eastAsia="宋体" w:hint="default"/>
                <w:sz w:val="18"/>
                <w:szCs w:val="18"/>
              </w:rPr>
            </w:pPr>
            <w:r>
              <w:rPr>
                <w:rFonts w:ascii="宋体"/>
                <w:spacing w:val="-3"/>
                <w:sz w:val="18"/>
              </w:rPr>
              <w:t>104,955,445.37</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pacing w:val="-5"/>
                <w:sz w:val="18"/>
                <w:szCs w:val="18"/>
              </w:rPr>
              <w:t>上海沃动市场营销策划有限公司</w:t>
            </w:r>
          </w:p>
        </w:tc>
        <w:tc>
          <w:tcPr>
            <w:tcW w:w="13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4" w:right="0"/>
              <w:jc w:val="center"/>
              <w:rPr>
                <w:rFonts w:ascii="宋体" w:hAnsi="宋体" w:cs="宋体" w:eastAsia="宋体" w:hint="default"/>
                <w:sz w:val="18"/>
                <w:szCs w:val="18"/>
              </w:rPr>
            </w:pPr>
            <w:r>
              <w:rPr>
                <w:rFonts w:ascii="宋体"/>
                <w:spacing w:val="-3"/>
                <w:sz w:val="18"/>
              </w:rPr>
              <w:t>99,629,704.24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pacing w:val="-3"/>
                <w:sz w:val="18"/>
              </w:rPr>
              <w:t>99,629,704.24</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pacing w:val="-4"/>
                <w:sz w:val="18"/>
                <w:szCs w:val="18"/>
              </w:rPr>
              <w:t>银色琥珀文化传播</w:t>
            </w:r>
            <w:r>
              <w:rPr>
                <w:rFonts w:ascii="宋体" w:hAnsi="宋体" w:cs="宋体" w:eastAsia="宋体" w:hint="default"/>
                <w:spacing w:val="-4"/>
                <w:sz w:val="18"/>
                <w:szCs w:val="18"/>
              </w:rPr>
              <w:t>(</w:t>
            </w:r>
            <w:r>
              <w:rPr>
                <w:rFonts w:ascii="宋体" w:hAnsi="宋体" w:cs="宋体" w:eastAsia="宋体" w:hint="default"/>
                <w:spacing w:val="-4"/>
                <w:sz w:val="18"/>
                <w:szCs w:val="18"/>
              </w:rPr>
              <w:t>北京</w:t>
            </w:r>
            <w:r>
              <w:rPr>
                <w:rFonts w:ascii="宋体" w:hAnsi="宋体" w:cs="宋体" w:eastAsia="宋体" w:hint="default"/>
                <w:spacing w:val="-4"/>
                <w:sz w:val="18"/>
                <w:szCs w:val="18"/>
              </w:rPr>
              <w:t>)</w:t>
            </w:r>
            <w:r>
              <w:rPr>
                <w:rFonts w:ascii="宋体" w:hAnsi="宋体" w:cs="宋体" w:eastAsia="宋体" w:hint="default"/>
                <w:spacing w:val="-4"/>
                <w:sz w:val="18"/>
                <w:szCs w:val="18"/>
              </w:rPr>
              <w:t>有限公司</w:t>
            </w:r>
          </w:p>
        </w:tc>
        <w:tc>
          <w:tcPr>
            <w:tcW w:w="1365"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8" w:right="0"/>
              <w:jc w:val="center"/>
              <w:rPr>
                <w:rFonts w:ascii="宋体" w:hAnsi="宋体" w:cs="宋体" w:eastAsia="宋体" w:hint="default"/>
                <w:sz w:val="18"/>
                <w:szCs w:val="18"/>
              </w:rPr>
            </w:pPr>
            <w:r>
              <w:rPr>
                <w:rFonts w:ascii="宋体"/>
                <w:spacing w:val="-3"/>
                <w:sz w:val="18"/>
              </w:rPr>
              <w:t>172,391,920.61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宋体" w:hAnsi="宋体" w:cs="宋体" w:eastAsia="宋体" w:hint="default"/>
                <w:sz w:val="18"/>
                <w:szCs w:val="18"/>
              </w:rPr>
            </w:pPr>
            <w:r>
              <w:rPr>
                <w:rFonts w:ascii="宋体"/>
                <w:spacing w:val="-3"/>
                <w:sz w:val="18"/>
              </w:rPr>
              <w:t>172,391,920.61</w:t>
            </w:r>
          </w:p>
        </w:tc>
      </w:tr>
      <w:tr>
        <w:trPr>
          <w:trHeight w:val="484" w:hRule="exact"/>
        </w:trPr>
        <w:tc>
          <w:tcPr>
            <w:tcW w:w="29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9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78"/>
                <w:sz w:val="18"/>
                <w:szCs w:val="18"/>
              </w:rPr>
              <w:t> </w:t>
            </w:r>
            <w:r>
              <w:rPr>
                <w:rFonts w:ascii="宋体" w:hAnsi="宋体" w:cs="宋体" w:eastAsia="宋体" w:hint="default"/>
                <w:sz w:val="18"/>
                <w:szCs w:val="18"/>
              </w:rPr>
              <w:t>计</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spacing w:val="-3"/>
                <w:sz w:val="18"/>
              </w:rPr>
              <w:t>81,682,620.26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8" w:right="0"/>
              <w:jc w:val="center"/>
              <w:rPr>
                <w:rFonts w:ascii="宋体" w:hAnsi="宋体" w:cs="宋体" w:eastAsia="宋体" w:hint="default"/>
                <w:sz w:val="18"/>
                <w:szCs w:val="18"/>
              </w:rPr>
            </w:pPr>
            <w:r>
              <w:rPr>
                <w:rFonts w:ascii="宋体"/>
                <w:spacing w:val="-3"/>
                <w:sz w:val="18"/>
              </w:rPr>
              <w:t>701,501,647.03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3"/>
              <w:jc w:val="right"/>
              <w:rPr>
                <w:rFonts w:ascii="宋体" w:hAnsi="宋体" w:cs="宋体" w:eastAsia="宋体" w:hint="default"/>
                <w:sz w:val="18"/>
                <w:szCs w:val="18"/>
              </w:rPr>
            </w:pPr>
            <w:r>
              <w:rPr>
                <w:rFonts w:ascii="宋体"/>
                <w:spacing w:val="-3"/>
                <w:sz w:val="18"/>
              </w:rPr>
              <w:t>783,184,267.29</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商誉减值准备</w:t>
      </w:r>
    </w:p>
    <w:p>
      <w:pPr>
        <w:spacing w:line="240" w:lineRule="auto" w:before="11"/>
        <w:rPr>
          <w:rFonts w:ascii="宋体" w:hAnsi="宋体" w:cs="宋体" w:eastAsia="宋体" w:hint="default"/>
          <w:sz w:val="15"/>
          <w:szCs w:val="15"/>
        </w:rPr>
      </w:pPr>
    </w:p>
    <w:tbl>
      <w:tblPr>
        <w:tblW w:w="0" w:type="auto"/>
        <w:jc w:val="left"/>
        <w:tblInd w:w="162" w:type="dxa"/>
        <w:tblLayout w:type="fixed"/>
        <w:tblCellMar>
          <w:top w:w="0" w:type="dxa"/>
          <w:left w:w="0" w:type="dxa"/>
          <w:bottom w:w="0" w:type="dxa"/>
          <w:right w:w="0" w:type="dxa"/>
        </w:tblCellMar>
        <w:tblLook w:val="01E0"/>
      </w:tblPr>
      <w:tblGrid>
        <w:gridCol w:w="2587"/>
        <w:gridCol w:w="1467"/>
        <w:gridCol w:w="1468"/>
        <w:gridCol w:w="1467"/>
        <w:gridCol w:w="1469"/>
      </w:tblGrid>
      <w:tr>
        <w:trPr>
          <w:trHeight w:val="836"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709" w:right="521"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pacing w:val="-4"/>
                <w:sz w:val="18"/>
                <w:szCs w:val="18"/>
              </w:rPr>
              <w:t>长沙利欧天鹅工业泵有限公司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pacing w:val="-3"/>
                <w:sz w:val="18"/>
              </w:rPr>
              <w:t>4,576,969.12</w:t>
            </w:r>
            <w:r>
              <w:rPr>
                <w:rFonts w:ascii="宋体"/>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7,870,169.08</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12,447,138.20</w:t>
            </w:r>
          </w:p>
        </w:tc>
      </w:tr>
      <w:tr>
        <w:trPr>
          <w:trHeight w:val="484"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pacing w:val="-4"/>
                <w:sz w:val="18"/>
                <w:szCs w:val="18"/>
              </w:rPr>
              <w:t>大连利欧华能泵业有限公司</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8,636,937.39</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8,636,937.39</w:t>
            </w:r>
          </w:p>
        </w:tc>
      </w:tr>
      <w:tr>
        <w:trPr>
          <w:trHeight w:val="484" w:hRule="exact"/>
        </w:trPr>
        <w:tc>
          <w:tcPr>
            <w:tcW w:w="25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pacing w:val="-3"/>
                <w:sz w:val="18"/>
              </w:rPr>
              <w:t>4,576,969.12</w:t>
            </w:r>
            <w:r>
              <w:rPr>
                <w:rFonts w:ascii="宋体"/>
                <w:sz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16,507,106.47</w:t>
            </w:r>
          </w:p>
        </w:tc>
        <w:tc>
          <w:tcPr>
            <w:tcW w:w="1467"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21,084,075.59</w:t>
            </w:r>
          </w:p>
        </w:tc>
      </w:tr>
    </w:tbl>
    <w:p>
      <w:pPr>
        <w:pStyle w:val="BodyText"/>
        <w:spacing w:line="391" w:lineRule="auto" w:before="6"/>
        <w:ind w:left="658" w:right="1688"/>
        <w:jc w:val="left"/>
      </w:pPr>
      <w:r>
        <w:rPr>
          <w:rFonts w:ascii="宋体" w:hAnsi="宋体" w:cs="宋体" w:eastAsia="宋体" w:hint="default"/>
        </w:rPr>
        <w:t>(3) </w:t>
      </w:r>
      <w:r>
        <w:rPr/>
        <w:t>商誉的减值测试过程、参数及商誉减值损失确认方法 </w:t>
      </w:r>
      <w:r>
        <w:rPr>
          <w:spacing w:val="2"/>
        </w:rPr>
        <w:t>本期已对因企业合并形成的商誉的账面价值自购买日起按照合理的方法分摊至相关的</w:t>
      </w:r>
    </w:p>
    <w:p>
      <w:pPr>
        <w:pStyle w:val="BodyText"/>
        <w:spacing w:line="357" w:lineRule="auto" w:before="2"/>
        <w:ind w:left="238" w:right="1790"/>
        <w:jc w:val="both"/>
      </w:pPr>
      <w:r>
        <w:rPr>
          <w:spacing w:val="-3"/>
        </w:rPr>
        <w:t>资产组，并对包含商誉的相关资产组进行减值测试，经测试，长沙天鹅和大连华能与商誉相</w:t>
      </w:r>
      <w:r>
        <w:rPr>
          <w:spacing w:val="-72"/>
        </w:rPr>
        <w:t> </w:t>
      </w:r>
      <w:r>
        <w:rPr>
          <w:spacing w:val="-72"/>
        </w:rPr>
      </w:r>
      <w:r>
        <w:rPr/>
        <w:t>关的资产组存在减值情况，相应分别计提商誉减值准备 </w:t>
      </w:r>
      <w:r>
        <w:rPr>
          <w:rFonts w:ascii="宋体" w:hAnsi="宋体" w:cs="宋体" w:eastAsia="宋体" w:hint="default"/>
        </w:rPr>
        <w:t>7,870,169.08 </w:t>
      </w:r>
      <w:r>
        <w:rPr/>
        <w:t>元和</w:t>
      </w:r>
      <w:r>
        <w:rPr>
          <w:spacing w:val="17"/>
        </w:rPr>
        <w:t> </w:t>
      </w:r>
      <w:r>
        <w:rPr>
          <w:rFonts w:ascii="宋体" w:hAnsi="宋体" w:cs="宋体" w:eastAsia="宋体" w:hint="default"/>
        </w:rPr>
        <w:t>8,636,937.39 </w:t>
      </w:r>
      <w:r>
        <w:rPr>
          <w:spacing w:val="-3"/>
        </w:rPr>
        <w:t>元；其他非同一控制下企业合并子公司未发现与商誉相关的资产组存在减值迹象，故不计提</w:t>
      </w:r>
      <w:r>
        <w:rPr>
          <w:spacing w:val="-75"/>
        </w:rPr>
        <w:t> </w:t>
      </w:r>
      <w:r>
        <w:rPr>
          <w:spacing w:val="-75"/>
        </w:rPr>
      </w:r>
      <w:r>
        <w:rPr/>
        <w:t>减值准备。</w:t>
      </w:r>
    </w:p>
    <w:p>
      <w:pPr>
        <w:pStyle w:val="BodyText"/>
        <w:spacing w:line="240" w:lineRule="auto" w:before="71"/>
        <w:ind w:left="658" w:right="1688"/>
        <w:jc w:val="left"/>
      </w:pPr>
      <w:r>
        <w:rPr>
          <w:rFonts w:ascii="宋体" w:hAnsi="宋体" w:cs="宋体" w:eastAsia="宋体" w:hint="default"/>
        </w:rPr>
        <w:t>(4)</w:t>
      </w:r>
      <w:r>
        <w:rPr>
          <w:rFonts w:ascii="宋体" w:hAnsi="宋体" w:cs="宋体" w:eastAsia="宋体" w:hint="default"/>
          <w:spacing w:val="-1"/>
        </w:rPr>
        <w:t> </w:t>
      </w:r>
      <w:r>
        <w:rPr/>
        <w:t>其他说明</w:t>
      </w:r>
    </w:p>
    <w:p>
      <w:pPr>
        <w:pStyle w:val="BodyText"/>
        <w:spacing w:line="357" w:lineRule="auto" w:before="174"/>
        <w:ind w:left="237" w:right="1793" w:firstLine="420"/>
        <w:jc w:val="both"/>
        <w:rPr>
          <w:rFonts w:ascii="宋体" w:hAnsi="宋体" w:cs="宋体" w:eastAsia="宋体" w:hint="default"/>
        </w:rPr>
      </w:pPr>
      <w:r>
        <w:rPr>
          <w:spacing w:val="-14"/>
        </w:rPr>
        <w:t>根据本公司与自然人郑晓东、段永玲、郭海签订的《股权转让合同》，本公司以</w:t>
      </w:r>
      <w:r>
        <w:rPr>
          <w:spacing w:val="-27"/>
        </w:rPr>
        <w:t> </w:t>
      </w:r>
      <w:r>
        <w:rPr>
          <w:rFonts w:ascii="宋体" w:hAnsi="宋体" w:cs="宋体" w:eastAsia="宋体" w:hint="default"/>
        </w:rPr>
        <w:t>20,564.57 </w:t>
      </w:r>
      <w:r>
        <w:rPr/>
        <w:t>万元受让自然人郑晓东持有的上海漫酷</w:t>
      </w:r>
      <w:r>
        <w:rPr>
          <w:spacing w:val="-53"/>
        </w:rPr>
        <w:t> </w:t>
      </w:r>
      <w:r>
        <w:rPr>
          <w:rFonts w:ascii="宋体" w:hAnsi="宋体" w:cs="宋体" w:eastAsia="宋体" w:hint="default"/>
          <w:spacing w:val="-3"/>
        </w:rPr>
        <w:t>50.7472%</w:t>
      </w:r>
      <w:r>
        <w:rPr>
          <w:spacing w:val="-3"/>
        </w:rPr>
        <w:t>股权，以</w:t>
      </w:r>
      <w:r>
        <w:rPr>
          <w:spacing w:val="-54"/>
        </w:rPr>
        <w:t> </w:t>
      </w:r>
      <w:r>
        <w:rPr>
          <w:rFonts w:ascii="宋体" w:hAnsi="宋体" w:cs="宋体" w:eastAsia="宋体" w:hint="default"/>
        </w:rPr>
        <w:t>7,916.12</w:t>
      </w:r>
      <w:r>
        <w:rPr>
          <w:rFonts w:ascii="宋体" w:hAnsi="宋体" w:cs="宋体" w:eastAsia="宋体" w:hint="default"/>
          <w:spacing w:val="-52"/>
        </w:rPr>
        <w:t> </w:t>
      </w:r>
      <w:r>
        <w:rPr/>
        <w:t>万元受让自然人段永玲 持有的上海漫酷</w:t>
      </w:r>
      <w:r>
        <w:rPr>
          <w:spacing w:val="-48"/>
        </w:rPr>
        <w:t> </w:t>
      </w:r>
      <w:r>
        <w:rPr>
          <w:rFonts w:ascii="宋体" w:hAnsi="宋体" w:cs="宋体" w:eastAsia="宋体" w:hint="default"/>
          <w:spacing w:val="-8"/>
        </w:rPr>
        <w:t>19.5347%</w:t>
      </w:r>
      <w:r>
        <w:rPr>
          <w:spacing w:val="-8"/>
        </w:rPr>
        <w:t>股权，以</w:t>
      </w:r>
      <w:r>
        <w:rPr>
          <w:spacing w:val="-49"/>
        </w:rPr>
        <w:t> </w:t>
      </w:r>
      <w:r>
        <w:rPr>
          <w:rFonts w:ascii="宋体" w:hAnsi="宋体" w:cs="宋体" w:eastAsia="宋体" w:hint="default"/>
        </w:rPr>
        <w:t>5,964.31</w:t>
      </w:r>
      <w:r>
        <w:rPr>
          <w:rFonts w:ascii="宋体" w:hAnsi="宋体" w:cs="宋体" w:eastAsia="宋体" w:hint="default"/>
          <w:spacing w:val="-48"/>
        </w:rPr>
        <w:t> </w:t>
      </w:r>
      <w:r>
        <w:rPr>
          <w:spacing w:val="-1"/>
        </w:rPr>
        <w:t>万元受让自然人郭海持有的上海漫酷</w:t>
      </w:r>
      <w:r>
        <w:rPr>
          <w:spacing w:val="-47"/>
        </w:rPr>
        <w:t> </w:t>
      </w:r>
      <w:r>
        <w:rPr>
          <w:rFonts w:ascii="宋体" w:hAnsi="宋体" w:cs="宋体" w:eastAsia="宋体" w:hint="default"/>
        </w:rPr>
        <w:t>14.7181%</w:t>
      </w:r>
    </w:p>
    <w:p>
      <w:pPr>
        <w:pStyle w:val="BodyText"/>
        <w:spacing w:line="240" w:lineRule="auto" w:before="31"/>
        <w:ind w:left="237" w:right="0"/>
        <w:jc w:val="both"/>
      </w:pPr>
      <w:r>
        <w:rPr/>
        <w:t>股权，本公司于购买日享有其可辨认净资产公允价值的份额</w:t>
      </w:r>
      <w:r>
        <w:rPr>
          <w:spacing w:val="-75"/>
        </w:rPr>
        <w:t> </w:t>
      </w:r>
      <w:r>
        <w:rPr>
          <w:rFonts w:ascii="宋体" w:hAnsi="宋体" w:cs="宋体" w:eastAsia="宋体" w:hint="default"/>
        </w:rPr>
        <w:t>19,925,423.19</w:t>
      </w:r>
      <w:r>
        <w:rPr>
          <w:rFonts w:ascii="宋体" w:hAnsi="宋体" w:cs="宋体" w:eastAsia="宋体" w:hint="default"/>
          <w:spacing w:val="-74"/>
        </w:rPr>
        <w:t> </w:t>
      </w:r>
      <w:r>
        <w:rPr>
          <w:spacing w:val="-7"/>
        </w:rPr>
        <w:t>元，与收购对价</w:t>
      </w:r>
    </w:p>
    <w:p>
      <w:pPr>
        <w:spacing w:after="0" w:line="240" w:lineRule="auto"/>
        <w:jc w:val="both"/>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391" w:lineRule="auto" w:before="35"/>
        <w:ind w:left="657" w:right="1688" w:hanging="420"/>
        <w:jc w:val="left"/>
      </w:pPr>
      <w:r>
        <w:rPr/>
        <w:t>的差额</w:t>
      </w:r>
      <w:r>
        <w:rPr>
          <w:spacing w:val="-53"/>
        </w:rPr>
        <w:t> </w:t>
      </w:r>
      <w:r>
        <w:rPr>
          <w:rFonts w:ascii="宋体" w:hAnsi="宋体" w:cs="宋体" w:eastAsia="宋体" w:hint="default"/>
        </w:rPr>
        <w:t>324,524,576.81</w:t>
      </w:r>
      <w:r>
        <w:rPr>
          <w:rFonts w:ascii="宋体" w:hAnsi="宋体" w:cs="宋体" w:eastAsia="宋体" w:hint="default"/>
          <w:spacing w:val="-53"/>
        </w:rPr>
        <w:t> </w:t>
      </w:r>
      <w:r>
        <w:rPr/>
        <w:t>元确认为商誉。 </w:t>
      </w:r>
      <w:r>
        <w:rPr>
          <w:spacing w:val="-3"/>
        </w:rPr>
        <w:t>根据本公司分别与自然人詹嘉、李翔、张璐、李劼签订的《关于上海氩氪广告有限公司</w:t>
      </w:r>
    </w:p>
    <w:p>
      <w:pPr>
        <w:pStyle w:val="BodyText"/>
        <w:spacing w:line="357" w:lineRule="auto" w:before="1"/>
        <w:ind w:left="237" w:right="1793"/>
        <w:jc w:val="both"/>
      </w:pPr>
      <w:r>
        <w:rPr/>
        <w:t>之股权转让合同》以及与刘阳、王英杰、孙唯一、田斌签订的《关于银色琥珀文化传播</w:t>
      </w:r>
      <w:r>
        <w:rPr>
          <w:rFonts w:ascii="宋体" w:hAnsi="宋体" w:cs="宋体" w:eastAsia="宋体" w:hint="default"/>
        </w:rPr>
        <w:t>(</w:t>
      </w:r>
      <w:r>
        <w:rPr/>
        <w:t>北</w:t>
      </w:r>
      <w:r>
        <w:rPr>
          <w:spacing w:val="-90"/>
        </w:rPr>
        <w:t> </w:t>
      </w:r>
      <w:r>
        <w:rPr>
          <w:spacing w:val="-5"/>
        </w:rPr>
        <w:t>京</w:t>
      </w:r>
      <w:r>
        <w:rPr>
          <w:rFonts w:ascii="宋体" w:hAnsi="宋体" w:cs="宋体" w:eastAsia="宋体" w:hint="default"/>
          <w:spacing w:val="-5"/>
        </w:rPr>
        <w:t>)</w:t>
      </w:r>
      <w:r>
        <w:rPr>
          <w:spacing w:val="-5"/>
        </w:rPr>
        <w:t>有限公司之股权转让合同》，公司以支付现金及发行股份的方式分别购买其持有的上海氩</w:t>
      </w:r>
      <w:r>
        <w:rPr>
          <w:spacing w:val="-97"/>
        </w:rPr>
        <w:t> </w:t>
      </w:r>
      <w:r>
        <w:rPr>
          <w:spacing w:val="-97"/>
        </w:rPr>
      </w:r>
      <w:r>
        <w:rPr/>
        <w:t>氪、琥珀传播</w:t>
      </w:r>
      <w:r>
        <w:rPr>
          <w:spacing w:val="11"/>
        </w:rPr>
        <w:t> </w:t>
      </w:r>
      <w:r>
        <w:rPr>
          <w:rFonts w:ascii="宋体" w:hAnsi="宋体" w:cs="宋体" w:eastAsia="宋体" w:hint="default"/>
        </w:rPr>
        <w:t>100%</w:t>
      </w:r>
      <w:r>
        <w:rPr/>
        <w:t>股权。根据上述股权转让合同的约定，公司需支付上述股权转让对价分 别为</w:t>
      </w:r>
      <w:r>
        <w:rPr>
          <w:spacing w:val="-50"/>
        </w:rPr>
        <w:t> </w:t>
      </w:r>
      <w:r>
        <w:rPr>
          <w:rFonts w:ascii="宋体" w:hAnsi="宋体" w:cs="宋体" w:eastAsia="宋体" w:hint="default"/>
        </w:rPr>
        <w:t>22,593.90</w:t>
      </w:r>
      <w:r>
        <w:rPr>
          <w:rFonts w:ascii="宋体" w:hAnsi="宋体" w:cs="宋体" w:eastAsia="宋体" w:hint="default"/>
          <w:spacing w:val="-49"/>
        </w:rPr>
        <w:t> </w:t>
      </w:r>
      <w:r>
        <w:rPr/>
        <w:t>万元和</w:t>
      </w:r>
      <w:r>
        <w:rPr>
          <w:spacing w:val="-50"/>
        </w:rPr>
        <w:t> </w:t>
      </w:r>
      <w:r>
        <w:rPr>
          <w:rFonts w:ascii="宋体" w:hAnsi="宋体" w:cs="宋体" w:eastAsia="宋体" w:hint="default"/>
        </w:rPr>
        <w:t>19,500</w:t>
      </w:r>
      <w:r>
        <w:rPr>
          <w:rFonts w:ascii="宋体" w:hAnsi="宋体" w:cs="宋体" w:eastAsia="宋体" w:hint="default"/>
          <w:spacing w:val="-49"/>
        </w:rPr>
        <w:t> </w:t>
      </w:r>
      <w:r>
        <w:rPr/>
        <w:t>万元。本公司于购买日享有其可辨认净资产公允价值的份额</w:t>
      </w:r>
    </w:p>
    <w:p>
      <w:pPr>
        <w:pStyle w:val="BodyText"/>
        <w:spacing w:line="240" w:lineRule="auto" w:before="31"/>
        <w:ind w:left="238" w:right="0"/>
        <w:jc w:val="both"/>
      </w:pPr>
      <w:r>
        <w:rPr/>
        <w:t>分别为</w:t>
      </w:r>
      <w:r>
        <w:rPr>
          <w:spacing w:val="-33"/>
        </w:rPr>
        <w:t> </w:t>
      </w:r>
      <w:r>
        <w:rPr>
          <w:rFonts w:ascii="宋体" w:hAnsi="宋体" w:cs="宋体" w:eastAsia="宋体" w:hint="default"/>
        </w:rPr>
        <w:t>120,983,554.63</w:t>
      </w:r>
      <w:r>
        <w:rPr>
          <w:rFonts w:ascii="宋体" w:hAnsi="宋体" w:cs="宋体" w:eastAsia="宋体" w:hint="default"/>
          <w:spacing w:val="-33"/>
        </w:rPr>
        <w:t> </w:t>
      </w:r>
      <w:r>
        <w:rPr/>
        <w:t>元和</w:t>
      </w:r>
      <w:r>
        <w:rPr>
          <w:spacing w:val="-33"/>
        </w:rPr>
        <w:t> </w:t>
      </w:r>
      <w:r>
        <w:rPr>
          <w:rFonts w:ascii="宋体" w:hAnsi="宋体" w:cs="宋体" w:eastAsia="宋体" w:hint="default"/>
        </w:rPr>
        <w:t>22,608,079.39</w:t>
      </w:r>
      <w:r>
        <w:rPr>
          <w:rFonts w:ascii="宋体" w:hAnsi="宋体" w:cs="宋体" w:eastAsia="宋体" w:hint="default"/>
          <w:spacing w:val="-32"/>
        </w:rPr>
        <w:t> </w:t>
      </w:r>
      <w:r>
        <w:rPr/>
        <w:t>元，与收购对价的差额</w:t>
      </w:r>
      <w:r>
        <w:rPr>
          <w:spacing w:val="-33"/>
        </w:rPr>
        <w:t> </w:t>
      </w:r>
      <w:r>
        <w:rPr>
          <w:rFonts w:ascii="宋体" w:hAnsi="宋体" w:cs="宋体" w:eastAsia="宋体" w:hint="default"/>
        </w:rPr>
        <w:t>104,955,445.37</w:t>
      </w:r>
      <w:r>
        <w:rPr>
          <w:rFonts w:ascii="宋体" w:hAnsi="宋体" w:cs="宋体" w:eastAsia="宋体" w:hint="default"/>
          <w:spacing w:val="-33"/>
        </w:rPr>
        <w:t> </w:t>
      </w:r>
      <w:r>
        <w:rPr/>
        <w:t>元和</w:t>
      </w:r>
    </w:p>
    <w:p>
      <w:pPr>
        <w:pStyle w:val="BodyText"/>
        <w:spacing w:line="240" w:lineRule="auto" w:before="133"/>
        <w:ind w:left="237" w:right="0"/>
        <w:jc w:val="both"/>
      </w:pPr>
      <w:r>
        <w:rPr>
          <w:rFonts w:ascii="宋体" w:hAnsi="宋体" w:cs="宋体" w:eastAsia="宋体" w:hint="default"/>
        </w:rPr>
        <w:t>172,391,920.61</w:t>
      </w:r>
      <w:r>
        <w:rPr>
          <w:rFonts w:ascii="宋体" w:hAnsi="宋体" w:cs="宋体" w:eastAsia="宋体" w:hint="default"/>
          <w:spacing w:val="-55"/>
        </w:rPr>
        <w:t> </w:t>
      </w:r>
      <w:r>
        <w:rPr/>
        <w:t>元确认为商誉。</w:t>
      </w:r>
    </w:p>
    <w:p>
      <w:pPr>
        <w:pStyle w:val="BodyText"/>
        <w:spacing w:line="357" w:lineRule="auto" w:before="174"/>
        <w:ind w:left="237" w:right="1792" w:firstLine="420"/>
        <w:jc w:val="both"/>
      </w:pPr>
      <w:r>
        <w:rPr>
          <w:rFonts w:ascii="宋体" w:hAnsi="宋体" w:cs="宋体" w:eastAsia="宋体" w:hint="default"/>
        </w:rPr>
        <w:t>2014</w:t>
      </w:r>
      <w:r>
        <w:rPr>
          <w:rFonts w:ascii="宋体" w:hAnsi="宋体" w:cs="宋体" w:eastAsia="宋体" w:hint="default"/>
          <w:spacing w:val="-45"/>
        </w:rPr>
        <w:t> </w:t>
      </w:r>
      <w:r>
        <w:rPr/>
        <w:t>年</w:t>
      </w:r>
      <w:r>
        <w:rPr>
          <w:spacing w:val="-45"/>
        </w:rPr>
        <w:t> </w:t>
      </w:r>
      <w:r>
        <w:rPr>
          <w:rFonts w:ascii="宋体" w:hAnsi="宋体" w:cs="宋体" w:eastAsia="宋体" w:hint="default"/>
        </w:rPr>
        <w:t>4</w:t>
      </w:r>
      <w:r>
        <w:rPr>
          <w:rFonts w:ascii="宋体" w:hAnsi="宋体" w:cs="宋体" w:eastAsia="宋体" w:hint="default"/>
          <w:spacing w:val="-44"/>
        </w:rPr>
        <w:t> </w:t>
      </w:r>
      <w:r>
        <w:rPr>
          <w:spacing w:val="-5"/>
        </w:rPr>
        <w:t>月，根据上海氩氪与自然人李蘋、郑家泓分别签订的《股权转让协议》及《补</w:t>
      </w:r>
      <w:r>
        <w:rPr/>
        <w:t> </w:t>
      </w:r>
      <w:r>
        <w:rPr>
          <w:spacing w:val="-11"/>
        </w:rPr>
        <w:t>充协议》，上海氩氪以</w:t>
      </w:r>
      <w:r>
        <w:rPr/>
        <w:t> </w:t>
      </w:r>
      <w:r>
        <w:rPr>
          <w:rFonts w:ascii="宋体" w:hAnsi="宋体" w:cs="宋体" w:eastAsia="宋体" w:hint="default"/>
        </w:rPr>
        <w:t>107,791,996.59 </w:t>
      </w:r>
      <w:r>
        <w:rPr/>
        <w:t>元的收购对价完成对上海沃动</w:t>
      </w:r>
      <w:r>
        <w:rPr>
          <w:spacing w:val="-76"/>
        </w:rPr>
        <w:t> </w:t>
      </w:r>
      <w:r>
        <w:rPr>
          <w:rFonts w:ascii="宋体" w:hAnsi="宋体" w:cs="宋体" w:eastAsia="宋体" w:hint="default"/>
          <w:spacing w:val="-1"/>
        </w:rPr>
        <w:t>100%</w:t>
      </w:r>
      <w:r>
        <w:rPr>
          <w:spacing w:val="-1"/>
        </w:rPr>
        <w:t>的股权收购，上</w:t>
      </w:r>
      <w:r>
        <w:rPr/>
        <w:t> 海沃动截至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日账面可辨认净资产公允价值为</w:t>
      </w:r>
      <w:r>
        <w:rPr>
          <w:spacing w:val="-51"/>
        </w:rPr>
        <w:t> </w:t>
      </w:r>
      <w:r>
        <w:rPr>
          <w:rFonts w:ascii="宋体" w:hAnsi="宋体" w:cs="宋体" w:eastAsia="宋体" w:hint="default"/>
        </w:rPr>
        <w:t>8,162,292.35</w:t>
      </w:r>
      <w:r>
        <w:rPr>
          <w:rFonts w:ascii="宋体" w:hAnsi="宋体" w:cs="宋体" w:eastAsia="宋体" w:hint="default"/>
          <w:spacing w:val="-51"/>
        </w:rPr>
        <w:t> </w:t>
      </w:r>
      <w:r>
        <w:rPr/>
        <w:t>元，上海氩氪收 </w:t>
      </w:r>
      <w:r>
        <w:rPr>
          <w:spacing w:val="17"/>
        </w:rPr>
        <w:t>购对价</w:t>
      </w:r>
      <w:r>
        <w:rPr>
          <w:spacing w:val="27"/>
        </w:rPr>
        <w:t> </w:t>
      </w:r>
      <w:r>
        <w:rPr>
          <w:rFonts w:ascii="宋体" w:hAnsi="宋体" w:cs="宋体" w:eastAsia="宋体" w:hint="default"/>
        </w:rPr>
        <w:t>107,791,996.59</w:t>
      </w:r>
      <w:r>
        <w:rPr>
          <w:rFonts w:ascii="宋体" w:hAnsi="宋体" w:cs="宋体" w:eastAsia="宋体" w:hint="default"/>
          <w:spacing w:val="27"/>
        </w:rPr>
        <w:t> </w:t>
      </w:r>
      <w:r>
        <w:rPr/>
        <w:t>元</w:t>
      </w:r>
      <w:r>
        <w:rPr>
          <w:spacing w:val="-79"/>
        </w:rPr>
        <w:t> </w:t>
      </w:r>
      <w:r>
        <w:rPr/>
        <w:t>与</w:t>
      </w:r>
      <w:r>
        <w:rPr>
          <w:spacing w:val="-79"/>
        </w:rPr>
        <w:t> </w:t>
      </w:r>
      <w:r>
        <w:rPr/>
        <w:t>取</w:t>
      </w:r>
      <w:r>
        <w:rPr>
          <w:spacing w:val="-79"/>
        </w:rPr>
        <w:t> </w:t>
      </w:r>
      <w:r>
        <w:rPr/>
        <w:t>得</w:t>
      </w:r>
      <w:r>
        <w:rPr>
          <w:spacing w:val="-78"/>
        </w:rPr>
        <w:t> </w:t>
      </w:r>
      <w:r>
        <w:rPr/>
        <w:t>上</w:t>
      </w:r>
      <w:r>
        <w:rPr>
          <w:spacing w:val="-79"/>
        </w:rPr>
        <w:t> </w:t>
      </w:r>
      <w:r>
        <w:rPr/>
        <w:t>海</w:t>
      </w:r>
      <w:r>
        <w:rPr>
          <w:spacing w:val="-79"/>
        </w:rPr>
        <w:t> </w:t>
      </w:r>
      <w:r>
        <w:rPr/>
        <w:t>沃</w:t>
      </w:r>
      <w:r>
        <w:rPr>
          <w:spacing w:val="-79"/>
        </w:rPr>
        <w:t> </w:t>
      </w:r>
      <w:r>
        <w:rPr/>
        <w:t>动</w:t>
      </w:r>
      <w:r>
        <w:rPr>
          <w:spacing w:val="-78"/>
        </w:rPr>
        <w:t> </w:t>
      </w:r>
      <w:r>
        <w:rPr/>
        <w:t>可</w:t>
      </w:r>
      <w:r>
        <w:rPr>
          <w:spacing w:val="-78"/>
        </w:rPr>
        <w:t> </w:t>
      </w:r>
      <w:r>
        <w:rPr/>
        <w:t>辨</w:t>
      </w:r>
      <w:r>
        <w:rPr>
          <w:spacing w:val="-79"/>
        </w:rPr>
        <w:t> </w:t>
      </w:r>
      <w:r>
        <w:rPr/>
        <w:t>认</w:t>
      </w:r>
      <w:r>
        <w:rPr>
          <w:spacing w:val="-77"/>
        </w:rPr>
        <w:t> </w:t>
      </w:r>
      <w:r>
        <w:rPr/>
        <w:t>净</w:t>
      </w:r>
      <w:r>
        <w:rPr>
          <w:spacing w:val="-79"/>
        </w:rPr>
        <w:t> </w:t>
      </w:r>
      <w:r>
        <w:rPr/>
        <w:t>资</w:t>
      </w:r>
      <w:r>
        <w:rPr>
          <w:spacing w:val="-78"/>
        </w:rPr>
        <w:t> </w:t>
      </w:r>
      <w:r>
        <w:rPr/>
        <w:t>产</w:t>
      </w:r>
      <w:r>
        <w:rPr>
          <w:spacing w:val="-78"/>
        </w:rPr>
        <w:t> </w:t>
      </w:r>
      <w:r>
        <w:rPr/>
        <w:t>公</w:t>
      </w:r>
      <w:r>
        <w:rPr>
          <w:spacing w:val="-79"/>
        </w:rPr>
        <w:t> </w:t>
      </w:r>
      <w:r>
        <w:rPr/>
        <w:t>允</w:t>
      </w:r>
      <w:r>
        <w:rPr>
          <w:spacing w:val="-79"/>
        </w:rPr>
        <w:t> </w:t>
      </w:r>
      <w:r>
        <w:rPr/>
        <w:t>价</w:t>
      </w:r>
      <w:r>
        <w:rPr>
          <w:spacing w:val="-79"/>
        </w:rPr>
        <w:t> </w:t>
      </w:r>
      <w:r>
        <w:rPr/>
        <w:t>值</w:t>
      </w:r>
      <w:r>
        <w:rPr>
          <w:spacing w:val="-76"/>
        </w:rPr>
        <w:t> </w:t>
      </w:r>
      <w:r>
        <w:rPr/>
        <w:t>份</w:t>
      </w:r>
      <w:r>
        <w:rPr>
          <w:spacing w:val="-78"/>
        </w:rPr>
        <w:t> </w:t>
      </w:r>
      <w:r>
        <w:rPr/>
        <w:t>额</w:t>
      </w:r>
      <w:r>
        <w:rPr>
          <w:spacing w:val="-79"/>
        </w:rPr>
        <w:t> </w:t>
      </w:r>
      <w:r>
        <w:rPr/>
        <w:t>之</w:t>
      </w:r>
      <w:r>
        <w:rPr>
          <w:spacing w:val="-79"/>
        </w:rPr>
        <w:t> </w:t>
      </w:r>
      <w:r>
        <w:rPr/>
        <w:t>间</w:t>
      </w:r>
      <w:r>
        <w:rPr>
          <w:spacing w:val="-79"/>
        </w:rPr>
        <w:t> </w:t>
      </w:r>
      <w:r>
        <w:rPr/>
        <w:t>的</w:t>
      </w:r>
      <w:r>
        <w:rPr>
          <w:spacing w:val="-78"/>
        </w:rPr>
        <w:t> </w:t>
      </w:r>
      <w:r>
        <w:rPr/>
        <w:t>差</w:t>
      </w:r>
      <w:r>
        <w:rPr>
          <w:spacing w:val="-78"/>
        </w:rPr>
        <w:t> </w:t>
      </w:r>
      <w:r>
        <w:rPr/>
        <w:t>额</w:t>
      </w:r>
      <w:r>
        <w:rPr/>
        <w:t> </w:t>
      </w:r>
      <w:r>
        <w:rPr>
          <w:rFonts w:ascii="宋体" w:hAnsi="宋体" w:cs="宋体" w:eastAsia="宋体" w:hint="default"/>
        </w:rPr>
        <w:t>99,629,704.24</w:t>
      </w:r>
      <w:r>
        <w:rPr>
          <w:rFonts w:ascii="宋体" w:hAnsi="宋体" w:cs="宋体" w:eastAsia="宋体" w:hint="default"/>
          <w:spacing w:val="-55"/>
        </w:rPr>
        <w:t> </w:t>
      </w:r>
      <w:r>
        <w:rPr/>
        <w:t>元在上海氩氪合并财务报表中确认为商誉。</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0"/>
        <w:ind w:left="657" w:right="1688"/>
        <w:jc w:val="left"/>
      </w:pPr>
      <w:bookmarkStart w:name="16. 长期待摊费用" w:id="175"/>
      <w:bookmarkEnd w:id="175"/>
      <w:r>
        <w:rPr/>
      </w:r>
      <w:r>
        <w:rPr>
          <w:rFonts w:ascii="宋体" w:hAnsi="宋体" w:cs="宋体" w:eastAsia="宋体" w:hint="default"/>
        </w:rPr>
        <w:t>16.</w:t>
      </w:r>
      <w:r>
        <w:rPr>
          <w:rFonts w:ascii="宋体" w:hAnsi="宋体" w:cs="宋体" w:eastAsia="宋体" w:hint="default"/>
          <w:spacing w:val="-1"/>
        </w:rPr>
        <w:t> </w:t>
      </w:r>
      <w:r>
        <w:rPr/>
        <w:t>长期待摊费用</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76"/>
        <w:gridCol w:w="1359"/>
        <w:gridCol w:w="1301"/>
        <w:gridCol w:w="1301"/>
        <w:gridCol w:w="911"/>
        <w:gridCol w:w="1296"/>
      </w:tblGrid>
      <w:tr>
        <w:trPr>
          <w:trHeight w:val="544"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9"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36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1"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厂区维修绿化费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sz w:val="18"/>
              </w:rPr>
              <w:t>1,043,184.47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45,666.68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415,797.88</w:t>
            </w:r>
          </w:p>
        </w:tc>
        <w:tc>
          <w:tcPr>
            <w:tcW w:w="91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673,053.27</w:t>
            </w:r>
          </w:p>
        </w:tc>
      </w:tr>
      <w:tr>
        <w:trPr>
          <w:trHeight w:val="440"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电力增容费</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13,333.40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13,333.40</w:t>
            </w:r>
          </w:p>
        </w:tc>
        <w:tc>
          <w:tcPr>
            <w:tcW w:w="91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1,375,166.39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3,266,041.49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1,695,199.38</w:t>
            </w:r>
          </w:p>
        </w:tc>
        <w:tc>
          <w:tcPr>
            <w:tcW w:w="91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2,946,008.50</w:t>
            </w:r>
          </w:p>
        </w:tc>
      </w:tr>
      <w:tr>
        <w:trPr>
          <w:trHeight w:val="440"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租入固定资产装修费</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336,077.90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14,612.07</w:t>
            </w:r>
          </w:p>
        </w:tc>
        <w:tc>
          <w:tcPr>
            <w:tcW w:w="91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321,465.83</w:t>
            </w:r>
          </w:p>
        </w:tc>
      </w:tr>
      <w:tr>
        <w:trPr>
          <w:trHeight w:val="440" w:hRule="exact"/>
        </w:trPr>
        <w:tc>
          <w:tcPr>
            <w:tcW w:w="2376"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2,431,684.26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3,647,786.07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2,138,942.73</w:t>
            </w:r>
          </w:p>
        </w:tc>
        <w:tc>
          <w:tcPr>
            <w:tcW w:w="91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sz w:val="18"/>
              </w:rPr>
              <w:t>3,940,527.60</w:t>
            </w:r>
          </w:p>
        </w:tc>
      </w:tr>
    </w:tbl>
    <w:p>
      <w:pPr>
        <w:pStyle w:val="BodyText"/>
        <w:spacing w:line="241" w:lineRule="exact" w:before="0"/>
        <w:ind w:left="658" w:right="1688"/>
        <w:jc w:val="left"/>
      </w:pPr>
      <w:r>
        <w:rPr>
          <w:rFonts w:ascii="宋体" w:hAnsi="宋体" w:cs="宋体" w:eastAsia="宋体" w:hint="default"/>
        </w:rPr>
        <w:t>[</w:t>
      </w:r>
      <w:r>
        <w:rPr/>
        <w:t>注</w:t>
      </w:r>
      <w:r>
        <w:rPr>
          <w:spacing w:val="-54"/>
        </w:rPr>
        <w:t> </w:t>
      </w:r>
      <w:r>
        <w:rPr>
          <w:rFonts w:ascii="宋体" w:hAnsi="宋体" w:cs="宋体" w:eastAsia="宋体" w:hint="default"/>
        </w:rPr>
        <w:t>1]</w:t>
      </w:r>
      <w:r>
        <w:rPr/>
        <w:t>：其中本期因非同一控制下企业合并转入</w:t>
      </w:r>
      <w:r>
        <w:rPr>
          <w:spacing w:val="-53"/>
        </w:rPr>
        <w:t> </w:t>
      </w:r>
      <w:r>
        <w:rPr>
          <w:rFonts w:ascii="宋体" w:hAnsi="宋体" w:cs="宋体" w:eastAsia="宋体" w:hint="default"/>
        </w:rPr>
        <w:t>1,286,030.61</w:t>
      </w:r>
      <w:r>
        <w:rPr>
          <w:rFonts w:ascii="宋体" w:hAnsi="宋体" w:cs="宋体" w:eastAsia="宋体" w:hint="default"/>
          <w:spacing w:val="-55"/>
        </w:rPr>
        <w:t> </w:t>
      </w:r>
      <w:r>
        <w:rPr/>
        <w:t>元。</w:t>
      </w:r>
    </w:p>
    <w:p>
      <w:pPr>
        <w:pStyle w:val="BodyText"/>
        <w:spacing w:line="240" w:lineRule="auto" w:before="134"/>
        <w:ind w:left="657" w:right="1688"/>
        <w:jc w:val="left"/>
      </w:pPr>
      <w:r>
        <w:rPr>
          <w:rFonts w:ascii="宋体" w:hAnsi="宋体" w:cs="宋体" w:eastAsia="宋体" w:hint="default"/>
        </w:rPr>
        <w:t>[</w:t>
      </w:r>
      <w:r>
        <w:rPr/>
        <w:t>注</w:t>
      </w:r>
      <w:r>
        <w:rPr>
          <w:spacing w:val="-56"/>
        </w:rPr>
        <w:t> </w:t>
      </w:r>
      <w:r>
        <w:rPr>
          <w:rFonts w:ascii="宋体" w:hAnsi="宋体" w:cs="宋体" w:eastAsia="宋体" w:hint="default"/>
        </w:rPr>
        <w:t>2]</w:t>
      </w:r>
      <w:r>
        <w:rPr/>
        <w:t>：系本期因非同一控制下企业合并转入。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0"/>
        <w:ind w:left="657" w:right="1688"/>
        <w:jc w:val="left"/>
      </w:pPr>
      <w:bookmarkStart w:name="17. 递延所得税资产、递延所得税负债" w:id="176"/>
      <w:bookmarkEnd w:id="176"/>
      <w:r>
        <w:rPr/>
      </w:r>
      <w:r>
        <w:rPr>
          <w:rFonts w:ascii="宋体" w:hAnsi="宋体" w:cs="宋体" w:eastAsia="宋体" w:hint="default"/>
        </w:rPr>
        <w:t>17.</w:t>
      </w:r>
      <w:r>
        <w:rPr>
          <w:rFonts w:ascii="宋体" w:hAnsi="宋体" w:cs="宋体" w:eastAsia="宋体" w:hint="default"/>
          <w:spacing w:val="-1"/>
        </w:rPr>
        <w:t> </w:t>
      </w:r>
      <w:r>
        <w:rPr/>
        <w:t>递延所得税资产、递延所得税负债</w:t>
      </w:r>
    </w:p>
    <w:p>
      <w:pPr>
        <w:pStyle w:val="BodyText"/>
        <w:spacing w:line="240" w:lineRule="auto" w:before="174"/>
        <w:ind w:left="657" w:right="1688"/>
        <w:jc w:val="left"/>
      </w:pPr>
      <w:r>
        <w:rPr>
          <w:rFonts w:ascii="宋体" w:hAnsi="宋体" w:cs="宋体" w:eastAsia="宋体" w:hint="default"/>
        </w:rPr>
        <w:t>(1)</w:t>
      </w:r>
      <w:r>
        <w:rPr>
          <w:rFonts w:ascii="宋体" w:hAnsi="宋体" w:cs="宋体" w:eastAsia="宋体" w:hint="default"/>
          <w:spacing w:val="-1"/>
        </w:rPr>
        <w:t> </w:t>
      </w:r>
      <w:r>
        <w:rPr/>
        <w:t>未经抵销的递延所得税资产</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158"/>
        <w:gridCol w:w="1596"/>
        <w:gridCol w:w="1598"/>
        <w:gridCol w:w="1596"/>
        <w:gridCol w:w="1595"/>
      </w:tblGrid>
      <w:tr>
        <w:trPr>
          <w:trHeight w:val="484" w:hRule="exact"/>
        </w:trPr>
        <w:tc>
          <w:tcPr>
            <w:tcW w:w="21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836" w:hRule="exact"/>
        </w:trPr>
        <w:tc>
          <w:tcPr>
            <w:tcW w:w="2158" w:type="dxa"/>
            <w:vMerge/>
            <w:tcBorders>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49" w:right="335"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49" w:right="337" w:firstLine="270"/>
              <w:jc w:val="left"/>
              <w:rPr>
                <w:rFonts w:ascii="宋体" w:hAnsi="宋体" w:cs="宋体" w:eastAsia="宋体" w:hint="default"/>
                <w:sz w:val="18"/>
                <w:szCs w:val="18"/>
              </w:rPr>
            </w:pPr>
            <w:r>
              <w:rPr>
                <w:rFonts w:ascii="宋体" w:hAnsi="宋体" w:cs="宋体" w:eastAsia="宋体" w:hint="default"/>
                <w:sz w:val="18"/>
                <w:szCs w:val="18"/>
              </w:rPr>
              <w:t>递延 所得税资产</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51" w:right="333" w:firstLine="180"/>
              <w:jc w:val="left"/>
              <w:rPr>
                <w:rFonts w:ascii="宋体" w:hAnsi="宋体" w:cs="宋体" w:eastAsia="宋体" w:hint="default"/>
                <w:sz w:val="18"/>
                <w:szCs w:val="18"/>
              </w:rPr>
            </w:pPr>
            <w:r>
              <w:rPr>
                <w:rFonts w:ascii="宋体" w:hAnsi="宋体" w:cs="宋体" w:eastAsia="宋体" w:hint="default"/>
                <w:sz w:val="18"/>
                <w:szCs w:val="18"/>
              </w:rPr>
              <w:t>可抵扣 暂时性差异</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337" w:right="350" w:firstLine="270"/>
              <w:jc w:val="left"/>
              <w:rPr>
                <w:rFonts w:ascii="宋体" w:hAnsi="宋体" w:cs="宋体" w:eastAsia="宋体" w:hint="default"/>
                <w:sz w:val="18"/>
                <w:szCs w:val="18"/>
              </w:rPr>
            </w:pPr>
            <w:r>
              <w:rPr>
                <w:rFonts w:ascii="宋体" w:hAnsi="宋体" w:cs="宋体" w:eastAsia="宋体" w:hint="default"/>
                <w:sz w:val="18"/>
                <w:szCs w:val="18"/>
              </w:rPr>
              <w:t>递延 所得税资产</w:t>
            </w: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105,382,601.19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15,152,137.83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59,765,380.35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9,641,781.73</w:t>
            </w: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1,733,129.93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259,969.49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2,851,450.61</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479,005.48</w:t>
            </w: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pacing w:val="12"/>
                <w:sz w:val="18"/>
                <w:szCs w:val="18"/>
              </w:rPr>
              <w:t>合并财务报表存货中包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1,088,656.45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345,687.30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1,142,500.24</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284,890.28</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58"/>
        <w:gridCol w:w="1596"/>
        <w:gridCol w:w="1598"/>
        <w:gridCol w:w="1596"/>
        <w:gridCol w:w="1595"/>
      </w:tblGrid>
      <w:tr>
        <w:trPr>
          <w:trHeight w:val="36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含的未实现损益</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34,081,318.31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5,624,845.25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4,576,647.15</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686,497.06</w:t>
            </w: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预提费用、成本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9,791,739.34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1,622,777.60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3,880,285.24</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582,042.79</w:t>
            </w:r>
          </w:p>
        </w:tc>
      </w:tr>
      <w:tr>
        <w:trPr>
          <w:trHeight w:val="483"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未发放职工薪酬</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10,481,885.25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2,620,471.31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718"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122" w:right="101"/>
              <w:jc w:val="left"/>
              <w:rPr>
                <w:rFonts w:ascii="宋体" w:hAnsi="宋体" w:cs="宋体" w:eastAsia="宋体" w:hint="default"/>
                <w:sz w:val="18"/>
                <w:szCs w:val="18"/>
              </w:rPr>
            </w:pPr>
            <w:r>
              <w:rPr>
                <w:rFonts w:ascii="宋体" w:hAnsi="宋体" w:cs="宋体" w:eastAsia="宋体" w:hint="default"/>
                <w:spacing w:val="12"/>
                <w:sz w:val="18"/>
                <w:szCs w:val="18"/>
              </w:rPr>
              <w:t>衍生金融工具公允价值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变动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2,333,342.50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350,001.38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164,892,672.97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25,975,890.16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72,216,263.59</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11,674,217.34</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未经抵销的递延所得税负债</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158"/>
        <w:gridCol w:w="1596"/>
        <w:gridCol w:w="1598"/>
        <w:gridCol w:w="1596"/>
        <w:gridCol w:w="1595"/>
      </w:tblGrid>
      <w:tr>
        <w:trPr>
          <w:trHeight w:val="484" w:hRule="exact"/>
        </w:trPr>
        <w:tc>
          <w:tcPr>
            <w:tcW w:w="215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836" w:hRule="exact"/>
        </w:trPr>
        <w:tc>
          <w:tcPr>
            <w:tcW w:w="2158" w:type="dxa"/>
            <w:vMerge/>
            <w:tcBorders>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49" w:right="335"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49" w:right="337" w:firstLine="270"/>
              <w:jc w:val="left"/>
              <w:rPr>
                <w:rFonts w:ascii="宋体" w:hAnsi="宋体" w:cs="宋体" w:eastAsia="宋体" w:hint="default"/>
                <w:sz w:val="18"/>
                <w:szCs w:val="18"/>
              </w:rPr>
            </w:pPr>
            <w:r>
              <w:rPr>
                <w:rFonts w:ascii="宋体" w:hAnsi="宋体" w:cs="宋体" w:eastAsia="宋体" w:hint="default"/>
                <w:sz w:val="18"/>
                <w:szCs w:val="18"/>
              </w:rPr>
              <w:t>递延 所得税负债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51" w:right="333" w:firstLine="180"/>
              <w:jc w:val="left"/>
              <w:rPr>
                <w:rFonts w:ascii="宋体" w:hAnsi="宋体" w:cs="宋体" w:eastAsia="宋体" w:hint="default"/>
                <w:sz w:val="18"/>
                <w:szCs w:val="18"/>
              </w:rPr>
            </w:pPr>
            <w:r>
              <w:rPr>
                <w:rFonts w:ascii="宋体" w:hAnsi="宋体" w:cs="宋体" w:eastAsia="宋体" w:hint="default"/>
                <w:sz w:val="18"/>
                <w:szCs w:val="18"/>
              </w:rPr>
              <w:t>应纳税 暂时性差异</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347" w:right="341" w:firstLine="270"/>
              <w:jc w:val="left"/>
              <w:rPr>
                <w:rFonts w:ascii="宋体" w:hAnsi="宋体" w:cs="宋体" w:eastAsia="宋体" w:hint="default"/>
                <w:sz w:val="18"/>
                <w:szCs w:val="18"/>
              </w:rPr>
            </w:pPr>
            <w:r>
              <w:rPr>
                <w:rFonts w:ascii="宋体" w:hAnsi="宋体" w:cs="宋体" w:eastAsia="宋体" w:hint="default"/>
                <w:sz w:val="18"/>
                <w:szCs w:val="18"/>
              </w:rPr>
              <w:t>递延 所得税负债</w:t>
            </w:r>
          </w:p>
        </w:tc>
      </w:tr>
      <w:tr>
        <w:trPr>
          <w:trHeight w:val="718"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122" w:right="85"/>
              <w:jc w:val="left"/>
              <w:rPr>
                <w:rFonts w:ascii="宋体" w:hAnsi="宋体" w:cs="宋体" w:eastAsia="宋体" w:hint="default"/>
                <w:sz w:val="18"/>
                <w:szCs w:val="18"/>
              </w:rPr>
            </w:pPr>
            <w:r>
              <w:rPr>
                <w:rFonts w:ascii="宋体" w:hAnsi="宋体" w:cs="宋体" w:eastAsia="宋体" w:hint="default"/>
                <w:spacing w:val="13"/>
                <w:sz w:val="18"/>
                <w:szCs w:val="18"/>
              </w:rPr>
              <w:t>衍生金融工具公允价值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变动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18,517,087.00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2,777,563.05</w:t>
            </w:r>
          </w:p>
        </w:tc>
      </w:tr>
      <w:tr>
        <w:trPr>
          <w:trHeight w:val="484" w:hRule="exact"/>
        </w:trPr>
        <w:tc>
          <w:tcPr>
            <w:tcW w:w="21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18,517,087.00</w:t>
            </w:r>
          </w:p>
        </w:tc>
        <w:tc>
          <w:tcPr>
            <w:tcW w:w="15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2,777,563.05</w:t>
            </w:r>
          </w:p>
        </w:tc>
      </w:tr>
    </w:tbl>
    <w:p>
      <w:pPr>
        <w:spacing w:line="240" w:lineRule="auto" w:before="0"/>
        <w:rPr>
          <w:rFonts w:ascii="宋体" w:hAnsi="宋体" w:cs="宋体" w:eastAsia="宋体" w:hint="default"/>
          <w:sz w:val="29"/>
          <w:szCs w:val="29"/>
        </w:rPr>
      </w:pPr>
    </w:p>
    <w:p>
      <w:pPr>
        <w:pStyle w:val="BodyText"/>
        <w:spacing w:line="240" w:lineRule="auto" w:before="35"/>
        <w:ind w:left="658" w:right="1688"/>
        <w:jc w:val="left"/>
      </w:pPr>
      <w:bookmarkStart w:name="18. 其他非流动资产" w:id="177"/>
      <w:bookmarkEnd w:id="177"/>
      <w:r>
        <w:rPr/>
      </w:r>
      <w:r>
        <w:rPr>
          <w:rFonts w:ascii="宋体" w:hAnsi="宋体" w:cs="宋体" w:eastAsia="宋体" w:hint="default"/>
        </w:rPr>
        <w:t>18.</w:t>
      </w:r>
      <w:r>
        <w:rPr>
          <w:rFonts w:ascii="宋体" w:hAnsi="宋体" w:cs="宋体" w:eastAsia="宋体" w:hint="default"/>
          <w:spacing w:val="-1"/>
        </w:rPr>
        <w:t> </w:t>
      </w:r>
      <w:r>
        <w:rPr/>
        <w:t>其他非流动资产</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厂区搬迁累计已经发生的损失及相关费用</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120,906,088.83</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预付土地购置款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40,230,000.00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190,890,000.00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9,351,674.00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7,500,000.00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170,487,762.83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198,390,000.00</w:t>
            </w:r>
          </w:p>
        </w:tc>
      </w:tr>
    </w:tbl>
    <w:p>
      <w:pPr>
        <w:pStyle w:val="BodyText"/>
        <w:spacing w:line="241" w:lineRule="exact" w:before="0"/>
        <w:ind w:left="658" w:right="1688"/>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0"/>
        <w:ind w:left="658" w:right="1688"/>
        <w:jc w:val="left"/>
      </w:pPr>
      <w:bookmarkStart w:name="19. 短期借款" w:id="178"/>
      <w:bookmarkEnd w:id="178"/>
      <w:r>
        <w:rPr/>
      </w:r>
      <w:r>
        <w:rPr>
          <w:rFonts w:ascii="宋体" w:hAnsi="宋体" w:cs="宋体" w:eastAsia="宋体" w:hint="default"/>
        </w:rPr>
        <w:t>19.</w:t>
      </w:r>
      <w:r>
        <w:rPr>
          <w:rFonts w:ascii="宋体" w:hAnsi="宋体" w:cs="宋体" w:eastAsia="宋体" w:hint="default"/>
          <w:spacing w:val="-1"/>
        </w:rPr>
        <w:t> </w:t>
      </w:r>
      <w:r>
        <w:rPr/>
        <w:t>短期借款</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659"/>
        <w:gridCol w:w="1943"/>
        <w:gridCol w:w="1942"/>
      </w:tblGrid>
      <w:tr>
        <w:trPr>
          <w:trHeight w:val="482"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809"/>
              <w:jc w:val="right"/>
              <w:rPr>
                <w:rFonts w:ascii="宋体" w:hAnsi="宋体" w:cs="宋体" w:eastAsia="宋体" w:hint="default"/>
                <w:sz w:val="18"/>
                <w:szCs w:val="18"/>
              </w:rPr>
            </w:pPr>
            <w:r>
              <w:rPr>
                <w:rFonts w:ascii="宋体" w:hAnsi="宋体" w:cs="宋体" w:eastAsia="宋体" w:hint="default"/>
                <w:sz w:val="18"/>
                <w:szCs w:val="18"/>
              </w:rPr>
              <w:t>项  目</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3809"/>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260,396,392.07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263,391,954.09</w:t>
            </w:r>
          </w:p>
        </w:tc>
      </w:tr>
      <w:tr>
        <w:trPr>
          <w:trHeight w:val="484"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3809"/>
              <w:jc w:val="right"/>
              <w:rPr>
                <w:rFonts w:ascii="宋体" w:hAnsi="宋体" w:cs="宋体" w:eastAsia="宋体" w:hint="default"/>
                <w:sz w:val="18"/>
                <w:szCs w:val="18"/>
              </w:rPr>
            </w:pPr>
            <w:r>
              <w:rPr>
                <w:rFonts w:ascii="宋体" w:hAnsi="宋体" w:cs="宋体" w:eastAsia="宋体" w:hint="default"/>
                <w:sz w:val="18"/>
                <w:szCs w:val="18"/>
              </w:rPr>
              <w:t>质押借款</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48,720,400.00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96,002,844.90</w:t>
            </w:r>
          </w:p>
        </w:tc>
      </w:tr>
      <w:tr>
        <w:trPr>
          <w:trHeight w:val="484"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809"/>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95,000,000.00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37,400,000.00</w:t>
            </w:r>
          </w:p>
        </w:tc>
      </w:tr>
      <w:tr>
        <w:trPr>
          <w:trHeight w:val="484"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right="3809"/>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10,000,000.00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38,000,000.00</w:t>
            </w:r>
          </w:p>
        </w:tc>
      </w:tr>
      <w:tr>
        <w:trPr>
          <w:trHeight w:val="484" w:hRule="exact"/>
        </w:trPr>
        <w:tc>
          <w:tcPr>
            <w:tcW w:w="4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809"/>
              <w:jc w:val="right"/>
              <w:rPr>
                <w:rFonts w:ascii="宋体" w:hAnsi="宋体" w:cs="宋体" w:eastAsia="宋体" w:hint="default"/>
                <w:sz w:val="18"/>
                <w:szCs w:val="18"/>
              </w:rPr>
            </w:pPr>
            <w:r>
              <w:rPr>
                <w:rFonts w:ascii="宋体" w:hAnsi="宋体" w:cs="宋体" w:eastAsia="宋体" w:hint="default"/>
                <w:sz w:val="18"/>
                <w:szCs w:val="18"/>
              </w:rPr>
              <w:t>合  计</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414,116,792.07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434,794,798.99</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240" w:lineRule="auto" w:before="35"/>
        <w:ind w:left="658" w:right="1688"/>
        <w:jc w:val="left"/>
      </w:pPr>
      <w:bookmarkStart w:name="20. 以公允价值计量且其变动计入当期损益的金融负债" w:id="179"/>
      <w:bookmarkEnd w:id="179"/>
      <w:r>
        <w:rPr/>
      </w:r>
      <w:r>
        <w:rPr>
          <w:rFonts w:ascii="宋体" w:hAnsi="宋体" w:cs="宋体" w:eastAsia="宋体" w:hint="default"/>
        </w:rPr>
        <w:t>20.</w:t>
      </w:r>
      <w:r>
        <w:rPr>
          <w:rFonts w:ascii="宋体" w:hAnsi="宋体" w:cs="宋体" w:eastAsia="宋体" w:hint="default"/>
          <w:spacing w:val="-1"/>
        </w:rPr>
        <w:t> </w:t>
      </w:r>
      <w:r>
        <w:rPr/>
        <w:t>以公允价值计量且其变动计入当期损益的金融负债</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4" w:right="0"/>
              <w:jc w:val="left"/>
              <w:rPr>
                <w:rFonts w:ascii="宋体" w:hAnsi="宋体" w:cs="宋体" w:eastAsia="宋体" w:hint="default"/>
                <w:sz w:val="18"/>
                <w:szCs w:val="18"/>
              </w:rPr>
            </w:pPr>
            <w:r>
              <w:rPr>
                <w:rFonts w:ascii="宋体"/>
                <w:sz w:val="18"/>
              </w:rPr>
              <w:t>2,333,342.50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其中：衍生金融负债</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4" w:right="0"/>
              <w:jc w:val="left"/>
              <w:rPr>
                <w:rFonts w:ascii="宋体" w:hAnsi="宋体" w:cs="宋体" w:eastAsia="宋体" w:hint="default"/>
                <w:sz w:val="18"/>
                <w:szCs w:val="18"/>
              </w:rPr>
            </w:pPr>
            <w:r>
              <w:rPr>
                <w:rFonts w:ascii="宋体"/>
                <w:sz w:val="18"/>
              </w:rPr>
              <w:t>2,333,342.50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4" w:right="0"/>
              <w:jc w:val="left"/>
              <w:rPr>
                <w:rFonts w:ascii="宋体" w:hAnsi="宋体" w:cs="宋体" w:eastAsia="宋体" w:hint="default"/>
                <w:sz w:val="18"/>
                <w:szCs w:val="18"/>
              </w:rPr>
            </w:pPr>
            <w:r>
              <w:rPr>
                <w:rFonts w:ascii="宋体"/>
                <w:sz w:val="18"/>
              </w:rPr>
              <w:t>2,333,342.50</w:t>
            </w:r>
          </w:p>
        </w:tc>
        <w:tc>
          <w:tcPr>
            <w:tcW w:w="1918"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before="0"/>
        <w:ind w:left="658" w:right="1688"/>
        <w:jc w:val="left"/>
      </w:pPr>
      <w:r>
        <w:rPr>
          <w:rFonts w:ascii="宋体" w:hAnsi="宋体" w:cs="宋体" w:eastAsia="宋体" w:hint="default"/>
        </w:rPr>
        <w:t>[</w:t>
      </w:r>
      <w:r>
        <w:rPr/>
        <w:t>注</w:t>
      </w:r>
      <w:r>
        <w:rPr>
          <w:rFonts w:ascii="宋体" w:hAnsi="宋体" w:cs="宋体" w:eastAsia="宋体" w:hint="default"/>
        </w:rPr>
        <w:t>]</w:t>
      </w:r>
      <w:r>
        <w:rPr/>
        <w:t>：期末数详见本财务报表附注承诺事项之说明。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0"/>
        <w:ind w:left="658" w:right="1688"/>
        <w:jc w:val="left"/>
      </w:pPr>
      <w:bookmarkStart w:name="21. 应付票据" w:id="180"/>
      <w:bookmarkEnd w:id="180"/>
      <w:r>
        <w:rPr/>
      </w:r>
      <w:r>
        <w:rPr>
          <w:rFonts w:ascii="宋体" w:hAnsi="宋体" w:cs="宋体" w:eastAsia="宋体" w:hint="default"/>
        </w:rPr>
        <w:t>21.</w:t>
      </w:r>
      <w:r>
        <w:rPr>
          <w:rFonts w:ascii="宋体" w:hAnsi="宋体" w:cs="宋体" w:eastAsia="宋体" w:hint="default"/>
          <w:spacing w:val="-1"/>
        </w:rPr>
        <w:t> </w:t>
      </w:r>
      <w:r>
        <w:rPr/>
        <w:t>应付票据</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8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69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宋体" w:hAnsi="宋体" w:cs="宋体" w:eastAsia="宋体" w:hint="default"/>
                <w:sz w:val="18"/>
                <w:szCs w:val="18"/>
              </w:rPr>
            </w:pPr>
            <w:r>
              <w:rPr>
                <w:rFonts w:ascii="宋体"/>
                <w:sz w:val="18"/>
              </w:rPr>
              <w:t>38,849,154.00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634" w:right="0"/>
              <w:jc w:val="left"/>
              <w:rPr>
                <w:rFonts w:ascii="宋体" w:hAnsi="宋体" w:cs="宋体" w:eastAsia="宋体" w:hint="default"/>
                <w:sz w:val="18"/>
                <w:szCs w:val="18"/>
              </w:rPr>
            </w:pPr>
            <w:r>
              <w:rPr>
                <w:rFonts w:ascii="宋体"/>
                <w:sz w:val="18"/>
              </w:rPr>
              <w:t>52,628,783.60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宋体" w:hAnsi="宋体" w:cs="宋体" w:eastAsia="宋体" w:hint="default"/>
                <w:sz w:val="18"/>
                <w:szCs w:val="18"/>
              </w:rPr>
            </w:pPr>
            <w:r>
              <w:rPr>
                <w:rFonts w:ascii="宋体"/>
                <w:sz w:val="18"/>
              </w:rPr>
              <w:t>19,500,000.00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24" w:right="0"/>
              <w:jc w:val="left"/>
              <w:rPr>
                <w:rFonts w:ascii="宋体" w:hAnsi="宋体" w:cs="宋体" w:eastAsia="宋体" w:hint="default"/>
                <w:sz w:val="18"/>
                <w:szCs w:val="18"/>
              </w:rPr>
            </w:pPr>
            <w:r>
              <w:rPr>
                <w:rFonts w:ascii="宋体"/>
                <w:sz w:val="18"/>
              </w:rPr>
              <w:t>3,617,340.00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33" w:right="0"/>
              <w:jc w:val="left"/>
              <w:rPr>
                <w:rFonts w:ascii="宋体" w:hAnsi="宋体" w:cs="宋体" w:eastAsia="宋体" w:hint="default"/>
                <w:sz w:val="18"/>
                <w:szCs w:val="18"/>
              </w:rPr>
            </w:pPr>
            <w:r>
              <w:rPr>
                <w:rFonts w:ascii="宋体"/>
                <w:sz w:val="18"/>
              </w:rPr>
              <w:t>58,349,154.00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634" w:right="0"/>
              <w:jc w:val="left"/>
              <w:rPr>
                <w:rFonts w:ascii="宋体" w:hAnsi="宋体" w:cs="宋体" w:eastAsia="宋体" w:hint="default"/>
                <w:sz w:val="18"/>
                <w:szCs w:val="18"/>
              </w:rPr>
            </w:pPr>
            <w:r>
              <w:rPr>
                <w:rFonts w:ascii="宋体"/>
                <w:sz w:val="18"/>
              </w:rPr>
              <w:t>56,246,123.60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658" w:right="1688"/>
        <w:jc w:val="left"/>
      </w:pPr>
      <w:bookmarkStart w:name="22. 应付账款" w:id="181"/>
      <w:bookmarkEnd w:id="181"/>
      <w:r>
        <w:rPr/>
      </w:r>
      <w:r>
        <w:rPr>
          <w:rFonts w:ascii="宋体" w:hAnsi="宋体" w:cs="宋体" w:eastAsia="宋体" w:hint="default"/>
        </w:rPr>
        <w:t>22.</w:t>
      </w:r>
      <w:r>
        <w:rPr>
          <w:rFonts w:ascii="宋体" w:hAnsi="宋体" w:cs="宋体" w:eastAsia="宋体" w:hint="default"/>
          <w:spacing w:val="-1"/>
        </w:rPr>
        <w:t> </w:t>
      </w:r>
      <w:r>
        <w:rPr/>
        <w:t>应付账款</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52"/>
        <w:gridCol w:w="1967"/>
        <w:gridCol w:w="1966"/>
      </w:tblGrid>
      <w:tr>
        <w:trPr>
          <w:trHeight w:val="484" w:hRule="exact"/>
        </w:trPr>
        <w:tc>
          <w:tcPr>
            <w:tcW w:w="4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818,265,057.25</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296,784,985.10</w:t>
            </w:r>
          </w:p>
        </w:tc>
      </w:tr>
      <w:tr>
        <w:trPr>
          <w:trHeight w:val="484" w:hRule="exact"/>
        </w:trPr>
        <w:tc>
          <w:tcPr>
            <w:tcW w:w="4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应付长期资产购置款</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10,301,681.53</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24,214,282.13</w:t>
            </w:r>
          </w:p>
        </w:tc>
      </w:tr>
      <w:tr>
        <w:trPr>
          <w:trHeight w:val="484" w:hRule="exact"/>
        </w:trPr>
        <w:tc>
          <w:tcPr>
            <w:tcW w:w="47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828,566,738.78</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320,999,267.23</w:t>
            </w:r>
          </w:p>
        </w:tc>
      </w:tr>
    </w:tbl>
    <w:p>
      <w:pPr>
        <w:spacing w:line="240" w:lineRule="auto" w:before="0"/>
        <w:rPr>
          <w:rFonts w:ascii="宋体" w:hAnsi="宋体" w:cs="宋体" w:eastAsia="宋体" w:hint="default"/>
          <w:sz w:val="20"/>
          <w:szCs w:val="20"/>
        </w:rPr>
      </w:pPr>
    </w:p>
    <w:p>
      <w:pPr>
        <w:pStyle w:val="BodyText"/>
        <w:spacing w:line="240" w:lineRule="auto" w:before="177"/>
        <w:ind w:left="658" w:right="1688"/>
        <w:jc w:val="left"/>
      </w:pPr>
      <w:bookmarkStart w:name="23. 预收款项" w:id="182"/>
      <w:bookmarkEnd w:id="182"/>
      <w:r>
        <w:rPr/>
      </w:r>
      <w:r>
        <w:rPr>
          <w:rFonts w:ascii="宋体" w:hAnsi="宋体" w:cs="宋体" w:eastAsia="宋体" w:hint="default"/>
        </w:rPr>
        <w:t>23.</w:t>
      </w:r>
      <w:r>
        <w:rPr>
          <w:rFonts w:ascii="宋体" w:hAnsi="宋体" w:cs="宋体" w:eastAsia="宋体" w:hint="default"/>
          <w:spacing w:val="-1"/>
        </w:rPr>
        <w:t> </w:t>
      </w:r>
      <w:r>
        <w:rPr/>
        <w:t>预收款项</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698"/>
        <w:gridCol w:w="1918"/>
        <w:gridCol w:w="1916"/>
      </w:tblGrid>
      <w:tr>
        <w:trPr>
          <w:trHeight w:val="482" w:hRule="exact"/>
        </w:trPr>
        <w:tc>
          <w:tcPr>
            <w:tcW w:w="4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849"/>
              <w:jc w:val="righ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3849"/>
              <w:jc w:val="right"/>
              <w:rPr>
                <w:rFonts w:ascii="宋体" w:hAnsi="宋体" w:cs="宋体" w:eastAsia="宋体" w:hint="default"/>
                <w:sz w:val="18"/>
                <w:szCs w:val="18"/>
              </w:rPr>
            </w:pPr>
            <w:r>
              <w:rPr>
                <w:rFonts w:ascii="宋体" w:hAnsi="宋体" w:cs="宋体" w:eastAsia="宋体" w:hint="default"/>
                <w:sz w:val="18"/>
                <w:szCs w:val="18"/>
              </w:rPr>
              <w:t>预收货款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9"/>
              <w:jc w:val="right"/>
              <w:rPr>
                <w:rFonts w:ascii="宋体" w:hAnsi="宋体" w:cs="宋体" w:eastAsia="宋体" w:hint="default"/>
                <w:sz w:val="18"/>
                <w:szCs w:val="18"/>
              </w:rPr>
            </w:pPr>
            <w:r>
              <w:rPr>
                <w:rFonts w:ascii="宋体"/>
                <w:sz w:val="18"/>
              </w:rPr>
              <w:t>134,110,119.72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9"/>
              <w:jc w:val="right"/>
              <w:rPr>
                <w:rFonts w:ascii="宋体" w:hAnsi="宋体" w:cs="宋体" w:eastAsia="宋体" w:hint="default"/>
                <w:sz w:val="18"/>
                <w:szCs w:val="18"/>
              </w:rPr>
            </w:pPr>
            <w:r>
              <w:rPr>
                <w:rFonts w:ascii="宋体"/>
                <w:sz w:val="18"/>
              </w:rPr>
              <w:t>73,443,000.86</w:t>
            </w:r>
          </w:p>
        </w:tc>
      </w:tr>
      <w:tr>
        <w:trPr>
          <w:trHeight w:val="484" w:hRule="exact"/>
        </w:trPr>
        <w:tc>
          <w:tcPr>
            <w:tcW w:w="4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3849"/>
              <w:jc w:val="righ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9"/>
              <w:jc w:val="right"/>
              <w:rPr>
                <w:rFonts w:ascii="宋体" w:hAnsi="宋体" w:cs="宋体" w:eastAsia="宋体" w:hint="default"/>
                <w:sz w:val="18"/>
                <w:szCs w:val="18"/>
              </w:rPr>
            </w:pPr>
            <w:r>
              <w:rPr>
                <w:rFonts w:ascii="宋体"/>
                <w:sz w:val="18"/>
              </w:rPr>
              <w:t>134,110,119.72</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39"/>
              <w:jc w:val="right"/>
              <w:rPr>
                <w:rFonts w:ascii="宋体" w:hAnsi="宋体" w:cs="宋体" w:eastAsia="宋体" w:hint="default"/>
                <w:sz w:val="18"/>
                <w:szCs w:val="18"/>
              </w:rPr>
            </w:pPr>
            <w:r>
              <w:rPr>
                <w:rFonts w:ascii="宋体"/>
                <w:sz w:val="18"/>
              </w:rPr>
              <w:t>73,443,000.86</w:t>
            </w:r>
          </w:p>
        </w:tc>
      </w:tr>
    </w:tbl>
    <w:p>
      <w:pPr>
        <w:spacing w:line="240" w:lineRule="auto" w:before="13"/>
        <w:rPr>
          <w:rFonts w:ascii="宋体" w:hAnsi="宋体" w:cs="宋体" w:eastAsia="宋体" w:hint="default"/>
          <w:sz w:val="25"/>
          <w:szCs w:val="25"/>
        </w:rPr>
      </w:pPr>
    </w:p>
    <w:p>
      <w:pPr>
        <w:pStyle w:val="BodyText"/>
        <w:spacing w:line="240" w:lineRule="auto" w:before="35"/>
        <w:ind w:left="658" w:right="1688"/>
        <w:jc w:val="left"/>
      </w:pPr>
      <w:bookmarkStart w:name="24. 应付职工薪酬" w:id="183"/>
      <w:bookmarkEnd w:id="183"/>
      <w:r>
        <w:rPr/>
      </w:r>
      <w:r>
        <w:rPr>
          <w:rFonts w:ascii="宋体" w:hAnsi="宋体" w:cs="宋体" w:eastAsia="宋体" w:hint="default"/>
        </w:rPr>
        <w:t>24.</w:t>
      </w:r>
      <w:r>
        <w:rPr>
          <w:rFonts w:ascii="宋体" w:hAnsi="宋体" w:cs="宋体" w:eastAsia="宋体" w:hint="default"/>
          <w:spacing w:val="-1"/>
        </w:rPr>
        <w:t> </w:t>
      </w:r>
      <w:r>
        <w:rPr/>
        <w:t>应付职工薪酬</w:t>
      </w:r>
    </w:p>
    <w:p>
      <w:pPr>
        <w:spacing w:before="178"/>
        <w:ind w:left="598" w:right="1688"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明细情况</w:t>
      </w:r>
    </w:p>
    <w:p>
      <w:pPr>
        <w:spacing w:line="240" w:lineRule="auto" w:before="1"/>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2780"/>
        <w:gridCol w:w="1406"/>
        <w:gridCol w:w="1476"/>
        <w:gridCol w:w="1476"/>
        <w:gridCol w:w="1405"/>
      </w:tblGrid>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8"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3"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32,352,542.08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305,788,228.52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277,144,861.89</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12" w:right="0"/>
              <w:jc w:val="center"/>
              <w:rPr>
                <w:rFonts w:ascii="宋体" w:hAnsi="宋体" w:cs="宋体" w:eastAsia="宋体" w:hint="default"/>
                <w:sz w:val="18"/>
                <w:szCs w:val="18"/>
              </w:rPr>
            </w:pPr>
            <w:r>
              <w:rPr>
                <w:rFonts w:ascii="宋体"/>
                <w:sz w:val="18"/>
              </w:rPr>
              <w:t>60,995,908.71</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1,332,198.86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21,724,444.37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18,858,981.38</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2" w:right="0"/>
              <w:jc w:val="center"/>
              <w:rPr>
                <w:rFonts w:ascii="宋体" w:hAnsi="宋体" w:cs="宋体" w:eastAsia="宋体" w:hint="default"/>
                <w:sz w:val="18"/>
                <w:szCs w:val="18"/>
              </w:rPr>
            </w:pPr>
            <w:r>
              <w:rPr>
                <w:rFonts w:ascii="宋体"/>
                <w:sz w:val="18"/>
              </w:rPr>
              <w:t>4,197,661.85</w:t>
            </w:r>
          </w:p>
        </w:tc>
      </w:tr>
      <w:tr>
        <w:trPr>
          <w:trHeight w:val="48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3,748,446.82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6,870,061.99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7,339,606.69</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2" w:right="0"/>
              <w:jc w:val="center"/>
              <w:rPr>
                <w:rFonts w:ascii="宋体" w:hAnsi="宋体" w:cs="宋体" w:eastAsia="宋体" w:hint="default"/>
                <w:sz w:val="18"/>
                <w:szCs w:val="18"/>
              </w:rPr>
            </w:pPr>
            <w:r>
              <w:rPr>
                <w:rFonts w:ascii="宋体"/>
                <w:sz w:val="18"/>
              </w:rPr>
              <w:t>3,278,902.12</w:t>
            </w:r>
          </w:p>
        </w:tc>
      </w:tr>
    </w:tbl>
    <w:p>
      <w:pPr>
        <w:spacing w:after="0" w:line="240" w:lineRule="auto"/>
        <w:jc w:val="center"/>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780"/>
        <w:gridCol w:w="1406"/>
        <w:gridCol w:w="1476"/>
        <w:gridCol w:w="1476"/>
        <w:gridCol w:w="1405"/>
      </w:tblGrid>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sz w:val="18"/>
              </w:rPr>
              <w:t>37,433,187.76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sz w:val="18"/>
              </w:rPr>
              <w:t>334,382,734.88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sz w:val="18"/>
              </w:rPr>
              <w:t>303,343,449.96</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21" w:right="0"/>
              <w:jc w:val="left"/>
              <w:rPr>
                <w:rFonts w:ascii="宋体" w:hAnsi="宋体" w:cs="宋体" w:eastAsia="宋体" w:hint="default"/>
                <w:sz w:val="18"/>
                <w:szCs w:val="18"/>
              </w:rPr>
            </w:pPr>
            <w:r>
              <w:rPr>
                <w:rFonts w:ascii="宋体"/>
                <w:sz w:val="18"/>
              </w:rPr>
              <w:t>68,472,472.68</w:t>
            </w:r>
          </w:p>
        </w:tc>
      </w:tr>
    </w:tbl>
    <w:p>
      <w:pPr>
        <w:pStyle w:val="BodyText"/>
        <w:spacing w:line="241" w:lineRule="exact" w:before="0"/>
        <w:ind w:left="658" w:right="1688"/>
        <w:jc w:val="left"/>
      </w:pPr>
      <w:r>
        <w:rPr>
          <w:rFonts w:ascii="宋体" w:hAnsi="宋体" w:cs="宋体" w:eastAsia="宋体" w:hint="default"/>
        </w:rPr>
        <w:t>[</w:t>
      </w:r>
      <w:r>
        <w:rPr/>
        <w:t>注</w:t>
      </w:r>
      <w:r>
        <w:rPr>
          <w:rFonts w:ascii="宋体" w:hAnsi="宋体" w:cs="宋体" w:eastAsia="宋体" w:hint="default"/>
        </w:rPr>
        <w:t>]</w:t>
      </w:r>
      <w:r>
        <w:rPr/>
        <w:t>：其中本期因非同一控制下企业合并转入</w:t>
      </w:r>
      <w:r>
        <w:rPr>
          <w:spacing w:val="-54"/>
        </w:rPr>
        <w:t> </w:t>
      </w:r>
      <w:r>
        <w:rPr>
          <w:rFonts w:ascii="宋体" w:hAnsi="宋体" w:cs="宋体" w:eastAsia="宋体" w:hint="default"/>
        </w:rPr>
        <w:t>14,196,828.10</w:t>
      </w:r>
      <w:r>
        <w:rPr>
          <w:rFonts w:ascii="宋体" w:hAnsi="宋体" w:cs="宋体" w:eastAsia="宋体" w:hint="default"/>
          <w:spacing w:val="-54"/>
        </w:rPr>
        <w:t> </w:t>
      </w:r>
      <w:r>
        <w:rPr/>
        <w:t>元。</w:t>
      </w:r>
    </w:p>
    <w:p>
      <w:pPr>
        <w:pStyle w:val="BodyText"/>
        <w:spacing w:line="240" w:lineRule="auto" w:before="175"/>
        <w:ind w:left="657" w:right="1688"/>
        <w:jc w:val="left"/>
      </w:pPr>
      <w:r>
        <w:rPr>
          <w:rFonts w:ascii="宋体" w:hAnsi="宋体" w:cs="宋体" w:eastAsia="宋体" w:hint="default"/>
        </w:rPr>
        <w:t>(2)</w:t>
      </w:r>
      <w:r>
        <w:rPr>
          <w:rFonts w:ascii="宋体" w:hAnsi="宋体" w:cs="宋体" w:eastAsia="宋体" w:hint="default"/>
          <w:spacing w:val="-1"/>
        </w:rPr>
        <w:t> </w:t>
      </w:r>
      <w:r>
        <w:rPr/>
        <w:t>短期薪酬明细情况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780"/>
        <w:gridCol w:w="1406"/>
        <w:gridCol w:w="1476"/>
        <w:gridCol w:w="1476"/>
        <w:gridCol w:w="1405"/>
      </w:tblGrid>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7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2"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30,045,362.16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269,154,306.99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243,839,076.95</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55,360,592.20</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11,006,573.44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11,006,573.44</w:t>
            </w:r>
          </w:p>
        </w:tc>
        <w:tc>
          <w:tcPr>
            <w:tcW w:w="140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840,051.92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14,274,146.90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12,787,194.62</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2,327,004.20</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592,650.15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11,243,183.78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9,908,656.45</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1,927,177.48</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194,386.50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2,177,068.13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2,153,687.16</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217,767.47</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53,015.27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853,894.99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724,851.01</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182,059.25</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167,800.90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7,542,598.20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5,990,256.44</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1,720,142.66</w:t>
            </w:r>
          </w:p>
        </w:tc>
      </w:tr>
      <w:tr>
        <w:trPr>
          <w:trHeight w:val="48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1,208,247.70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2,886,187.28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2,719,824.44</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1,374,610.54</w:t>
            </w:r>
          </w:p>
        </w:tc>
      </w:tr>
      <w:tr>
        <w:trPr>
          <w:trHeight w:val="482"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91,079.40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924,415.71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801,936.00</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213,559.11</w:t>
            </w:r>
          </w:p>
        </w:tc>
      </w:tr>
      <w:tr>
        <w:trPr>
          <w:trHeight w:val="48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32,352,542.08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305,788,228.52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277,144,861.89</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60,995,908.71</w:t>
            </w:r>
          </w:p>
        </w:tc>
      </w:tr>
    </w:tbl>
    <w:p>
      <w:pPr>
        <w:pStyle w:val="BodyText"/>
        <w:spacing w:line="240" w:lineRule="auto" w:before="6"/>
        <w:ind w:left="658" w:right="1688"/>
        <w:jc w:val="left"/>
      </w:pPr>
      <w:r>
        <w:rPr>
          <w:rFonts w:ascii="宋体" w:hAnsi="宋体" w:cs="宋体" w:eastAsia="宋体" w:hint="default"/>
        </w:rPr>
        <w:t>(3)</w:t>
      </w:r>
      <w:r>
        <w:rPr>
          <w:rFonts w:ascii="宋体" w:hAnsi="宋体" w:cs="宋体" w:eastAsia="宋体" w:hint="default"/>
          <w:spacing w:val="-1"/>
        </w:rPr>
        <w:t> </w:t>
      </w:r>
      <w:r>
        <w:rPr/>
        <w:t>设定提存计划明细情况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810"/>
        <w:gridCol w:w="1433"/>
        <w:gridCol w:w="1433"/>
        <w:gridCol w:w="1434"/>
        <w:gridCol w:w="1433"/>
      </w:tblGrid>
      <w:tr>
        <w:trPr>
          <w:trHeight w:val="484" w:hRule="exact"/>
        </w:trPr>
        <w:tc>
          <w:tcPr>
            <w:tcW w:w="2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4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4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2" w:hRule="exact"/>
        </w:trPr>
        <w:tc>
          <w:tcPr>
            <w:tcW w:w="2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1,182,439.61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19,534,530.63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5" w:right="0"/>
              <w:jc w:val="center"/>
              <w:rPr>
                <w:rFonts w:ascii="宋体" w:hAnsi="宋体" w:cs="宋体" w:eastAsia="宋体" w:hint="default"/>
                <w:sz w:val="18"/>
                <w:szCs w:val="18"/>
              </w:rPr>
            </w:pPr>
            <w:r>
              <w:rPr>
                <w:rFonts w:ascii="宋体"/>
                <w:sz w:val="18"/>
              </w:rPr>
              <w:t>16,837,469.94</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3,879,500.30</w:t>
            </w:r>
          </w:p>
        </w:tc>
      </w:tr>
      <w:tr>
        <w:trPr>
          <w:trHeight w:val="484" w:hRule="exact"/>
        </w:trPr>
        <w:tc>
          <w:tcPr>
            <w:tcW w:w="2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149,759.25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2,189,913.74</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5" w:right="0"/>
              <w:jc w:val="center"/>
              <w:rPr>
                <w:rFonts w:ascii="宋体" w:hAnsi="宋体" w:cs="宋体" w:eastAsia="宋体" w:hint="default"/>
                <w:sz w:val="18"/>
                <w:szCs w:val="18"/>
              </w:rPr>
            </w:pPr>
            <w:r>
              <w:rPr>
                <w:rFonts w:ascii="宋体"/>
                <w:sz w:val="18"/>
              </w:rPr>
              <w:t>2,021,511.44</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318,161.55</w:t>
            </w:r>
          </w:p>
        </w:tc>
      </w:tr>
      <w:tr>
        <w:trPr>
          <w:trHeight w:val="484" w:hRule="exact"/>
        </w:trPr>
        <w:tc>
          <w:tcPr>
            <w:tcW w:w="2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1,332,198.86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21,724,444.37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宋体" w:hAnsi="宋体" w:cs="宋体" w:eastAsia="宋体" w:hint="default"/>
                <w:sz w:val="18"/>
                <w:szCs w:val="18"/>
              </w:rPr>
            </w:pPr>
            <w:r>
              <w:rPr>
                <w:rFonts w:ascii="宋体"/>
                <w:sz w:val="18"/>
              </w:rPr>
              <w:t>18,858,981.38</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4,197,661.85</w:t>
            </w: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25. 应交税费" w:id="184"/>
      <w:bookmarkEnd w:id="184"/>
      <w:r>
        <w:rPr/>
      </w:r>
      <w:r>
        <w:rPr>
          <w:rFonts w:ascii="宋体" w:hAnsi="宋体" w:cs="宋体" w:eastAsia="宋体" w:hint="default"/>
        </w:rPr>
        <w:t>25.</w:t>
      </w:r>
      <w:r>
        <w:rPr>
          <w:rFonts w:ascii="宋体" w:hAnsi="宋体" w:cs="宋体" w:eastAsia="宋体" w:hint="default"/>
          <w:spacing w:val="-1"/>
        </w:rPr>
        <w:t> </w:t>
      </w:r>
      <w:r>
        <w:rPr/>
        <w:t>应交税费</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6,734,013.90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1,996,264.93</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52,507.43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38,750.00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31,103,026.67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5,109,192.58</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390,084.81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182,024.70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596,666.51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455,110.85</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1,318,239.58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836,626.72</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3,142,913.11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602,085.92</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356,527.45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241,076.66</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237,684.95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160,717.76</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972,702.78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667,738.51</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869,559.19</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280,383.93</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5,997,123.85</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51,771,050.23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10,569,972.56</w:t>
            </w:r>
          </w:p>
        </w:tc>
      </w:tr>
    </w:tbl>
    <w:p>
      <w:pPr>
        <w:spacing w:line="240" w:lineRule="auto" w:before="7"/>
        <w:rPr>
          <w:rFonts w:ascii="宋体" w:hAnsi="宋体" w:cs="宋体" w:eastAsia="宋体" w:hint="default"/>
          <w:sz w:val="27"/>
          <w:szCs w:val="27"/>
        </w:rPr>
      </w:pPr>
    </w:p>
    <w:p>
      <w:pPr>
        <w:pStyle w:val="BodyText"/>
        <w:spacing w:line="240" w:lineRule="auto" w:before="35"/>
        <w:ind w:left="658" w:right="1688"/>
        <w:jc w:val="left"/>
      </w:pPr>
      <w:bookmarkStart w:name="26. 应付利息" w:id="185"/>
      <w:bookmarkEnd w:id="185"/>
      <w:r>
        <w:rPr/>
      </w:r>
      <w:r>
        <w:rPr>
          <w:rFonts w:ascii="宋体" w:hAnsi="宋体" w:cs="宋体" w:eastAsia="宋体" w:hint="default"/>
        </w:rPr>
        <w:t>26.</w:t>
      </w:r>
      <w:r>
        <w:rPr>
          <w:rFonts w:ascii="宋体" w:hAnsi="宋体" w:cs="宋体" w:eastAsia="宋体" w:hint="default"/>
          <w:spacing w:val="-1"/>
        </w:rPr>
        <w:t> </w:t>
      </w:r>
      <w:r>
        <w:rPr/>
        <w:t>应付利息</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4"/>
        <w:gridCol w:w="1920"/>
        <w:gridCol w:w="1919"/>
      </w:tblGrid>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215,924.58</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200,444.44</w:t>
            </w: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614,444.66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668,494.51</w:t>
            </w: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830,369.24</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868,938.95</w:t>
            </w:r>
          </w:p>
        </w:tc>
      </w:tr>
    </w:tbl>
    <w:p>
      <w:pPr>
        <w:spacing w:line="240" w:lineRule="auto" w:before="7"/>
        <w:rPr>
          <w:rFonts w:ascii="宋体" w:hAnsi="宋体" w:cs="宋体" w:eastAsia="宋体" w:hint="default"/>
          <w:sz w:val="27"/>
          <w:szCs w:val="27"/>
        </w:rPr>
      </w:pPr>
    </w:p>
    <w:p>
      <w:pPr>
        <w:pStyle w:val="BodyText"/>
        <w:spacing w:line="240" w:lineRule="auto" w:before="35"/>
        <w:ind w:left="658" w:right="1688"/>
        <w:jc w:val="left"/>
      </w:pPr>
      <w:bookmarkStart w:name="27. 其他应付款" w:id="186"/>
      <w:bookmarkEnd w:id="186"/>
      <w:r>
        <w:rPr/>
      </w:r>
      <w:r>
        <w:rPr>
          <w:rFonts w:ascii="宋体" w:hAnsi="宋体" w:cs="宋体" w:eastAsia="宋体" w:hint="default"/>
        </w:rPr>
        <w:t>27.</w:t>
      </w:r>
      <w:r>
        <w:rPr>
          <w:rFonts w:ascii="宋体" w:hAnsi="宋体" w:cs="宋体" w:eastAsia="宋体" w:hint="default"/>
          <w:spacing w:val="-1"/>
        </w:rPr>
        <w:t> </w:t>
      </w:r>
      <w:r>
        <w:rPr/>
        <w:t>其他应付款</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4"/>
        <w:gridCol w:w="1917"/>
        <w:gridCol w:w="1916"/>
      </w:tblGrid>
      <w:tr>
        <w:trPr>
          <w:trHeight w:val="483"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股权购置款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214,950,000.00</w:t>
            </w: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23,701,660.91</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21,148,988.43</w:t>
            </w: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1,193,077.25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720,286.17</w:t>
            </w: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9,462,208.89</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5,990,900.80</w:t>
            </w:r>
          </w:p>
        </w:tc>
      </w:tr>
      <w:tr>
        <w:trPr>
          <w:trHeight w:val="484"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249,306,947.05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27,860,175.40</w:t>
            </w:r>
          </w:p>
        </w:tc>
      </w:tr>
    </w:tbl>
    <w:p>
      <w:pPr>
        <w:pStyle w:val="BodyText"/>
        <w:spacing w:line="240" w:lineRule="auto" w:before="6"/>
        <w:ind w:left="658" w:right="1688"/>
        <w:jc w:val="left"/>
      </w:pPr>
      <w:r>
        <w:rPr>
          <w:rFonts w:ascii="宋体" w:hAnsi="宋体" w:cs="宋体" w:eastAsia="宋体" w:hint="default"/>
        </w:rPr>
        <w:t>[</w:t>
      </w:r>
      <w:r>
        <w:rPr/>
        <w:t>注</w:t>
      </w:r>
      <w:r>
        <w:rPr>
          <w:rFonts w:ascii="宋体" w:hAnsi="宋体" w:cs="宋体" w:eastAsia="宋体" w:hint="default"/>
        </w:rPr>
        <w:t>]</w:t>
      </w:r>
      <w:r>
        <w:rPr/>
        <w:t>：均系应付上海漫酷股权购置款，详见本财务报表附注其他重要事项之说明。</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before="0"/>
        <w:ind w:left="658" w:right="1688"/>
        <w:jc w:val="left"/>
      </w:pPr>
      <w:bookmarkStart w:name="28. 一年内到期的非流动负债" w:id="187"/>
      <w:bookmarkEnd w:id="187"/>
      <w:r>
        <w:rPr/>
      </w:r>
      <w:r>
        <w:rPr>
          <w:rFonts w:ascii="宋体" w:hAnsi="宋体" w:cs="宋体" w:eastAsia="宋体" w:hint="default"/>
        </w:rPr>
        <w:t>28.</w:t>
      </w:r>
      <w:r>
        <w:rPr>
          <w:rFonts w:ascii="宋体" w:hAnsi="宋体" w:cs="宋体" w:eastAsia="宋体" w:hint="default"/>
          <w:spacing w:val="-1"/>
        </w:rPr>
        <w:t> </w:t>
      </w:r>
      <w:r>
        <w:rPr/>
        <w:t>一年内到期的非流动负债</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704"/>
        <w:gridCol w:w="1917"/>
        <w:gridCol w:w="1916"/>
      </w:tblGrid>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8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3" w:right="0"/>
              <w:jc w:val="left"/>
              <w:rPr>
                <w:rFonts w:ascii="宋体" w:hAnsi="宋体" w:cs="宋体" w:eastAsia="宋体" w:hint="default"/>
                <w:sz w:val="18"/>
                <w:szCs w:val="18"/>
              </w:rPr>
            </w:pPr>
            <w:r>
              <w:rPr>
                <w:rFonts w:ascii="宋体"/>
                <w:sz w:val="18"/>
              </w:rPr>
              <w:t>7,500,000.00</w:t>
            </w:r>
          </w:p>
        </w:tc>
        <w:tc>
          <w:tcPr>
            <w:tcW w:w="1916" w:type="dxa"/>
            <w:tcBorders>
              <w:top w:val="single" w:sz="4" w:space="0" w:color="000000"/>
              <w:left w:val="single" w:sz="4" w:space="0" w:color="000000"/>
              <w:bottom w:val="single" w:sz="4" w:space="0" w:color="000000"/>
              <w:right w:val="nil" w:sz="6" w:space="0" w:color="auto"/>
            </w:tcBorders>
          </w:tcPr>
          <w:p>
            <w:pPr/>
          </w:p>
        </w:tc>
      </w:tr>
      <w:tr>
        <w:trPr>
          <w:trHeight w:val="48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3" w:right="0"/>
              <w:jc w:val="left"/>
              <w:rPr>
                <w:rFonts w:ascii="宋体" w:hAnsi="宋体" w:cs="宋体" w:eastAsia="宋体" w:hint="default"/>
                <w:sz w:val="18"/>
                <w:szCs w:val="18"/>
              </w:rPr>
            </w:pPr>
            <w:r>
              <w:rPr>
                <w:rFonts w:ascii="宋体"/>
                <w:sz w:val="18"/>
              </w:rPr>
              <w:t>7,500,000.00</w:t>
            </w:r>
          </w:p>
        </w:tc>
        <w:tc>
          <w:tcPr>
            <w:tcW w:w="19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658" w:right="1688"/>
        <w:jc w:val="left"/>
      </w:pPr>
      <w:bookmarkStart w:name="29. 长期借款" w:id="188"/>
      <w:bookmarkEnd w:id="188"/>
      <w:r>
        <w:rPr/>
      </w:r>
      <w:r>
        <w:rPr>
          <w:rFonts w:ascii="宋体" w:hAnsi="宋体" w:cs="宋体" w:eastAsia="宋体" w:hint="default"/>
        </w:rPr>
        <w:t>29.</w:t>
      </w:r>
      <w:r>
        <w:rPr>
          <w:rFonts w:ascii="宋体" w:hAnsi="宋体" w:cs="宋体" w:eastAsia="宋体" w:hint="default"/>
          <w:spacing w:val="-1"/>
        </w:rPr>
        <w:t> </w:t>
      </w:r>
      <w:r>
        <w:rPr/>
        <w:t>长期借款</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65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857"/>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117,500,000.00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100,000,000.00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857"/>
              <w:jc w:val="righ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117,500,000.00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100,000,000.00</w:t>
            </w:r>
          </w:p>
        </w:tc>
      </w:tr>
    </w:tbl>
    <w:p>
      <w:pPr>
        <w:spacing w:line="240" w:lineRule="auto" w:before="12"/>
        <w:rPr>
          <w:rFonts w:ascii="宋体" w:hAnsi="宋体" w:cs="宋体" w:eastAsia="宋体" w:hint="default"/>
          <w:sz w:val="25"/>
          <w:szCs w:val="25"/>
        </w:rPr>
      </w:pPr>
    </w:p>
    <w:p>
      <w:pPr>
        <w:pStyle w:val="BodyText"/>
        <w:spacing w:line="240" w:lineRule="auto" w:before="35"/>
        <w:ind w:left="1198" w:right="582"/>
        <w:jc w:val="left"/>
      </w:pPr>
      <w:bookmarkStart w:name="30. 专项应付款" w:id="189"/>
      <w:bookmarkEnd w:id="189"/>
      <w:r>
        <w:rPr/>
      </w:r>
      <w:r>
        <w:rPr>
          <w:rFonts w:ascii="宋体" w:hAnsi="宋体" w:cs="宋体" w:eastAsia="宋体" w:hint="default"/>
        </w:rPr>
        <w:t>30.</w:t>
      </w:r>
      <w:r>
        <w:rPr>
          <w:rFonts w:ascii="宋体" w:hAnsi="宋体" w:cs="宋体" w:eastAsia="宋体" w:hint="default"/>
          <w:spacing w:val="-2"/>
        </w:rPr>
        <w:t> </w:t>
      </w:r>
      <w:r>
        <w:rPr/>
        <w:t>专项应付款</w:t>
      </w:r>
    </w:p>
    <w:p>
      <w:pPr>
        <w:spacing w:line="240" w:lineRule="auto" w:before="11"/>
        <w:rPr>
          <w:rFonts w:ascii="宋体" w:hAnsi="宋体" w:cs="宋体" w:eastAsia="宋体" w:hint="default"/>
          <w:sz w:val="12"/>
          <w:szCs w:val="12"/>
        </w:rPr>
      </w:pPr>
    </w:p>
    <w:tbl>
      <w:tblPr>
        <w:tblW w:w="0" w:type="auto"/>
        <w:jc w:val="left"/>
        <w:tblInd w:w="650" w:type="dxa"/>
        <w:tblLayout w:type="fixed"/>
        <w:tblCellMar>
          <w:top w:w="0" w:type="dxa"/>
          <w:left w:w="0" w:type="dxa"/>
          <w:bottom w:w="0" w:type="dxa"/>
          <w:right w:w="0" w:type="dxa"/>
        </w:tblCellMar>
        <w:tblLook w:val="01E0"/>
      </w:tblPr>
      <w:tblGrid>
        <w:gridCol w:w="1942"/>
        <w:gridCol w:w="1442"/>
        <w:gridCol w:w="992"/>
        <w:gridCol w:w="1417"/>
        <w:gridCol w:w="1559"/>
        <w:gridCol w:w="1192"/>
      </w:tblGrid>
      <w:tr>
        <w:trPr>
          <w:trHeight w:val="48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1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38"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8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土地收购补偿款</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5"/>
              <w:jc w:val="center"/>
              <w:rPr>
                <w:rFonts w:ascii="宋体" w:hAnsi="宋体" w:cs="宋体" w:eastAsia="宋体" w:hint="default"/>
                <w:sz w:val="18"/>
                <w:szCs w:val="18"/>
              </w:rPr>
            </w:pPr>
            <w:r>
              <w:rPr>
                <w:rFonts w:ascii="宋体"/>
                <w:sz w:val="18"/>
              </w:rPr>
              <w:t>185,620,000.00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 w:right="0"/>
              <w:jc w:val="center"/>
              <w:rPr>
                <w:rFonts w:ascii="宋体" w:hAnsi="宋体" w:cs="宋体" w:eastAsia="宋体" w:hint="default"/>
                <w:sz w:val="18"/>
                <w:szCs w:val="18"/>
              </w:rPr>
            </w:pPr>
            <w:r>
              <w:rPr>
                <w:rFonts w:ascii="宋体"/>
                <w:sz w:val="18"/>
              </w:rPr>
              <w:t>48,120,000.00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2" w:right="0"/>
              <w:jc w:val="center"/>
              <w:rPr>
                <w:rFonts w:ascii="宋体" w:hAnsi="宋体" w:cs="宋体" w:eastAsia="宋体" w:hint="default"/>
                <w:sz w:val="18"/>
                <w:szCs w:val="18"/>
              </w:rPr>
            </w:pPr>
            <w:r>
              <w:rPr>
                <w:rFonts w:ascii="宋体"/>
                <w:sz w:val="18"/>
              </w:rPr>
              <w:t>137,500,000.00</w:t>
            </w:r>
          </w:p>
        </w:tc>
        <w:tc>
          <w:tcPr>
            <w:tcW w:w="11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5"/>
              <w:jc w:val="center"/>
              <w:rPr>
                <w:rFonts w:ascii="宋体" w:hAnsi="宋体" w:cs="宋体" w:eastAsia="宋体" w:hint="default"/>
                <w:sz w:val="18"/>
                <w:szCs w:val="18"/>
              </w:rPr>
            </w:pPr>
            <w:r>
              <w:rPr>
                <w:rFonts w:ascii="宋体"/>
                <w:sz w:val="18"/>
              </w:rPr>
              <w:t>185,620,000.00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1" w:right="0"/>
              <w:jc w:val="center"/>
              <w:rPr>
                <w:rFonts w:ascii="宋体" w:hAnsi="宋体" w:cs="宋体" w:eastAsia="宋体" w:hint="default"/>
                <w:sz w:val="18"/>
                <w:szCs w:val="18"/>
              </w:rPr>
            </w:pPr>
            <w:r>
              <w:rPr>
                <w:rFonts w:ascii="宋体"/>
                <w:sz w:val="18"/>
              </w:rPr>
              <w:t>48,120,000.00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2" w:right="0"/>
              <w:jc w:val="center"/>
              <w:rPr>
                <w:rFonts w:ascii="宋体" w:hAnsi="宋体" w:cs="宋体" w:eastAsia="宋体" w:hint="default"/>
                <w:sz w:val="18"/>
                <w:szCs w:val="18"/>
              </w:rPr>
            </w:pPr>
            <w:r>
              <w:rPr>
                <w:rFonts w:ascii="宋体"/>
                <w:sz w:val="18"/>
              </w:rPr>
              <w:t>137,500,000.00</w:t>
            </w:r>
          </w:p>
        </w:tc>
        <w:tc>
          <w:tcPr>
            <w:tcW w:w="119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before="0"/>
        <w:ind w:left="1198" w:right="582"/>
        <w:jc w:val="left"/>
      </w:pPr>
      <w:r>
        <w:rPr>
          <w:rFonts w:ascii="宋体" w:hAnsi="宋体" w:cs="宋体" w:eastAsia="宋体" w:hint="default"/>
        </w:rPr>
        <w:t>[</w:t>
      </w:r>
      <w:r>
        <w:rPr/>
        <w:t>注</w:t>
      </w:r>
      <w:r>
        <w:rPr>
          <w:rFonts w:ascii="宋体" w:hAnsi="宋体" w:cs="宋体" w:eastAsia="宋体" w:hint="default"/>
        </w:rPr>
        <w:t>]</w:t>
      </w:r>
      <w:r>
        <w:rPr/>
        <w:t>：详见本财务报表附注其他重要事项之说明。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0"/>
        <w:ind w:left="1198" w:right="582"/>
        <w:jc w:val="left"/>
      </w:pPr>
      <w:bookmarkStart w:name="31. 预计负债" w:id="190"/>
      <w:bookmarkEnd w:id="190"/>
      <w:r>
        <w:rPr/>
      </w:r>
      <w:r>
        <w:rPr>
          <w:rFonts w:ascii="宋体" w:hAnsi="宋体" w:cs="宋体" w:eastAsia="宋体" w:hint="default"/>
        </w:rPr>
        <w:t>31.</w:t>
      </w:r>
      <w:r>
        <w:rPr>
          <w:rFonts w:ascii="宋体" w:hAnsi="宋体" w:cs="宋体" w:eastAsia="宋体" w:hint="default"/>
          <w:spacing w:val="-1"/>
        </w:rPr>
        <w:t> </w:t>
      </w:r>
      <w:r>
        <w:rPr/>
        <w:t>预计负债</w:t>
      </w:r>
    </w:p>
    <w:p>
      <w:pPr>
        <w:pStyle w:val="BodyText"/>
        <w:spacing w:line="240" w:lineRule="auto" w:before="174"/>
        <w:ind w:left="1198" w:right="582"/>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653" w:type="dxa"/>
        <w:tblLayout w:type="fixed"/>
        <w:tblCellMar>
          <w:top w:w="0" w:type="dxa"/>
          <w:left w:w="0" w:type="dxa"/>
          <w:bottom w:w="0" w:type="dxa"/>
          <w:right w:w="0" w:type="dxa"/>
        </w:tblCellMar>
        <w:tblLook w:val="01E0"/>
      </w:tblPr>
      <w:tblGrid>
        <w:gridCol w:w="2146"/>
        <w:gridCol w:w="2130"/>
        <w:gridCol w:w="2130"/>
        <w:gridCol w:w="2132"/>
      </w:tblGrid>
      <w:tr>
        <w:trPr>
          <w:trHeight w:val="48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70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8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300,000.00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713,063.91</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2,354,610.89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2,383,663.45</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2,654,610.89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3,096,727.36</w:t>
            </w:r>
          </w:p>
        </w:tc>
        <w:tc>
          <w:tcPr>
            <w:tcW w:w="2132" w:type="dxa"/>
            <w:tcBorders>
              <w:top w:val="single" w:sz="4" w:space="0" w:color="000000"/>
              <w:left w:val="single" w:sz="4" w:space="0" w:color="000000"/>
              <w:bottom w:val="single" w:sz="4" w:space="0" w:color="000000"/>
              <w:right w:val="nil" w:sz="6" w:space="0" w:color="auto"/>
            </w:tcBorders>
          </w:tcPr>
          <w:p>
            <w:pPr/>
          </w:p>
        </w:tc>
      </w:tr>
    </w:tbl>
    <w:p>
      <w:pPr>
        <w:pStyle w:val="BodyText"/>
        <w:spacing w:line="391" w:lineRule="auto" w:before="7"/>
        <w:ind w:left="1198" w:right="582"/>
        <w:jc w:val="left"/>
      </w:pPr>
      <w:r>
        <w:rPr>
          <w:rFonts w:ascii="宋体" w:hAnsi="宋体" w:cs="宋体" w:eastAsia="宋体" w:hint="default"/>
        </w:rPr>
        <w:t>(2) </w:t>
      </w:r>
      <w:r>
        <w:rPr/>
        <w:t>其他说明 </w:t>
      </w:r>
      <w:r>
        <w:rPr>
          <w:spacing w:val="-3"/>
        </w:rPr>
        <w:t>产品质量保证系长沙天鹅、湖南利欧、大连华能和无锡锡泵等工业泵生产企业根据与客</w:t>
      </w:r>
    </w:p>
    <w:p>
      <w:pPr>
        <w:pStyle w:val="BodyText"/>
        <w:spacing w:line="355" w:lineRule="auto" w:before="2"/>
        <w:ind w:left="777" w:right="1783"/>
        <w:jc w:val="left"/>
      </w:pPr>
      <w:r>
        <w:rPr/>
        <w:t>户签订的销售合同中关于承诺</w:t>
      </w:r>
      <w:r>
        <w:rPr>
          <w:spacing w:val="-51"/>
        </w:rPr>
        <w:t> </w:t>
      </w:r>
      <w:r>
        <w:rPr>
          <w:rFonts w:ascii="宋体" w:hAnsi="宋体" w:cs="宋体" w:eastAsia="宋体" w:hint="default"/>
        </w:rPr>
        <w:t>1</w:t>
      </w:r>
      <w:r>
        <w:rPr>
          <w:rFonts w:ascii="宋体" w:hAnsi="宋体" w:cs="宋体" w:eastAsia="宋体" w:hint="default"/>
          <w:spacing w:val="-50"/>
        </w:rPr>
        <w:t> </w:t>
      </w:r>
      <w:r>
        <w:rPr>
          <w:spacing w:val="-3"/>
        </w:rPr>
        <w:t>年免费维修的条款，按其相关收入的</w:t>
      </w:r>
      <w:r>
        <w:rPr>
          <w:spacing w:val="-50"/>
        </w:rPr>
        <w:t> </w:t>
      </w:r>
      <w:r>
        <w:rPr>
          <w:rFonts w:ascii="宋体" w:hAnsi="宋体" w:cs="宋体" w:eastAsia="宋体" w:hint="default"/>
        </w:rPr>
        <w:t>0.5%(</w:t>
      </w:r>
      <w:r>
        <w:rPr/>
        <w:t>根据以往实际发 生数据测算</w:t>
      </w:r>
      <w:r>
        <w:rPr>
          <w:rFonts w:ascii="宋体" w:hAnsi="宋体" w:cs="宋体" w:eastAsia="宋体" w:hint="default"/>
        </w:rPr>
        <w:t>)</w:t>
      </w:r>
      <w:r>
        <w:rPr/>
        <w:t>计提的售后维修费用。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0"/>
        <w:ind w:left="1197" w:right="582"/>
        <w:jc w:val="left"/>
      </w:pPr>
      <w:bookmarkStart w:name="32. 递延收益" w:id="191"/>
      <w:bookmarkEnd w:id="191"/>
      <w:r>
        <w:rPr/>
      </w:r>
      <w:r>
        <w:rPr>
          <w:rFonts w:ascii="宋体" w:hAnsi="宋体" w:cs="宋体" w:eastAsia="宋体" w:hint="default"/>
        </w:rPr>
        <w:t>32.</w:t>
      </w:r>
      <w:r>
        <w:rPr>
          <w:rFonts w:ascii="宋体" w:hAnsi="宋体" w:cs="宋体" w:eastAsia="宋体" w:hint="default"/>
          <w:spacing w:val="-1"/>
        </w:rPr>
        <w:t> </w:t>
      </w:r>
      <w:r>
        <w:rPr/>
        <w:t>递延收益</w:t>
      </w:r>
    </w:p>
    <w:p>
      <w:pPr>
        <w:spacing w:before="178"/>
        <w:ind w:left="1137" w:right="582"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明细情况</w:t>
      </w:r>
    </w:p>
    <w:p>
      <w:pPr>
        <w:spacing w:line="240" w:lineRule="auto" w:before="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126"/>
        <w:gridCol w:w="1453"/>
        <w:gridCol w:w="1454"/>
        <w:gridCol w:w="1454"/>
        <w:gridCol w:w="1454"/>
        <w:gridCol w:w="2680"/>
      </w:tblGrid>
      <w:tr>
        <w:trPr>
          <w:trHeight w:val="440" w:hRule="exact"/>
        </w:trPr>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77"/>
              <w:jc w:val="right"/>
              <w:rPr>
                <w:rFonts w:ascii="宋体" w:hAnsi="宋体" w:cs="宋体" w:eastAsia="宋体" w:hint="default"/>
                <w:sz w:val="18"/>
                <w:szCs w:val="18"/>
              </w:rPr>
            </w:pPr>
            <w:r>
              <w:rPr>
                <w:rFonts w:ascii="宋体" w:hAnsi="宋体" w:cs="宋体" w:eastAsia="宋体" w:hint="default"/>
                <w:sz w:val="18"/>
                <w:szCs w:val="18"/>
              </w:rPr>
              <w:t>项  目</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557" w:hRule="exact"/>
        </w:trPr>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right="279"/>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4" w:right="0"/>
              <w:jc w:val="center"/>
              <w:rPr>
                <w:rFonts w:ascii="宋体" w:hAnsi="宋体" w:cs="宋体" w:eastAsia="宋体" w:hint="default"/>
                <w:sz w:val="18"/>
                <w:szCs w:val="18"/>
              </w:rPr>
            </w:pPr>
            <w:r>
              <w:rPr>
                <w:rFonts w:ascii="宋体"/>
                <w:sz w:val="18"/>
              </w:rPr>
              <w:t>33,607,972.15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6" w:right="0"/>
              <w:jc w:val="center"/>
              <w:rPr>
                <w:rFonts w:ascii="宋体" w:hAnsi="宋体" w:cs="宋体" w:eastAsia="宋体" w:hint="default"/>
                <w:sz w:val="18"/>
                <w:szCs w:val="18"/>
              </w:rPr>
            </w:pPr>
            <w:r>
              <w:rPr>
                <w:rFonts w:ascii="宋体"/>
                <w:sz w:val="18"/>
              </w:rPr>
              <w:t>11,918,264.30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宋体" w:hAnsi="宋体" w:cs="宋体" w:eastAsia="宋体" w:hint="default"/>
                <w:sz w:val="18"/>
                <w:szCs w:val="18"/>
              </w:rPr>
            </w:pPr>
            <w:r>
              <w:rPr>
                <w:rFonts w:ascii="宋体"/>
                <w:sz w:val="18"/>
              </w:rPr>
              <w:t>1,217,862.97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6" w:right="0"/>
              <w:jc w:val="center"/>
              <w:rPr>
                <w:rFonts w:ascii="宋体" w:hAnsi="宋体" w:cs="宋体" w:eastAsia="宋体" w:hint="default"/>
                <w:sz w:val="18"/>
                <w:szCs w:val="18"/>
              </w:rPr>
            </w:pPr>
            <w:r>
              <w:rPr>
                <w:rFonts w:ascii="宋体"/>
                <w:sz w:val="18"/>
              </w:rPr>
              <w:t>44,308,373.48</w:t>
            </w:r>
          </w:p>
        </w:tc>
        <w:tc>
          <w:tcPr>
            <w:tcW w:w="2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7" w:right="107"/>
              <w:jc w:val="left"/>
              <w:rPr>
                <w:rFonts w:ascii="宋体" w:hAnsi="宋体" w:cs="宋体" w:eastAsia="宋体" w:hint="default"/>
                <w:sz w:val="18"/>
                <w:szCs w:val="18"/>
              </w:rPr>
            </w:pPr>
            <w:r>
              <w:rPr>
                <w:rFonts w:ascii="宋体" w:hAnsi="宋体" w:cs="宋体" w:eastAsia="宋体" w:hint="default"/>
                <w:spacing w:val="8"/>
                <w:sz w:val="18"/>
                <w:szCs w:val="18"/>
              </w:rPr>
              <w:t>根据浙江省温岭经济开发区管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委会项目投资协议书等文件</w:t>
            </w:r>
          </w:p>
        </w:tc>
      </w:tr>
      <w:tr>
        <w:trPr>
          <w:trHeight w:val="440" w:hRule="exact"/>
        </w:trPr>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77"/>
              <w:jc w:val="right"/>
              <w:rPr>
                <w:rFonts w:ascii="宋体" w:hAnsi="宋体" w:cs="宋体" w:eastAsia="宋体" w:hint="default"/>
                <w:sz w:val="18"/>
                <w:szCs w:val="18"/>
              </w:rPr>
            </w:pPr>
            <w:r>
              <w:rPr>
                <w:rFonts w:ascii="宋体" w:hAnsi="宋体" w:cs="宋体" w:eastAsia="宋体" w:hint="default"/>
                <w:sz w:val="18"/>
                <w:szCs w:val="18"/>
              </w:rPr>
              <w:t>合  计</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 w:right="0"/>
              <w:jc w:val="center"/>
              <w:rPr>
                <w:rFonts w:ascii="宋体" w:hAnsi="宋体" w:cs="宋体" w:eastAsia="宋体" w:hint="default"/>
                <w:sz w:val="18"/>
                <w:szCs w:val="18"/>
              </w:rPr>
            </w:pPr>
            <w:r>
              <w:rPr>
                <w:rFonts w:ascii="宋体"/>
                <w:sz w:val="18"/>
              </w:rPr>
              <w:t>33,607,972.15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 w:right="0"/>
              <w:jc w:val="center"/>
              <w:rPr>
                <w:rFonts w:ascii="宋体" w:hAnsi="宋体" w:cs="宋体" w:eastAsia="宋体" w:hint="default"/>
                <w:sz w:val="18"/>
                <w:szCs w:val="18"/>
              </w:rPr>
            </w:pPr>
            <w:r>
              <w:rPr>
                <w:rFonts w:ascii="宋体"/>
                <w:sz w:val="18"/>
              </w:rPr>
              <w:t>11,918,264.30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1,217,862.97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 w:right="0"/>
              <w:jc w:val="center"/>
              <w:rPr>
                <w:rFonts w:ascii="宋体" w:hAnsi="宋体" w:cs="宋体" w:eastAsia="宋体" w:hint="default"/>
                <w:sz w:val="18"/>
                <w:szCs w:val="18"/>
              </w:rPr>
            </w:pPr>
            <w:r>
              <w:rPr>
                <w:rFonts w:ascii="宋体"/>
                <w:sz w:val="18"/>
              </w:rPr>
              <w:t>44,308,373.48</w:t>
            </w:r>
          </w:p>
        </w:tc>
        <w:tc>
          <w:tcPr>
            <w:tcW w:w="268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
        <w:ind w:left="1198" w:right="582"/>
        <w:jc w:val="left"/>
      </w:pPr>
      <w:r>
        <w:rPr>
          <w:rFonts w:ascii="宋体" w:hAnsi="宋体" w:cs="宋体" w:eastAsia="宋体" w:hint="default"/>
        </w:rPr>
        <w:t>(2)</w:t>
      </w:r>
      <w:r>
        <w:rPr>
          <w:rFonts w:ascii="宋体" w:hAnsi="宋体" w:cs="宋体" w:eastAsia="宋体" w:hint="default"/>
          <w:spacing w:val="-1"/>
        </w:rPr>
        <w:t> </w:t>
      </w:r>
      <w:r>
        <w:rPr/>
        <w:t>政府补助明细</w:t>
      </w:r>
    </w:p>
    <w:p>
      <w:pPr>
        <w:spacing w:line="240" w:lineRule="auto" w:before="11"/>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2522"/>
        <w:gridCol w:w="1232"/>
        <w:gridCol w:w="1205"/>
        <w:gridCol w:w="1138"/>
        <w:gridCol w:w="1130"/>
        <w:gridCol w:w="1218"/>
        <w:gridCol w:w="1134"/>
      </w:tblGrid>
      <w:tr>
        <w:trPr>
          <w:trHeight w:val="518"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790"/>
              <w:jc w:val="righ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14"/>
              <w:ind w:left="296" w:right="296"/>
              <w:jc w:val="left"/>
              <w:rPr>
                <w:rFonts w:ascii="宋体" w:hAnsi="宋体" w:cs="宋体" w:eastAsia="宋体" w:hint="default"/>
                <w:sz w:val="15"/>
                <w:szCs w:val="15"/>
              </w:rPr>
            </w:pPr>
            <w:r>
              <w:rPr>
                <w:rFonts w:ascii="宋体" w:hAnsi="宋体" w:cs="宋体" w:eastAsia="宋体" w:hint="default"/>
                <w:sz w:val="15"/>
                <w:szCs w:val="15"/>
              </w:rPr>
              <w:t>本期新增 补助金额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87" w:right="113" w:hanging="75"/>
              <w:jc w:val="left"/>
              <w:rPr>
                <w:rFonts w:ascii="宋体" w:hAnsi="宋体" w:cs="宋体" w:eastAsia="宋体" w:hint="default"/>
                <w:sz w:val="15"/>
                <w:szCs w:val="15"/>
              </w:rPr>
            </w:pPr>
            <w:r>
              <w:rPr>
                <w:rFonts w:ascii="宋体" w:hAnsi="宋体" w:cs="宋体" w:eastAsia="宋体" w:hint="default"/>
                <w:sz w:val="15"/>
                <w:szCs w:val="15"/>
              </w:rPr>
              <w:t>本期计入营业 外收入金额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57"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30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left="186" w:right="153" w:hanging="38"/>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宋体" w:hAnsi="宋体" w:cs="宋体" w:eastAsia="宋体" w:hint="default"/>
                <w:sz w:val="15"/>
                <w:szCs w:val="15"/>
              </w:rPr>
              <w:t>/ </w:t>
            </w:r>
            <w:r>
              <w:rPr>
                <w:rFonts w:ascii="宋体" w:hAnsi="宋体" w:cs="宋体" w:eastAsia="宋体" w:hint="default"/>
                <w:sz w:val="15"/>
                <w:szCs w:val="15"/>
              </w:rPr>
              <w:t>与收益相关</w:t>
            </w:r>
          </w:p>
        </w:tc>
      </w:tr>
      <w:tr>
        <w:trPr>
          <w:trHeight w:val="383"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right="1792"/>
              <w:jc w:val="right"/>
              <w:rPr>
                <w:rFonts w:ascii="宋体" w:hAnsi="宋体" w:cs="宋体" w:eastAsia="宋体" w:hint="default"/>
                <w:sz w:val="15"/>
                <w:szCs w:val="15"/>
              </w:rPr>
            </w:pPr>
            <w:r>
              <w:rPr>
                <w:rFonts w:ascii="宋体" w:hAnsi="宋体" w:cs="宋体" w:eastAsia="宋体" w:hint="default"/>
                <w:sz w:val="15"/>
                <w:szCs w:val="15"/>
              </w:rPr>
              <w:t>开工奖励</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5"/>
                <w:szCs w:val="15"/>
              </w:rPr>
            </w:pPr>
            <w:r>
              <w:rPr>
                <w:rFonts w:ascii="宋体"/>
                <w:spacing w:val="-1"/>
                <w:sz w:val="15"/>
              </w:rPr>
              <w:t>26,629,725.00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0" w:right="0"/>
              <w:jc w:val="left"/>
              <w:rPr>
                <w:rFonts w:ascii="宋体" w:hAnsi="宋体" w:cs="宋体" w:eastAsia="宋体" w:hint="default"/>
                <w:sz w:val="15"/>
                <w:szCs w:val="15"/>
              </w:rPr>
            </w:pPr>
            <w:r>
              <w:rPr>
                <w:rFonts w:ascii="宋体"/>
                <w:sz w:val="15"/>
              </w:rPr>
              <w:t>4,024,700.00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30,654,425.00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78"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122" w:right="143"/>
              <w:jc w:val="left"/>
              <w:rPr>
                <w:rFonts w:ascii="宋体" w:hAnsi="宋体" w:cs="宋体" w:eastAsia="宋体" w:hint="default"/>
                <w:sz w:val="15"/>
                <w:szCs w:val="15"/>
              </w:rPr>
            </w:pPr>
            <w:r>
              <w:rPr>
                <w:rFonts w:ascii="宋体" w:hAnsi="宋体" w:cs="宋体" w:eastAsia="宋体" w:hint="default"/>
                <w:sz w:val="15"/>
                <w:szCs w:val="15"/>
              </w:rPr>
              <w:t>年增产量</w:t>
            </w:r>
            <w:r>
              <w:rPr>
                <w:rFonts w:ascii="宋体" w:hAnsi="宋体" w:cs="宋体" w:eastAsia="宋体" w:hint="default"/>
                <w:spacing w:val="-39"/>
                <w:sz w:val="15"/>
                <w:szCs w:val="15"/>
              </w:rPr>
              <w:t> </w:t>
            </w:r>
            <w:r>
              <w:rPr>
                <w:rFonts w:ascii="宋体" w:hAnsi="宋体" w:cs="宋体" w:eastAsia="宋体" w:hint="default"/>
                <w:sz w:val="15"/>
                <w:szCs w:val="15"/>
              </w:rPr>
              <w:t>200</w:t>
            </w:r>
            <w:r>
              <w:rPr>
                <w:rFonts w:ascii="宋体" w:hAnsi="宋体" w:cs="宋体" w:eastAsia="宋体" w:hint="default"/>
                <w:spacing w:val="-39"/>
                <w:sz w:val="15"/>
                <w:szCs w:val="15"/>
              </w:rPr>
              <w:t> </w:t>
            </w:r>
            <w:r>
              <w:rPr>
                <w:rFonts w:ascii="宋体" w:hAnsi="宋体" w:cs="宋体" w:eastAsia="宋体" w:hint="default"/>
                <w:sz w:val="15"/>
                <w:szCs w:val="15"/>
              </w:rPr>
              <w:t>万台高效微小型水泵 技改项目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2,694,691.60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302,208.41</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2,392,483.19</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4"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57"/>
                <w:sz w:val="15"/>
                <w:szCs w:val="15"/>
              </w:rPr>
              <w:t> </w:t>
            </w:r>
            <w:r>
              <w:rPr>
                <w:rFonts w:ascii="宋体" w:hAnsi="宋体" w:cs="宋体" w:eastAsia="宋体" w:hint="default"/>
                <w:sz w:val="15"/>
                <w:szCs w:val="15"/>
              </w:rPr>
              <w:t>100</w:t>
            </w:r>
            <w:r>
              <w:rPr>
                <w:rFonts w:ascii="宋体" w:hAnsi="宋体" w:cs="宋体" w:eastAsia="宋体" w:hint="default"/>
                <w:spacing w:val="-56"/>
                <w:sz w:val="15"/>
                <w:szCs w:val="15"/>
              </w:rPr>
              <w:t> </w:t>
            </w:r>
            <w:r>
              <w:rPr>
                <w:rFonts w:ascii="宋体" w:hAnsi="宋体" w:cs="宋体" w:eastAsia="宋体" w:hint="default"/>
                <w:sz w:val="15"/>
                <w:szCs w:val="15"/>
              </w:rPr>
              <w:t>万台碎枝机技改项目、</w:t>
            </w:r>
          </w:p>
          <w:p>
            <w:pPr>
              <w:pStyle w:val="TableParagraph"/>
              <w:spacing w:line="240" w:lineRule="auto"/>
              <w:ind w:left="122" w:right="102"/>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57"/>
                <w:sz w:val="15"/>
                <w:szCs w:val="15"/>
              </w:rPr>
              <w:t> </w:t>
            </w:r>
            <w:r>
              <w:rPr>
                <w:rFonts w:ascii="宋体" w:hAnsi="宋体" w:cs="宋体" w:eastAsia="宋体" w:hint="default"/>
                <w:sz w:val="15"/>
                <w:szCs w:val="15"/>
              </w:rPr>
              <w:t>20</w:t>
            </w:r>
            <w:r>
              <w:rPr>
                <w:rFonts w:ascii="宋体" w:hAnsi="宋体" w:cs="宋体" w:eastAsia="宋体" w:hint="default"/>
                <w:spacing w:val="-56"/>
                <w:sz w:val="15"/>
                <w:szCs w:val="15"/>
              </w:rPr>
              <w:t> </w:t>
            </w:r>
            <w:r>
              <w:rPr>
                <w:rFonts w:ascii="宋体" w:hAnsi="宋体" w:cs="宋体" w:eastAsia="宋体" w:hint="default"/>
                <w:sz w:val="15"/>
                <w:szCs w:val="15"/>
              </w:rPr>
              <w:t>万台热水循环屏蔽泵技改项 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1,081,955.55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135,244.44</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946,711.11</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bl>
    <w:p>
      <w:pPr>
        <w:spacing w:after="0" w:line="240" w:lineRule="auto"/>
        <w:jc w:val="center"/>
        <w:rPr>
          <w:rFonts w:ascii="宋体" w:hAnsi="宋体" w:cs="宋体" w:eastAsia="宋体" w:hint="default"/>
          <w:sz w:val="15"/>
          <w:szCs w:val="15"/>
        </w:rPr>
        <w:sectPr>
          <w:pgSz w:w="11910" w:h="16840"/>
          <w:pgMar w:header="877" w:footer="938" w:top="1100" w:bottom="1120" w:left="1020" w:right="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522"/>
        <w:gridCol w:w="1232"/>
        <w:gridCol w:w="1205"/>
        <w:gridCol w:w="1138"/>
        <w:gridCol w:w="1130"/>
        <w:gridCol w:w="1218"/>
        <w:gridCol w:w="1134"/>
      </w:tblGrid>
      <w:tr>
        <w:trPr>
          <w:trHeight w:val="382"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5"/>
                <w:szCs w:val="15"/>
              </w:rPr>
            </w:pPr>
            <w:r>
              <w:rPr>
                <w:rFonts w:ascii="宋体" w:hAnsi="宋体" w:cs="宋体" w:eastAsia="宋体" w:hint="default"/>
                <w:sz w:val="15"/>
                <w:szCs w:val="15"/>
              </w:rPr>
              <w:t>职工宿舍项目专项补助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5"/>
                <w:szCs w:val="15"/>
              </w:rPr>
            </w:pPr>
            <w:r>
              <w:rPr>
                <w:rFonts w:ascii="宋体"/>
                <w:spacing w:val="-1"/>
                <w:sz w:val="15"/>
              </w:rPr>
              <w:t>2,401,600.00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2,748,300.00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135,784.20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5,014,115.80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57"/>
                <w:sz w:val="15"/>
                <w:szCs w:val="15"/>
              </w:rPr>
              <w:t> </w:t>
            </w:r>
            <w:r>
              <w:rPr>
                <w:rFonts w:ascii="宋体" w:hAnsi="宋体" w:cs="宋体" w:eastAsia="宋体" w:hint="default"/>
                <w:sz w:val="15"/>
                <w:szCs w:val="15"/>
              </w:rPr>
              <w:t>4000</w:t>
            </w:r>
            <w:r>
              <w:rPr>
                <w:rFonts w:ascii="宋体" w:hAnsi="宋体" w:cs="宋体" w:eastAsia="宋体" w:hint="default"/>
                <w:spacing w:val="-57"/>
                <w:sz w:val="15"/>
                <w:szCs w:val="15"/>
              </w:rPr>
              <w:t> </w:t>
            </w:r>
            <w:r>
              <w:rPr>
                <w:rFonts w:ascii="宋体" w:hAnsi="宋体" w:cs="宋体" w:eastAsia="宋体" w:hint="default"/>
                <w:sz w:val="15"/>
                <w:szCs w:val="15"/>
              </w:rPr>
              <w:t>台高转速轻量化高压柱塞</w:t>
            </w:r>
          </w:p>
          <w:p>
            <w:pPr>
              <w:pStyle w:val="TableParagraph"/>
              <w:spacing w:line="196" w:lineRule="exact"/>
              <w:ind w:left="122" w:right="0"/>
              <w:jc w:val="left"/>
              <w:rPr>
                <w:rFonts w:ascii="宋体" w:hAnsi="宋体" w:cs="宋体" w:eastAsia="宋体" w:hint="default"/>
                <w:sz w:val="15"/>
                <w:szCs w:val="15"/>
              </w:rPr>
            </w:pPr>
            <w:r>
              <w:rPr>
                <w:rFonts w:ascii="宋体" w:hAnsi="宋体" w:cs="宋体" w:eastAsia="宋体" w:hint="default"/>
                <w:sz w:val="15"/>
                <w:szCs w:val="15"/>
              </w:rPr>
              <w:t>泵技改项目</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5"/>
                <w:szCs w:val="15"/>
              </w:rPr>
            </w:pPr>
            <w:r>
              <w:rPr>
                <w:rFonts w:ascii="宋体"/>
                <w:spacing w:val="-1"/>
                <w:sz w:val="15"/>
              </w:rPr>
              <w:t>800,000.00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107,606.03</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692,393.97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82"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5"/>
                <w:szCs w:val="15"/>
              </w:rPr>
            </w:pPr>
            <w:r>
              <w:rPr>
                <w:rFonts w:ascii="宋体" w:hAnsi="宋体" w:cs="宋体" w:eastAsia="宋体" w:hint="default"/>
                <w:sz w:val="15"/>
                <w:szCs w:val="15"/>
              </w:rPr>
              <w:t>高效智能离心泵研发项目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5"/>
                <w:szCs w:val="15"/>
              </w:rPr>
            </w:pPr>
            <w:r>
              <w:rPr>
                <w:rFonts w:ascii="宋体"/>
                <w:spacing w:val="-1"/>
                <w:sz w:val="15"/>
              </w:rPr>
              <w:t>3,145,964.30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5"/>
                <w:szCs w:val="15"/>
              </w:rPr>
            </w:pPr>
            <w:r>
              <w:rPr>
                <w:rFonts w:ascii="宋体"/>
                <w:spacing w:val="-1"/>
                <w:sz w:val="15"/>
              </w:rPr>
              <w:t>411,464.94</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15"/>
                <w:szCs w:val="15"/>
              </w:rPr>
            </w:pPr>
            <w:r>
              <w:rPr>
                <w:rFonts w:ascii="宋体"/>
                <w:spacing w:val="-1"/>
                <w:sz w:val="15"/>
              </w:rPr>
              <w:t>2,734,499.36</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99"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57"/>
                <w:sz w:val="15"/>
                <w:szCs w:val="15"/>
              </w:rPr>
              <w:t> </w:t>
            </w:r>
            <w:r>
              <w:rPr>
                <w:rFonts w:ascii="宋体" w:hAnsi="宋体" w:cs="宋体" w:eastAsia="宋体" w:hint="default"/>
                <w:sz w:val="15"/>
                <w:szCs w:val="15"/>
              </w:rPr>
              <w:t>50</w:t>
            </w:r>
            <w:r>
              <w:rPr>
                <w:rFonts w:ascii="宋体" w:hAnsi="宋体" w:cs="宋体" w:eastAsia="宋体" w:hint="default"/>
                <w:spacing w:val="-56"/>
                <w:sz w:val="15"/>
                <w:szCs w:val="15"/>
              </w:rPr>
              <w:t> </w:t>
            </w:r>
            <w:r>
              <w:rPr>
                <w:rFonts w:ascii="宋体" w:hAnsi="宋体" w:cs="宋体" w:eastAsia="宋体" w:hint="default"/>
                <w:sz w:val="15"/>
                <w:szCs w:val="15"/>
              </w:rPr>
              <w:t>万台节能型水泵技改项</w:t>
            </w:r>
          </w:p>
          <w:p>
            <w:pPr>
              <w:pStyle w:val="TableParagraph"/>
              <w:spacing w:line="196" w:lineRule="exact"/>
              <w:ind w:left="122" w:right="0"/>
              <w:jc w:val="left"/>
              <w:rPr>
                <w:rFonts w:ascii="宋体" w:hAnsi="宋体" w:cs="宋体" w:eastAsia="宋体" w:hint="default"/>
                <w:sz w:val="15"/>
                <w:szCs w:val="15"/>
              </w:rPr>
            </w:pPr>
            <w:r>
              <w:rPr>
                <w:rFonts w:ascii="宋体" w:hAnsi="宋体" w:cs="宋体" w:eastAsia="宋体" w:hint="default"/>
                <w:sz w:val="15"/>
                <w:szCs w:val="15"/>
              </w:rPr>
              <w:t>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899,300.00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97,221.62</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802,078.38</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新增年产</w:t>
            </w:r>
            <w:r>
              <w:rPr>
                <w:rFonts w:ascii="宋体" w:hAnsi="宋体" w:cs="宋体" w:eastAsia="宋体" w:hint="default"/>
                <w:spacing w:val="-39"/>
                <w:sz w:val="15"/>
                <w:szCs w:val="15"/>
              </w:rPr>
              <w:t> </w:t>
            </w:r>
            <w:r>
              <w:rPr>
                <w:rFonts w:ascii="宋体" w:hAnsi="宋体" w:cs="宋体" w:eastAsia="宋体" w:hint="default"/>
                <w:sz w:val="15"/>
                <w:szCs w:val="15"/>
              </w:rPr>
              <w:t>100</w:t>
            </w:r>
            <w:r>
              <w:rPr>
                <w:rFonts w:ascii="宋体" w:hAnsi="宋体" w:cs="宋体" w:eastAsia="宋体" w:hint="default"/>
                <w:spacing w:val="-39"/>
                <w:sz w:val="15"/>
                <w:szCs w:val="15"/>
              </w:rPr>
              <w:t> </w:t>
            </w:r>
            <w:r>
              <w:rPr>
                <w:rFonts w:ascii="宋体" w:hAnsi="宋体" w:cs="宋体" w:eastAsia="宋体" w:hint="default"/>
                <w:sz w:val="15"/>
                <w:szCs w:val="15"/>
              </w:rPr>
              <w:t>万台高效节能水泵技</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改项目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200,000.00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18,333.33</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181,666.67</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0"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60</w:t>
            </w:r>
            <w:r>
              <w:rPr>
                <w:rFonts w:ascii="宋体" w:hAnsi="宋体" w:cs="宋体" w:eastAsia="宋体" w:hint="default"/>
                <w:spacing w:val="-40"/>
                <w:sz w:val="15"/>
                <w:szCs w:val="15"/>
              </w:rPr>
              <w:t> </w:t>
            </w:r>
            <w:r>
              <w:rPr>
                <w:rFonts w:ascii="宋体" w:hAnsi="宋体" w:cs="宋体" w:eastAsia="宋体" w:hint="default"/>
                <w:sz w:val="15"/>
                <w:szCs w:val="15"/>
              </w:rPr>
              <w:t>万千瓦及以上发电设备用泵等关</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键铸锻件生产线技术改造项目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100,000.00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10,000.00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15"/>
                <w:szCs w:val="15"/>
              </w:rPr>
            </w:pPr>
            <w:r>
              <w:rPr>
                <w:rFonts w:ascii="宋体"/>
                <w:spacing w:val="-1"/>
                <w:sz w:val="15"/>
              </w:rPr>
              <w:t>90,000.00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3"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170" w:lineRule="exact"/>
              <w:ind w:left="122" w:right="0"/>
              <w:jc w:val="left"/>
              <w:rPr>
                <w:rFonts w:ascii="宋体" w:hAnsi="宋体" w:cs="宋体" w:eastAsia="宋体" w:hint="default"/>
                <w:sz w:val="15"/>
                <w:szCs w:val="15"/>
              </w:rPr>
            </w:pPr>
            <w:r>
              <w:rPr>
                <w:rFonts w:ascii="宋体" w:hAnsi="宋体" w:cs="宋体" w:eastAsia="宋体" w:hint="default"/>
                <w:sz w:val="15"/>
                <w:szCs w:val="15"/>
              </w:rPr>
              <w:t>以效果为导向的服务电商和品牌客</w:t>
            </w:r>
          </w:p>
          <w:p>
            <w:pPr>
              <w:pStyle w:val="TableParagraph"/>
              <w:spacing w:line="240" w:lineRule="auto"/>
              <w:ind w:left="122" w:right="143"/>
              <w:jc w:val="left"/>
              <w:rPr>
                <w:rFonts w:ascii="宋体" w:hAnsi="宋体" w:cs="宋体" w:eastAsia="宋体" w:hint="default"/>
                <w:sz w:val="15"/>
                <w:szCs w:val="15"/>
              </w:rPr>
            </w:pPr>
            <w:r>
              <w:rPr>
                <w:rFonts w:ascii="宋体" w:hAnsi="宋体" w:cs="宋体" w:eastAsia="宋体" w:hint="default"/>
                <w:sz w:val="15"/>
                <w:szCs w:val="15"/>
              </w:rPr>
              <w:t>户的互联网</w:t>
            </w:r>
            <w:r>
              <w:rPr>
                <w:rFonts w:ascii="宋体" w:hAnsi="宋体" w:cs="宋体" w:eastAsia="宋体" w:hint="default"/>
                <w:spacing w:val="-39"/>
                <w:sz w:val="15"/>
                <w:szCs w:val="15"/>
              </w:rPr>
              <w:t> </w:t>
            </w:r>
            <w:r>
              <w:rPr>
                <w:rFonts w:ascii="宋体" w:hAnsi="宋体" w:cs="宋体" w:eastAsia="宋体" w:hint="default"/>
                <w:sz w:val="15"/>
                <w:szCs w:val="15"/>
              </w:rPr>
              <w:t>RTB</w:t>
            </w:r>
            <w:r>
              <w:rPr>
                <w:rFonts w:ascii="宋体" w:hAnsi="宋体" w:cs="宋体" w:eastAsia="宋体" w:hint="default"/>
                <w:spacing w:val="-39"/>
                <w:sz w:val="15"/>
                <w:szCs w:val="15"/>
              </w:rPr>
              <w:t> </w:t>
            </w:r>
            <w:r>
              <w:rPr>
                <w:rFonts w:ascii="宋体" w:hAnsi="宋体" w:cs="宋体" w:eastAsia="宋体" w:hint="default"/>
                <w:sz w:val="15"/>
                <w:szCs w:val="15"/>
              </w:rPr>
              <w:t>营销及数据管理云 服务平台开发项目</w:t>
            </w:r>
          </w:p>
        </w:tc>
        <w:tc>
          <w:tcPr>
            <w:tcW w:w="123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5"/>
                <w:szCs w:val="15"/>
              </w:rPr>
            </w:pPr>
            <w:r>
              <w:rPr>
                <w:rFonts w:ascii="宋体"/>
                <w:spacing w:val="-1"/>
                <w:sz w:val="15"/>
              </w:rPr>
              <w:t>800,000.00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5"/>
                <w:szCs w:val="15"/>
              </w:rPr>
            </w:pPr>
            <w:r>
              <w:rPr>
                <w:rFonts w:ascii="宋体"/>
                <w:spacing w:val="-1"/>
                <w:sz w:val="15"/>
              </w:rPr>
              <w:t>800,000.00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5"/>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383" w:hRule="exact"/>
        </w:trPr>
        <w:tc>
          <w:tcPr>
            <w:tcW w:w="2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5"/>
                <w:szCs w:val="15"/>
              </w:rPr>
            </w:pPr>
            <w:r>
              <w:rPr>
                <w:rFonts w:ascii="宋体"/>
                <w:spacing w:val="-1"/>
                <w:sz w:val="15"/>
              </w:rPr>
              <w:t>33,607,972.15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11,918,264.30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1,217,862.97</w:t>
            </w:r>
          </w:p>
        </w:tc>
        <w:tc>
          <w:tcPr>
            <w:tcW w:w="113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44,308,373.48</w:t>
            </w:r>
          </w:p>
        </w:tc>
        <w:tc>
          <w:tcPr>
            <w:tcW w:w="1134" w:type="dxa"/>
            <w:tcBorders>
              <w:top w:val="single" w:sz="4" w:space="0" w:color="000000"/>
              <w:left w:val="single" w:sz="4" w:space="0" w:color="000000"/>
              <w:bottom w:val="single" w:sz="4" w:space="0" w:color="000000"/>
              <w:right w:val="nil" w:sz="6" w:space="0" w:color="auto"/>
            </w:tcBorders>
          </w:tcPr>
          <w:p>
            <w:pPr/>
          </w:p>
        </w:tc>
      </w:tr>
    </w:tbl>
    <w:p>
      <w:pPr>
        <w:pStyle w:val="BodyText"/>
        <w:spacing w:line="391" w:lineRule="auto" w:before="6"/>
        <w:ind w:left="1178" w:right="1695"/>
        <w:jc w:val="left"/>
      </w:pPr>
      <w:r>
        <w:rPr>
          <w:rFonts w:ascii="宋体" w:hAnsi="宋体" w:cs="宋体" w:eastAsia="宋体" w:hint="default"/>
        </w:rPr>
        <w:t>(3) </w:t>
      </w:r>
      <w:r>
        <w:rPr/>
        <w:t>其他说明 </w:t>
      </w:r>
      <w:r>
        <w:rPr>
          <w:spacing w:val="-3"/>
        </w:rPr>
        <w:t>根据本公司、大农实业与温岭经济开发区管委会签订的《温岭东部新区利欧股份泵业生</w:t>
      </w:r>
    </w:p>
    <w:p>
      <w:pPr>
        <w:pStyle w:val="BodyText"/>
        <w:spacing w:line="240" w:lineRule="auto" w:before="1"/>
        <w:ind w:left="758" w:right="1695"/>
        <w:jc w:val="left"/>
      </w:pPr>
      <w:r>
        <w:rPr/>
        <w:t>产总部基地项目投资协议书》对项目建设奖励措施的约定，在</w:t>
      </w:r>
      <w:r>
        <w:rPr>
          <w:spacing w:val="-51"/>
        </w:rPr>
        <w:t> </w:t>
      </w: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日前，桩机</w:t>
      </w:r>
    </w:p>
    <w:p>
      <w:pPr>
        <w:pStyle w:val="BodyText"/>
        <w:spacing w:line="240" w:lineRule="auto" w:before="134"/>
        <w:ind w:left="757" w:right="1695"/>
        <w:jc w:val="left"/>
      </w:pPr>
      <w:r>
        <w:rPr/>
        <w:t>进场并开始施工的，温岭经济开发区管委会奖励</w:t>
      </w:r>
      <w:r>
        <w:rPr>
          <w:spacing w:val="-49"/>
        </w:rPr>
        <w:t> </w:t>
      </w:r>
      <w:r>
        <w:rPr>
          <w:rFonts w:ascii="宋体" w:hAnsi="宋体" w:cs="宋体" w:eastAsia="宋体" w:hint="default"/>
        </w:rPr>
        <w:t>5</w:t>
      </w:r>
      <w:r>
        <w:rPr>
          <w:rFonts w:ascii="宋体" w:hAnsi="宋体" w:cs="宋体" w:eastAsia="宋体" w:hint="default"/>
          <w:spacing w:val="-48"/>
        </w:rPr>
        <w:t> </w:t>
      </w:r>
      <w:r>
        <w:rPr/>
        <w:t>万元</w:t>
      </w:r>
      <w:r>
        <w:rPr>
          <w:rFonts w:ascii="宋体" w:hAnsi="宋体" w:cs="宋体" w:eastAsia="宋体" w:hint="default"/>
        </w:rPr>
        <w:t>/</w:t>
      </w:r>
      <w:r>
        <w:rPr/>
        <w:t>亩。在土地摘牌后</w:t>
      </w:r>
      <w:r>
        <w:rPr>
          <w:spacing w:val="-49"/>
        </w:rPr>
        <w:t> </w:t>
      </w:r>
      <w:r>
        <w:rPr>
          <w:rFonts w:ascii="宋体" w:hAnsi="宋体" w:cs="宋体" w:eastAsia="宋体" w:hint="default"/>
        </w:rPr>
        <w:t>9</w:t>
      </w:r>
      <w:r>
        <w:rPr>
          <w:rFonts w:ascii="宋体" w:hAnsi="宋体" w:cs="宋体" w:eastAsia="宋体" w:hint="default"/>
          <w:spacing w:val="-48"/>
        </w:rPr>
        <w:t> </w:t>
      </w:r>
      <w:r>
        <w:rPr/>
        <w:t>个月内取得施</w:t>
      </w:r>
    </w:p>
    <w:p>
      <w:pPr>
        <w:pStyle w:val="BodyText"/>
        <w:spacing w:line="240" w:lineRule="auto" w:before="133"/>
        <w:ind w:left="757" w:right="1695"/>
        <w:jc w:val="left"/>
      </w:pPr>
      <w:r>
        <w:rPr>
          <w:spacing w:val="2"/>
        </w:rPr>
        <w:t>工许可证并正式建设的，按 </w:t>
      </w:r>
      <w:r>
        <w:rPr>
          <w:rFonts w:ascii="宋体" w:hAnsi="宋体" w:cs="宋体" w:eastAsia="宋体" w:hint="default"/>
        </w:rPr>
        <w:t>4</w:t>
      </w:r>
      <w:r>
        <w:rPr>
          <w:rFonts w:ascii="宋体" w:hAnsi="宋体" w:cs="宋体" w:eastAsia="宋体" w:hint="default"/>
          <w:spacing w:val="26"/>
        </w:rPr>
        <w:t> </w:t>
      </w:r>
      <w:r>
        <w:rPr>
          <w:spacing w:val="2"/>
        </w:rPr>
        <w:t>万元</w:t>
      </w:r>
      <w:r>
        <w:rPr>
          <w:rFonts w:ascii="宋体" w:hAnsi="宋体" w:cs="宋体" w:eastAsia="宋体" w:hint="default"/>
          <w:spacing w:val="2"/>
        </w:rPr>
        <w:t>/</w:t>
      </w:r>
      <w:r>
        <w:rPr>
          <w:spacing w:val="2"/>
        </w:rPr>
        <w:t>亩奖励。公司本期收到温岭经济开发区管委会奖励款</w:t>
      </w:r>
    </w:p>
    <w:p>
      <w:pPr>
        <w:pStyle w:val="BodyText"/>
        <w:spacing w:line="355" w:lineRule="auto" w:before="134"/>
        <w:ind w:left="758" w:right="1782"/>
        <w:jc w:val="left"/>
      </w:pPr>
      <w:r>
        <w:rPr>
          <w:rFonts w:ascii="宋体" w:hAnsi="宋体" w:cs="宋体" w:eastAsia="宋体" w:hint="default"/>
        </w:rPr>
        <w:t>4,024,700.00</w:t>
      </w:r>
      <w:r>
        <w:rPr>
          <w:rFonts w:ascii="宋体" w:hAnsi="宋体" w:cs="宋体" w:eastAsia="宋体" w:hint="default"/>
          <w:spacing w:val="11"/>
        </w:rPr>
        <w:t> </w:t>
      </w:r>
      <w:r>
        <w:rPr/>
        <w:t>元。公司将上述累计收到的奖励款确认为递延收益，并根据该新建总部基地 厂房自其可供使用时起，按照其使用年限平均分摊计入当期损益。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0"/>
        <w:ind w:left="1177" w:right="1695"/>
        <w:jc w:val="left"/>
      </w:pPr>
      <w:bookmarkStart w:name="33. 股本" w:id="192"/>
      <w:bookmarkEnd w:id="192"/>
      <w:r>
        <w:rPr/>
      </w:r>
      <w:r>
        <w:rPr>
          <w:rFonts w:ascii="宋体" w:hAnsi="宋体" w:cs="宋体" w:eastAsia="宋体" w:hint="default"/>
        </w:rPr>
        <w:t>33.</w:t>
      </w:r>
      <w:r>
        <w:rPr>
          <w:rFonts w:ascii="宋体" w:hAnsi="宋体" w:cs="宋体" w:eastAsia="宋体" w:hint="default"/>
          <w:spacing w:val="1"/>
        </w:rPr>
        <w:t> </w:t>
      </w:r>
      <w:r>
        <w:rPr/>
        <w:t>股本</w:t>
      </w:r>
    </w:p>
    <w:p>
      <w:pPr>
        <w:pStyle w:val="BodyText"/>
        <w:spacing w:line="240" w:lineRule="auto" w:before="175"/>
        <w:ind w:left="1177" w:right="169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628" w:type="dxa"/>
        <w:tblLayout w:type="fixed"/>
        <w:tblCellMar>
          <w:top w:w="0" w:type="dxa"/>
          <w:left w:w="0" w:type="dxa"/>
          <w:bottom w:w="0" w:type="dxa"/>
          <w:right w:w="0" w:type="dxa"/>
        </w:tblCellMar>
        <w:tblLook w:val="01E0"/>
      </w:tblPr>
      <w:tblGrid>
        <w:gridCol w:w="976"/>
        <w:gridCol w:w="1277"/>
        <w:gridCol w:w="1277"/>
        <w:gridCol w:w="629"/>
        <w:gridCol w:w="696"/>
        <w:gridCol w:w="1184"/>
        <w:gridCol w:w="1173"/>
        <w:gridCol w:w="1332"/>
      </w:tblGrid>
      <w:tr>
        <w:trPr>
          <w:trHeight w:val="355" w:hRule="exact"/>
        </w:trPr>
        <w:tc>
          <w:tcPr>
            <w:tcW w:w="976" w:type="dxa"/>
            <w:vMerge w:val="restart"/>
            <w:tcBorders>
              <w:top w:val="single" w:sz="6"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77" w:type="dxa"/>
            <w:vMerge w:val="restart"/>
            <w:tcBorders>
              <w:top w:val="single" w:sz="6" w:space="0" w:color="000000"/>
              <w:left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959" w:type="dxa"/>
            <w:gridSpan w:val="5"/>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left="1036" w:right="0"/>
              <w:jc w:val="left"/>
              <w:rPr>
                <w:rFonts w:ascii="宋体" w:hAnsi="宋体" w:cs="宋体" w:eastAsia="宋体" w:hint="default"/>
                <w:sz w:val="18"/>
                <w:szCs w:val="18"/>
              </w:rPr>
            </w:pPr>
            <w:r>
              <w:rPr>
                <w:rFonts w:ascii="宋体" w:hAnsi="宋体" w:cs="宋体" w:eastAsia="宋体" w:hint="default"/>
                <w:sz w:val="18"/>
                <w:szCs w:val="18"/>
              </w:rPr>
              <w:t>本期增减变动（减少以“—”表示）</w:t>
            </w:r>
          </w:p>
        </w:tc>
        <w:tc>
          <w:tcPr>
            <w:tcW w:w="1332" w:type="dxa"/>
            <w:vMerge w:val="restart"/>
            <w:tcBorders>
              <w:top w:val="single" w:sz="6"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01" w:hRule="exact"/>
        </w:trPr>
        <w:tc>
          <w:tcPr>
            <w:tcW w:w="976" w:type="dxa"/>
            <w:vMerge/>
            <w:tcBorders>
              <w:left w:val="nil" w:sz="6" w:space="0" w:color="auto"/>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left="4"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0"/>
              <w:ind w:left="162" w:right="6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7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32" w:type="dxa"/>
            <w:vMerge/>
            <w:tcBorders>
              <w:left w:val="single" w:sz="4" w:space="0" w:color="000000"/>
              <w:bottom w:val="single" w:sz="6" w:space="0" w:color="000000"/>
              <w:right w:val="nil" w:sz="6" w:space="0" w:color="auto"/>
            </w:tcBorders>
          </w:tcPr>
          <w:p>
            <w:pPr/>
          </w:p>
        </w:tc>
      </w:tr>
      <w:tr>
        <w:trPr>
          <w:trHeight w:val="490" w:hRule="exact"/>
        </w:trPr>
        <w:tc>
          <w:tcPr>
            <w:tcW w:w="9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7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5"/>
              <w:ind w:left="110" w:right="0"/>
              <w:jc w:val="left"/>
              <w:rPr>
                <w:rFonts w:ascii="宋体" w:hAnsi="宋体" w:cs="宋体" w:eastAsia="宋体" w:hint="default"/>
                <w:sz w:val="15"/>
                <w:szCs w:val="15"/>
              </w:rPr>
            </w:pPr>
            <w:r>
              <w:rPr>
                <w:rFonts w:ascii="宋体"/>
                <w:sz w:val="15"/>
              </w:rPr>
              <w:t>375,588,388.00</w:t>
            </w: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5"/>
              <w:ind w:left="85" w:right="0"/>
              <w:jc w:val="center"/>
              <w:rPr>
                <w:rFonts w:ascii="宋体" w:hAnsi="宋体" w:cs="宋体" w:eastAsia="宋体" w:hint="default"/>
                <w:sz w:val="15"/>
                <w:szCs w:val="15"/>
              </w:rPr>
            </w:pPr>
            <w:r>
              <w:rPr>
                <w:rFonts w:ascii="宋体"/>
                <w:sz w:val="15"/>
              </w:rPr>
              <w:t>18,688,459.00</w:t>
            </w:r>
          </w:p>
        </w:tc>
        <w:tc>
          <w:tcPr>
            <w:tcW w:w="629" w:type="dxa"/>
            <w:tcBorders>
              <w:top w:val="single" w:sz="6" w:space="0" w:color="000000"/>
              <w:left w:val="single" w:sz="4" w:space="0" w:color="000000"/>
              <w:bottom w:val="single" w:sz="4" w:space="0" w:color="000000"/>
              <w:right w:val="single" w:sz="4" w:space="0" w:color="000000"/>
            </w:tcBorders>
          </w:tcPr>
          <w:p>
            <w:pPr/>
          </w:p>
        </w:tc>
        <w:tc>
          <w:tcPr>
            <w:tcW w:w="696" w:type="dxa"/>
            <w:tcBorders>
              <w:top w:val="single" w:sz="6" w:space="0" w:color="000000"/>
              <w:left w:val="single" w:sz="4" w:space="0" w:color="000000"/>
              <w:bottom w:val="single" w:sz="4" w:space="0" w:color="000000"/>
              <w:right w:val="single" w:sz="4" w:space="0" w:color="000000"/>
            </w:tcBorders>
          </w:tcPr>
          <w:p>
            <w:pPr/>
          </w:p>
        </w:tc>
        <w:tc>
          <w:tcPr>
            <w:tcW w:w="118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5"/>
              <w:ind w:right="1"/>
              <w:jc w:val="center"/>
              <w:rPr>
                <w:rFonts w:ascii="宋体" w:hAnsi="宋体" w:cs="宋体" w:eastAsia="宋体" w:hint="default"/>
                <w:sz w:val="15"/>
                <w:szCs w:val="15"/>
              </w:rPr>
            </w:pPr>
            <w:r>
              <w:rPr>
                <w:rFonts w:ascii="宋体"/>
                <w:sz w:val="15"/>
              </w:rPr>
              <w:t>-2,852,397.00</w:t>
            </w:r>
          </w:p>
        </w:tc>
        <w:tc>
          <w:tcPr>
            <w:tcW w:w="11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5"/>
              <w:ind w:right="16"/>
              <w:jc w:val="center"/>
              <w:rPr>
                <w:rFonts w:ascii="宋体" w:hAnsi="宋体" w:cs="宋体" w:eastAsia="宋体" w:hint="default"/>
                <w:sz w:val="15"/>
                <w:szCs w:val="15"/>
              </w:rPr>
            </w:pPr>
            <w:r>
              <w:rPr>
                <w:rFonts w:ascii="宋体"/>
                <w:sz w:val="15"/>
              </w:rPr>
              <w:t>15,836,062.00</w:t>
            </w:r>
          </w:p>
        </w:tc>
        <w:tc>
          <w:tcPr>
            <w:tcW w:w="133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5"/>
              <w:ind w:left="165" w:right="0"/>
              <w:jc w:val="left"/>
              <w:rPr>
                <w:rFonts w:ascii="宋体" w:hAnsi="宋体" w:cs="宋体" w:eastAsia="宋体" w:hint="default"/>
                <w:sz w:val="15"/>
                <w:szCs w:val="15"/>
              </w:rPr>
            </w:pPr>
            <w:r>
              <w:rPr>
                <w:rFonts w:ascii="宋体"/>
                <w:sz w:val="15"/>
              </w:rPr>
              <w:t>391,424,450.00</w:t>
            </w:r>
          </w:p>
        </w:tc>
      </w:tr>
    </w:tbl>
    <w:p>
      <w:pPr>
        <w:pStyle w:val="BodyText"/>
        <w:spacing w:line="240" w:lineRule="auto" w:before="6"/>
        <w:ind w:left="1178" w:right="1695"/>
        <w:jc w:val="left"/>
      </w:pPr>
      <w:r>
        <w:rPr>
          <w:rFonts w:ascii="宋体" w:hAnsi="宋体" w:cs="宋体" w:eastAsia="宋体" w:hint="default"/>
        </w:rPr>
        <w:t>(2)</w:t>
      </w:r>
      <w:r>
        <w:rPr>
          <w:rFonts w:ascii="宋体" w:hAnsi="宋体" w:cs="宋体" w:eastAsia="宋体" w:hint="default"/>
          <w:spacing w:val="-2"/>
        </w:rPr>
        <w:t> </w:t>
      </w:r>
      <w:r>
        <w:rPr/>
        <w:t>其他说明</w:t>
      </w:r>
    </w:p>
    <w:p>
      <w:pPr>
        <w:pStyle w:val="BodyText"/>
        <w:spacing w:line="240" w:lineRule="auto" w:before="172"/>
        <w:ind w:left="1178" w:right="1695"/>
        <w:jc w:val="left"/>
      </w:pPr>
      <w:r>
        <w:rPr>
          <w:rFonts w:ascii="宋体" w:hAnsi="宋体" w:cs="宋体" w:eastAsia="宋体" w:hint="default"/>
        </w:rPr>
        <w:t>1)</w:t>
      </w:r>
      <w:r>
        <w:rPr>
          <w:rFonts w:ascii="宋体" w:hAnsi="宋体" w:cs="宋体" w:eastAsia="宋体" w:hint="default"/>
          <w:spacing w:val="-37"/>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日，根据公司</w:t>
      </w:r>
      <w:r>
        <w:rPr>
          <w:spacing w:val="-53"/>
        </w:rPr>
        <w:t> </w:t>
      </w:r>
      <w:r>
        <w:rPr>
          <w:rFonts w:ascii="宋体" w:hAnsi="宋体" w:cs="宋体" w:eastAsia="宋体" w:hint="default"/>
        </w:rPr>
        <w:t>2013</w:t>
      </w:r>
      <w:r>
        <w:rPr>
          <w:rFonts w:ascii="宋体" w:hAnsi="宋体" w:cs="宋体" w:eastAsia="宋体" w:hint="default"/>
          <w:spacing w:val="-55"/>
        </w:rPr>
        <w:t> </w:t>
      </w:r>
      <w:r>
        <w:rPr/>
        <w:t>年度股东大会审议通过的《关于定向回购长沙天</w:t>
      </w:r>
    </w:p>
    <w:p>
      <w:pPr>
        <w:pStyle w:val="BodyText"/>
        <w:spacing w:line="357" w:lineRule="auto" w:before="133"/>
        <w:ind w:left="757" w:right="1695"/>
        <w:jc w:val="left"/>
      </w:pPr>
      <w:r>
        <w:rPr/>
        <w:t>鹅原股东</w:t>
      </w:r>
      <w:r>
        <w:rPr>
          <w:spacing w:val="-50"/>
        </w:rPr>
        <w:t> </w:t>
      </w:r>
      <w:r>
        <w:rPr>
          <w:rFonts w:ascii="宋体" w:hAnsi="宋体" w:cs="宋体" w:eastAsia="宋体" w:hint="default"/>
        </w:rPr>
        <w:t>2013</w:t>
      </w:r>
      <w:r>
        <w:rPr>
          <w:rFonts w:ascii="宋体" w:hAnsi="宋体" w:cs="宋体" w:eastAsia="宋体" w:hint="default"/>
          <w:spacing w:val="-50"/>
        </w:rPr>
        <w:t> </w:t>
      </w:r>
      <w:r>
        <w:rPr>
          <w:spacing w:val="-6"/>
        </w:rPr>
        <w:t>年度应补偿股份的议案》，公司以人民币</w:t>
      </w:r>
      <w:r>
        <w:rPr>
          <w:spacing w:val="-49"/>
        </w:rPr>
        <w:t> </w:t>
      </w:r>
      <w:r>
        <w:rPr>
          <w:rFonts w:ascii="宋体" w:hAnsi="宋体" w:cs="宋体" w:eastAsia="宋体" w:hint="default"/>
        </w:rPr>
        <w:t>1</w:t>
      </w:r>
      <w:r>
        <w:rPr>
          <w:rFonts w:ascii="宋体" w:hAnsi="宋体" w:cs="宋体" w:eastAsia="宋体" w:hint="default"/>
          <w:spacing w:val="-49"/>
        </w:rPr>
        <w:t> </w:t>
      </w:r>
      <w:r>
        <w:rPr>
          <w:spacing w:val="-1"/>
        </w:rPr>
        <w:t>元的价格定向回购并注销欧亚云、</w:t>
      </w:r>
      <w:r>
        <w:rPr/>
        <w:t> </w:t>
      </w:r>
      <w:r>
        <w:rPr>
          <w:spacing w:val="-3"/>
        </w:rPr>
        <w:t>欧亚峰、罗兵辉、李洪辉、朱平正、胡观辉、周海蓉、吴波、郭华定和长沙瑞鹅投资管理有</w:t>
      </w:r>
      <w:r>
        <w:rPr>
          <w:spacing w:val="-79"/>
        </w:rPr>
        <w:t> </w:t>
      </w:r>
      <w:r>
        <w:rPr>
          <w:spacing w:val="-79"/>
        </w:rPr>
      </w:r>
      <w:r>
        <w:rPr>
          <w:spacing w:val="12"/>
        </w:rPr>
        <w:t>限公司合计持有的本公司 </w:t>
      </w:r>
      <w:r>
        <w:rPr>
          <w:rFonts w:ascii="宋体" w:hAnsi="宋体" w:cs="宋体" w:eastAsia="宋体" w:hint="default"/>
        </w:rPr>
        <w:t>2,852,397</w:t>
      </w:r>
      <w:r>
        <w:rPr>
          <w:rFonts w:ascii="宋体" w:hAnsi="宋体" w:cs="宋体" w:eastAsia="宋体" w:hint="default"/>
          <w:spacing w:val="33"/>
        </w:rPr>
        <w:t> </w:t>
      </w:r>
      <w:r>
        <w:rPr>
          <w:spacing w:val="12"/>
        </w:rPr>
        <w:t>股股份。股份回购注销完成后，公司注册资本由</w:t>
      </w:r>
    </w:p>
    <w:p>
      <w:pPr>
        <w:pStyle w:val="BodyText"/>
        <w:spacing w:line="357" w:lineRule="auto" w:before="31"/>
        <w:ind w:left="757" w:right="1758"/>
        <w:jc w:val="both"/>
      </w:pPr>
      <w:r>
        <w:rPr>
          <w:rFonts w:ascii="宋体" w:hAnsi="宋体" w:cs="宋体" w:eastAsia="宋体" w:hint="default"/>
        </w:rPr>
        <w:t>375,588,388.00</w:t>
      </w:r>
      <w:r>
        <w:rPr>
          <w:rFonts w:ascii="宋体" w:hAnsi="宋体" w:cs="宋体" w:eastAsia="宋体" w:hint="default"/>
          <w:spacing w:val="-40"/>
        </w:rPr>
        <w:t> </w:t>
      </w:r>
      <w:r>
        <w:rPr/>
        <w:t>元，减少到</w:t>
      </w:r>
      <w:r>
        <w:rPr>
          <w:spacing w:val="-41"/>
        </w:rPr>
        <w:t> </w:t>
      </w:r>
      <w:r>
        <w:rPr>
          <w:rFonts w:ascii="宋体" w:hAnsi="宋体" w:cs="宋体" w:eastAsia="宋体" w:hint="default"/>
        </w:rPr>
        <w:t>372,735,991.00</w:t>
      </w:r>
      <w:r>
        <w:rPr>
          <w:rFonts w:ascii="宋体" w:hAnsi="宋体" w:cs="宋体" w:eastAsia="宋体" w:hint="default"/>
          <w:spacing w:val="-41"/>
        </w:rPr>
        <w:t> </w:t>
      </w:r>
      <w:r>
        <w:rPr/>
        <w:t>元</w:t>
      </w:r>
      <w:r>
        <w:rPr>
          <w:rFonts w:ascii="宋体" w:hAnsi="宋体" w:cs="宋体" w:eastAsia="宋体" w:hint="default"/>
        </w:rPr>
        <w:t>(</w:t>
      </w:r>
      <w:r>
        <w:rPr/>
        <w:t>每股面值</w:t>
      </w:r>
      <w:r>
        <w:rPr>
          <w:spacing w:val="-41"/>
        </w:rPr>
        <w:t> </w:t>
      </w:r>
      <w:r>
        <w:rPr>
          <w:rFonts w:ascii="宋体" w:hAnsi="宋体" w:cs="宋体" w:eastAsia="宋体" w:hint="default"/>
        </w:rPr>
        <w:t>1</w:t>
      </w:r>
      <w:r>
        <w:rPr>
          <w:rFonts w:ascii="宋体" w:hAnsi="宋体" w:cs="宋体" w:eastAsia="宋体" w:hint="default"/>
          <w:spacing w:val="-41"/>
        </w:rPr>
        <w:t> </w:t>
      </w:r>
      <w:r>
        <w:rPr/>
        <w:t>元</w:t>
      </w:r>
      <w:r>
        <w:rPr>
          <w:rFonts w:ascii="宋体" w:hAnsi="宋体" w:cs="宋体" w:eastAsia="宋体" w:hint="default"/>
        </w:rPr>
        <w:t>)</w:t>
      </w:r>
      <w:r>
        <w:rPr/>
        <w:t>，同时增加资本公积</w:t>
      </w:r>
      <w:r>
        <w:rPr>
          <w:rFonts w:ascii="宋体" w:hAnsi="宋体" w:cs="宋体" w:eastAsia="宋体" w:hint="default"/>
        </w:rPr>
        <w:t>(</w:t>
      </w:r>
      <w:r>
        <w:rPr/>
        <w:t>股本</w:t>
      </w:r>
      <w:r>
        <w:rPr>
          <w:spacing w:val="-2"/>
        </w:rPr>
        <w:t> </w:t>
      </w:r>
      <w:r>
        <w:rPr/>
        <w:t>溢价</w:t>
      </w:r>
      <w:r>
        <w:rPr>
          <w:rFonts w:ascii="宋体" w:hAnsi="宋体" w:cs="宋体" w:eastAsia="宋体" w:hint="default"/>
        </w:rPr>
        <w:t>)2,852,396.00</w:t>
      </w:r>
      <w:r>
        <w:rPr>
          <w:rFonts w:ascii="宋体" w:hAnsi="宋体" w:cs="宋体" w:eastAsia="宋体" w:hint="default"/>
          <w:spacing w:val="-55"/>
        </w:rPr>
        <w:t> </w:t>
      </w:r>
      <w:r>
        <w:rPr/>
        <w:t>元。上述回购减资事项已业经天健会计师事务所</w:t>
      </w:r>
      <w:r>
        <w:rPr>
          <w:rFonts w:ascii="宋体" w:hAnsi="宋体" w:cs="宋体" w:eastAsia="宋体" w:hint="default"/>
        </w:rPr>
        <w:t>(</w:t>
      </w:r>
      <w:r>
        <w:rPr/>
        <w:t>特殊普通合伙</w:t>
      </w:r>
      <w:r>
        <w:rPr>
          <w:rFonts w:ascii="宋体" w:hAnsi="宋体" w:cs="宋体" w:eastAsia="宋体" w:hint="default"/>
        </w:rPr>
        <w:t>)</w:t>
      </w:r>
      <w:r>
        <w:rPr/>
        <w:t>审验， 并由其出具《验资报告》</w:t>
      </w:r>
      <w:r>
        <w:rPr>
          <w:rFonts w:ascii="宋体" w:hAnsi="宋体" w:cs="宋体" w:eastAsia="宋体" w:hint="default"/>
        </w:rPr>
        <w:t>(</w:t>
      </w:r>
      <w:r>
        <w:rPr/>
        <w:t>天健验〔</w:t>
      </w:r>
      <w:r>
        <w:rPr>
          <w:rFonts w:ascii="宋体" w:hAnsi="宋体" w:cs="宋体" w:eastAsia="宋体" w:hint="default"/>
        </w:rPr>
        <w:t>2014</w:t>
      </w:r>
      <w:r>
        <w:rPr/>
        <w:t>〕</w:t>
      </w:r>
      <w:r>
        <w:rPr>
          <w:rFonts w:ascii="宋体" w:hAnsi="宋体" w:cs="宋体" w:eastAsia="宋体" w:hint="default"/>
        </w:rPr>
        <w:t>90</w:t>
      </w:r>
      <w:r>
        <w:rPr>
          <w:rFonts w:ascii="宋体" w:hAnsi="宋体" w:cs="宋体" w:eastAsia="宋体" w:hint="default"/>
          <w:spacing w:val="-62"/>
        </w:rPr>
        <w:t> </w:t>
      </w:r>
      <w:r>
        <w:rPr/>
        <w:t>号</w:t>
      </w:r>
      <w:r>
        <w:rPr>
          <w:rFonts w:ascii="宋体" w:hAnsi="宋体" w:cs="宋体" w:eastAsia="宋体" w:hint="default"/>
        </w:rPr>
        <w:t>)</w:t>
      </w:r>
      <w:r>
        <w:rPr/>
        <w:t>。公司已于</w:t>
      </w:r>
      <w:r>
        <w:rPr>
          <w:spacing w:val="-62"/>
        </w:rPr>
        <w:t> </w:t>
      </w:r>
      <w:r>
        <w:rPr>
          <w:rFonts w:ascii="宋体" w:hAnsi="宋体" w:cs="宋体" w:eastAsia="宋体" w:hint="default"/>
        </w:rPr>
        <w:t>2014</w:t>
      </w:r>
      <w:r>
        <w:rPr>
          <w:rFonts w:ascii="宋体" w:hAnsi="宋体" w:cs="宋体" w:eastAsia="宋体" w:hint="default"/>
          <w:spacing w:val="-62"/>
        </w:rPr>
        <w:t> </w:t>
      </w:r>
      <w:r>
        <w:rPr/>
        <w:t>年</w:t>
      </w:r>
      <w:r>
        <w:rPr>
          <w:spacing w:val="-63"/>
        </w:rPr>
        <w:t> </w:t>
      </w:r>
      <w:r>
        <w:rPr>
          <w:rFonts w:ascii="宋体" w:hAnsi="宋体" w:cs="宋体" w:eastAsia="宋体" w:hint="default"/>
        </w:rPr>
        <w:t>5</w:t>
      </w:r>
      <w:r>
        <w:rPr>
          <w:rFonts w:ascii="宋体" w:hAnsi="宋体" w:cs="宋体" w:eastAsia="宋体" w:hint="default"/>
          <w:spacing w:val="-62"/>
        </w:rPr>
        <w:t> </w:t>
      </w:r>
      <w:r>
        <w:rPr/>
        <w:t>月底在中国证券登记</w:t>
      </w:r>
    </w:p>
    <w:p>
      <w:pPr>
        <w:pStyle w:val="BodyText"/>
        <w:spacing w:line="355" w:lineRule="auto"/>
        <w:ind w:left="757" w:right="1785"/>
        <w:jc w:val="left"/>
      </w:pPr>
      <w:r>
        <w:rPr>
          <w:spacing w:val="-3"/>
        </w:rPr>
        <w:t>结算有限责任公司深圳分公司</w:t>
      </w:r>
      <w:r>
        <w:rPr>
          <w:rFonts w:ascii="宋体" w:hAnsi="宋体" w:cs="宋体" w:eastAsia="宋体" w:hint="default"/>
          <w:spacing w:val="-3"/>
        </w:rPr>
        <w:t>(</w:t>
      </w:r>
      <w:r>
        <w:rPr>
          <w:spacing w:val="-3"/>
        </w:rPr>
        <w:t>以下简称中登公司</w:t>
      </w:r>
      <w:r>
        <w:rPr>
          <w:rFonts w:ascii="宋体" w:hAnsi="宋体" w:cs="宋体" w:eastAsia="宋体" w:hint="default"/>
          <w:spacing w:val="-3"/>
        </w:rPr>
        <w:t>)</w:t>
      </w:r>
      <w:r>
        <w:rPr>
          <w:spacing w:val="-3"/>
        </w:rPr>
        <w:t>办理登记完毕，并于</w:t>
      </w:r>
      <w:r>
        <w:rPr>
          <w:spacing w:val="-51"/>
        </w:rPr>
        <w:t> </w:t>
      </w:r>
      <w:r>
        <w:rPr>
          <w:rFonts w:ascii="宋体" w:hAnsi="宋体" w:cs="宋体" w:eastAsia="宋体" w:hint="default"/>
          <w:spacing w:val="-1"/>
        </w:rPr>
        <w:t>2014</w:t>
      </w:r>
      <w:r>
        <w:rPr>
          <w:rFonts w:ascii="宋体" w:hAnsi="宋体" w:cs="宋体" w:eastAsia="宋体" w:hint="default"/>
          <w:spacing w:val="-52"/>
        </w:rPr>
        <w:t> </w:t>
      </w:r>
      <w:r>
        <w:rPr/>
        <w:t>年</w:t>
      </w:r>
      <w:r>
        <w:rPr>
          <w:spacing w:val="-52"/>
        </w:rPr>
        <w:t> </w:t>
      </w:r>
      <w:r>
        <w:rPr>
          <w:rFonts w:ascii="宋体" w:hAnsi="宋体" w:cs="宋体" w:eastAsia="宋体" w:hint="default"/>
        </w:rPr>
        <w:t>6</w:t>
      </w:r>
      <w:r>
        <w:rPr>
          <w:rFonts w:ascii="宋体" w:hAnsi="宋体" w:cs="宋体" w:eastAsia="宋体" w:hint="default"/>
          <w:spacing w:val="-52"/>
        </w:rPr>
        <w:t> </w:t>
      </w:r>
      <w:r>
        <w:rPr/>
        <w:t>月</w:t>
      </w:r>
      <w:r>
        <w:rPr>
          <w:spacing w:val="-52"/>
        </w:rPr>
        <w:t> </w:t>
      </w:r>
      <w:r>
        <w:rPr>
          <w:rFonts w:ascii="宋体" w:hAnsi="宋体" w:cs="宋体" w:eastAsia="宋体" w:hint="default"/>
          <w:spacing w:val="-1"/>
        </w:rPr>
        <w:t>18</w:t>
      </w:r>
      <w:r>
        <w:rPr>
          <w:rFonts w:ascii="宋体" w:hAnsi="宋体" w:cs="宋体" w:eastAsia="宋体" w:hint="default"/>
          <w:spacing w:val="-52"/>
        </w:rPr>
        <w:t> </w:t>
      </w:r>
      <w:r>
        <w:rPr>
          <w:spacing w:val="1"/>
        </w:rPr>
        <w:t>日在 </w:t>
      </w:r>
      <w:r>
        <w:rPr/>
        <w:t>浙江省工商行政管理局办妥工商变更登记手续。</w:t>
      </w:r>
    </w:p>
    <w:p>
      <w:pPr>
        <w:pStyle w:val="BodyText"/>
        <w:spacing w:line="240" w:lineRule="auto" w:before="73"/>
        <w:ind w:left="1177" w:right="1695"/>
        <w:jc w:val="left"/>
      </w:pPr>
      <w:r>
        <w:rPr>
          <w:rFonts w:ascii="宋体" w:hAnsi="宋体" w:cs="宋体" w:eastAsia="宋体" w:hint="default"/>
        </w:rPr>
        <w:t>2)</w:t>
      </w:r>
      <w:r>
        <w:rPr>
          <w:rFonts w:ascii="宋体" w:hAnsi="宋体" w:cs="宋体" w:eastAsia="宋体" w:hint="default"/>
          <w:spacing w:val="-37"/>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日，经中国证券监督管理委员会《关于核准利欧集团股份有限公司</w:t>
      </w:r>
    </w:p>
    <w:p>
      <w:pPr>
        <w:spacing w:after="0" w:line="240" w:lineRule="auto"/>
        <w:jc w:val="left"/>
        <w:sectPr>
          <w:pgSz w:w="11910" w:h="16840"/>
          <w:pgMar w:header="877" w:footer="938" w:top="1100" w:bottom="1120" w:left="1040" w:right="0"/>
        </w:sectPr>
      </w:pPr>
    </w:p>
    <w:p>
      <w:pPr>
        <w:spacing w:line="240" w:lineRule="auto" w:before="2"/>
        <w:rPr>
          <w:rFonts w:ascii="宋体" w:hAnsi="宋体" w:cs="宋体" w:eastAsia="宋体" w:hint="default"/>
          <w:sz w:val="19"/>
          <w:szCs w:val="19"/>
        </w:rPr>
      </w:pPr>
    </w:p>
    <w:p>
      <w:pPr>
        <w:pStyle w:val="BodyText"/>
        <w:spacing w:line="355" w:lineRule="auto" w:before="35"/>
        <w:ind w:left="238" w:right="1676"/>
        <w:jc w:val="left"/>
      </w:pPr>
      <w:r>
        <w:rPr/>
        <w:t>向詹嘉等发行股份购买资产并募集配套资金的批复》</w:t>
      </w:r>
      <w:r>
        <w:rPr>
          <w:rFonts w:ascii="宋体" w:hAnsi="宋体" w:cs="宋体" w:eastAsia="宋体" w:hint="default"/>
        </w:rPr>
        <w:t>(</w:t>
      </w:r>
      <w:r>
        <w:rPr/>
        <w:t>证监许可〔</w:t>
      </w:r>
      <w:r>
        <w:rPr>
          <w:rFonts w:ascii="宋体" w:hAnsi="宋体" w:cs="宋体" w:eastAsia="宋体" w:hint="default"/>
        </w:rPr>
        <w:t>2014</w:t>
      </w:r>
      <w:r>
        <w:rPr/>
        <w:t>〕</w:t>
      </w:r>
      <w:r>
        <w:rPr>
          <w:rFonts w:ascii="宋体" w:hAnsi="宋体" w:cs="宋体" w:eastAsia="宋体" w:hint="default"/>
        </w:rPr>
        <w:t>1227 </w:t>
      </w:r>
      <w:r>
        <w:rPr/>
        <w:t>号</w:t>
      </w:r>
      <w:r>
        <w:rPr>
          <w:rFonts w:ascii="宋体" w:hAnsi="宋体" w:cs="宋体" w:eastAsia="宋体" w:hint="default"/>
        </w:rPr>
        <w:t>)</w:t>
      </w:r>
      <w:r>
        <w:rPr/>
        <w:t>核准，公</w:t>
      </w:r>
      <w:r>
        <w:rPr>
          <w:spacing w:val="-96"/>
        </w:rPr>
        <w:t> </w:t>
      </w:r>
      <w:r>
        <w:rPr/>
        <w:t>司于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0"/>
        </w:rPr>
        <w:t> </w:t>
      </w:r>
      <w:r>
        <w:rPr>
          <w:spacing w:val="-6"/>
        </w:rPr>
        <w:t>月获准向詹嘉、李翔、张璐、李劼、刘阳、王英杰、孙唯一、田斌、郑晓东、</w:t>
      </w:r>
    </w:p>
    <w:p>
      <w:pPr>
        <w:pStyle w:val="BodyText"/>
        <w:spacing w:line="240" w:lineRule="auto" w:before="33"/>
        <w:ind w:left="238" w:right="1688"/>
        <w:jc w:val="left"/>
      </w:pPr>
      <w:r>
        <w:rPr>
          <w:spacing w:val="-3"/>
        </w:rPr>
        <w:t>段永玲、郭海等共计</w:t>
      </w:r>
      <w:r>
        <w:rPr>
          <w:spacing w:val="-52"/>
        </w:rPr>
        <w:t> </w:t>
      </w:r>
      <w:r>
        <w:rPr>
          <w:rFonts w:ascii="宋体" w:hAnsi="宋体" w:cs="宋体" w:eastAsia="宋体" w:hint="default"/>
        </w:rPr>
        <w:t>11</w:t>
      </w:r>
      <w:r>
        <w:rPr>
          <w:rFonts w:ascii="宋体" w:hAnsi="宋体" w:cs="宋体" w:eastAsia="宋体" w:hint="default"/>
          <w:spacing w:val="-52"/>
        </w:rPr>
        <w:t> </w:t>
      </w:r>
      <w:r>
        <w:rPr/>
        <w:t>名特定对象合计发行</w:t>
      </w:r>
      <w:r>
        <w:rPr>
          <w:spacing w:val="-51"/>
        </w:rPr>
        <w:t> </w:t>
      </w:r>
      <w:r>
        <w:rPr>
          <w:rFonts w:ascii="宋体" w:hAnsi="宋体" w:cs="宋体" w:eastAsia="宋体" w:hint="default"/>
        </w:rPr>
        <w:t>18,688,459</w:t>
      </w:r>
      <w:r>
        <w:rPr>
          <w:rFonts w:ascii="宋体" w:hAnsi="宋体" w:cs="宋体" w:eastAsia="宋体" w:hint="default"/>
          <w:spacing w:val="-52"/>
        </w:rPr>
        <w:t> </w:t>
      </w:r>
      <w:r>
        <w:rPr/>
        <w:t>股人民币普通股</w:t>
      </w:r>
      <w:r>
        <w:rPr>
          <w:rFonts w:ascii="宋体" w:hAnsi="宋体" w:cs="宋体" w:eastAsia="宋体" w:hint="default"/>
        </w:rPr>
        <w:t>(A</w:t>
      </w:r>
      <w:r>
        <w:rPr>
          <w:rFonts w:ascii="宋体" w:hAnsi="宋体" w:cs="宋体" w:eastAsia="宋体" w:hint="default"/>
          <w:spacing w:val="-51"/>
        </w:rPr>
        <w:t> </w:t>
      </w:r>
      <w:r>
        <w:rPr>
          <w:spacing w:val="-3"/>
        </w:rPr>
        <w:t>股</w:t>
      </w:r>
      <w:r>
        <w:rPr>
          <w:rFonts w:ascii="宋体" w:hAnsi="宋体" w:cs="宋体" w:eastAsia="宋体" w:hint="default"/>
          <w:spacing w:val="-3"/>
        </w:rPr>
        <w:t>)</w:t>
      </w:r>
      <w:r>
        <w:rPr>
          <w:spacing w:val="-3"/>
        </w:rPr>
        <w:t>，发行价格</w:t>
      </w:r>
    </w:p>
    <w:p>
      <w:pPr>
        <w:pStyle w:val="BodyText"/>
        <w:spacing w:line="240" w:lineRule="auto" w:before="133"/>
        <w:ind w:left="237" w:right="1688"/>
        <w:jc w:val="left"/>
      </w:pPr>
      <w:r>
        <w:rPr/>
        <w:t>为</w:t>
      </w:r>
      <w:r>
        <w:rPr>
          <w:spacing w:val="-51"/>
        </w:rPr>
        <w:t> </w:t>
      </w:r>
      <w:r>
        <w:rPr>
          <w:rFonts w:ascii="宋体" w:hAnsi="宋体" w:cs="宋体" w:eastAsia="宋体" w:hint="default"/>
        </w:rPr>
        <w:t>18.77</w:t>
      </w:r>
      <w:r>
        <w:rPr>
          <w:rFonts w:ascii="宋体" w:hAnsi="宋体" w:cs="宋体" w:eastAsia="宋体" w:hint="default"/>
          <w:spacing w:val="-50"/>
        </w:rPr>
        <w:t> </w:t>
      </w:r>
      <w:r>
        <w:rPr>
          <w:spacing w:val="-4"/>
        </w:rPr>
        <w:t>元</w:t>
      </w:r>
      <w:r>
        <w:rPr>
          <w:rFonts w:ascii="宋体" w:hAnsi="宋体" w:cs="宋体" w:eastAsia="宋体" w:hint="default"/>
          <w:spacing w:val="-4"/>
        </w:rPr>
        <w:t>/</w:t>
      </w:r>
      <w:r>
        <w:rPr>
          <w:spacing w:val="-4"/>
        </w:rPr>
        <w:t>股。截至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19</w:t>
      </w:r>
      <w:r>
        <w:rPr>
          <w:rFonts w:ascii="宋体" w:hAnsi="宋体" w:cs="宋体" w:eastAsia="宋体" w:hint="default"/>
          <w:spacing w:val="-51"/>
        </w:rPr>
        <w:t> </w:t>
      </w:r>
      <w:r>
        <w:rPr>
          <w:spacing w:val="-4"/>
        </w:rPr>
        <w:t>日止，公司已收到詹嘉、李翔、张璐、李劼投入的上</w:t>
      </w:r>
    </w:p>
    <w:p>
      <w:pPr>
        <w:pStyle w:val="BodyText"/>
        <w:spacing w:line="240" w:lineRule="auto" w:before="134"/>
        <w:ind w:left="237" w:right="1688"/>
        <w:jc w:val="left"/>
        <w:rPr>
          <w:rFonts w:ascii="宋体" w:hAnsi="宋体" w:cs="宋体" w:eastAsia="宋体" w:hint="default"/>
        </w:rPr>
      </w:pPr>
      <w:r>
        <w:rPr/>
        <w:t>海氩氪</w:t>
      </w:r>
      <w:r>
        <w:rPr>
          <w:spacing w:val="-52"/>
        </w:rPr>
        <w:t> </w:t>
      </w:r>
      <w:r>
        <w:rPr>
          <w:rFonts w:ascii="宋体" w:hAnsi="宋体" w:cs="宋体" w:eastAsia="宋体" w:hint="default"/>
        </w:rPr>
        <w:t>50%</w:t>
      </w:r>
      <w:r>
        <w:rPr/>
        <w:t>股权</w:t>
      </w:r>
      <w:r>
        <w:rPr>
          <w:spacing w:val="-52"/>
        </w:rPr>
        <w:t> </w:t>
      </w:r>
      <w:r>
        <w:rPr>
          <w:rFonts w:ascii="宋体" w:hAnsi="宋体" w:cs="宋体" w:eastAsia="宋体" w:hint="default"/>
        </w:rPr>
        <w:t>112,969,497.40</w:t>
      </w:r>
      <w:r>
        <w:rPr>
          <w:rFonts w:ascii="宋体" w:hAnsi="宋体" w:cs="宋体" w:eastAsia="宋体" w:hint="default"/>
          <w:spacing w:val="-52"/>
        </w:rPr>
        <w:t> </w:t>
      </w:r>
      <w:r>
        <w:rPr>
          <w:spacing w:val="-4"/>
        </w:rPr>
        <w:t>元，收到刘阳、王英杰、孙唯一、田斌投入的琥珀传播</w:t>
      </w:r>
      <w:r>
        <w:rPr>
          <w:spacing w:val="-51"/>
        </w:rPr>
        <w:t> </w:t>
      </w:r>
      <w:r>
        <w:rPr>
          <w:rFonts w:ascii="宋体" w:hAnsi="宋体" w:cs="宋体" w:eastAsia="宋体" w:hint="default"/>
        </w:rPr>
        <w:t>50%</w:t>
      </w:r>
    </w:p>
    <w:p>
      <w:pPr>
        <w:pStyle w:val="BodyText"/>
        <w:spacing w:line="357" w:lineRule="auto" w:before="133"/>
        <w:ind w:left="237" w:right="1692"/>
        <w:jc w:val="left"/>
      </w:pPr>
      <w:r>
        <w:rPr/>
        <w:t>股权</w:t>
      </w:r>
      <w:r>
        <w:rPr>
          <w:spacing w:val="-54"/>
        </w:rPr>
        <w:t> </w:t>
      </w:r>
      <w:r>
        <w:rPr>
          <w:rFonts w:ascii="宋体" w:hAnsi="宋体" w:cs="宋体" w:eastAsia="宋体" w:hint="default"/>
        </w:rPr>
        <w:t>97,499,995.43</w:t>
      </w:r>
      <w:r>
        <w:rPr>
          <w:rFonts w:ascii="宋体" w:hAnsi="宋体" w:cs="宋体" w:eastAsia="宋体" w:hint="default"/>
          <w:spacing w:val="-53"/>
        </w:rPr>
        <w:t> </w:t>
      </w:r>
      <w:r>
        <w:rPr/>
        <w:t>元，收到特定投资者郑晓东投入的货币资金人民币</w:t>
      </w:r>
      <w:r>
        <w:rPr>
          <w:spacing w:val="-53"/>
        </w:rPr>
        <w:t> </w:t>
      </w:r>
      <w:r>
        <w:rPr>
          <w:rFonts w:ascii="宋体" w:hAnsi="宋体" w:cs="宋体" w:eastAsia="宋体" w:hint="default"/>
        </w:rPr>
        <w:t>80,248,882.60</w:t>
      </w:r>
      <w:r>
        <w:rPr>
          <w:rFonts w:ascii="宋体" w:hAnsi="宋体" w:cs="宋体" w:eastAsia="宋体" w:hint="default"/>
          <w:spacing w:val="-53"/>
        </w:rPr>
        <w:t> </w:t>
      </w:r>
      <w:r>
        <w:rPr/>
        <w:t>元、 </w:t>
      </w:r>
      <w:r>
        <w:rPr>
          <w:spacing w:val="36"/>
        </w:rPr>
        <w:t>段永玲投入的货币资金人民币</w:t>
      </w:r>
      <w:r>
        <w:rPr>
          <w:spacing w:val="38"/>
        </w:rPr>
        <w:t> </w:t>
      </w:r>
      <w:r>
        <w:rPr>
          <w:rFonts w:ascii="宋体" w:hAnsi="宋体" w:cs="宋体" w:eastAsia="宋体" w:hint="default"/>
        </w:rPr>
        <w:t>30,032,000.00</w:t>
      </w:r>
      <w:r>
        <w:rPr>
          <w:rFonts w:ascii="宋体" w:hAnsi="宋体" w:cs="宋体" w:eastAsia="宋体" w:hint="default"/>
          <w:spacing w:val="38"/>
        </w:rPr>
        <w:t> </w:t>
      </w:r>
      <w:r>
        <w:rPr/>
        <w:t>元</w:t>
      </w:r>
      <w:r>
        <w:rPr>
          <w:spacing w:val="-66"/>
        </w:rPr>
        <w:t> </w:t>
      </w:r>
      <w:r>
        <w:rPr/>
        <w:t>、</w:t>
      </w:r>
      <w:r>
        <w:rPr>
          <w:spacing w:val="-67"/>
        </w:rPr>
        <w:t> </w:t>
      </w:r>
      <w:r>
        <w:rPr/>
        <w:t>郭</w:t>
      </w:r>
      <w:r>
        <w:rPr>
          <w:spacing w:val="-66"/>
        </w:rPr>
        <w:t> </w:t>
      </w:r>
      <w:r>
        <w:rPr/>
        <w:t>海</w:t>
      </w:r>
      <w:r>
        <w:rPr>
          <w:spacing w:val="-66"/>
        </w:rPr>
        <w:t> </w:t>
      </w:r>
      <w:r>
        <w:rPr/>
        <w:t>投</w:t>
      </w:r>
      <w:r>
        <w:rPr>
          <w:spacing w:val="-66"/>
        </w:rPr>
        <w:t> </w:t>
      </w:r>
      <w:r>
        <w:rPr/>
        <w:t>入</w:t>
      </w:r>
      <w:r>
        <w:rPr>
          <w:spacing w:val="-66"/>
        </w:rPr>
        <w:t> </w:t>
      </w:r>
      <w:r>
        <w:rPr/>
        <w:t>的</w:t>
      </w:r>
      <w:r>
        <w:rPr>
          <w:spacing w:val="-66"/>
        </w:rPr>
        <w:t> </w:t>
      </w:r>
      <w:r>
        <w:rPr/>
        <w:t>货</w:t>
      </w:r>
      <w:r>
        <w:rPr>
          <w:spacing w:val="-66"/>
        </w:rPr>
        <w:t> </w:t>
      </w:r>
      <w:r>
        <w:rPr/>
        <w:t>币</w:t>
      </w:r>
      <w:r>
        <w:rPr>
          <w:spacing w:val="-66"/>
        </w:rPr>
        <w:t> </w:t>
      </w:r>
      <w:r>
        <w:rPr/>
        <w:t>资</w:t>
      </w:r>
      <w:r>
        <w:rPr>
          <w:spacing w:val="-66"/>
        </w:rPr>
        <w:t> </w:t>
      </w:r>
      <w:r>
        <w:rPr/>
        <w:t>金</w:t>
      </w:r>
      <w:r>
        <w:rPr>
          <w:spacing w:val="-66"/>
        </w:rPr>
        <w:t> </w:t>
      </w:r>
      <w:r>
        <w:rPr/>
        <w:t>人</w:t>
      </w:r>
      <w:r>
        <w:rPr>
          <w:spacing w:val="-66"/>
        </w:rPr>
        <w:t> </w:t>
      </w:r>
      <w:r>
        <w:rPr/>
        <w:t>民</w:t>
      </w:r>
      <w:r>
        <w:rPr>
          <w:spacing w:val="-66"/>
        </w:rPr>
        <w:t> </w:t>
      </w:r>
      <w:r>
        <w:rPr/>
        <w:t>币</w:t>
      </w:r>
      <w:r>
        <w:rPr/>
        <w:t> </w:t>
      </w:r>
      <w:r>
        <w:rPr>
          <w:rFonts w:ascii="宋体" w:hAnsi="宋体" w:cs="宋体" w:eastAsia="宋体" w:hint="default"/>
        </w:rPr>
        <w:t>30,032,000.00</w:t>
      </w:r>
      <w:r>
        <w:rPr>
          <w:rFonts w:ascii="宋体" w:hAnsi="宋体" w:cs="宋体" w:eastAsia="宋体" w:hint="default"/>
          <w:spacing w:val="-40"/>
        </w:rPr>
        <w:t> </w:t>
      </w:r>
      <w:r>
        <w:rPr/>
        <w:t>元，上述合计</w:t>
      </w:r>
      <w:r>
        <w:rPr>
          <w:spacing w:val="-40"/>
        </w:rPr>
        <w:t> </w:t>
      </w:r>
      <w:r>
        <w:rPr>
          <w:rFonts w:ascii="宋体" w:hAnsi="宋体" w:cs="宋体" w:eastAsia="宋体" w:hint="default"/>
        </w:rPr>
        <w:t>350,782,375.43</w:t>
      </w:r>
      <w:r>
        <w:rPr>
          <w:rFonts w:ascii="宋体" w:hAnsi="宋体" w:cs="宋体" w:eastAsia="宋体" w:hint="default"/>
          <w:spacing w:val="-40"/>
        </w:rPr>
        <w:t> </w:t>
      </w:r>
      <w:r>
        <w:rPr/>
        <w:t>元，扣减发行费用</w:t>
      </w:r>
      <w:r>
        <w:rPr>
          <w:spacing w:val="-40"/>
        </w:rPr>
        <w:t> </w:t>
      </w:r>
      <w:r>
        <w:rPr>
          <w:rFonts w:ascii="宋体" w:hAnsi="宋体" w:cs="宋体" w:eastAsia="宋体" w:hint="default"/>
        </w:rPr>
        <w:t>18,216,801.49</w:t>
      </w:r>
      <w:r>
        <w:rPr>
          <w:rFonts w:ascii="宋体" w:hAnsi="宋体" w:cs="宋体" w:eastAsia="宋体" w:hint="default"/>
          <w:spacing w:val="-39"/>
        </w:rPr>
        <w:t> </w:t>
      </w:r>
      <w:r>
        <w:rPr/>
        <w:t>后，公司</w:t>
      </w:r>
    </w:p>
    <w:p>
      <w:pPr>
        <w:pStyle w:val="BodyText"/>
        <w:spacing w:line="357" w:lineRule="auto"/>
        <w:ind w:left="237" w:right="1758"/>
        <w:jc w:val="both"/>
      </w:pPr>
      <w:r>
        <w:rPr/>
        <w:t>收到的出资净额为</w:t>
      </w:r>
      <w:r>
        <w:rPr>
          <w:spacing w:val="-53"/>
        </w:rPr>
        <w:t> </w:t>
      </w:r>
      <w:r>
        <w:rPr>
          <w:rFonts w:ascii="宋体" w:hAnsi="宋体" w:cs="宋体" w:eastAsia="宋体" w:hint="default"/>
        </w:rPr>
        <w:t>332,565,573.94</w:t>
      </w:r>
      <w:r>
        <w:rPr>
          <w:rFonts w:ascii="宋体" w:hAnsi="宋体" w:cs="宋体" w:eastAsia="宋体" w:hint="default"/>
          <w:spacing w:val="-52"/>
        </w:rPr>
        <w:t> </w:t>
      </w:r>
      <w:r>
        <w:rPr>
          <w:spacing w:val="-6"/>
        </w:rPr>
        <w:t>元。其中计入股本</w:t>
      </w:r>
      <w:r>
        <w:rPr>
          <w:spacing w:val="-53"/>
        </w:rPr>
        <w:t> </w:t>
      </w:r>
      <w:r>
        <w:rPr>
          <w:rFonts w:ascii="宋体" w:hAnsi="宋体" w:cs="宋体" w:eastAsia="宋体" w:hint="default"/>
        </w:rPr>
        <w:t>18,688,459.00</w:t>
      </w:r>
      <w:r>
        <w:rPr>
          <w:rFonts w:ascii="宋体" w:hAnsi="宋体" w:cs="宋体" w:eastAsia="宋体" w:hint="default"/>
          <w:spacing w:val="-52"/>
        </w:rPr>
        <w:t> </w:t>
      </w:r>
      <w:r>
        <w:rPr>
          <w:spacing w:val="-5"/>
        </w:rPr>
        <w:t>元，计入资本公积</w:t>
      </w:r>
      <w:r>
        <w:rPr>
          <w:rFonts w:ascii="宋体" w:hAnsi="宋体" w:cs="宋体" w:eastAsia="宋体" w:hint="default"/>
          <w:spacing w:val="-5"/>
        </w:rPr>
        <w:t>(</w:t>
      </w:r>
      <w:r>
        <w:rPr>
          <w:spacing w:val="-5"/>
        </w:rPr>
        <w:t>股</w:t>
      </w:r>
      <w:r>
        <w:rPr/>
        <w:t> 本溢价</w:t>
      </w:r>
      <w:r>
        <w:rPr>
          <w:rFonts w:ascii="宋体" w:hAnsi="宋体" w:cs="宋体" w:eastAsia="宋体" w:hint="default"/>
        </w:rPr>
        <w:t>)313,877,114.94</w:t>
      </w:r>
      <w:r>
        <w:rPr>
          <w:rFonts w:ascii="宋体" w:hAnsi="宋体" w:cs="宋体" w:eastAsia="宋体" w:hint="default"/>
          <w:spacing w:val="-56"/>
        </w:rPr>
        <w:t> </w:t>
      </w:r>
      <w:r>
        <w:rPr/>
        <w:t>元。该等募集资金已业经天健会计师事务所</w:t>
      </w:r>
      <w:r>
        <w:rPr>
          <w:rFonts w:ascii="宋体" w:hAnsi="宋体" w:cs="宋体" w:eastAsia="宋体" w:hint="default"/>
        </w:rPr>
        <w:t>(</w:t>
      </w:r>
      <w:r>
        <w:rPr/>
        <w:t>特殊普通合伙</w:t>
      </w:r>
      <w:r>
        <w:rPr>
          <w:rFonts w:ascii="宋体" w:hAnsi="宋体" w:cs="宋体" w:eastAsia="宋体" w:hint="default"/>
        </w:rPr>
        <w:t>)</w:t>
      </w:r>
      <w:r>
        <w:rPr/>
        <w:t>审验， 并由其出具《验资报告》</w:t>
      </w:r>
      <w:r>
        <w:rPr>
          <w:rFonts w:ascii="宋体" w:hAnsi="宋体" w:cs="宋体" w:eastAsia="宋体" w:hint="default"/>
        </w:rPr>
        <w:t>(</w:t>
      </w:r>
      <w:r>
        <w:rPr/>
        <w:t>天健验〔</w:t>
      </w:r>
      <w:r>
        <w:rPr>
          <w:rFonts w:ascii="宋体" w:hAnsi="宋体" w:cs="宋体" w:eastAsia="宋体" w:hint="default"/>
        </w:rPr>
        <w:t>2014</w:t>
      </w:r>
      <w:r>
        <w:rPr/>
        <w:t>〕</w:t>
      </w:r>
      <w:r>
        <w:rPr>
          <w:rFonts w:ascii="宋体" w:hAnsi="宋体" w:cs="宋体" w:eastAsia="宋体" w:hint="default"/>
        </w:rPr>
        <w:t>275</w:t>
      </w:r>
      <w:r>
        <w:rPr>
          <w:rFonts w:ascii="宋体" w:hAnsi="宋体" w:cs="宋体" w:eastAsia="宋体" w:hint="default"/>
          <w:spacing w:val="-75"/>
        </w:rPr>
        <w:t> </w:t>
      </w:r>
      <w:r>
        <w:rPr/>
        <w:t>号</w:t>
      </w:r>
      <w:r>
        <w:rPr>
          <w:rFonts w:ascii="宋体" w:hAnsi="宋体" w:cs="宋体" w:eastAsia="宋体" w:hint="default"/>
        </w:rPr>
        <w:t>)</w:t>
      </w:r>
      <w:r>
        <w:rPr/>
        <w:t>。发行股份完成后，公司注册资本变更为 </w:t>
      </w:r>
      <w:r>
        <w:rPr>
          <w:rFonts w:ascii="宋体" w:hAnsi="宋体" w:cs="宋体" w:eastAsia="宋体" w:hint="default"/>
        </w:rPr>
        <w:t>391,424,450.00</w:t>
      </w:r>
      <w:r>
        <w:rPr>
          <w:rFonts w:ascii="宋体" w:hAnsi="宋体" w:cs="宋体" w:eastAsia="宋体" w:hint="default"/>
          <w:spacing w:val="-56"/>
        </w:rPr>
        <w:t> </w:t>
      </w:r>
      <w:r>
        <w:rPr>
          <w:spacing w:val="-4"/>
        </w:rPr>
        <w:t>元。公司已于</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23</w:t>
      </w:r>
      <w:r>
        <w:rPr>
          <w:rFonts w:ascii="宋体" w:hAnsi="宋体" w:cs="宋体" w:eastAsia="宋体" w:hint="default"/>
          <w:spacing w:val="-55"/>
        </w:rPr>
        <w:t> </w:t>
      </w:r>
      <w:r>
        <w:rPr/>
        <w:t>日在中登公司完成股份登记托管手续，并于</w:t>
      </w:r>
    </w:p>
    <w:p>
      <w:pPr>
        <w:pStyle w:val="BodyText"/>
        <w:spacing w:line="240" w:lineRule="auto"/>
        <w:ind w:left="237" w:right="1688"/>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日在浙江省工商行政管理局办妥工商变更登记手续。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8"/>
        <w:ind w:left="657" w:right="1688"/>
        <w:jc w:val="left"/>
      </w:pPr>
      <w:bookmarkStart w:name="34. 资本公积" w:id="193"/>
      <w:bookmarkEnd w:id="193"/>
      <w:r>
        <w:rPr/>
      </w:r>
      <w:r>
        <w:rPr>
          <w:rFonts w:ascii="宋体" w:hAnsi="宋体" w:cs="宋体" w:eastAsia="宋体" w:hint="default"/>
        </w:rPr>
        <w:t>34.</w:t>
      </w:r>
      <w:r>
        <w:rPr>
          <w:rFonts w:ascii="宋体" w:hAnsi="宋体" w:cs="宋体" w:eastAsia="宋体" w:hint="default"/>
          <w:spacing w:val="-1"/>
        </w:rPr>
        <w:t> </w:t>
      </w:r>
      <w:r>
        <w:rPr/>
        <w:t>资本公积</w:t>
      </w:r>
    </w:p>
    <w:p>
      <w:pPr>
        <w:pStyle w:val="BodyText"/>
        <w:spacing w:line="240" w:lineRule="auto" w:before="175"/>
        <w:ind w:left="657"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327"/>
        <w:gridCol w:w="1554"/>
        <w:gridCol w:w="1554"/>
        <w:gridCol w:w="1554"/>
        <w:gridCol w:w="1554"/>
      </w:tblGrid>
      <w:tr>
        <w:trPr>
          <w:trHeight w:val="484"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5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资本溢价</w:t>
            </w:r>
            <w:r>
              <w:rPr>
                <w:rFonts w:ascii="宋体" w:hAnsi="宋体" w:cs="宋体" w:eastAsia="宋体" w:hint="default"/>
                <w:sz w:val="18"/>
                <w:szCs w:val="18"/>
              </w:rPr>
              <w:t>(</w:t>
            </w:r>
            <w:r>
              <w:rPr>
                <w:rFonts w:ascii="宋体" w:hAnsi="宋体" w:cs="宋体" w:eastAsia="宋体" w:hint="default"/>
                <w:sz w:val="18"/>
                <w:szCs w:val="18"/>
              </w:rPr>
              <w:t>股本溢价</w:t>
            </w:r>
            <w:r>
              <w:rPr>
                <w:rFonts w:ascii="宋体" w:hAnsi="宋体" w:cs="宋体" w:eastAsia="宋体" w:hint="default"/>
                <w:sz w:val="18"/>
                <w:szCs w:val="18"/>
              </w:rPr>
              <w:t>)</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593,168,479.56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5" w:right="0"/>
              <w:jc w:val="center"/>
              <w:rPr>
                <w:rFonts w:ascii="宋体" w:hAnsi="宋体" w:cs="宋体" w:eastAsia="宋体" w:hint="default"/>
                <w:sz w:val="18"/>
                <w:szCs w:val="18"/>
              </w:rPr>
            </w:pPr>
            <w:r>
              <w:rPr>
                <w:rFonts w:ascii="宋体"/>
                <w:sz w:val="18"/>
              </w:rPr>
              <w:t>316,729,510.94</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909,897,990.50</w:t>
            </w:r>
          </w:p>
        </w:tc>
      </w:tr>
      <w:tr>
        <w:trPr>
          <w:trHeight w:val="482"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155,172.19</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155,172.19</w:t>
            </w:r>
          </w:p>
        </w:tc>
      </w:tr>
      <w:tr>
        <w:trPr>
          <w:trHeight w:val="485"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593,323,651.75</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宋体" w:hAnsi="宋体" w:cs="宋体" w:eastAsia="宋体" w:hint="default"/>
                <w:sz w:val="18"/>
                <w:szCs w:val="18"/>
              </w:rPr>
            </w:pPr>
            <w:r>
              <w:rPr>
                <w:rFonts w:ascii="宋体"/>
                <w:sz w:val="18"/>
              </w:rPr>
              <w:t>316,729,510.94</w:t>
            </w:r>
          </w:p>
        </w:tc>
        <w:tc>
          <w:tcPr>
            <w:tcW w:w="155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910,053,162.69</w:t>
            </w:r>
          </w:p>
        </w:tc>
      </w:tr>
    </w:tbl>
    <w:p>
      <w:pPr>
        <w:pStyle w:val="BodyText"/>
        <w:spacing w:line="391" w:lineRule="auto" w:before="6"/>
        <w:ind w:left="658" w:right="3998"/>
        <w:jc w:val="left"/>
      </w:pPr>
      <w:r>
        <w:rPr>
          <w:rFonts w:ascii="宋体" w:hAnsi="宋体" w:cs="宋体" w:eastAsia="宋体" w:hint="default"/>
        </w:rPr>
        <w:t>(2) </w:t>
      </w:r>
      <w:r>
        <w:rPr/>
        <w:t>其他说明 本期增加均系股本溢价，详见本财务报表附注五股本之说明。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0"/>
        <w:ind w:left="658" w:right="1688"/>
        <w:jc w:val="left"/>
      </w:pPr>
      <w:bookmarkStart w:name="35. 其他综合收益" w:id="194"/>
      <w:bookmarkEnd w:id="194"/>
      <w:r>
        <w:rPr/>
      </w:r>
      <w:r>
        <w:rPr>
          <w:rFonts w:ascii="宋体" w:hAnsi="宋体" w:cs="宋体" w:eastAsia="宋体" w:hint="default"/>
        </w:rPr>
        <w:t>35.</w:t>
      </w:r>
      <w:r>
        <w:rPr>
          <w:rFonts w:ascii="宋体" w:hAnsi="宋体" w:cs="宋体" w:eastAsia="宋体" w:hint="default"/>
          <w:spacing w:val="-2"/>
        </w:rPr>
        <w:t> </w:t>
      </w:r>
      <w:r>
        <w:rPr/>
        <w:t>其他综合收益</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646"/>
        <w:gridCol w:w="1300"/>
        <w:gridCol w:w="1080"/>
        <w:gridCol w:w="1055"/>
        <w:gridCol w:w="415"/>
        <w:gridCol w:w="1143"/>
        <w:gridCol w:w="1020"/>
        <w:gridCol w:w="1270"/>
      </w:tblGrid>
      <w:tr>
        <w:trPr>
          <w:trHeight w:val="284" w:hRule="exact"/>
        </w:trPr>
        <w:tc>
          <w:tcPr>
            <w:tcW w:w="16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72"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3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4"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47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 w:right="0"/>
              <w:jc w:val="center"/>
              <w:rPr>
                <w:rFonts w:ascii="宋体" w:hAnsi="宋体" w:cs="宋体" w:eastAsia="宋体" w:hint="default"/>
                <w:sz w:val="15"/>
                <w:szCs w:val="15"/>
              </w:rPr>
            </w:pPr>
            <w:r>
              <w:rPr>
                <w:rFonts w:ascii="宋体" w:hAnsi="宋体" w:cs="宋体" w:eastAsia="宋体" w:hint="default"/>
                <w:sz w:val="15"/>
                <w:szCs w:val="15"/>
              </w:rPr>
              <w:t>本期发生额</w:t>
            </w:r>
          </w:p>
        </w:tc>
        <w:tc>
          <w:tcPr>
            <w:tcW w:w="127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16"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1272" w:hRule="exact"/>
        </w:trPr>
        <w:tc>
          <w:tcPr>
            <w:tcW w:w="1646" w:type="dxa"/>
            <w:vMerge/>
            <w:tcBorders>
              <w:left w:val="nil" w:sz="6" w:space="0" w:color="auto"/>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88" w:lineRule="auto"/>
              <w:ind w:left="232" w:right="161" w:hanging="76"/>
              <w:jc w:val="left"/>
              <w:rPr>
                <w:rFonts w:ascii="宋体" w:hAnsi="宋体" w:cs="宋体" w:eastAsia="宋体" w:hint="default"/>
                <w:sz w:val="15"/>
                <w:szCs w:val="15"/>
              </w:rPr>
            </w:pPr>
            <w:r>
              <w:rPr>
                <w:rFonts w:ascii="宋体" w:hAnsi="宋体" w:cs="宋体" w:eastAsia="宋体" w:hint="default"/>
                <w:sz w:val="15"/>
                <w:szCs w:val="15"/>
              </w:rPr>
              <w:t>本期所得税 前发生额</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81" w:right="20" w:hanging="41"/>
              <w:jc w:val="both"/>
              <w:rPr>
                <w:rFonts w:ascii="宋体" w:hAnsi="宋体" w:cs="宋体" w:eastAsia="宋体" w:hint="default"/>
                <w:sz w:val="15"/>
                <w:szCs w:val="15"/>
              </w:rPr>
            </w:pPr>
            <w:r>
              <w:rPr>
                <w:rFonts w:ascii="宋体" w:hAnsi="宋体" w:cs="宋体" w:eastAsia="宋体" w:hint="default"/>
                <w:spacing w:val="-10"/>
                <w:sz w:val="15"/>
                <w:szCs w:val="15"/>
              </w:rPr>
              <w:t>减：前期计入其</w:t>
            </w:r>
            <w:r>
              <w:rPr>
                <w:rFonts w:ascii="宋体" w:hAnsi="宋体" w:cs="宋体" w:eastAsia="宋体" w:hint="default"/>
                <w:sz w:val="15"/>
                <w:szCs w:val="15"/>
              </w:rPr>
              <w:t> 他综合收益当 期转入损益</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40" w:lineRule="auto" w:before="39"/>
              <w:ind w:left="47" w:right="55"/>
              <w:jc w:val="left"/>
              <w:rPr>
                <w:rFonts w:ascii="宋体" w:hAnsi="宋体" w:cs="宋体" w:eastAsia="宋体" w:hint="default"/>
                <w:sz w:val="15"/>
                <w:szCs w:val="15"/>
              </w:rPr>
            </w:pPr>
            <w:r>
              <w:rPr>
                <w:rFonts w:ascii="宋体" w:hAnsi="宋体" w:cs="宋体" w:eastAsia="宋体" w:hint="default"/>
                <w:sz w:val="15"/>
                <w:szCs w:val="15"/>
              </w:rPr>
              <w:t>所得 税</w:t>
            </w:r>
          </w:p>
          <w:p>
            <w:pPr>
              <w:pStyle w:val="TableParagraph"/>
              <w:spacing w:line="240" w:lineRule="auto" w:before="39"/>
              <w:ind w:left="47" w:right="0"/>
              <w:jc w:val="left"/>
              <w:rPr>
                <w:rFonts w:ascii="宋体" w:hAnsi="宋体" w:cs="宋体" w:eastAsia="宋体" w:hint="default"/>
                <w:sz w:val="15"/>
                <w:szCs w:val="15"/>
              </w:rPr>
            </w:pPr>
            <w:r>
              <w:rPr>
                <w:rFonts w:ascii="宋体" w:hAnsi="宋体" w:cs="宋体" w:eastAsia="宋体" w:hint="default"/>
                <w:sz w:val="15"/>
                <w:szCs w:val="15"/>
              </w:rPr>
              <w:t>费用</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01" w:right="24" w:hanging="446"/>
              <w:jc w:val="left"/>
              <w:rPr>
                <w:rFonts w:ascii="宋体" w:hAnsi="宋体" w:cs="宋体" w:eastAsia="宋体" w:hint="default"/>
                <w:sz w:val="15"/>
                <w:szCs w:val="15"/>
              </w:rPr>
            </w:pPr>
            <w:r>
              <w:rPr>
                <w:rFonts w:ascii="宋体" w:hAnsi="宋体" w:cs="宋体" w:eastAsia="宋体" w:hint="default"/>
                <w:sz w:val="15"/>
                <w:szCs w:val="15"/>
              </w:rPr>
              <w:t>税后归属于母公 司</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5" w:right="128" w:hanging="76"/>
              <w:jc w:val="left"/>
              <w:rPr>
                <w:rFonts w:ascii="宋体" w:hAnsi="宋体" w:cs="宋体" w:eastAsia="宋体" w:hint="default"/>
                <w:sz w:val="15"/>
                <w:szCs w:val="15"/>
              </w:rPr>
            </w:pPr>
            <w:r>
              <w:rPr>
                <w:rFonts w:ascii="宋体" w:hAnsi="宋体" w:cs="宋体" w:eastAsia="宋体" w:hint="default"/>
                <w:sz w:val="15"/>
                <w:szCs w:val="15"/>
              </w:rPr>
              <w:t>税后归属于 少数股东</w:t>
            </w:r>
          </w:p>
        </w:tc>
        <w:tc>
          <w:tcPr>
            <w:tcW w:w="1270" w:type="dxa"/>
            <w:vMerge/>
            <w:tcBorders>
              <w:left w:val="single" w:sz="4" w:space="0" w:color="000000"/>
              <w:bottom w:val="single" w:sz="4" w:space="0" w:color="000000"/>
              <w:right w:val="nil" w:sz="6" w:space="0" w:color="auto"/>
            </w:tcBorders>
          </w:tcPr>
          <w:p>
            <w:pPr/>
          </w:p>
        </w:tc>
      </w:tr>
      <w:tr>
        <w:trPr>
          <w:trHeight w:val="479"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2" w:right="102"/>
              <w:jc w:val="left"/>
              <w:rPr>
                <w:rFonts w:ascii="宋体" w:hAnsi="宋体" w:cs="宋体" w:eastAsia="宋体" w:hint="default"/>
                <w:sz w:val="15"/>
                <w:szCs w:val="15"/>
              </w:rPr>
            </w:pPr>
            <w:r>
              <w:rPr>
                <w:rFonts w:ascii="宋体" w:hAnsi="宋体" w:cs="宋体" w:eastAsia="宋体" w:hint="default"/>
                <w:spacing w:val="7"/>
                <w:sz w:val="15"/>
                <w:szCs w:val="15"/>
              </w:rPr>
              <w:t>以后不能重分类进损</w:t>
            </w:r>
            <w:r>
              <w:rPr>
                <w:rFonts w:ascii="宋体" w:hAnsi="宋体" w:cs="宋体" w:eastAsia="宋体" w:hint="default"/>
                <w:sz w:val="15"/>
                <w:szCs w:val="15"/>
              </w:rPr>
              <w:t> 益的其他综合收益</w:t>
            </w:r>
          </w:p>
        </w:tc>
        <w:tc>
          <w:tcPr>
            <w:tcW w:w="13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829"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22" w:right="91" w:hanging="300"/>
              <w:jc w:val="both"/>
              <w:rPr>
                <w:rFonts w:ascii="宋体" w:hAnsi="宋体" w:cs="宋体" w:eastAsia="宋体" w:hint="default"/>
                <w:sz w:val="15"/>
                <w:szCs w:val="15"/>
              </w:rPr>
            </w:pPr>
            <w:r>
              <w:rPr>
                <w:rFonts w:ascii="宋体" w:hAnsi="宋体" w:cs="宋体" w:eastAsia="宋体" w:hint="default"/>
                <w:spacing w:val="7"/>
                <w:sz w:val="15"/>
                <w:szCs w:val="15"/>
              </w:rPr>
              <w:t>其中：权益法下在被</w:t>
            </w:r>
            <w:r>
              <w:rPr>
                <w:rFonts w:ascii="宋体" w:hAnsi="宋体" w:cs="宋体" w:eastAsia="宋体" w:hint="default"/>
                <w:sz w:val="15"/>
                <w:szCs w:val="15"/>
              </w:rPr>
              <w:t> </w:t>
            </w:r>
            <w:r>
              <w:rPr>
                <w:rFonts w:ascii="宋体" w:hAnsi="宋体" w:cs="宋体" w:eastAsia="宋体" w:hint="default"/>
                <w:spacing w:val="10"/>
                <w:sz w:val="15"/>
                <w:szCs w:val="15"/>
              </w:rPr>
              <w:t>投资单位不能重</w:t>
            </w:r>
            <w:r>
              <w:rPr>
                <w:rFonts w:ascii="宋体" w:hAnsi="宋体" w:cs="宋体" w:eastAsia="宋体" w:hint="default"/>
                <w:spacing w:val="10"/>
                <w:sz w:val="15"/>
                <w:szCs w:val="15"/>
              </w:rPr>
              <w:t> 分类进损益的其 他综合收益中享</w:t>
            </w:r>
            <w:r>
              <w:rPr>
                <w:rFonts w:ascii="宋体" w:hAnsi="宋体" w:cs="宋体" w:eastAsia="宋体" w:hint="default"/>
                <w:sz w:val="15"/>
                <w:szCs w:val="15"/>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646"/>
        <w:gridCol w:w="1300"/>
        <w:gridCol w:w="1080"/>
        <w:gridCol w:w="1055"/>
        <w:gridCol w:w="415"/>
        <w:gridCol w:w="1143"/>
        <w:gridCol w:w="1020"/>
        <w:gridCol w:w="1270"/>
      </w:tblGrid>
      <w:tr>
        <w:trPr>
          <w:trHeight w:val="245"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171" w:lineRule="exact"/>
              <w:ind w:right="194"/>
              <w:jc w:val="center"/>
              <w:rPr>
                <w:rFonts w:ascii="宋体" w:hAnsi="宋体" w:cs="宋体" w:eastAsia="宋体" w:hint="default"/>
                <w:sz w:val="15"/>
                <w:szCs w:val="15"/>
              </w:rPr>
            </w:pPr>
            <w:r>
              <w:rPr>
                <w:rFonts w:ascii="宋体" w:hAnsi="宋体" w:cs="宋体" w:eastAsia="宋体" w:hint="default"/>
                <w:sz w:val="15"/>
                <w:szCs w:val="15"/>
              </w:rPr>
              <w:t>有的份额</w:t>
            </w:r>
          </w:p>
        </w:tc>
        <w:tc>
          <w:tcPr>
            <w:tcW w:w="13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2" w:right="102"/>
              <w:jc w:val="left"/>
              <w:rPr>
                <w:rFonts w:ascii="宋体" w:hAnsi="宋体" w:cs="宋体" w:eastAsia="宋体" w:hint="default"/>
                <w:sz w:val="15"/>
                <w:szCs w:val="15"/>
              </w:rPr>
            </w:pPr>
            <w:r>
              <w:rPr>
                <w:rFonts w:ascii="宋体" w:hAnsi="宋体" w:cs="宋体" w:eastAsia="宋体" w:hint="default"/>
                <w:spacing w:val="7"/>
                <w:sz w:val="15"/>
                <w:szCs w:val="15"/>
              </w:rPr>
              <w:t>以后将重分类进损益</w:t>
            </w:r>
            <w:r>
              <w:rPr>
                <w:rFonts w:ascii="宋体" w:hAnsi="宋体" w:cs="宋体" w:eastAsia="宋体" w:hint="default"/>
                <w:sz w:val="15"/>
                <w:szCs w:val="15"/>
              </w:rPr>
              <w:t> 的其他综合收益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2" w:right="0"/>
              <w:jc w:val="center"/>
              <w:rPr>
                <w:rFonts w:ascii="宋体" w:hAnsi="宋体" w:cs="宋体" w:eastAsia="宋体" w:hint="default"/>
                <w:sz w:val="15"/>
                <w:szCs w:val="15"/>
              </w:rPr>
            </w:pPr>
            <w:r>
              <w:rPr>
                <w:rFonts w:ascii="宋体"/>
                <w:sz w:val="15"/>
              </w:rPr>
              <w:t>1,076,230.50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5"/>
                <w:szCs w:val="15"/>
              </w:rPr>
            </w:pPr>
            <w:r>
              <w:rPr>
                <w:rFonts w:ascii="宋体"/>
                <w:spacing w:val="-1"/>
                <w:sz w:val="15"/>
              </w:rPr>
              <w:t>-85,835.56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61"/>
              <w:jc w:val="center"/>
              <w:rPr>
                <w:rFonts w:ascii="宋体" w:hAnsi="宋体" w:cs="宋体" w:eastAsia="宋体" w:hint="default"/>
                <w:sz w:val="15"/>
                <w:szCs w:val="15"/>
              </w:rPr>
            </w:pPr>
            <w:r>
              <w:rPr>
                <w:rFonts w:ascii="宋体"/>
                <w:sz w:val="15"/>
              </w:rPr>
              <w:t>2,839,467.33</w:t>
            </w: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5"/>
                <w:szCs w:val="15"/>
              </w:rPr>
            </w:pPr>
            <w:r>
              <w:rPr>
                <w:rFonts w:ascii="宋体"/>
                <w:spacing w:val="-1"/>
                <w:sz w:val="15"/>
              </w:rPr>
              <w:t>-2,748,888.89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5"/>
                <w:szCs w:val="15"/>
              </w:rPr>
            </w:pPr>
            <w:r>
              <w:rPr>
                <w:rFonts w:ascii="宋体"/>
                <w:spacing w:val="-1"/>
                <w:sz w:val="15"/>
              </w:rPr>
              <w:t>-176,414.00</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1" w:right="0"/>
              <w:jc w:val="center"/>
              <w:rPr>
                <w:rFonts w:ascii="宋体" w:hAnsi="宋体" w:cs="宋体" w:eastAsia="宋体" w:hint="default"/>
                <w:sz w:val="15"/>
                <w:szCs w:val="15"/>
              </w:rPr>
            </w:pPr>
            <w:r>
              <w:rPr>
                <w:rFonts w:ascii="宋体"/>
                <w:sz w:val="15"/>
              </w:rPr>
              <w:t>-1,672,658.39</w:t>
            </w:r>
          </w:p>
        </w:tc>
      </w:tr>
      <w:tr>
        <w:trPr>
          <w:trHeight w:val="1418"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2" w:right="91" w:hanging="300"/>
              <w:jc w:val="both"/>
              <w:rPr>
                <w:rFonts w:ascii="宋体" w:hAnsi="宋体" w:cs="宋体" w:eastAsia="宋体" w:hint="default"/>
                <w:sz w:val="15"/>
                <w:szCs w:val="15"/>
              </w:rPr>
            </w:pPr>
            <w:r>
              <w:rPr>
                <w:rFonts w:ascii="宋体" w:hAnsi="宋体" w:cs="宋体" w:eastAsia="宋体" w:hint="default"/>
                <w:spacing w:val="7"/>
                <w:sz w:val="15"/>
                <w:szCs w:val="15"/>
              </w:rPr>
              <w:t>其中：权益法下在被</w:t>
            </w:r>
            <w:r>
              <w:rPr>
                <w:rFonts w:ascii="宋体" w:hAnsi="宋体" w:cs="宋体" w:eastAsia="宋体" w:hint="default"/>
                <w:sz w:val="15"/>
                <w:szCs w:val="15"/>
              </w:rPr>
              <w:t> </w:t>
            </w:r>
            <w:r>
              <w:rPr>
                <w:rFonts w:ascii="宋体" w:hAnsi="宋体" w:cs="宋体" w:eastAsia="宋体" w:hint="default"/>
                <w:spacing w:val="10"/>
                <w:sz w:val="15"/>
                <w:szCs w:val="15"/>
              </w:rPr>
              <w:t>投资单位以后将</w:t>
            </w:r>
            <w:r>
              <w:rPr>
                <w:rFonts w:ascii="宋体" w:hAnsi="宋体" w:cs="宋体" w:eastAsia="宋体" w:hint="default"/>
                <w:spacing w:val="10"/>
                <w:sz w:val="15"/>
                <w:szCs w:val="15"/>
              </w:rPr>
              <w:t> 重分类进损益的 其他综合收益中 </w:t>
            </w:r>
            <w:r>
              <w:rPr>
                <w:rFonts w:ascii="宋体" w:hAnsi="宋体" w:cs="宋体" w:eastAsia="宋体" w:hint="default"/>
                <w:sz w:val="15"/>
                <w:szCs w:val="15"/>
              </w:rPr>
              <w:t>享有的份额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0" w:right="0"/>
              <w:jc w:val="center"/>
              <w:rPr>
                <w:rFonts w:ascii="宋体" w:hAnsi="宋体" w:cs="宋体" w:eastAsia="宋体" w:hint="default"/>
                <w:sz w:val="15"/>
                <w:szCs w:val="15"/>
              </w:rPr>
            </w:pPr>
            <w:r>
              <w:rPr>
                <w:rFonts w:ascii="宋体"/>
                <w:sz w:val="15"/>
              </w:rPr>
              <w:t>2,834,176.34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1"/>
              <w:jc w:val="center"/>
              <w:rPr>
                <w:rFonts w:ascii="宋体" w:hAnsi="宋体" w:cs="宋体" w:eastAsia="宋体" w:hint="default"/>
                <w:sz w:val="15"/>
                <w:szCs w:val="15"/>
              </w:rPr>
            </w:pPr>
            <w:r>
              <w:rPr>
                <w:rFonts w:ascii="宋体"/>
                <w:sz w:val="15"/>
              </w:rPr>
              <w:t>2,839,467.33</w:t>
            </w: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-2,834,176.34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-5,290.99</w:t>
            </w:r>
          </w:p>
        </w:tc>
        <w:tc>
          <w:tcPr>
            <w:tcW w:w="127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88" w:lineRule="auto" w:before="14"/>
              <w:ind w:left="423" w:right="317"/>
              <w:jc w:val="left"/>
              <w:rPr>
                <w:rFonts w:ascii="宋体" w:hAnsi="宋体" w:cs="宋体" w:eastAsia="宋体" w:hint="default"/>
                <w:sz w:val="15"/>
                <w:szCs w:val="15"/>
              </w:rPr>
            </w:pPr>
            <w:r>
              <w:rPr>
                <w:rFonts w:ascii="宋体" w:hAnsi="宋体" w:cs="宋体" w:eastAsia="宋体" w:hint="default"/>
                <w:sz w:val="15"/>
                <w:szCs w:val="15"/>
              </w:rPr>
              <w:t>外币财务报表 折算差额</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6" w:right="0"/>
              <w:jc w:val="center"/>
              <w:rPr>
                <w:rFonts w:ascii="宋体" w:hAnsi="宋体" w:cs="宋体" w:eastAsia="宋体" w:hint="default"/>
                <w:sz w:val="15"/>
                <w:szCs w:val="15"/>
              </w:rPr>
            </w:pPr>
            <w:r>
              <w:rPr>
                <w:rFonts w:ascii="宋体"/>
                <w:sz w:val="15"/>
              </w:rPr>
              <w:t>-1,757,945.84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1"/>
                <w:sz w:val="15"/>
              </w:rPr>
              <w:t>-85,835.56</w:t>
            </w:r>
          </w:p>
        </w:tc>
        <w:tc>
          <w:tcPr>
            <w:tcW w:w="105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1"/>
                <w:sz w:val="15"/>
              </w:rPr>
              <w:t>85,287.45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1"/>
                <w:sz w:val="15"/>
              </w:rPr>
              <w:t>-171,123.01</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71" w:right="0"/>
              <w:jc w:val="center"/>
              <w:rPr>
                <w:rFonts w:ascii="宋体" w:hAnsi="宋体" w:cs="宋体" w:eastAsia="宋体" w:hint="default"/>
                <w:sz w:val="15"/>
                <w:szCs w:val="15"/>
              </w:rPr>
            </w:pPr>
            <w:r>
              <w:rPr>
                <w:rFonts w:ascii="宋体"/>
                <w:sz w:val="15"/>
              </w:rPr>
              <w:t>-1,672,658.39</w:t>
            </w:r>
          </w:p>
        </w:tc>
      </w:tr>
      <w:tr>
        <w:trPr>
          <w:trHeight w:val="383" w:hRule="exact"/>
        </w:trPr>
        <w:tc>
          <w:tcPr>
            <w:tcW w:w="16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right="194"/>
              <w:jc w:val="center"/>
              <w:rPr>
                <w:rFonts w:ascii="宋体" w:hAnsi="宋体" w:cs="宋体" w:eastAsia="宋体" w:hint="default"/>
                <w:sz w:val="15"/>
                <w:szCs w:val="15"/>
              </w:rPr>
            </w:pPr>
            <w:r>
              <w:rPr>
                <w:rFonts w:ascii="宋体" w:hAnsi="宋体" w:cs="宋体" w:eastAsia="宋体" w:hint="default"/>
                <w:sz w:val="15"/>
                <w:szCs w:val="15"/>
              </w:rPr>
              <w:t>其他综合收益合计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2" w:right="0"/>
              <w:jc w:val="center"/>
              <w:rPr>
                <w:rFonts w:ascii="宋体" w:hAnsi="宋体" w:cs="宋体" w:eastAsia="宋体" w:hint="default"/>
                <w:sz w:val="15"/>
                <w:szCs w:val="15"/>
              </w:rPr>
            </w:pPr>
            <w:r>
              <w:rPr>
                <w:rFonts w:ascii="宋体"/>
                <w:sz w:val="15"/>
              </w:rPr>
              <w:t>1,076,230.50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5"/>
                <w:szCs w:val="15"/>
              </w:rPr>
            </w:pPr>
            <w:r>
              <w:rPr>
                <w:rFonts w:ascii="宋体"/>
                <w:spacing w:val="-1"/>
                <w:sz w:val="15"/>
              </w:rPr>
              <w:t>-85,835.56</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1"/>
              <w:jc w:val="center"/>
              <w:rPr>
                <w:rFonts w:ascii="宋体" w:hAnsi="宋体" w:cs="宋体" w:eastAsia="宋体" w:hint="default"/>
                <w:sz w:val="15"/>
                <w:szCs w:val="15"/>
              </w:rPr>
            </w:pPr>
            <w:r>
              <w:rPr>
                <w:rFonts w:ascii="宋体"/>
                <w:sz w:val="15"/>
              </w:rPr>
              <w:t>2,839,467.33</w:t>
            </w:r>
          </w:p>
        </w:tc>
        <w:tc>
          <w:tcPr>
            <w:tcW w:w="41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15"/>
                <w:szCs w:val="15"/>
              </w:rPr>
            </w:pPr>
            <w:r>
              <w:rPr>
                <w:rFonts w:ascii="宋体"/>
                <w:spacing w:val="-1"/>
                <w:sz w:val="15"/>
              </w:rPr>
              <w:t>-2,748,888.89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5"/>
                <w:szCs w:val="15"/>
              </w:rPr>
            </w:pPr>
            <w:r>
              <w:rPr>
                <w:rFonts w:ascii="宋体"/>
                <w:spacing w:val="-1"/>
                <w:sz w:val="15"/>
              </w:rPr>
              <w:t>-176,414.00</w:t>
            </w:r>
          </w:p>
        </w:tc>
        <w:tc>
          <w:tcPr>
            <w:tcW w:w="1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71" w:right="0"/>
              <w:jc w:val="center"/>
              <w:rPr>
                <w:rFonts w:ascii="宋体" w:hAnsi="宋体" w:cs="宋体" w:eastAsia="宋体" w:hint="default"/>
                <w:sz w:val="15"/>
                <w:szCs w:val="15"/>
              </w:rPr>
            </w:pPr>
            <w:r>
              <w:rPr>
                <w:rFonts w:ascii="宋体"/>
                <w:sz w:val="15"/>
              </w:rPr>
              <w:t>-1,672,658.39</w:t>
            </w:r>
          </w:p>
        </w:tc>
      </w:tr>
    </w:tbl>
    <w:p>
      <w:pPr>
        <w:pStyle w:val="BodyText"/>
        <w:spacing w:line="240" w:lineRule="auto" w:before="6"/>
        <w:ind w:left="763" w:right="1688"/>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72"/>
        <w:ind w:left="658" w:right="1688"/>
        <w:jc w:val="left"/>
      </w:pPr>
      <w:r>
        <w:rPr>
          <w:rFonts w:ascii="宋体" w:hAnsi="宋体" w:cs="宋体" w:eastAsia="宋体" w:hint="default"/>
        </w:rPr>
        <w:t>1)</w:t>
      </w:r>
      <w:r>
        <w:rPr>
          <w:rFonts w:ascii="宋体" w:hAnsi="宋体" w:cs="宋体" w:eastAsia="宋体" w:hint="default"/>
          <w:spacing w:val="12"/>
        </w:rPr>
        <w:t> </w:t>
      </w:r>
      <w:r>
        <w:rPr/>
        <w:t>其中公司以前年度在被投资单位除净损益以外其他因素导致的所有者权益变动中享</w:t>
      </w:r>
    </w:p>
    <w:p>
      <w:pPr>
        <w:pStyle w:val="BodyText"/>
        <w:spacing w:line="240" w:lineRule="auto" w:before="133"/>
        <w:ind w:left="237" w:right="0"/>
        <w:jc w:val="both"/>
      </w:pPr>
      <w:r>
        <w:rPr/>
        <w:t>有的份额</w:t>
      </w:r>
      <w:r>
        <w:rPr>
          <w:spacing w:val="-54"/>
        </w:rPr>
        <w:t> </w:t>
      </w:r>
      <w:r>
        <w:rPr>
          <w:rFonts w:ascii="宋体" w:hAnsi="宋体" w:cs="宋体" w:eastAsia="宋体" w:hint="default"/>
        </w:rPr>
        <w:t>2,834,176.34</w:t>
      </w:r>
      <w:r>
        <w:rPr>
          <w:rFonts w:ascii="宋体" w:hAnsi="宋体" w:cs="宋体" w:eastAsia="宋体" w:hint="default"/>
          <w:spacing w:val="-54"/>
        </w:rPr>
        <w:t> </w:t>
      </w:r>
      <w:r>
        <w:rPr/>
        <w:t>元追溯调整至其他综合收益。</w:t>
      </w:r>
    </w:p>
    <w:p>
      <w:pPr>
        <w:pStyle w:val="BodyText"/>
        <w:spacing w:line="391" w:lineRule="auto" w:before="174"/>
        <w:ind w:left="658" w:right="1688"/>
        <w:jc w:val="left"/>
        <w:rPr>
          <w:rFonts w:ascii="宋体" w:hAnsi="宋体" w:cs="宋体" w:eastAsia="宋体" w:hint="default"/>
        </w:rPr>
      </w:pPr>
      <w:r>
        <w:rPr>
          <w:rFonts w:ascii="宋体" w:hAnsi="宋体" w:cs="宋体" w:eastAsia="宋体" w:hint="default"/>
        </w:rPr>
        <w:t>2) </w:t>
      </w:r>
      <w:r>
        <w:rPr/>
        <w:t>本期减少 </w:t>
      </w:r>
      <w:r>
        <w:rPr>
          <w:spacing w:val="2"/>
        </w:rPr>
        <w:t>无锡锡泵本期因转让所持有的联营企业日立泵制造</w:t>
      </w:r>
      <w:r>
        <w:rPr>
          <w:rFonts w:ascii="宋体" w:hAnsi="宋体" w:cs="宋体" w:eastAsia="宋体" w:hint="default"/>
          <w:spacing w:val="2"/>
        </w:rPr>
        <w:t>(</w:t>
      </w:r>
      <w:r>
        <w:rPr>
          <w:spacing w:val="2"/>
        </w:rPr>
        <w:t>无锡</w:t>
      </w:r>
      <w:r>
        <w:rPr>
          <w:rFonts w:ascii="宋体" w:hAnsi="宋体" w:cs="宋体" w:eastAsia="宋体" w:hint="default"/>
          <w:spacing w:val="2"/>
        </w:rPr>
        <w:t>)</w:t>
      </w:r>
      <w:r>
        <w:rPr>
          <w:spacing w:val="2"/>
        </w:rPr>
        <w:t>有限公司</w:t>
      </w:r>
      <w:r>
        <w:rPr>
          <w:rFonts w:ascii="宋体" w:hAnsi="宋体" w:cs="宋体" w:eastAsia="宋体" w:hint="default"/>
          <w:spacing w:val="2"/>
        </w:rPr>
        <w:t>(</w:t>
      </w:r>
      <w:r>
        <w:rPr>
          <w:spacing w:val="2"/>
        </w:rPr>
        <w:t>以下简称日立泵</w:t>
      </w:r>
      <w:r>
        <w:rPr>
          <w:rFonts w:ascii="宋体" w:hAnsi="宋体" w:cs="宋体" w:eastAsia="宋体" w:hint="default"/>
          <w:spacing w:val="2"/>
        </w:rPr>
        <w:t>)</w:t>
      </w:r>
    </w:p>
    <w:p>
      <w:pPr>
        <w:pStyle w:val="BodyText"/>
        <w:spacing w:line="357" w:lineRule="auto" w:before="1"/>
        <w:ind w:left="237" w:right="1794"/>
        <w:jc w:val="both"/>
      </w:pPr>
      <w:r>
        <w:rPr>
          <w:spacing w:val="-3"/>
        </w:rPr>
        <w:t>股权，相应的将对其投资期间按照权益法确认的其他综合收益转入当期损益。本公司按持有</w:t>
      </w:r>
      <w:r>
        <w:rPr>
          <w:spacing w:val="-75"/>
        </w:rPr>
        <w:t> </w:t>
      </w:r>
      <w:r>
        <w:rPr>
          <w:spacing w:val="-75"/>
        </w:rPr>
      </w:r>
      <w:r>
        <w:rPr/>
        <w:t>无锡锡泵的股权比例享有的份额相应的调减其他综合收益</w:t>
      </w:r>
      <w:r>
        <w:rPr>
          <w:spacing w:val="-48"/>
        </w:rPr>
        <w:t> </w:t>
      </w:r>
      <w:r>
        <w:rPr>
          <w:rFonts w:ascii="宋体" w:hAnsi="宋体" w:cs="宋体" w:eastAsia="宋体" w:hint="default"/>
        </w:rPr>
        <w:t>13,605.41</w:t>
      </w:r>
      <w:r>
        <w:rPr>
          <w:rFonts w:ascii="宋体" w:hAnsi="宋体" w:cs="宋体" w:eastAsia="宋体" w:hint="default"/>
          <w:spacing w:val="-48"/>
        </w:rPr>
        <w:t> </w:t>
      </w:r>
      <w:r>
        <w:rPr>
          <w:spacing w:val="-10"/>
        </w:rPr>
        <w:t>元；本公司对温岭市利</w:t>
      </w:r>
      <w:r>
        <w:rPr/>
        <w:t> </w:t>
      </w:r>
      <w:r>
        <w:rPr>
          <w:spacing w:val="2"/>
        </w:rPr>
        <w:t>欧小额贷款有限公司除净损益以外其他因素导致的所有者权益变动确认的其他综合收益转</w:t>
      </w:r>
      <w:r>
        <w:rPr>
          <w:spacing w:val="-82"/>
        </w:rPr>
        <w:t> </w:t>
      </w:r>
      <w:r>
        <w:rPr>
          <w:spacing w:val="-82"/>
        </w:rPr>
      </w:r>
      <w:r>
        <w:rPr/>
        <w:t>入当期损益的，按持其股权比例享有的份额相应的调减其他综合收益</w:t>
      </w:r>
      <w:r>
        <w:rPr>
          <w:spacing w:val="-52"/>
        </w:rPr>
        <w:t> </w:t>
      </w:r>
      <w:r>
        <w:rPr>
          <w:rFonts w:ascii="宋体" w:hAnsi="宋体" w:cs="宋体" w:eastAsia="宋体" w:hint="default"/>
        </w:rPr>
        <w:t>2,820,570.93</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0"/>
        <w:ind w:left="658" w:right="1688"/>
        <w:jc w:val="left"/>
      </w:pPr>
      <w:bookmarkStart w:name="36. 专项储备" w:id="195"/>
      <w:bookmarkEnd w:id="195"/>
      <w:r>
        <w:rPr/>
      </w:r>
      <w:r>
        <w:rPr>
          <w:rFonts w:ascii="宋体" w:hAnsi="宋体" w:cs="宋体" w:eastAsia="宋体" w:hint="default"/>
        </w:rPr>
        <w:t>36.</w:t>
      </w:r>
      <w:r>
        <w:rPr>
          <w:rFonts w:ascii="宋体" w:hAnsi="宋体" w:cs="宋体" w:eastAsia="宋体" w:hint="default"/>
          <w:spacing w:val="-1"/>
        </w:rPr>
        <w:t> </w:t>
      </w:r>
      <w:r>
        <w:rPr/>
        <w:t>专项储备</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306"/>
        <w:gridCol w:w="1523"/>
        <w:gridCol w:w="1525"/>
        <w:gridCol w:w="1523"/>
        <w:gridCol w:w="1525"/>
      </w:tblGrid>
      <w:tr>
        <w:trPr>
          <w:trHeight w:val="48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54"/>
              <w:jc w:val="center"/>
              <w:rPr>
                <w:rFonts w:ascii="宋体" w:hAnsi="宋体" w:cs="宋体" w:eastAsia="宋体" w:hint="default"/>
                <w:sz w:val="18"/>
                <w:szCs w:val="18"/>
              </w:rPr>
            </w:pPr>
            <w:r>
              <w:rPr>
                <w:rFonts w:ascii="宋体" w:hAnsi="宋体" w:cs="宋体" w:eastAsia="宋体" w:hint="default"/>
                <w:sz w:val="18"/>
                <w:szCs w:val="18"/>
              </w:rPr>
              <w:t>项  目</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8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54"/>
              <w:jc w:val="center"/>
              <w:rPr>
                <w:rFonts w:ascii="宋体" w:hAnsi="宋体" w:cs="宋体" w:eastAsia="宋体" w:hint="default"/>
                <w:sz w:val="18"/>
                <w:szCs w:val="18"/>
              </w:rPr>
            </w:pPr>
            <w:r>
              <w:rPr>
                <w:rFonts w:ascii="宋体" w:hAnsi="宋体" w:cs="宋体" w:eastAsia="宋体" w:hint="default"/>
                <w:sz w:val="18"/>
                <w:szCs w:val="18"/>
              </w:rPr>
              <w:t>安全生产费</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8" w:right="0"/>
              <w:jc w:val="left"/>
              <w:rPr>
                <w:rFonts w:ascii="宋体" w:hAnsi="宋体" w:cs="宋体" w:eastAsia="宋体" w:hint="default"/>
                <w:sz w:val="18"/>
                <w:szCs w:val="18"/>
              </w:rPr>
            </w:pPr>
            <w:r>
              <w:rPr>
                <w:rFonts w:ascii="宋体"/>
                <w:sz w:val="18"/>
              </w:rPr>
              <w:t>729,976.48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2" w:right="0"/>
              <w:jc w:val="left"/>
              <w:rPr>
                <w:rFonts w:ascii="宋体" w:hAnsi="宋体" w:cs="宋体" w:eastAsia="宋体" w:hint="default"/>
                <w:sz w:val="18"/>
                <w:szCs w:val="18"/>
              </w:rPr>
            </w:pPr>
            <w:r>
              <w:rPr>
                <w:rFonts w:ascii="宋体"/>
                <w:sz w:val="18"/>
              </w:rPr>
              <w:t>8,113,062.20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0" w:right="0"/>
              <w:jc w:val="left"/>
              <w:rPr>
                <w:rFonts w:ascii="宋体" w:hAnsi="宋体" w:cs="宋体" w:eastAsia="宋体" w:hint="default"/>
                <w:sz w:val="18"/>
                <w:szCs w:val="18"/>
              </w:rPr>
            </w:pPr>
            <w:r>
              <w:rPr>
                <w:rFonts w:ascii="宋体"/>
                <w:sz w:val="18"/>
              </w:rPr>
              <w:t>7,767,951.19</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1,075,087.49</w:t>
            </w:r>
          </w:p>
        </w:tc>
      </w:tr>
      <w:tr>
        <w:trPr>
          <w:trHeight w:val="484" w:hRule="exact"/>
        </w:trPr>
        <w:tc>
          <w:tcPr>
            <w:tcW w:w="2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54"/>
              <w:jc w:val="center"/>
              <w:rPr>
                <w:rFonts w:ascii="宋体" w:hAnsi="宋体" w:cs="宋体" w:eastAsia="宋体" w:hint="default"/>
                <w:sz w:val="18"/>
                <w:szCs w:val="18"/>
              </w:rPr>
            </w:pPr>
            <w:r>
              <w:rPr>
                <w:rFonts w:ascii="宋体" w:hAnsi="宋体" w:cs="宋体" w:eastAsia="宋体" w:hint="default"/>
                <w:sz w:val="18"/>
                <w:szCs w:val="18"/>
              </w:rPr>
              <w:t>合  计</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8" w:right="0"/>
              <w:jc w:val="left"/>
              <w:rPr>
                <w:rFonts w:ascii="宋体" w:hAnsi="宋体" w:cs="宋体" w:eastAsia="宋体" w:hint="default"/>
                <w:sz w:val="18"/>
                <w:szCs w:val="18"/>
              </w:rPr>
            </w:pPr>
            <w:r>
              <w:rPr>
                <w:rFonts w:ascii="宋体"/>
                <w:sz w:val="18"/>
              </w:rPr>
              <w:t>729,976.48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2" w:right="0"/>
              <w:jc w:val="left"/>
              <w:rPr>
                <w:rFonts w:ascii="宋体" w:hAnsi="宋体" w:cs="宋体" w:eastAsia="宋体" w:hint="default"/>
                <w:sz w:val="18"/>
                <w:szCs w:val="18"/>
              </w:rPr>
            </w:pPr>
            <w:r>
              <w:rPr>
                <w:rFonts w:ascii="宋体"/>
                <w:sz w:val="18"/>
              </w:rPr>
              <w:t>8,113,062.20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0" w:right="0"/>
              <w:jc w:val="left"/>
              <w:rPr>
                <w:rFonts w:ascii="宋体" w:hAnsi="宋体" w:cs="宋体" w:eastAsia="宋体" w:hint="default"/>
                <w:sz w:val="18"/>
                <w:szCs w:val="18"/>
              </w:rPr>
            </w:pPr>
            <w:r>
              <w:rPr>
                <w:rFonts w:ascii="宋体"/>
                <w:sz w:val="18"/>
              </w:rPr>
              <w:t>7,767,951.19</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1,075,087.49</w:t>
            </w:r>
          </w:p>
        </w:tc>
      </w:tr>
    </w:tbl>
    <w:p>
      <w:pPr>
        <w:pStyle w:val="BodyText"/>
        <w:spacing w:line="391" w:lineRule="auto" w:before="6"/>
        <w:ind w:left="658" w:right="1688"/>
        <w:jc w:val="left"/>
      </w:pPr>
      <w:r>
        <w:rPr>
          <w:rFonts w:ascii="宋体" w:hAnsi="宋体" w:cs="宋体" w:eastAsia="宋体" w:hint="default"/>
        </w:rPr>
        <w:t>(2) </w:t>
      </w:r>
      <w:r>
        <w:rPr/>
        <w:t>其他说明 </w:t>
      </w:r>
      <w:r>
        <w:rPr>
          <w:spacing w:val="-3"/>
        </w:rPr>
        <w:t>本期专项储备增减变动主要系公司根据财政部和安全监管总局联合发布的《企业安全生</w:t>
      </w:r>
    </w:p>
    <w:p>
      <w:pPr>
        <w:pStyle w:val="BodyText"/>
        <w:spacing w:line="240" w:lineRule="auto" w:before="2"/>
        <w:ind w:left="238" w:right="1688"/>
        <w:jc w:val="left"/>
      </w:pPr>
      <w:r>
        <w:rPr/>
        <w:t>产费用提取和使用管理办法》</w:t>
      </w:r>
      <w:r>
        <w:rPr>
          <w:rFonts w:ascii="宋体" w:hAnsi="宋体" w:cs="宋体" w:eastAsia="宋体" w:hint="default"/>
        </w:rPr>
        <w:t>(</w:t>
      </w:r>
      <w:r>
        <w:rPr/>
        <w:t>财企〔</w:t>
      </w:r>
      <w:r>
        <w:rPr>
          <w:rFonts w:ascii="宋体" w:hAnsi="宋体" w:cs="宋体" w:eastAsia="宋体" w:hint="default"/>
        </w:rPr>
        <w:t>2012</w:t>
      </w:r>
      <w:r>
        <w:rPr/>
        <w:t>〕</w:t>
      </w:r>
      <w:r>
        <w:rPr>
          <w:rFonts w:ascii="宋体" w:hAnsi="宋体" w:cs="宋体" w:eastAsia="宋体" w:hint="default"/>
        </w:rPr>
        <w:t>16</w:t>
      </w:r>
      <w:r>
        <w:rPr>
          <w:rFonts w:ascii="宋体" w:hAnsi="宋体" w:cs="宋体" w:eastAsia="宋体" w:hint="default"/>
          <w:spacing w:val="-60"/>
        </w:rPr>
        <w:t> </w:t>
      </w:r>
      <w:r>
        <w:rPr/>
        <w:t>号</w:t>
      </w:r>
      <w:r>
        <w:rPr>
          <w:rFonts w:ascii="宋体" w:hAnsi="宋体" w:cs="宋体" w:eastAsia="宋体" w:hint="default"/>
        </w:rPr>
        <w:t>)</w:t>
      </w:r>
      <w:r>
        <w:rPr/>
        <w:t>的规定计提和使用安全生产费用。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0"/>
        <w:ind w:left="657" w:right="1688"/>
        <w:jc w:val="left"/>
      </w:pPr>
      <w:bookmarkStart w:name="37. 盈余公积" w:id="196"/>
      <w:bookmarkEnd w:id="196"/>
      <w:r>
        <w:rPr/>
      </w:r>
      <w:r>
        <w:rPr>
          <w:rFonts w:ascii="宋体" w:hAnsi="宋体" w:cs="宋体" w:eastAsia="宋体" w:hint="default"/>
        </w:rPr>
        <w:t>37.</w:t>
      </w:r>
      <w:r>
        <w:rPr>
          <w:rFonts w:ascii="宋体" w:hAnsi="宋体" w:cs="宋体" w:eastAsia="宋体" w:hint="default"/>
          <w:spacing w:val="-1"/>
        </w:rPr>
        <w:t> </w:t>
      </w:r>
      <w:r>
        <w:rPr/>
        <w:t>盈余公积</w:t>
      </w:r>
    </w:p>
    <w:p>
      <w:pPr>
        <w:pStyle w:val="BodyText"/>
        <w:spacing w:line="240" w:lineRule="auto" w:before="175"/>
        <w:ind w:left="657"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348"/>
        <w:gridCol w:w="1551"/>
        <w:gridCol w:w="1549"/>
        <w:gridCol w:w="1551"/>
        <w:gridCol w:w="1544"/>
      </w:tblGrid>
      <w:tr>
        <w:trPr>
          <w:trHeight w:val="484"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49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71,937,012.91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6" w:right="0"/>
              <w:jc w:val="left"/>
              <w:rPr>
                <w:rFonts w:ascii="宋体" w:hAnsi="宋体" w:cs="宋体" w:eastAsia="宋体" w:hint="default"/>
                <w:sz w:val="18"/>
                <w:szCs w:val="18"/>
              </w:rPr>
            </w:pPr>
            <w:r>
              <w:rPr>
                <w:rFonts w:ascii="宋体"/>
                <w:sz w:val="18"/>
              </w:rPr>
              <w:t>15,856,681.63</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87,793,694.54</w:t>
            </w:r>
          </w:p>
        </w:tc>
      </w:tr>
      <w:tr>
        <w:trPr>
          <w:trHeight w:val="484"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国家扶持基金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8,302,444.90</w:t>
            </w:r>
          </w:p>
        </w:tc>
        <w:tc>
          <w:tcPr>
            <w:tcW w:w="1549"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8,302,444.90</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348"/>
        <w:gridCol w:w="1551"/>
        <w:gridCol w:w="1549"/>
        <w:gridCol w:w="1551"/>
        <w:gridCol w:w="1544"/>
      </w:tblGrid>
      <w:tr>
        <w:trPr>
          <w:trHeight w:val="484" w:hRule="exact"/>
        </w:trPr>
        <w:tc>
          <w:tcPr>
            <w:tcW w:w="23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7" w:right="0"/>
              <w:jc w:val="left"/>
              <w:rPr>
                <w:rFonts w:ascii="宋体" w:hAnsi="宋体" w:cs="宋体" w:eastAsia="宋体" w:hint="default"/>
                <w:sz w:val="18"/>
                <w:szCs w:val="18"/>
              </w:rPr>
            </w:pPr>
            <w:r>
              <w:rPr>
                <w:rFonts w:ascii="宋体"/>
                <w:sz w:val="18"/>
              </w:rPr>
              <w:t>80,239,457.81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66" w:right="0"/>
              <w:jc w:val="left"/>
              <w:rPr>
                <w:rFonts w:ascii="宋体" w:hAnsi="宋体" w:cs="宋体" w:eastAsia="宋体" w:hint="default"/>
                <w:sz w:val="18"/>
                <w:szCs w:val="18"/>
              </w:rPr>
            </w:pPr>
            <w:r>
              <w:rPr>
                <w:rFonts w:ascii="宋体"/>
                <w:sz w:val="18"/>
              </w:rPr>
              <w:t>15,856,681.63</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61" w:right="0"/>
              <w:jc w:val="left"/>
              <w:rPr>
                <w:rFonts w:ascii="宋体" w:hAnsi="宋体" w:cs="宋体" w:eastAsia="宋体" w:hint="default"/>
                <w:sz w:val="18"/>
                <w:szCs w:val="18"/>
              </w:rPr>
            </w:pPr>
            <w:r>
              <w:rPr>
                <w:rFonts w:ascii="宋体"/>
                <w:sz w:val="18"/>
              </w:rPr>
              <w:t>96,096,139.44</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357" w:lineRule="auto" w:before="172"/>
        <w:ind w:left="237" w:right="1783" w:firstLine="525"/>
        <w:jc w:val="left"/>
      </w:pPr>
      <w:r>
        <w:rPr/>
        <w:t>根据公司章程的相关规定，按 </w:t>
      </w:r>
      <w:r>
        <w:rPr>
          <w:rFonts w:ascii="宋体" w:hAnsi="宋体" w:cs="宋体" w:eastAsia="宋体" w:hint="default"/>
        </w:rPr>
        <w:t>2014 </w:t>
      </w:r>
      <w:r>
        <w:rPr/>
        <w:t>年度母公司实现净利润提取</w:t>
      </w:r>
      <w:r>
        <w:rPr>
          <w:spacing w:val="11"/>
        </w:rPr>
        <w:t> </w:t>
      </w:r>
      <w:r>
        <w:rPr>
          <w:rFonts w:ascii="宋体" w:hAnsi="宋体" w:cs="宋体" w:eastAsia="宋体" w:hint="default"/>
        </w:rPr>
        <w:t>10%</w:t>
      </w:r>
      <w:r>
        <w:rPr/>
        <w:t>的法定盈余公积 </w:t>
      </w:r>
      <w:r>
        <w:rPr>
          <w:rFonts w:ascii="宋体" w:hAnsi="宋体" w:cs="宋体" w:eastAsia="宋体" w:hint="default"/>
        </w:rPr>
        <w:t>15,856,681.63</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0"/>
        <w:ind w:left="657" w:right="1688"/>
        <w:jc w:val="left"/>
      </w:pPr>
      <w:bookmarkStart w:name="38. 未分配利润" w:id="197"/>
      <w:bookmarkEnd w:id="197"/>
      <w:r>
        <w:rPr/>
      </w:r>
      <w:r>
        <w:rPr>
          <w:rFonts w:ascii="宋体" w:hAnsi="宋体" w:cs="宋体" w:eastAsia="宋体" w:hint="default"/>
        </w:rPr>
        <w:t>38.</w:t>
      </w:r>
      <w:r>
        <w:rPr>
          <w:rFonts w:ascii="宋体" w:hAnsi="宋体" w:cs="宋体" w:eastAsia="宋体" w:hint="default"/>
          <w:spacing w:val="-1"/>
        </w:rPr>
        <w:t> </w:t>
      </w:r>
      <w:r>
        <w:rPr/>
        <w:t>未分配利润</w:t>
      </w:r>
    </w:p>
    <w:p>
      <w:pPr>
        <w:pStyle w:val="BodyText"/>
        <w:spacing w:line="240" w:lineRule="auto" w:before="174"/>
        <w:ind w:left="657"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461,337,026.99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426,649,684.68</w:t>
            </w:r>
          </w:p>
        </w:tc>
      </w:tr>
      <w:tr>
        <w:trPr>
          <w:trHeight w:val="48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Courier New" w:hAnsi="Courier New" w:cs="Courier New" w:eastAsia="Courier New" w:hint="default"/>
                <w:sz w:val="18"/>
                <w:szCs w:val="18"/>
              </w:rPr>
              <w:t>+</w:t>
            </w:r>
            <w:r>
              <w:rPr>
                <w:rFonts w:ascii="宋体" w:hAnsi="宋体" w:cs="宋体" w:eastAsia="宋体" w:hint="default"/>
                <w:sz w:val="18"/>
                <w:szCs w:val="18"/>
              </w:rPr>
              <w:t>，调减</w:t>
            </w:r>
            <w:r>
              <w:rPr>
                <w:rFonts w:ascii="Courier New" w:hAnsi="Courier New" w:cs="Courier New" w:eastAsia="Courier New" w:hint="default"/>
                <w:sz w:val="18"/>
                <w:szCs w:val="18"/>
              </w:rPr>
              <w:t>-</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461,337,026.99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426,649,684.68</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179,916,115.75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55,990,125.47</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15,856,681.63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11,784,867.87</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4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4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18,636,799.55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9,517,915.29</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606,759,661.56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461,337,026.99</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其他说明</w:t>
      </w:r>
    </w:p>
    <w:p>
      <w:pPr>
        <w:pStyle w:val="BodyText"/>
        <w:spacing w:line="240" w:lineRule="auto" w:before="172"/>
        <w:ind w:left="658" w:right="168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日，根据公司</w:t>
      </w:r>
      <w:r>
        <w:rPr>
          <w:spacing w:val="-53"/>
        </w:rPr>
        <w:t> </w:t>
      </w:r>
      <w:r>
        <w:rPr>
          <w:rFonts w:ascii="宋体" w:hAnsi="宋体" w:cs="宋体" w:eastAsia="宋体" w:hint="default"/>
        </w:rPr>
        <w:t>2013</w:t>
      </w:r>
      <w:r>
        <w:rPr>
          <w:rFonts w:ascii="宋体" w:hAnsi="宋体" w:cs="宋体" w:eastAsia="宋体" w:hint="default"/>
          <w:spacing w:val="-53"/>
        </w:rPr>
        <w:t> </w:t>
      </w:r>
      <w:r>
        <w:rPr/>
        <w:t>年度股东大会审议通过的</w:t>
      </w:r>
      <w:r>
        <w:rPr>
          <w:spacing w:val="-54"/>
        </w:rPr>
        <w:t> </w:t>
      </w:r>
      <w:r>
        <w:rPr>
          <w:rFonts w:ascii="宋体" w:hAnsi="宋体" w:cs="宋体" w:eastAsia="宋体" w:hint="default"/>
        </w:rPr>
        <w:t>2013</w:t>
      </w:r>
      <w:r>
        <w:rPr>
          <w:rFonts w:ascii="宋体" w:hAnsi="宋体" w:cs="宋体" w:eastAsia="宋体" w:hint="default"/>
          <w:spacing w:val="-53"/>
        </w:rPr>
        <w:t> </w:t>
      </w:r>
      <w:r>
        <w:rPr/>
        <w:t>年度利润分配预案，</w:t>
      </w:r>
    </w:p>
    <w:p>
      <w:pPr>
        <w:pStyle w:val="BodyText"/>
        <w:spacing w:line="240" w:lineRule="auto" w:before="133"/>
        <w:ind w:left="238" w:right="1688"/>
        <w:jc w:val="left"/>
      </w:pPr>
      <w:r>
        <w:rPr/>
        <w:t>公司以</w:t>
      </w:r>
      <w:r>
        <w:rPr>
          <w:spacing w:val="-53"/>
        </w:rPr>
        <w:t> </w:t>
      </w:r>
      <w:r>
        <w:rPr>
          <w:rFonts w:ascii="宋体" w:hAnsi="宋体" w:cs="宋体" w:eastAsia="宋体" w:hint="default"/>
        </w:rPr>
        <w:t>372,735,991</w:t>
      </w:r>
      <w:r>
        <w:rPr>
          <w:rFonts w:ascii="宋体" w:hAnsi="宋体" w:cs="宋体" w:eastAsia="宋体" w:hint="default"/>
          <w:spacing w:val="-52"/>
        </w:rPr>
        <w:t> </w:t>
      </w:r>
      <w:r>
        <w:rPr>
          <w:spacing w:val="-2"/>
        </w:rPr>
        <w:t>股</w:t>
      </w:r>
      <w:r>
        <w:rPr>
          <w:rFonts w:ascii="宋体" w:hAnsi="宋体" w:cs="宋体" w:eastAsia="宋体" w:hint="default"/>
        </w:rPr>
        <w:t>(</w:t>
      </w:r>
      <w:r>
        <w:rPr>
          <w:spacing w:val="-2"/>
        </w:rPr>
        <w:t>扣</w:t>
      </w:r>
      <w:r>
        <w:rPr/>
        <w:t>除不拥有表决权且不享有股利分配的权利的股份</w:t>
      </w:r>
      <w:r>
        <w:rPr>
          <w:rFonts w:ascii="宋体" w:hAnsi="宋体" w:cs="宋体" w:eastAsia="宋体" w:hint="default"/>
        </w:rPr>
        <w:t>)</w:t>
      </w:r>
      <w:r>
        <w:rPr/>
        <w:t>为基数</w:t>
      </w:r>
      <w:r>
        <w:rPr>
          <w:spacing w:val="-89"/>
        </w:rPr>
        <w:t>，</w:t>
      </w:r>
      <w:r>
        <w:rPr/>
        <w:t>向全体</w:t>
      </w:r>
    </w:p>
    <w:p>
      <w:pPr>
        <w:pStyle w:val="BodyText"/>
        <w:spacing w:line="240" w:lineRule="auto" w:before="134"/>
        <w:ind w:left="237" w:right="1688"/>
        <w:jc w:val="left"/>
      </w:pPr>
      <w:r>
        <w:rPr/>
        <w:t>股东每</w:t>
      </w:r>
      <w:r>
        <w:rPr>
          <w:spacing w:val="-55"/>
        </w:rPr>
        <w:t> </w:t>
      </w:r>
      <w:r>
        <w:rPr>
          <w:rFonts w:ascii="宋体" w:hAnsi="宋体" w:cs="宋体" w:eastAsia="宋体" w:hint="default"/>
        </w:rPr>
        <w:t>10</w:t>
      </w:r>
      <w:r>
        <w:rPr>
          <w:rFonts w:ascii="宋体" w:hAnsi="宋体" w:cs="宋体" w:eastAsia="宋体" w:hint="default"/>
          <w:spacing w:val="-54"/>
        </w:rPr>
        <w:t> </w:t>
      </w:r>
      <w:r>
        <w:rPr/>
        <w:t>股派发现金红利</w:t>
      </w:r>
      <w:r>
        <w:rPr>
          <w:spacing w:val="-55"/>
        </w:rPr>
        <w:t> </w:t>
      </w:r>
      <w:r>
        <w:rPr>
          <w:rFonts w:ascii="宋体" w:hAnsi="宋体" w:cs="宋体" w:eastAsia="宋体" w:hint="default"/>
        </w:rPr>
        <w:t>0.5</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，合计派发现金红利</w:t>
      </w:r>
      <w:r>
        <w:rPr>
          <w:spacing w:val="-55"/>
        </w:rPr>
        <w:t> </w:t>
      </w:r>
      <w:r>
        <w:rPr>
          <w:rFonts w:ascii="宋体" w:hAnsi="宋体" w:cs="宋体" w:eastAsia="宋体" w:hint="default"/>
        </w:rPr>
        <w:t>18,636,799.55</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391" w:lineRule="auto" w:before="0"/>
        <w:ind w:left="657" w:right="7152" w:firstLine="105"/>
        <w:jc w:val="left"/>
      </w:pPr>
      <w:bookmarkStart w:name="(二) 合并利润表项目注释" w:id="198"/>
      <w:bookmarkEnd w:id="198"/>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合并利润表项目注释 </w:t>
      </w:r>
      <w:bookmarkStart w:name="1. 营业收入/营业成本" w:id="199"/>
      <w:bookmarkEnd w:id="199"/>
      <w:r>
        <w:rPr/>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spacing w:line="240" w:lineRule="auto" w:before="9"/>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919"/>
        <w:gridCol w:w="1656"/>
        <w:gridCol w:w="1656"/>
        <w:gridCol w:w="1656"/>
        <w:gridCol w:w="1656"/>
      </w:tblGrid>
      <w:tr>
        <w:trPr>
          <w:trHeight w:val="341" w:hRule="exact"/>
        </w:trPr>
        <w:tc>
          <w:tcPr>
            <w:tcW w:w="1919"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3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0" w:hRule="exact"/>
        </w:trPr>
        <w:tc>
          <w:tcPr>
            <w:tcW w:w="1919"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7"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7" w:right="0"/>
              <w:jc w:val="left"/>
              <w:rPr>
                <w:rFonts w:ascii="宋体" w:hAnsi="宋体" w:cs="宋体" w:eastAsia="宋体" w:hint="default"/>
                <w:sz w:val="18"/>
                <w:szCs w:val="18"/>
              </w:rPr>
            </w:pPr>
            <w:r>
              <w:rPr>
                <w:rFonts w:ascii="宋体" w:hAnsi="宋体" w:cs="宋体" w:eastAsia="宋体" w:hint="default"/>
                <w:sz w:val="18"/>
                <w:szCs w:val="18"/>
              </w:rPr>
              <w:t>成  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97"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97" w:right="0"/>
              <w:jc w:val="left"/>
              <w:rPr>
                <w:rFonts w:ascii="宋体" w:hAnsi="宋体" w:cs="宋体" w:eastAsia="宋体" w:hint="default"/>
                <w:sz w:val="18"/>
                <w:szCs w:val="18"/>
              </w:rPr>
            </w:pPr>
            <w:r>
              <w:rPr>
                <w:rFonts w:ascii="宋体" w:hAnsi="宋体" w:cs="宋体" w:eastAsia="宋体" w:hint="default"/>
                <w:sz w:val="18"/>
                <w:szCs w:val="18"/>
              </w:rPr>
              <w:t>成  本</w:t>
            </w:r>
          </w:p>
        </w:tc>
      </w:tr>
      <w:tr>
        <w:trPr>
          <w:trHeight w:val="484"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2,837,939,174.77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2,185,832,298.69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1,801,715,866.55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1,365,481,035.04</w:t>
            </w:r>
          </w:p>
        </w:tc>
      </w:tr>
      <w:tr>
        <w:trPr>
          <w:trHeight w:val="484"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36,330,424.87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25,843,067.64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39,557,053.27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28,480,992.66</w:t>
            </w:r>
          </w:p>
        </w:tc>
      </w:tr>
      <w:tr>
        <w:trPr>
          <w:trHeight w:val="539" w:hRule="exact"/>
        </w:trPr>
        <w:tc>
          <w:tcPr>
            <w:tcW w:w="1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z w:val="18"/>
              </w:rPr>
              <w:t>2,874,269,599.64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z w:val="18"/>
              </w:rPr>
              <w:t>2,211,675,366.33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sz w:val="18"/>
              </w:rPr>
              <w:t>1,841,272,919.82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1,393,962,027.70</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658" w:right="1688"/>
        <w:jc w:val="left"/>
      </w:pPr>
      <w:bookmarkStart w:name="2. 营业税金及附加" w:id="200"/>
      <w:bookmarkEnd w:id="200"/>
      <w:r>
        <w:rPr/>
      </w:r>
      <w:r>
        <w:rPr>
          <w:rFonts w:ascii="宋体" w:hAnsi="宋体" w:cs="宋体" w:eastAsia="宋体" w:hint="default"/>
        </w:rPr>
        <w:t>2.</w:t>
      </w:r>
      <w:r>
        <w:rPr>
          <w:rFonts w:ascii="宋体" w:hAnsi="宋体" w:cs="宋体" w:eastAsia="宋体" w:hint="default"/>
          <w:spacing w:val="-2"/>
        </w:rPr>
        <w:t> </w:t>
      </w:r>
      <w:r>
        <w:rPr/>
        <w:t>营业税金及附加</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101"/>
        <w:gridCol w:w="2720"/>
        <w:gridCol w:w="2723"/>
      </w:tblGrid>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799"/>
              <w:jc w:val="right"/>
              <w:rPr>
                <w:rFonts w:ascii="宋体" w:hAnsi="宋体" w:cs="宋体" w:eastAsia="宋体" w:hint="default"/>
                <w:sz w:val="18"/>
                <w:szCs w:val="18"/>
              </w:rPr>
            </w:pPr>
            <w:r>
              <w:rPr>
                <w:rFonts w:ascii="宋体"/>
                <w:sz w:val="18"/>
              </w:rPr>
              <w:t>112,447.93</w:t>
            </w:r>
          </w:p>
        </w:tc>
        <w:tc>
          <w:tcPr>
            <w:tcW w:w="2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804"/>
              <w:jc w:val="right"/>
              <w:rPr>
                <w:rFonts w:ascii="宋体" w:hAnsi="宋体" w:cs="宋体" w:eastAsia="宋体" w:hint="default"/>
                <w:sz w:val="18"/>
                <w:szCs w:val="18"/>
              </w:rPr>
            </w:pPr>
            <w:r>
              <w:rPr>
                <w:rFonts w:ascii="宋体"/>
                <w:sz w:val="18"/>
              </w:rPr>
              <w:t>292,694.44</w:t>
            </w:r>
          </w:p>
        </w:tc>
      </w:tr>
      <w:tr>
        <w:trPr>
          <w:trHeight w:val="482"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99"/>
              <w:jc w:val="right"/>
              <w:rPr>
                <w:rFonts w:ascii="宋体" w:hAnsi="宋体" w:cs="宋体" w:eastAsia="宋体" w:hint="default"/>
                <w:sz w:val="18"/>
                <w:szCs w:val="18"/>
              </w:rPr>
            </w:pPr>
            <w:r>
              <w:rPr>
                <w:rFonts w:ascii="宋体"/>
                <w:sz w:val="18"/>
              </w:rPr>
              <w:t>5,271,905.60</w:t>
            </w:r>
          </w:p>
        </w:tc>
        <w:tc>
          <w:tcPr>
            <w:tcW w:w="2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4,721,642.41</w:t>
            </w:r>
          </w:p>
        </w:tc>
      </w:tr>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9"/>
              <w:jc w:val="right"/>
              <w:rPr>
                <w:rFonts w:ascii="宋体" w:hAnsi="宋体" w:cs="宋体" w:eastAsia="宋体" w:hint="default"/>
                <w:sz w:val="18"/>
                <w:szCs w:val="18"/>
              </w:rPr>
            </w:pPr>
            <w:r>
              <w:rPr>
                <w:rFonts w:ascii="宋体"/>
                <w:sz w:val="18"/>
              </w:rPr>
              <w:t>3,095,496.40</w:t>
            </w:r>
          </w:p>
        </w:tc>
        <w:tc>
          <w:tcPr>
            <w:tcW w:w="2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4"/>
              <w:jc w:val="right"/>
              <w:rPr>
                <w:rFonts w:ascii="宋体" w:hAnsi="宋体" w:cs="宋体" w:eastAsia="宋体" w:hint="default"/>
                <w:sz w:val="18"/>
                <w:szCs w:val="18"/>
              </w:rPr>
            </w:pPr>
            <w:r>
              <w:rPr>
                <w:rFonts w:ascii="宋体"/>
                <w:sz w:val="18"/>
              </w:rPr>
              <w:t>2,592,793.64</w:t>
            </w:r>
          </w:p>
        </w:tc>
      </w:tr>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9"/>
              <w:jc w:val="right"/>
              <w:rPr>
                <w:rFonts w:ascii="宋体" w:hAnsi="宋体" w:cs="宋体" w:eastAsia="宋体" w:hint="default"/>
                <w:sz w:val="18"/>
                <w:szCs w:val="18"/>
              </w:rPr>
            </w:pPr>
            <w:r>
              <w:rPr>
                <w:rFonts w:ascii="宋体"/>
                <w:sz w:val="18"/>
              </w:rPr>
              <w:t>2,083,171.45</w:t>
            </w:r>
          </w:p>
        </w:tc>
        <w:tc>
          <w:tcPr>
            <w:tcW w:w="2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4"/>
              <w:jc w:val="right"/>
              <w:rPr>
                <w:rFonts w:ascii="宋体" w:hAnsi="宋体" w:cs="宋体" w:eastAsia="宋体" w:hint="default"/>
                <w:sz w:val="18"/>
                <w:szCs w:val="18"/>
              </w:rPr>
            </w:pPr>
            <w:r>
              <w:rPr>
                <w:rFonts w:ascii="宋体"/>
                <w:sz w:val="18"/>
              </w:rPr>
              <w:t>1,728,529.10</w:t>
            </w:r>
          </w:p>
        </w:tc>
      </w:tr>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9"/>
              <w:jc w:val="right"/>
              <w:rPr>
                <w:rFonts w:ascii="宋体" w:hAnsi="宋体" w:cs="宋体" w:eastAsia="宋体" w:hint="default"/>
                <w:sz w:val="18"/>
                <w:szCs w:val="18"/>
              </w:rPr>
            </w:pPr>
            <w:r>
              <w:rPr>
                <w:rFonts w:ascii="宋体"/>
                <w:sz w:val="18"/>
              </w:rPr>
              <w:t>95,224.66</w:t>
            </w:r>
          </w:p>
        </w:tc>
        <w:tc>
          <w:tcPr>
            <w:tcW w:w="2723"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99"/>
              <w:jc w:val="right"/>
              <w:rPr>
                <w:rFonts w:ascii="宋体" w:hAnsi="宋体" w:cs="宋体" w:eastAsia="宋体" w:hint="default"/>
                <w:sz w:val="18"/>
                <w:szCs w:val="18"/>
              </w:rPr>
            </w:pPr>
            <w:r>
              <w:rPr>
                <w:rFonts w:ascii="宋体"/>
                <w:sz w:val="18"/>
              </w:rPr>
              <w:t>5,142,678.32</w:t>
            </w:r>
          </w:p>
        </w:tc>
        <w:tc>
          <w:tcPr>
            <w:tcW w:w="2723"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99"/>
              <w:jc w:val="right"/>
              <w:rPr>
                <w:rFonts w:ascii="宋体" w:hAnsi="宋体" w:cs="宋体" w:eastAsia="宋体" w:hint="default"/>
                <w:sz w:val="18"/>
                <w:szCs w:val="18"/>
              </w:rPr>
            </w:pPr>
            <w:r>
              <w:rPr>
                <w:rFonts w:ascii="宋体"/>
                <w:sz w:val="18"/>
              </w:rPr>
              <w:t>15,800,924.36</w:t>
            </w:r>
          </w:p>
        </w:tc>
        <w:tc>
          <w:tcPr>
            <w:tcW w:w="27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9,335,659.59</w:t>
            </w: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3. 销售费用" w:id="201"/>
      <w:bookmarkEnd w:id="201"/>
      <w:r>
        <w:rPr/>
      </w:r>
      <w:r>
        <w:rPr>
          <w:rFonts w:ascii="宋体" w:hAnsi="宋体" w:cs="宋体" w:eastAsia="宋体" w:hint="default"/>
        </w:rPr>
        <w:t>3. </w:t>
      </w:r>
      <w:r>
        <w:rPr/>
        <w:t>销售费用</w:t>
      </w:r>
    </w:p>
    <w:p>
      <w:pPr>
        <w:spacing w:line="240" w:lineRule="auto" w:before="10"/>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064"/>
        <w:gridCol w:w="2724"/>
        <w:gridCol w:w="2724"/>
      </w:tblGrid>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90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82,174,771.84</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30,996,169.66</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销售业务费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36,318,480.49</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40,474,207.28</w:t>
            </w:r>
          </w:p>
        </w:tc>
      </w:tr>
      <w:tr>
        <w:trPr>
          <w:trHeight w:val="482"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运费保险费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30,512,215.94</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27,083,613.98</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00"/>
              <w:jc w:val="right"/>
              <w:rPr>
                <w:rFonts w:ascii="宋体" w:hAnsi="宋体" w:cs="宋体" w:eastAsia="宋体" w:hint="default"/>
                <w:sz w:val="18"/>
                <w:szCs w:val="18"/>
              </w:rPr>
            </w:pPr>
            <w:r>
              <w:rPr>
                <w:rFonts w:ascii="宋体"/>
                <w:sz w:val="18"/>
              </w:rPr>
              <w:t>19,870,890.56</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5"/>
              <w:jc w:val="right"/>
              <w:rPr>
                <w:rFonts w:ascii="宋体" w:hAnsi="宋体" w:cs="宋体" w:eastAsia="宋体" w:hint="default"/>
                <w:sz w:val="18"/>
                <w:szCs w:val="18"/>
              </w:rPr>
            </w:pPr>
            <w:r>
              <w:rPr>
                <w:rFonts w:ascii="宋体"/>
                <w:sz w:val="18"/>
              </w:rPr>
              <w:t>12,968,373.29</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00"/>
              <w:jc w:val="right"/>
              <w:rPr>
                <w:rFonts w:ascii="宋体" w:hAnsi="宋体" w:cs="宋体" w:eastAsia="宋体" w:hint="default"/>
                <w:sz w:val="18"/>
                <w:szCs w:val="18"/>
              </w:rPr>
            </w:pPr>
            <w:r>
              <w:rPr>
                <w:rFonts w:ascii="宋体"/>
                <w:sz w:val="18"/>
              </w:rPr>
              <w:t>16,059,228.34</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5"/>
              <w:jc w:val="right"/>
              <w:rPr>
                <w:rFonts w:ascii="宋体" w:hAnsi="宋体" w:cs="宋体" w:eastAsia="宋体" w:hint="default"/>
                <w:sz w:val="18"/>
                <w:szCs w:val="18"/>
              </w:rPr>
            </w:pPr>
            <w:r>
              <w:rPr>
                <w:rFonts w:ascii="宋体"/>
                <w:sz w:val="18"/>
              </w:rPr>
              <w:t>13,670,025.80</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00"/>
              <w:jc w:val="right"/>
              <w:rPr>
                <w:rFonts w:ascii="宋体" w:hAnsi="宋体" w:cs="宋体" w:eastAsia="宋体" w:hint="default"/>
                <w:sz w:val="18"/>
                <w:szCs w:val="18"/>
              </w:rPr>
            </w:pPr>
            <w:r>
              <w:rPr>
                <w:rFonts w:ascii="宋体"/>
                <w:sz w:val="18"/>
              </w:rPr>
              <w:t>12,960,409.09</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5"/>
              <w:jc w:val="right"/>
              <w:rPr>
                <w:rFonts w:ascii="宋体" w:hAnsi="宋体" w:cs="宋体" w:eastAsia="宋体" w:hint="default"/>
                <w:sz w:val="18"/>
                <w:szCs w:val="18"/>
              </w:rPr>
            </w:pPr>
            <w:r>
              <w:rPr>
                <w:rFonts w:ascii="宋体"/>
                <w:sz w:val="18"/>
              </w:rPr>
              <w:t>10,166,769.32</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751,703.40</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677,988.51</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5,459,372.52</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2,750,587.13</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1,804,583.56</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2,265,339.28</w:t>
            </w:r>
          </w:p>
        </w:tc>
      </w:tr>
      <w:tr>
        <w:trPr>
          <w:trHeight w:val="484" w:hRule="exact"/>
        </w:trPr>
        <w:tc>
          <w:tcPr>
            <w:tcW w:w="30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205,911,655.74</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141,053,074.25</w:t>
            </w:r>
          </w:p>
        </w:tc>
      </w:tr>
    </w:tbl>
    <w:p>
      <w:pPr>
        <w:spacing w:line="240" w:lineRule="auto" w:before="7"/>
        <w:rPr>
          <w:rFonts w:ascii="宋体" w:hAnsi="宋体" w:cs="宋体" w:eastAsia="宋体" w:hint="default"/>
          <w:sz w:val="27"/>
          <w:szCs w:val="27"/>
        </w:rPr>
      </w:pPr>
    </w:p>
    <w:p>
      <w:pPr>
        <w:pStyle w:val="BodyText"/>
        <w:spacing w:line="240" w:lineRule="auto" w:before="35"/>
        <w:ind w:left="658" w:right="1688"/>
        <w:jc w:val="left"/>
      </w:pPr>
      <w:bookmarkStart w:name="4. 管理费用" w:id="202"/>
      <w:bookmarkEnd w:id="202"/>
      <w:r>
        <w:rPr/>
      </w:r>
      <w:r>
        <w:rPr>
          <w:rFonts w:ascii="宋体" w:hAnsi="宋体" w:cs="宋体" w:eastAsia="宋体" w:hint="default"/>
        </w:rPr>
        <w:t>4. </w:t>
      </w:r>
      <w:r>
        <w:rPr/>
        <w:t>管理费用</w:t>
      </w:r>
    </w:p>
    <w:p>
      <w:pPr>
        <w:spacing w:line="240" w:lineRule="auto" w:before="11"/>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1"/>
        <w:gridCol w:w="2718"/>
        <w:gridCol w:w="2718"/>
      </w:tblGrid>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3"/>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3"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4"/>
              <w:jc w:val="center"/>
              <w:rPr>
                <w:rFonts w:ascii="宋体" w:hAnsi="宋体" w:cs="宋体" w:eastAsia="宋体" w:hint="default"/>
                <w:sz w:val="18"/>
                <w:szCs w:val="18"/>
              </w:rPr>
            </w:pPr>
            <w:r>
              <w:rPr>
                <w:rFonts w:ascii="宋体"/>
                <w:sz w:val="18"/>
              </w:rPr>
              <w:t>93,053,586.60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9"/>
              <w:jc w:val="center"/>
              <w:rPr>
                <w:rFonts w:ascii="宋体" w:hAnsi="宋体" w:cs="宋体" w:eastAsia="宋体" w:hint="default"/>
                <w:sz w:val="18"/>
                <w:szCs w:val="18"/>
              </w:rPr>
            </w:pPr>
            <w:r>
              <w:rPr>
                <w:rFonts w:ascii="宋体"/>
                <w:sz w:val="18"/>
              </w:rPr>
              <w:t>80,274,777.14</w:t>
            </w:r>
          </w:p>
        </w:tc>
      </w:tr>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center"/>
              <w:rPr>
                <w:rFonts w:ascii="宋体" w:hAnsi="宋体" w:cs="宋体" w:eastAsia="宋体" w:hint="default"/>
                <w:sz w:val="18"/>
                <w:szCs w:val="18"/>
              </w:rPr>
            </w:pPr>
            <w:r>
              <w:rPr>
                <w:rFonts w:ascii="宋体"/>
                <w:sz w:val="18"/>
              </w:rPr>
              <w:t>72,381,482.03</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9"/>
              <w:jc w:val="center"/>
              <w:rPr>
                <w:rFonts w:ascii="宋体" w:hAnsi="宋体" w:cs="宋体" w:eastAsia="宋体" w:hint="default"/>
                <w:sz w:val="18"/>
                <w:szCs w:val="18"/>
              </w:rPr>
            </w:pPr>
            <w:r>
              <w:rPr>
                <w:rFonts w:ascii="宋体"/>
                <w:sz w:val="18"/>
              </w:rPr>
              <w:t>53,318,266.96</w:t>
            </w:r>
          </w:p>
        </w:tc>
      </w:tr>
      <w:tr>
        <w:trPr>
          <w:trHeight w:val="485"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办公经费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center"/>
              <w:rPr>
                <w:rFonts w:ascii="宋体" w:hAnsi="宋体" w:cs="宋体" w:eastAsia="宋体" w:hint="default"/>
                <w:sz w:val="18"/>
                <w:szCs w:val="18"/>
              </w:rPr>
            </w:pPr>
            <w:r>
              <w:rPr>
                <w:rFonts w:ascii="宋体"/>
                <w:sz w:val="18"/>
              </w:rPr>
              <w:t>43,092,240.74</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9"/>
              <w:jc w:val="center"/>
              <w:rPr>
                <w:rFonts w:ascii="宋体" w:hAnsi="宋体" w:cs="宋体" w:eastAsia="宋体" w:hint="default"/>
                <w:sz w:val="18"/>
                <w:szCs w:val="18"/>
              </w:rPr>
            </w:pPr>
            <w:r>
              <w:rPr>
                <w:rFonts w:ascii="宋体"/>
                <w:sz w:val="18"/>
              </w:rPr>
              <w:t>22,313,203.91</w:t>
            </w:r>
          </w:p>
        </w:tc>
      </w:tr>
    </w:tbl>
    <w:p>
      <w:pPr>
        <w:spacing w:after="0" w:line="240" w:lineRule="auto"/>
        <w:jc w:val="center"/>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89" w:type="dxa"/>
        <w:tblLayout w:type="fixed"/>
        <w:tblCellMar>
          <w:top w:w="0" w:type="dxa"/>
          <w:left w:w="0" w:type="dxa"/>
          <w:bottom w:w="0" w:type="dxa"/>
          <w:right w:w="0" w:type="dxa"/>
        </w:tblCellMar>
        <w:tblLook w:val="01E0"/>
      </w:tblPr>
      <w:tblGrid>
        <w:gridCol w:w="3061"/>
        <w:gridCol w:w="2718"/>
        <w:gridCol w:w="2718"/>
      </w:tblGrid>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20,607,801.59</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20,438,575.27</w:t>
            </w:r>
          </w:p>
        </w:tc>
      </w:tr>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10,041,132.80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9,140,162.85</w:t>
            </w:r>
          </w:p>
        </w:tc>
      </w:tr>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税  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8,844,139.20</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5,507,945.46</w:t>
            </w:r>
          </w:p>
        </w:tc>
      </w:tr>
      <w:tr>
        <w:trPr>
          <w:trHeight w:val="482"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5,200,120.77</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5"/>
              <w:jc w:val="right"/>
              <w:rPr>
                <w:rFonts w:ascii="宋体" w:hAnsi="宋体" w:cs="宋体" w:eastAsia="宋体" w:hint="default"/>
                <w:sz w:val="18"/>
                <w:szCs w:val="18"/>
              </w:rPr>
            </w:pPr>
            <w:r>
              <w:rPr>
                <w:rFonts w:ascii="宋体"/>
                <w:sz w:val="18"/>
              </w:rPr>
              <w:t>4,601,707.14</w:t>
            </w:r>
          </w:p>
        </w:tc>
      </w:tr>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00"/>
              <w:jc w:val="right"/>
              <w:rPr>
                <w:rFonts w:ascii="宋体" w:hAnsi="宋体" w:cs="宋体" w:eastAsia="宋体" w:hint="default"/>
                <w:sz w:val="18"/>
                <w:szCs w:val="18"/>
              </w:rPr>
            </w:pPr>
            <w:r>
              <w:rPr>
                <w:rFonts w:ascii="宋体"/>
                <w:sz w:val="18"/>
              </w:rPr>
              <w:t>4,838,787.94</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5"/>
              <w:jc w:val="right"/>
              <w:rPr>
                <w:rFonts w:ascii="宋体" w:hAnsi="宋体" w:cs="宋体" w:eastAsia="宋体" w:hint="default"/>
                <w:sz w:val="18"/>
                <w:szCs w:val="18"/>
              </w:rPr>
            </w:pPr>
            <w:r>
              <w:rPr>
                <w:rFonts w:ascii="宋体"/>
                <w:sz w:val="18"/>
              </w:rPr>
              <w:t>4,932,852.18</w:t>
            </w:r>
          </w:p>
        </w:tc>
      </w:tr>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00"/>
              <w:jc w:val="right"/>
              <w:rPr>
                <w:rFonts w:ascii="宋体" w:hAnsi="宋体" w:cs="宋体" w:eastAsia="宋体" w:hint="default"/>
                <w:sz w:val="18"/>
                <w:szCs w:val="18"/>
              </w:rPr>
            </w:pPr>
            <w:r>
              <w:rPr>
                <w:rFonts w:ascii="宋体"/>
                <w:sz w:val="18"/>
              </w:rPr>
              <w:t>9,926,710.72</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5"/>
              <w:jc w:val="right"/>
              <w:rPr>
                <w:rFonts w:ascii="宋体" w:hAnsi="宋体" w:cs="宋体" w:eastAsia="宋体" w:hint="default"/>
                <w:sz w:val="18"/>
                <w:szCs w:val="18"/>
              </w:rPr>
            </w:pPr>
            <w:r>
              <w:rPr>
                <w:rFonts w:ascii="宋体"/>
                <w:sz w:val="18"/>
              </w:rPr>
              <w:t>9,769,065.19</w:t>
            </w:r>
          </w:p>
        </w:tc>
      </w:tr>
      <w:tr>
        <w:trPr>
          <w:trHeight w:val="484" w:hRule="exact"/>
        </w:trPr>
        <w:tc>
          <w:tcPr>
            <w:tcW w:w="30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00"/>
              <w:jc w:val="right"/>
              <w:rPr>
                <w:rFonts w:ascii="宋体" w:hAnsi="宋体" w:cs="宋体" w:eastAsia="宋体" w:hint="default"/>
                <w:sz w:val="18"/>
                <w:szCs w:val="18"/>
              </w:rPr>
            </w:pPr>
            <w:r>
              <w:rPr>
                <w:rFonts w:ascii="宋体"/>
                <w:sz w:val="18"/>
              </w:rPr>
              <w:t>267,986,002.39</w:t>
            </w:r>
          </w:p>
        </w:tc>
        <w:tc>
          <w:tcPr>
            <w:tcW w:w="2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5"/>
              <w:jc w:val="right"/>
              <w:rPr>
                <w:rFonts w:ascii="宋体" w:hAnsi="宋体" w:cs="宋体" w:eastAsia="宋体" w:hint="default"/>
                <w:sz w:val="18"/>
                <w:szCs w:val="18"/>
              </w:rPr>
            </w:pPr>
            <w:r>
              <w:rPr>
                <w:rFonts w:ascii="宋体"/>
                <w:sz w:val="18"/>
              </w:rPr>
              <w:t>210,296,556.10</w:t>
            </w:r>
          </w:p>
        </w:tc>
      </w:tr>
    </w:tbl>
    <w:p>
      <w:pPr>
        <w:spacing w:line="240" w:lineRule="auto" w:before="8"/>
        <w:rPr>
          <w:rFonts w:ascii="宋体" w:hAnsi="宋体" w:cs="宋体" w:eastAsia="宋体" w:hint="default"/>
          <w:sz w:val="27"/>
          <w:szCs w:val="27"/>
        </w:rPr>
      </w:pPr>
    </w:p>
    <w:p>
      <w:pPr>
        <w:pStyle w:val="BodyText"/>
        <w:spacing w:line="240" w:lineRule="auto" w:before="35"/>
        <w:ind w:left="698" w:right="0"/>
        <w:jc w:val="left"/>
      </w:pPr>
      <w:bookmarkStart w:name="5. 财务费用" w:id="203"/>
      <w:bookmarkEnd w:id="203"/>
      <w:r>
        <w:rPr/>
      </w:r>
      <w:r>
        <w:rPr>
          <w:rFonts w:ascii="宋体" w:hAnsi="宋体" w:cs="宋体" w:eastAsia="宋体" w:hint="default"/>
        </w:rPr>
        <w:t>5. </w:t>
      </w:r>
      <w:r>
        <w:rPr/>
        <w:t>财务费用</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121"/>
        <w:gridCol w:w="2739"/>
        <w:gridCol w:w="2738"/>
      </w:tblGrid>
      <w:tr>
        <w:trPr>
          <w:trHeight w:val="484"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90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27,495,604.15</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35,960,010.13</w:t>
            </w:r>
          </w:p>
        </w:tc>
      </w:tr>
      <w:tr>
        <w:trPr>
          <w:trHeight w:val="484"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2,727,032.10</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1,514,729.41</w:t>
            </w:r>
          </w:p>
        </w:tc>
      </w:tr>
      <w:tr>
        <w:trPr>
          <w:trHeight w:val="484"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汇兑净损益</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-10,738,240.12</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-11,173,876.50</w:t>
            </w:r>
          </w:p>
        </w:tc>
      </w:tr>
      <w:tr>
        <w:trPr>
          <w:trHeight w:val="484"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2,747,863.13</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3,948,976.98</w:t>
            </w:r>
          </w:p>
        </w:tc>
      </w:tr>
      <w:tr>
        <w:trPr>
          <w:trHeight w:val="484" w:hRule="exact"/>
        </w:trPr>
        <w:tc>
          <w:tcPr>
            <w:tcW w:w="3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00"/>
              <w:jc w:val="right"/>
              <w:rPr>
                <w:rFonts w:ascii="宋体" w:hAnsi="宋体" w:cs="宋体" w:eastAsia="宋体" w:hint="default"/>
                <w:sz w:val="18"/>
                <w:szCs w:val="18"/>
              </w:rPr>
            </w:pPr>
            <w:r>
              <w:rPr>
                <w:rFonts w:ascii="宋体"/>
                <w:sz w:val="18"/>
              </w:rPr>
              <w:t>16,778,195.06</w:t>
            </w:r>
          </w:p>
        </w:tc>
        <w:tc>
          <w:tcPr>
            <w:tcW w:w="2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27,220,381.20</w:t>
            </w:r>
          </w:p>
        </w:tc>
      </w:tr>
    </w:tbl>
    <w:p>
      <w:pPr>
        <w:spacing w:line="240" w:lineRule="auto" w:before="7"/>
        <w:rPr>
          <w:rFonts w:ascii="宋体" w:hAnsi="宋体" w:cs="宋体" w:eastAsia="宋体" w:hint="default"/>
          <w:sz w:val="27"/>
          <w:szCs w:val="27"/>
        </w:rPr>
      </w:pPr>
    </w:p>
    <w:p>
      <w:pPr>
        <w:pStyle w:val="BodyText"/>
        <w:spacing w:line="240" w:lineRule="auto" w:before="35"/>
        <w:ind w:left="698" w:right="0"/>
        <w:jc w:val="left"/>
      </w:pPr>
      <w:bookmarkStart w:name="6. 资产减值损失" w:id="204"/>
      <w:bookmarkEnd w:id="204"/>
      <w:r>
        <w:rPr/>
      </w:r>
      <w:r>
        <w:rPr>
          <w:rFonts w:ascii="宋体" w:hAnsi="宋体" w:cs="宋体" w:eastAsia="宋体" w:hint="default"/>
        </w:rPr>
        <w:t>6.</w:t>
      </w:r>
      <w:r>
        <w:rPr>
          <w:rFonts w:ascii="宋体" w:hAnsi="宋体" w:cs="宋体" w:eastAsia="宋体" w:hint="default"/>
          <w:spacing w:val="-2"/>
        </w:rPr>
        <w:t> </w:t>
      </w:r>
      <w:r>
        <w:rPr/>
        <w:t>资产减值损失</w:t>
      </w:r>
    </w:p>
    <w:p>
      <w:pPr>
        <w:spacing w:line="240" w:lineRule="auto" w:before="11"/>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110"/>
        <w:gridCol w:w="2750"/>
        <w:gridCol w:w="2752"/>
      </w:tblGrid>
      <w:tr>
        <w:trPr>
          <w:trHeight w:val="484"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2"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
              <w:jc w:val="center"/>
              <w:rPr>
                <w:rFonts w:ascii="宋体" w:hAnsi="宋体" w:cs="宋体" w:eastAsia="宋体" w:hint="default"/>
                <w:sz w:val="18"/>
                <w:szCs w:val="18"/>
              </w:rPr>
            </w:pPr>
            <w:r>
              <w:rPr>
                <w:rFonts w:ascii="宋体"/>
                <w:sz w:val="18"/>
              </w:rPr>
              <w:t>34,988,992.11</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19,646,046.02</w:t>
            </w:r>
          </w:p>
        </w:tc>
      </w:tr>
      <w:tr>
        <w:trPr>
          <w:trHeight w:val="484"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center"/>
              <w:rPr>
                <w:rFonts w:ascii="宋体" w:hAnsi="宋体" w:cs="宋体" w:eastAsia="宋体" w:hint="default"/>
                <w:sz w:val="18"/>
                <w:szCs w:val="18"/>
              </w:rPr>
            </w:pPr>
            <w:r>
              <w:rPr>
                <w:rFonts w:ascii="宋体"/>
                <w:sz w:val="18"/>
              </w:rPr>
              <w:t>16,507,106.47</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4"/>
              <w:jc w:val="right"/>
              <w:rPr>
                <w:rFonts w:ascii="宋体" w:hAnsi="宋体" w:cs="宋体" w:eastAsia="宋体" w:hint="default"/>
                <w:sz w:val="18"/>
                <w:szCs w:val="18"/>
              </w:rPr>
            </w:pPr>
            <w:r>
              <w:rPr>
                <w:rFonts w:ascii="宋体"/>
                <w:sz w:val="18"/>
              </w:rPr>
              <w:t>4,576,969.12</w:t>
            </w:r>
          </w:p>
        </w:tc>
      </w:tr>
      <w:tr>
        <w:trPr>
          <w:trHeight w:val="484"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宋体" w:hAnsi="宋体" w:cs="宋体" w:eastAsia="宋体" w:hint="default"/>
                <w:sz w:val="18"/>
                <w:szCs w:val="18"/>
              </w:rPr>
            </w:pPr>
            <w:r>
              <w:rPr>
                <w:rFonts w:ascii="宋体"/>
                <w:sz w:val="18"/>
              </w:rPr>
              <w:t>3,196,160.13</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804"/>
              <w:jc w:val="right"/>
              <w:rPr>
                <w:rFonts w:ascii="宋体" w:hAnsi="宋体" w:cs="宋体" w:eastAsia="宋体" w:hint="default"/>
                <w:sz w:val="18"/>
                <w:szCs w:val="18"/>
              </w:rPr>
            </w:pPr>
            <w:r>
              <w:rPr>
                <w:rFonts w:ascii="宋体"/>
                <w:sz w:val="18"/>
              </w:rPr>
              <w:t>1,454,932.49</w:t>
            </w:r>
          </w:p>
        </w:tc>
      </w:tr>
      <w:tr>
        <w:trPr>
          <w:trHeight w:val="484" w:hRule="exact"/>
        </w:trPr>
        <w:tc>
          <w:tcPr>
            <w:tcW w:w="3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1"/>
              <w:jc w:val="center"/>
              <w:rPr>
                <w:rFonts w:ascii="宋体" w:hAnsi="宋体" w:cs="宋体" w:eastAsia="宋体" w:hint="default"/>
                <w:sz w:val="18"/>
                <w:szCs w:val="18"/>
              </w:rPr>
            </w:pPr>
            <w:r>
              <w:rPr>
                <w:rFonts w:ascii="宋体"/>
                <w:sz w:val="18"/>
              </w:rPr>
              <w:t>54,692,258.71</w:t>
            </w:r>
          </w:p>
        </w:tc>
        <w:tc>
          <w:tcPr>
            <w:tcW w:w="27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04"/>
              <w:jc w:val="right"/>
              <w:rPr>
                <w:rFonts w:ascii="宋体" w:hAnsi="宋体" w:cs="宋体" w:eastAsia="宋体" w:hint="default"/>
                <w:sz w:val="18"/>
                <w:szCs w:val="18"/>
              </w:rPr>
            </w:pPr>
            <w:r>
              <w:rPr>
                <w:rFonts w:ascii="宋体"/>
                <w:sz w:val="18"/>
              </w:rPr>
              <w:t>25,677,947.63</w:t>
            </w:r>
          </w:p>
        </w:tc>
      </w:tr>
    </w:tbl>
    <w:p>
      <w:pPr>
        <w:spacing w:line="240" w:lineRule="auto" w:before="13"/>
        <w:rPr>
          <w:rFonts w:ascii="宋体" w:hAnsi="宋体" w:cs="宋体" w:eastAsia="宋体" w:hint="default"/>
          <w:sz w:val="25"/>
          <w:szCs w:val="25"/>
        </w:rPr>
      </w:pPr>
    </w:p>
    <w:p>
      <w:pPr>
        <w:pStyle w:val="BodyText"/>
        <w:spacing w:line="240" w:lineRule="auto" w:before="35"/>
        <w:ind w:left="698" w:right="0"/>
        <w:jc w:val="left"/>
      </w:pPr>
      <w:bookmarkStart w:name="7. 公允价值变动收益" w:id="205"/>
      <w:bookmarkEnd w:id="205"/>
      <w:r>
        <w:rPr/>
      </w:r>
      <w:r>
        <w:rPr>
          <w:rFonts w:ascii="宋体" w:hAnsi="宋体" w:cs="宋体" w:eastAsia="宋体" w:hint="default"/>
        </w:rPr>
        <w:t>7.</w:t>
      </w:r>
      <w:r>
        <w:rPr>
          <w:rFonts w:ascii="宋体" w:hAnsi="宋体" w:cs="宋体" w:eastAsia="宋体" w:hint="default"/>
          <w:spacing w:val="-2"/>
        </w:rPr>
        <w:t> </w:t>
      </w:r>
      <w:r>
        <w:rPr/>
        <w:t>公允价值变动收益</w:t>
      </w:r>
    </w:p>
    <w:p>
      <w:pPr>
        <w:spacing w:line="240" w:lineRule="auto" w:before="10"/>
        <w:rPr>
          <w:rFonts w:ascii="宋体" w:hAnsi="宋体" w:cs="宋体" w:eastAsia="宋体"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9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-18,517,087.00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11,878,847.00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-18,517,087.00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11,878,847.00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-2,333,342.50</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-20,850,429.50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11,878,847.00</w:t>
            </w:r>
          </w:p>
        </w:tc>
      </w:tr>
    </w:tbl>
    <w:p>
      <w:pPr>
        <w:spacing w:after="0" w:line="240" w:lineRule="auto"/>
        <w:jc w:val="right"/>
        <w:rPr>
          <w:rFonts w:ascii="宋体" w:hAnsi="宋体" w:cs="宋体" w:eastAsia="宋体" w:hint="default"/>
          <w:sz w:val="18"/>
          <w:szCs w:val="18"/>
        </w:rPr>
        <w:sectPr>
          <w:pgSz w:w="11910" w:h="16840"/>
          <w:pgMar w:header="877" w:footer="938" w:top="1100" w:bottom="1120" w:left="1520" w:right="0"/>
        </w:sectPr>
      </w:pPr>
    </w:p>
    <w:p>
      <w:pPr>
        <w:spacing w:line="240" w:lineRule="auto" w:before="2"/>
        <w:rPr>
          <w:rFonts w:ascii="宋体" w:hAnsi="宋体" w:cs="宋体" w:eastAsia="宋体" w:hint="default"/>
          <w:sz w:val="19"/>
          <w:szCs w:val="19"/>
        </w:rPr>
      </w:pPr>
    </w:p>
    <w:p>
      <w:pPr>
        <w:pStyle w:val="BodyText"/>
        <w:spacing w:line="240" w:lineRule="auto" w:before="35"/>
        <w:ind w:left="698" w:right="0"/>
        <w:jc w:val="left"/>
      </w:pPr>
      <w:bookmarkStart w:name="8. 投资收益" w:id="206"/>
      <w:bookmarkEnd w:id="206"/>
      <w:r>
        <w:rPr/>
      </w:r>
      <w:r>
        <w:rPr>
          <w:rFonts w:ascii="宋体" w:hAnsi="宋体" w:cs="宋体" w:eastAsia="宋体" w:hint="default"/>
        </w:rPr>
        <w:t>8. </w:t>
      </w:r>
      <w:r>
        <w:rPr/>
        <w:t>投资收益</w:t>
      </w:r>
    </w:p>
    <w:p>
      <w:pPr>
        <w:spacing w:line="240" w:lineRule="auto" w:before="10"/>
        <w:rPr>
          <w:rFonts w:ascii="宋体" w:hAnsi="宋体" w:cs="宋体" w:eastAsia="宋体" w:hint="default"/>
          <w:sz w:val="12"/>
          <w:szCs w:val="12"/>
        </w:rPr>
      </w:pPr>
    </w:p>
    <w:tbl>
      <w:tblPr>
        <w:tblW w:w="0" w:type="auto"/>
        <w:jc w:val="left"/>
        <w:tblInd w:w="15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9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12,418,379.70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14,310,511.48</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96,079,626.50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-30,849.42</w:t>
            </w:r>
          </w:p>
        </w:tc>
      </w:tr>
      <w:tr>
        <w:trPr>
          <w:trHeight w:val="71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4"/>
              <w:jc w:val="left"/>
              <w:rPr>
                <w:rFonts w:ascii="宋体" w:hAnsi="宋体" w:cs="宋体" w:eastAsia="宋体" w:hint="default"/>
                <w:sz w:val="18"/>
                <w:szCs w:val="18"/>
              </w:rPr>
            </w:pPr>
            <w:r>
              <w:rPr>
                <w:rFonts w:ascii="宋体" w:hAnsi="宋体" w:cs="宋体" w:eastAsia="宋体" w:hint="default"/>
                <w:spacing w:val="6"/>
                <w:sz w:val="18"/>
                <w:szCs w:val="18"/>
              </w:rPr>
              <w:t>处置以公允价值计量且其变动计入当期损益的金融资产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45,750.00</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677,600.00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254,100.00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赎回理财产品取得的投资收益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256,341.28</w:t>
            </w:r>
          </w:p>
        </w:tc>
        <w:tc>
          <w:tcPr>
            <w:tcW w:w="191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109,477,697.48</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14,533,762.06</w:t>
            </w:r>
          </w:p>
        </w:tc>
      </w:tr>
    </w:tbl>
    <w:p>
      <w:pPr>
        <w:spacing w:line="240" w:lineRule="auto" w:before="13"/>
        <w:rPr>
          <w:rFonts w:ascii="宋体" w:hAnsi="宋体" w:cs="宋体" w:eastAsia="宋体" w:hint="default"/>
          <w:sz w:val="25"/>
          <w:szCs w:val="25"/>
        </w:rPr>
      </w:pPr>
    </w:p>
    <w:p>
      <w:pPr>
        <w:pStyle w:val="BodyText"/>
        <w:spacing w:line="240" w:lineRule="auto" w:before="35"/>
        <w:ind w:left="698" w:right="0"/>
        <w:jc w:val="left"/>
      </w:pPr>
      <w:bookmarkStart w:name="9. 营业外收入" w:id="207"/>
      <w:bookmarkEnd w:id="207"/>
      <w:r>
        <w:rPr/>
      </w:r>
      <w:r>
        <w:rPr>
          <w:rFonts w:ascii="宋体" w:hAnsi="宋体" w:cs="宋体" w:eastAsia="宋体" w:hint="default"/>
        </w:rPr>
        <w:t>9.</w:t>
      </w:r>
      <w:r>
        <w:rPr>
          <w:rFonts w:ascii="宋体" w:hAnsi="宋体" w:cs="宋体" w:eastAsia="宋体" w:hint="default"/>
          <w:spacing w:val="-2"/>
        </w:rPr>
        <w:t> </w:t>
      </w:r>
      <w:r>
        <w:rPr/>
        <w:t>营业外收入</w:t>
      </w:r>
    </w:p>
    <w:p>
      <w:pPr>
        <w:pStyle w:val="BodyText"/>
        <w:spacing w:line="240" w:lineRule="auto" w:before="174"/>
        <w:ind w:left="698" w:right="0"/>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1"/>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2828"/>
        <w:gridCol w:w="1953"/>
        <w:gridCol w:w="1955"/>
        <w:gridCol w:w="1848"/>
      </w:tblGrid>
      <w:tr>
        <w:trPr>
          <w:trHeight w:val="838"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91"/>
              <w:ind w:left="467" w:right="203"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448,504.09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438,864.65</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448,504.09</w:t>
            </w:r>
          </w:p>
        </w:tc>
      </w:tr>
      <w:tr>
        <w:trPr>
          <w:trHeight w:val="483"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448,504.09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438,864.64</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448,504.09</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61,160,127.31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11,600,629.48</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57,582,518.22</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其中：税收返还</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4,550,364.00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2,009,583.33</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972,754.91</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61" w:right="0"/>
              <w:jc w:val="left"/>
              <w:rPr>
                <w:rFonts w:ascii="宋体" w:hAnsi="宋体" w:cs="宋体" w:eastAsia="宋体" w:hint="default"/>
                <w:sz w:val="18"/>
                <w:szCs w:val="18"/>
              </w:rPr>
            </w:pPr>
            <w:r>
              <w:rPr>
                <w:rFonts w:ascii="宋体" w:hAnsi="宋体" w:cs="宋体" w:eastAsia="宋体" w:hint="default"/>
                <w:sz w:val="18"/>
                <w:szCs w:val="18"/>
              </w:rPr>
              <w:t>财政补助及奖励</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56,609,763.31</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9,591,046.15</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56,609,763.31</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债务重组利得</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3,745,542.70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2,994,630.51</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3,745,542.70</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578,461.27</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368,867.40</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578,461.27</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2,360,606.56</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2,228,896.54</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2,360,606.56</w:t>
            </w:r>
          </w:p>
        </w:tc>
      </w:tr>
      <w:tr>
        <w:trPr>
          <w:trHeight w:val="484" w:hRule="exact"/>
        </w:trPr>
        <w:tc>
          <w:tcPr>
            <w:tcW w:w="2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68,293,241.93</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17,631,888.58</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64,715,632.84</w:t>
            </w:r>
          </w:p>
        </w:tc>
      </w:tr>
    </w:tbl>
    <w:p>
      <w:pPr>
        <w:pStyle w:val="BodyText"/>
        <w:spacing w:line="357" w:lineRule="auto" w:before="5"/>
        <w:ind w:left="277" w:right="1793" w:firstLine="420"/>
        <w:jc w:val="both"/>
      </w:pPr>
      <w:r>
        <w:rPr>
          <w:rFonts w:ascii="宋体" w:hAnsi="宋体" w:cs="宋体" w:eastAsia="宋体" w:hint="default"/>
        </w:rPr>
        <w:t>[</w:t>
      </w:r>
      <w:r>
        <w:rPr/>
        <w:t>注 </w:t>
      </w:r>
      <w:r>
        <w:rPr>
          <w:rFonts w:ascii="宋体" w:hAnsi="宋体" w:cs="宋体" w:eastAsia="宋体" w:hint="default"/>
          <w:spacing w:val="-4"/>
        </w:rPr>
        <w:t>1]</w:t>
      </w:r>
      <w:r>
        <w:rPr>
          <w:spacing w:val="-4"/>
        </w:rPr>
        <w:t>：大连华能系被当地民政部门认定的社会福利企业，</w:t>
      </w:r>
      <w:r>
        <w:rPr>
          <w:rFonts w:ascii="宋体" w:hAnsi="宋体" w:cs="宋体" w:eastAsia="宋体" w:hint="default"/>
          <w:spacing w:val="-4"/>
        </w:rPr>
        <w:t>2014</w:t>
      </w:r>
      <w:r>
        <w:rPr>
          <w:rFonts w:ascii="宋体" w:hAnsi="宋体" w:cs="宋体" w:eastAsia="宋体" w:hint="default"/>
          <w:spacing w:val="-84"/>
        </w:rPr>
        <w:t> </w:t>
      </w:r>
      <w:r>
        <w:rPr/>
        <w:t>年享受增值税按实际安 置残疾人员的人数每人每年</w:t>
      </w:r>
      <w:r>
        <w:rPr>
          <w:spacing w:val="-66"/>
        </w:rPr>
        <w:t> </w:t>
      </w:r>
      <w:r>
        <w:rPr>
          <w:rFonts w:ascii="宋体" w:hAnsi="宋体" w:cs="宋体" w:eastAsia="宋体" w:hint="default"/>
        </w:rPr>
        <w:t>3.50</w:t>
      </w:r>
      <w:r>
        <w:rPr>
          <w:rFonts w:ascii="宋体" w:hAnsi="宋体" w:cs="宋体" w:eastAsia="宋体" w:hint="default"/>
          <w:spacing w:val="-66"/>
        </w:rPr>
        <w:t> </w:t>
      </w:r>
      <w:r>
        <w:rPr/>
        <w:t>万元的限额即征即退的税收优惠政策。</w:t>
      </w:r>
      <w:r>
        <w:rPr>
          <w:rFonts w:ascii="宋体" w:hAnsi="宋体" w:cs="宋体" w:eastAsia="宋体" w:hint="default"/>
        </w:rPr>
        <w:t>2014</w:t>
      </w:r>
      <w:r>
        <w:rPr>
          <w:rFonts w:ascii="宋体" w:hAnsi="宋体" w:cs="宋体" w:eastAsia="宋体" w:hint="default"/>
          <w:spacing w:val="-64"/>
        </w:rPr>
        <w:t> </w:t>
      </w:r>
      <w:r>
        <w:rPr/>
        <w:t>年大连华能收 到即征即退增值税返还款共计</w:t>
      </w:r>
      <w:r>
        <w:rPr>
          <w:spacing w:val="-45"/>
        </w:rPr>
        <w:t> </w:t>
      </w:r>
      <w:r>
        <w:rPr>
          <w:rFonts w:ascii="宋体" w:hAnsi="宋体" w:cs="宋体" w:eastAsia="宋体" w:hint="default"/>
        </w:rPr>
        <w:t>3,577,609.09</w:t>
      </w:r>
      <w:r>
        <w:rPr>
          <w:rFonts w:ascii="宋体" w:hAnsi="宋体" w:cs="宋体" w:eastAsia="宋体" w:hint="default"/>
          <w:spacing w:val="-45"/>
        </w:rPr>
        <w:t> </w:t>
      </w:r>
      <w:r>
        <w:rPr/>
        <w:t>元；根据浙江省温岭市地方税务局温地税规费</w:t>
      </w:r>
    </w:p>
    <w:p>
      <w:pPr>
        <w:pStyle w:val="BodyText"/>
        <w:spacing w:line="240" w:lineRule="auto"/>
        <w:ind w:left="277" w:right="0"/>
        <w:jc w:val="left"/>
      </w:pPr>
      <w:r>
        <w:rPr/>
        <w:t>〔</w:t>
      </w:r>
      <w:r>
        <w:rPr>
          <w:rFonts w:ascii="宋体" w:hAnsi="宋体" w:cs="宋体" w:eastAsia="宋体" w:hint="default"/>
        </w:rPr>
        <w:t>2014</w:t>
      </w:r>
      <w:r>
        <w:rPr/>
        <w:t>〕</w:t>
      </w:r>
      <w:r>
        <w:rPr>
          <w:rFonts w:ascii="宋体" w:hAnsi="宋体" w:cs="宋体" w:eastAsia="宋体" w:hint="default"/>
        </w:rPr>
        <w:t>3</w:t>
      </w:r>
      <w:r>
        <w:rPr>
          <w:rFonts w:ascii="宋体" w:hAnsi="宋体" w:cs="宋体" w:eastAsia="宋体" w:hint="default"/>
          <w:spacing w:val="-54"/>
        </w:rPr>
        <w:t> </w:t>
      </w:r>
      <w:r>
        <w:rPr/>
        <w:t>号文件，</w:t>
      </w:r>
      <w:r>
        <w:rPr>
          <w:rFonts w:ascii="宋体" w:hAnsi="宋体" w:cs="宋体" w:eastAsia="宋体" w:hint="default"/>
        </w:rPr>
        <w:t>2014</w:t>
      </w:r>
      <w:r>
        <w:rPr>
          <w:rFonts w:ascii="宋体" w:hAnsi="宋体" w:cs="宋体" w:eastAsia="宋体" w:hint="default"/>
          <w:spacing w:val="-55"/>
        </w:rPr>
        <w:t> </w:t>
      </w:r>
      <w:r>
        <w:rPr/>
        <w:t>年公司收到水利建设基金返还金额</w:t>
      </w:r>
      <w:r>
        <w:rPr>
          <w:spacing w:val="-54"/>
        </w:rPr>
        <w:t> </w:t>
      </w:r>
      <w:r>
        <w:rPr>
          <w:rFonts w:ascii="宋体" w:hAnsi="宋体" w:cs="宋体" w:eastAsia="宋体" w:hint="default"/>
        </w:rPr>
        <w:t>972,754.91</w:t>
      </w:r>
      <w:r>
        <w:rPr>
          <w:rFonts w:ascii="宋体" w:hAnsi="宋体" w:cs="宋体" w:eastAsia="宋体" w:hint="default"/>
          <w:spacing w:val="-54"/>
        </w:rPr>
        <w:t> </w:t>
      </w:r>
      <w:r>
        <w:rPr/>
        <w:t>元。</w:t>
      </w:r>
    </w:p>
    <w:p>
      <w:pPr>
        <w:pStyle w:val="BodyText"/>
        <w:spacing w:line="357" w:lineRule="auto" w:before="174"/>
        <w:ind w:left="277" w:right="1794" w:firstLine="420"/>
        <w:jc w:val="both"/>
      </w:pPr>
      <w:r>
        <w:rPr>
          <w:rFonts w:ascii="宋体" w:hAnsi="宋体" w:cs="宋体" w:eastAsia="宋体" w:hint="default"/>
        </w:rPr>
        <w:t>[</w:t>
      </w:r>
      <w:r>
        <w:rPr/>
        <w:t>注</w:t>
      </w:r>
      <w:r>
        <w:rPr>
          <w:spacing w:val="9"/>
        </w:rPr>
        <w:t> </w:t>
      </w:r>
      <w:r>
        <w:rPr>
          <w:rFonts w:ascii="宋体" w:hAnsi="宋体" w:cs="宋体" w:eastAsia="宋体" w:hint="default"/>
        </w:rPr>
        <w:t>2]</w:t>
      </w:r>
      <w:r>
        <w:rPr/>
        <w:t>：根据江苏省无锡市中级人民法院出具的《民事调解书》</w:t>
      </w:r>
      <w:r>
        <w:rPr>
          <w:rFonts w:ascii="宋体" w:hAnsi="宋体" w:cs="宋体" w:eastAsia="宋体" w:hint="default"/>
        </w:rPr>
        <w:t>(</w:t>
      </w:r>
      <w:r>
        <w:rPr/>
        <w:t>〔</w:t>
      </w:r>
      <w:r>
        <w:rPr>
          <w:rFonts w:ascii="宋体" w:hAnsi="宋体" w:cs="宋体" w:eastAsia="宋体" w:hint="default"/>
        </w:rPr>
        <w:t>2012</w:t>
      </w:r>
      <w:r>
        <w:rPr/>
        <w:t>〕锡商外除字 第</w:t>
      </w:r>
      <w:r>
        <w:rPr>
          <w:spacing w:val="-44"/>
        </w:rPr>
        <w:t> </w:t>
      </w:r>
      <w:r>
        <w:rPr>
          <w:rFonts w:ascii="宋体" w:hAnsi="宋体" w:cs="宋体" w:eastAsia="宋体" w:hint="default"/>
        </w:rPr>
        <w:t>32</w:t>
      </w:r>
      <w:r>
        <w:rPr>
          <w:rFonts w:ascii="宋体" w:hAnsi="宋体" w:cs="宋体" w:eastAsia="宋体" w:hint="default"/>
          <w:spacing w:val="-43"/>
        </w:rPr>
        <w:t> </w:t>
      </w:r>
      <w:r>
        <w:rPr>
          <w:spacing w:val="-3"/>
        </w:rPr>
        <w:t>号</w:t>
      </w:r>
      <w:r>
        <w:rPr>
          <w:rFonts w:ascii="宋体" w:hAnsi="宋体" w:cs="宋体" w:eastAsia="宋体" w:hint="default"/>
          <w:spacing w:val="-3"/>
        </w:rPr>
        <w:t>)</w:t>
      </w:r>
      <w:r>
        <w:rPr>
          <w:spacing w:val="-3"/>
        </w:rPr>
        <w:t>，无锡锡泵与日立泵达成和解协议，日立泵本期就豁免无锡锡泵部分债务并全额支</w:t>
      </w:r>
      <w:r>
        <w:rPr>
          <w:spacing w:val="-103"/>
        </w:rPr>
        <w:t> </w:t>
      </w:r>
      <w:r>
        <w:rPr>
          <w:spacing w:val="-103"/>
        </w:rPr>
      </w:r>
      <w:r>
        <w:rPr/>
        <w:t>付余款与无锡锡泵达成一致协议，由此产生债务重组利得。</w:t>
      </w:r>
    </w:p>
    <w:p>
      <w:pPr>
        <w:pStyle w:val="BodyText"/>
        <w:spacing w:line="240" w:lineRule="auto" w:before="71"/>
        <w:ind w:left="698" w:right="0"/>
        <w:jc w:val="left"/>
      </w:pPr>
      <w:r>
        <w:rPr>
          <w:rFonts w:ascii="宋体" w:hAnsi="宋体" w:cs="宋体" w:eastAsia="宋体" w:hint="default"/>
        </w:rPr>
        <w:t>(2)</w:t>
      </w:r>
      <w:r>
        <w:rPr>
          <w:rFonts w:ascii="宋体" w:hAnsi="宋体" w:cs="宋体" w:eastAsia="宋体" w:hint="default"/>
          <w:spacing w:val="-1"/>
        </w:rPr>
        <w:t> </w:t>
      </w:r>
      <w:r>
        <w:rPr/>
        <w:t>政府补助明细</w:t>
      </w:r>
    </w:p>
    <w:p>
      <w:pPr>
        <w:spacing w:after="0" w:line="240" w:lineRule="auto"/>
        <w:jc w:val="left"/>
        <w:sectPr>
          <w:pgSz w:w="11910" w:h="16840"/>
          <w:pgMar w:header="877" w:footer="938" w:top="1100" w:bottom="1120" w:left="1520" w:right="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834"/>
        <w:gridCol w:w="1702"/>
        <w:gridCol w:w="1842"/>
        <w:gridCol w:w="2127"/>
      </w:tblGrid>
      <w:tr>
        <w:trPr>
          <w:trHeight w:val="836"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607" w:right="569"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p>
        </w:tc>
      </w:tr>
      <w:tr>
        <w:trPr>
          <w:trHeight w:val="48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搬迁奖励</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48,120,000.00</w:t>
            </w:r>
          </w:p>
        </w:tc>
        <w:tc>
          <w:tcPr>
            <w:tcW w:w="184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财政奖励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3,881,383.40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2,017,500.00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2,058,870.42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2,692,040.00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科技奖励经费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845,000.00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1,188,400.00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486,646.52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487,131.20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4"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递延收益摊销</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1,217,862.97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563,852.85</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82"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高效电机推广财政补贴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2,642,122.10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85"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56,609,763.31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9,591,046.15</w:t>
            </w:r>
          </w:p>
        </w:tc>
        <w:tc>
          <w:tcPr>
            <w:tcW w:w="2127" w:type="dxa"/>
            <w:tcBorders>
              <w:top w:val="single" w:sz="4" w:space="0" w:color="000000"/>
              <w:left w:val="single" w:sz="4" w:space="0" w:color="000000"/>
              <w:bottom w:val="single" w:sz="4" w:space="0" w:color="000000"/>
              <w:right w:val="nil" w:sz="6" w:space="0" w:color="auto"/>
            </w:tcBorders>
          </w:tcPr>
          <w:p>
            <w:pPr/>
          </w:p>
        </w:tc>
      </w:tr>
    </w:tbl>
    <w:p>
      <w:pPr>
        <w:pStyle w:val="BodyText"/>
        <w:spacing w:line="391" w:lineRule="auto" w:before="6"/>
        <w:ind w:left="677" w:right="4895"/>
        <w:jc w:val="left"/>
      </w:pPr>
      <w:r>
        <w:rPr>
          <w:rFonts w:ascii="宋体" w:hAnsi="宋体" w:cs="宋体" w:eastAsia="宋体" w:hint="default"/>
        </w:rPr>
        <w:t>[</w:t>
      </w:r>
      <w:r>
        <w:rPr/>
        <w:t>注</w:t>
      </w:r>
      <w:r>
        <w:rPr>
          <w:spacing w:val="-56"/>
        </w:rPr>
        <w:t> </w:t>
      </w:r>
      <w:r>
        <w:rPr>
          <w:rFonts w:ascii="宋体" w:hAnsi="宋体" w:cs="宋体" w:eastAsia="宋体" w:hint="default"/>
        </w:rPr>
        <w:t>1]</w:t>
      </w:r>
      <w:r>
        <w:rPr/>
        <w:t>：详见本财务报表附注其他重要事项之说明。 </w:t>
      </w:r>
      <w:r>
        <w:rPr>
          <w:rFonts w:ascii="宋体" w:hAnsi="宋体" w:cs="宋体" w:eastAsia="宋体" w:hint="default"/>
        </w:rPr>
        <w:t>[</w:t>
      </w:r>
      <w:r>
        <w:rPr/>
        <w:t>注</w:t>
      </w:r>
      <w:r>
        <w:rPr>
          <w:spacing w:val="-56"/>
        </w:rPr>
        <w:t> </w:t>
      </w:r>
      <w:r>
        <w:rPr>
          <w:rFonts w:ascii="宋体" w:hAnsi="宋体" w:cs="宋体" w:eastAsia="宋体" w:hint="default"/>
        </w:rPr>
        <w:t>2]</w:t>
      </w:r>
      <w:r>
        <w:rPr/>
        <w:t>：详见本财务报表附注递延收益之说明。</w:t>
      </w:r>
    </w:p>
    <w:p>
      <w:pPr>
        <w:spacing w:line="240" w:lineRule="auto" w:before="0"/>
        <w:rPr>
          <w:rFonts w:ascii="宋体" w:hAnsi="宋体" w:cs="宋体" w:eastAsia="宋体" w:hint="default"/>
          <w:sz w:val="20"/>
          <w:szCs w:val="20"/>
        </w:rPr>
      </w:pPr>
    </w:p>
    <w:p>
      <w:pPr>
        <w:pStyle w:val="BodyText"/>
        <w:spacing w:line="240" w:lineRule="auto" w:before="170"/>
        <w:ind w:left="677" w:right="4895"/>
        <w:jc w:val="left"/>
      </w:pPr>
      <w:bookmarkStart w:name="10. 营业外支出" w:id="208"/>
      <w:bookmarkEnd w:id="208"/>
      <w:r>
        <w:rPr/>
      </w:r>
      <w:r>
        <w:rPr>
          <w:rFonts w:ascii="宋体" w:hAnsi="宋体" w:cs="宋体" w:eastAsia="宋体" w:hint="default"/>
        </w:rPr>
        <w:t>10.</w:t>
      </w:r>
      <w:r>
        <w:rPr>
          <w:rFonts w:ascii="宋体" w:hAnsi="宋体" w:cs="宋体" w:eastAsia="宋体" w:hint="default"/>
          <w:spacing w:val="-1"/>
        </w:rPr>
        <w:t> </w:t>
      </w:r>
      <w:r>
        <w:rPr/>
        <w:t>营业外支出</w:t>
      </w:r>
    </w:p>
    <w:p>
      <w:pPr>
        <w:spacing w:line="240" w:lineRule="auto" w:before="10"/>
        <w:rPr>
          <w:rFonts w:ascii="宋体" w:hAnsi="宋体" w:cs="宋体" w:eastAsia="宋体" w:hint="default"/>
          <w:sz w:val="12"/>
          <w:szCs w:val="12"/>
        </w:rPr>
      </w:pPr>
    </w:p>
    <w:tbl>
      <w:tblPr>
        <w:tblW w:w="0" w:type="auto"/>
        <w:jc w:val="left"/>
        <w:tblInd w:w="127" w:type="dxa"/>
        <w:tblLayout w:type="fixed"/>
        <w:tblCellMar>
          <w:top w:w="0" w:type="dxa"/>
          <w:left w:w="0" w:type="dxa"/>
          <w:bottom w:w="0" w:type="dxa"/>
          <w:right w:w="0" w:type="dxa"/>
        </w:tblCellMar>
        <w:tblLook w:val="01E0"/>
      </w:tblPr>
      <w:tblGrid>
        <w:gridCol w:w="2820"/>
        <w:gridCol w:w="1716"/>
        <w:gridCol w:w="1828"/>
        <w:gridCol w:w="2127"/>
      </w:tblGrid>
      <w:tr>
        <w:trPr>
          <w:trHeight w:val="837"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607" w:right="342" w:hanging="270"/>
              <w:jc w:val="left"/>
              <w:rPr>
                <w:rFonts w:ascii="宋体" w:hAnsi="宋体" w:cs="宋体" w:eastAsia="宋体" w:hint="default"/>
                <w:sz w:val="18"/>
                <w:szCs w:val="18"/>
              </w:rPr>
            </w:pPr>
            <w:r>
              <w:rPr>
                <w:rFonts w:ascii="宋体" w:hAnsi="宋体" w:cs="宋体" w:eastAsia="宋体" w:hint="default"/>
                <w:sz w:val="18"/>
                <w:szCs w:val="18"/>
              </w:rPr>
              <w:t>计入本期非经常性 损益的金额</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2,118,063.33</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1,360,964.99</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2,118,063.33</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1,973,546.54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1,360,964.99</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1,973,546.54</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61"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144,516.79</w:t>
            </w:r>
          </w:p>
        </w:tc>
        <w:tc>
          <w:tcPr>
            <w:tcW w:w="182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144,516.79</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1,158,180.00</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1,063,926.30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1,158,180.00</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285,872.49</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192,370.50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285,872.49</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1,923,772.74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1,757,085.14</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558,083.88</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302,407.43</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558,083.88</w:t>
            </w:r>
          </w:p>
        </w:tc>
      </w:tr>
      <w:tr>
        <w:trPr>
          <w:trHeight w:val="484" w:hRule="exact"/>
        </w:trPr>
        <w:tc>
          <w:tcPr>
            <w:tcW w:w="28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6,043,972.44</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4,676,754.36</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4,120,199.70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5"/>
        <w:ind w:left="678" w:right="4895"/>
        <w:jc w:val="left"/>
      </w:pPr>
      <w:bookmarkStart w:name="11. 所得税费用" w:id="209"/>
      <w:bookmarkEnd w:id="209"/>
      <w:r>
        <w:rPr/>
      </w:r>
      <w:r>
        <w:rPr>
          <w:rFonts w:ascii="宋体" w:hAnsi="宋体" w:cs="宋体" w:eastAsia="宋体" w:hint="default"/>
        </w:rPr>
        <w:t>11.</w:t>
      </w:r>
      <w:r>
        <w:rPr>
          <w:rFonts w:ascii="宋体" w:hAnsi="宋体" w:cs="宋体" w:eastAsia="宋体" w:hint="default"/>
          <w:spacing w:val="-1"/>
        </w:rPr>
        <w:t> </w:t>
      </w:r>
      <w:r>
        <w:rPr/>
        <w:t>所得税费用</w:t>
      </w:r>
    </w:p>
    <w:p>
      <w:pPr>
        <w:pStyle w:val="BodyText"/>
        <w:spacing w:line="240" w:lineRule="auto" w:before="117"/>
        <w:ind w:left="678" w:right="489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9"/>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5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54,673,425.45</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22,176,108.59</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-15,497,557.17</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-1,683,162.49</w:t>
            </w:r>
          </w:p>
        </w:tc>
      </w:tr>
    </w:tbl>
    <w:p>
      <w:pPr>
        <w:spacing w:after="0" w:line="240" w:lineRule="auto"/>
        <w:jc w:val="right"/>
        <w:rPr>
          <w:rFonts w:ascii="宋体" w:hAnsi="宋体" w:cs="宋体" w:eastAsia="宋体" w:hint="default"/>
          <w:sz w:val="18"/>
          <w:szCs w:val="18"/>
        </w:rPr>
        <w:sectPr>
          <w:pgSz w:w="11910" w:h="16840"/>
          <w:pgMar w:header="877" w:footer="938" w:top="1100" w:bottom="1120" w:left="154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33" w:right="0"/>
              <w:jc w:val="left"/>
              <w:rPr>
                <w:rFonts w:ascii="宋体" w:hAnsi="宋体" w:cs="宋体" w:eastAsia="宋体" w:hint="default"/>
                <w:sz w:val="18"/>
                <w:szCs w:val="18"/>
              </w:rPr>
            </w:pPr>
            <w:r>
              <w:rPr>
                <w:rFonts w:ascii="宋体"/>
                <w:sz w:val="18"/>
              </w:rPr>
              <w:t>39,175,868.28</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634" w:right="0"/>
              <w:jc w:val="left"/>
              <w:rPr>
                <w:rFonts w:ascii="宋体" w:hAnsi="宋体" w:cs="宋体" w:eastAsia="宋体" w:hint="default"/>
                <w:sz w:val="18"/>
                <w:szCs w:val="18"/>
              </w:rPr>
            </w:pPr>
            <w:r>
              <w:rPr>
                <w:rFonts w:ascii="宋体"/>
                <w:sz w:val="18"/>
              </w:rPr>
              <w:t>20,492,946.10</w:t>
            </w:r>
          </w:p>
        </w:tc>
      </w:tr>
    </w:tbl>
    <w:p>
      <w:pPr>
        <w:pStyle w:val="BodyText"/>
        <w:spacing w:line="240" w:lineRule="auto" w:before="84"/>
        <w:ind w:left="658" w:right="1688"/>
        <w:jc w:val="left"/>
      </w:pPr>
      <w:r>
        <w:rPr>
          <w:rFonts w:ascii="宋体" w:hAnsi="宋体" w:cs="宋体" w:eastAsia="宋体" w:hint="default"/>
        </w:rPr>
        <w:t>(2)</w:t>
      </w:r>
      <w:r>
        <w:rPr>
          <w:rFonts w:ascii="宋体" w:hAnsi="宋体" w:cs="宋体" w:eastAsia="宋体" w:hint="default"/>
          <w:spacing w:val="-1"/>
        </w:rPr>
        <w:t> </w:t>
      </w:r>
      <w:r>
        <w:rPr/>
        <w:t>会计利润与所得税费用调整过程</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6644"/>
        <w:gridCol w:w="1892"/>
      </w:tblGrid>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252,301,734.52</w:t>
            </w:r>
          </w:p>
        </w:tc>
      </w:tr>
      <w:tr>
        <w:trPr>
          <w:trHeight w:val="485"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Courier New" w:hAnsi="Courier New" w:cs="Courier New" w:eastAsia="Courier New" w:hint="default"/>
                <w:sz w:val="18"/>
                <w:szCs w:val="18"/>
              </w:rPr>
              <w:t>/</w:t>
            </w:r>
            <w:r>
              <w:rPr>
                <w:rFonts w:ascii="宋体" w:hAnsi="宋体" w:cs="宋体" w:eastAsia="宋体" w:hint="default"/>
                <w:sz w:val="18"/>
                <w:szCs w:val="18"/>
              </w:rPr>
              <w:t>适用税率计算的所得税费用</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63,075,433.63</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-22,290,639.76</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宋体" w:hAnsi="宋体" w:cs="宋体" w:eastAsia="宋体" w:hint="default"/>
                <w:sz w:val="18"/>
                <w:szCs w:val="18"/>
              </w:rPr>
            </w:pPr>
            <w:r>
              <w:rPr>
                <w:rFonts w:ascii="宋体"/>
                <w:sz w:val="18"/>
              </w:rPr>
              <w:t>500,413.07</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-15,557,809.75</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研发费、残疾人工资加计扣除的影响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-6,626,653.71</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9,559,117.71</w:t>
            </w:r>
          </w:p>
        </w:tc>
      </w:tr>
      <w:tr>
        <w:trPr>
          <w:trHeight w:val="484"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-4,406,353.91</w:t>
            </w:r>
          </w:p>
        </w:tc>
      </w:tr>
      <w:tr>
        <w:trPr>
          <w:trHeight w:val="482"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14,922,361.00</w:t>
            </w:r>
          </w:p>
        </w:tc>
      </w:tr>
      <w:tr>
        <w:trPr>
          <w:trHeight w:val="485" w:hRule="exact"/>
        </w:trPr>
        <w:tc>
          <w:tcPr>
            <w:tcW w:w="6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宋体" w:hAnsi="宋体" w:cs="宋体" w:eastAsia="宋体" w:hint="default"/>
                <w:sz w:val="18"/>
                <w:szCs w:val="18"/>
              </w:rPr>
            </w:pPr>
            <w:r>
              <w:rPr>
                <w:rFonts w:ascii="宋体"/>
                <w:sz w:val="18"/>
              </w:rPr>
              <w:t>39,175,868.28</w:t>
            </w:r>
          </w:p>
        </w:tc>
      </w:tr>
    </w:tbl>
    <w:p>
      <w:pPr>
        <w:spacing w:line="240" w:lineRule="auto" w:before="7"/>
        <w:rPr>
          <w:rFonts w:ascii="宋体" w:hAnsi="宋体" w:cs="宋体" w:eastAsia="宋体" w:hint="default"/>
          <w:sz w:val="27"/>
          <w:szCs w:val="27"/>
        </w:rPr>
      </w:pPr>
    </w:p>
    <w:p>
      <w:pPr>
        <w:pStyle w:val="BodyText"/>
        <w:spacing w:line="391" w:lineRule="auto" w:before="35"/>
        <w:ind w:left="658" w:right="2318"/>
        <w:jc w:val="left"/>
      </w:pPr>
      <w:bookmarkStart w:name="12. 其他综合收益的税后净额" w:id="210"/>
      <w:bookmarkEnd w:id="210"/>
      <w:r>
        <w:rPr/>
      </w:r>
      <w:r>
        <w:rPr>
          <w:rFonts w:ascii="宋体" w:hAnsi="宋体" w:cs="宋体" w:eastAsia="宋体" w:hint="default"/>
        </w:rPr>
        <w:t>12. </w:t>
      </w:r>
      <w:r>
        <w:rPr/>
        <w:t>其他综合收益的税后净额 其他综合收益的税后净额详见本附注资产负债表项目注释其他综合收益之说明。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0"/>
        <w:ind w:left="658" w:right="1688"/>
        <w:jc w:val="left"/>
      </w:pPr>
      <w:bookmarkStart w:name="(三) 合并现金流量表项目注释" w:id="211"/>
      <w:bookmarkEnd w:id="211"/>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合并现金流量表项目注释</w:t>
      </w:r>
    </w:p>
    <w:p>
      <w:pPr>
        <w:pStyle w:val="BodyText"/>
        <w:spacing w:line="240" w:lineRule="auto" w:before="172"/>
        <w:ind w:left="657" w:right="1688"/>
        <w:jc w:val="left"/>
      </w:pPr>
      <w:bookmarkStart w:name="1. 收到其他与经营活动有关的现金" w:id="212"/>
      <w:bookmarkEnd w:id="212"/>
      <w:r>
        <w:rPr/>
      </w:r>
      <w:r>
        <w:rPr>
          <w:rFonts w:ascii="宋体" w:hAnsi="宋体" w:cs="宋体" w:eastAsia="宋体" w:hint="default"/>
        </w:rPr>
        <w:t>1.</w:t>
      </w:r>
      <w:r>
        <w:rPr>
          <w:rFonts w:ascii="宋体" w:hAnsi="宋体" w:cs="宋体" w:eastAsia="宋体" w:hint="default"/>
          <w:spacing w:val="-2"/>
        </w:rPr>
        <w:t> </w:t>
      </w:r>
      <w:r>
        <w:rPr/>
        <w:t>收到其他与经营活动有关的现金</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3" w:right="0"/>
              <w:jc w:val="left"/>
              <w:rPr>
                <w:rFonts w:ascii="宋体" w:hAnsi="宋体" w:cs="宋体" w:eastAsia="宋体" w:hint="default"/>
                <w:sz w:val="18"/>
                <w:szCs w:val="18"/>
              </w:rPr>
            </w:pPr>
            <w:r>
              <w:rPr>
                <w:rFonts w:ascii="宋体"/>
                <w:sz w:val="18"/>
              </w:rPr>
              <w:t>5,917,864.64</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6,385,071.20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3" w:right="0"/>
              <w:jc w:val="left"/>
              <w:rPr>
                <w:rFonts w:ascii="宋体" w:hAnsi="宋体" w:cs="宋体" w:eastAsia="宋体" w:hint="default"/>
                <w:sz w:val="18"/>
                <w:szCs w:val="18"/>
              </w:rPr>
            </w:pPr>
            <w:r>
              <w:rPr>
                <w:rFonts w:ascii="宋体"/>
                <w:sz w:val="18"/>
              </w:rPr>
              <w:t>6,413,138.46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14,059,860.66</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收回的保证金及押金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33" w:right="0"/>
              <w:jc w:val="left"/>
              <w:rPr>
                <w:rFonts w:ascii="宋体" w:hAnsi="宋体" w:cs="宋体" w:eastAsia="宋体" w:hint="default"/>
                <w:sz w:val="18"/>
                <w:szCs w:val="18"/>
              </w:rPr>
            </w:pPr>
            <w:r>
              <w:rPr>
                <w:rFonts w:ascii="宋体"/>
                <w:sz w:val="18"/>
              </w:rPr>
              <w:t>56,450,924.67</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51,876,143.85</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收回的暂借款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33" w:right="0"/>
              <w:jc w:val="left"/>
              <w:rPr>
                <w:rFonts w:ascii="宋体" w:hAnsi="宋体" w:cs="宋体" w:eastAsia="宋体" w:hint="default"/>
                <w:sz w:val="18"/>
                <w:szCs w:val="18"/>
              </w:rPr>
            </w:pPr>
            <w:r>
              <w:rPr>
                <w:rFonts w:ascii="宋体"/>
                <w:sz w:val="18"/>
              </w:rPr>
              <w:t>11,427,816.67</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4,366,521.99</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收到的银行存款利息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3" w:right="0"/>
              <w:jc w:val="left"/>
              <w:rPr>
                <w:rFonts w:ascii="宋体" w:hAnsi="宋体" w:cs="宋体" w:eastAsia="宋体" w:hint="default"/>
                <w:sz w:val="18"/>
                <w:szCs w:val="18"/>
              </w:rPr>
            </w:pPr>
            <w:r>
              <w:rPr>
                <w:rFonts w:ascii="宋体"/>
                <w:sz w:val="18"/>
              </w:rPr>
              <w:t>2,727,032.10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1,514,729.41</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3" w:right="0"/>
              <w:jc w:val="left"/>
              <w:rPr>
                <w:rFonts w:ascii="宋体" w:hAnsi="宋体" w:cs="宋体" w:eastAsia="宋体" w:hint="default"/>
                <w:sz w:val="18"/>
                <w:szCs w:val="18"/>
              </w:rPr>
            </w:pPr>
            <w:r>
              <w:rPr>
                <w:rFonts w:ascii="宋体"/>
                <w:sz w:val="18"/>
              </w:rPr>
              <w:t>2,954,000.92</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660,339.85</w:t>
            </w:r>
          </w:p>
        </w:tc>
      </w:tr>
      <w:tr>
        <w:trPr>
          <w:trHeight w:val="48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3" w:right="0"/>
              <w:jc w:val="left"/>
              <w:rPr>
                <w:rFonts w:ascii="宋体" w:hAnsi="宋体" w:cs="宋体" w:eastAsia="宋体" w:hint="default"/>
                <w:sz w:val="18"/>
                <w:szCs w:val="18"/>
              </w:rPr>
            </w:pPr>
            <w:r>
              <w:rPr>
                <w:rFonts w:ascii="宋体"/>
                <w:sz w:val="18"/>
              </w:rPr>
              <w:t>85,890,777.46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78,862,666.96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left="658" w:right="1688"/>
        <w:jc w:val="left"/>
      </w:pPr>
      <w:bookmarkStart w:name="2. 支付其他与经营活动有关的现金" w:id="213"/>
      <w:bookmarkEnd w:id="213"/>
      <w:r>
        <w:rPr/>
      </w:r>
      <w:r>
        <w:rPr>
          <w:rFonts w:ascii="宋体" w:hAnsi="宋体" w:cs="宋体" w:eastAsia="宋体" w:hint="default"/>
        </w:rPr>
        <w:t>2.</w:t>
      </w:r>
      <w:r>
        <w:rPr>
          <w:rFonts w:ascii="宋体" w:hAnsi="宋体" w:cs="宋体" w:eastAsia="宋体" w:hint="default"/>
          <w:spacing w:val="-2"/>
        </w:rPr>
        <w:t> </w:t>
      </w:r>
      <w:r>
        <w:rPr/>
        <w:t>支付其他与经营活动有关的现金</w:t>
      </w:r>
    </w:p>
    <w:p>
      <w:pPr>
        <w:spacing w:after="0" w:line="240" w:lineRule="auto"/>
        <w:jc w:val="left"/>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15"/>
        <w:gridCol w:w="1914"/>
        <w:gridCol w:w="1914"/>
      </w:tblGrid>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99,977,677.86</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58,228,337.23</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113,613,420.12</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96,502,738.12</w:t>
            </w:r>
          </w:p>
        </w:tc>
      </w:tr>
      <w:tr>
        <w:trPr>
          <w:trHeight w:val="482"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支付的保证金及押金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82,226,403.44</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73,306,744.79</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122,976,811.85</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10,711,941.84</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支付的暂借款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48,825,859.60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10,874,343.43</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付现的银行手续费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2,747,863.13</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3,884,322.38</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4,125,076.78</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1,348,385.33</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474,493,112.78</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254,856,813.12</w:t>
            </w: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3. 收到其他与投资活动有关的现金" w:id="214"/>
      <w:bookmarkEnd w:id="214"/>
      <w:r>
        <w:rPr/>
      </w:r>
      <w:r>
        <w:rPr>
          <w:rFonts w:ascii="宋体" w:hAnsi="宋体" w:cs="宋体" w:eastAsia="宋体" w:hint="default"/>
        </w:rPr>
        <w:t>3.</w:t>
      </w:r>
      <w:r>
        <w:rPr>
          <w:rFonts w:ascii="宋体" w:hAnsi="宋体" w:cs="宋体" w:eastAsia="宋体" w:hint="default"/>
          <w:spacing w:val="-2"/>
        </w:rPr>
        <w:t> </w:t>
      </w:r>
      <w:r>
        <w:rPr/>
        <w:t>收到其他与投资活动有关的现金</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715"/>
        <w:gridCol w:w="1914"/>
        <w:gridCol w:w="1914"/>
      </w:tblGrid>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收到土地收购款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185,620,000.00</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12,472,300.00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34,171,825.00</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收回股权收购意向金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5,000,000.00</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理财产品到期赎回本金及收益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124,592,091.28</w:t>
            </w:r>
          </w:p>
        </w:tc>
        <w:tc>
          <w:tcPr>
            <w:tcW w:w="191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收回土地投标保证金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26,246,600.00</w:t>
            </w:r>
          </w:p>
        </w:tc>
        <w:tc>
          <w:tcPr>
            <w:tcW w:w="191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163,310,991.28</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224,791,825.00</w:t>
            </w:r>
          </w:p>
        </w:tc>
      </w:tr>
    </w:tbl>
    <w:p>
      <w:pPr>
        <w:spacing w:line="240" w:lineRule="auto" w:before="0"/>
        <w:rPr>
          <w:rFonts w:ascii="宋体" w:hAnsi="宋体" w:cs="宋体" w:eastAsia="宋体" w:hint="default"/>
          <w:sz w:val="20"/>
          <w:szCs w:val="20"/>
        </w:rPr>
      </w:pPr>
    </w:p>
    <w:p>
      <w:pPr>
        <w:pStyle w:val="BodyText"/>
        <w:spacing w:line="240" w:lineRule="auto" w:before="176"/>
        <w:ind w:left="658" w:right="1688"/>
        <w:jc w:val="left"/>
      </w:pPr>
      <w:bookmarkStart w:name="4. 支付其他与投资活动有关的现金" w:id="215"/>
      <w:bookmarkEnd w:id="215"/>
      <w:r>
        <w:rPr/>
      </w:r>
      <w:r>
        <w:rPr>
          <w:rFonts w:ascii="宋体" w:hAnsi="宋体" w:cs="宋体" w:eastAsia="宋体" w:hint="default"/>
        </w:rPr>
        <w:t>4.</w:t>
      </w:r>
      <w:r>
        <w:rPr>
          <w:rFonts w:ascii="宋体" w:hAnsi="宋体" w:cs="宋体" w:eastAsia="宋体" w:hint="default"/>
          <w:spacing w:val="-2"/>
        </w:rPr>
        <w:t> </w:t>
      </w:r>
      <w:r>
        <w:rPr/>
        <w:t>支付其他与投资活动有关的现金</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15"/>
        <w:gridCol w:w="1914"/>
        <w:gridCol w:w="1914"/>
      </w:tblGrid>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1"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支付的股权收购款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14,400,000.00</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支付购买的理财产品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108,790,000.00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10,000,000.00</w:t>
            </w: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支付长期资产购置保证金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75,760.00</w:t>
            </w:r>
          </w:p>
        </w:tc>
        <w:tc>
          <w:tcPr>
            <w:tcW w:w="191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108,865,760.00</w:t>
            </w:r>
          </w:p>
        </w:tc>
        <w:tc>
          <w:tcPr>
            <w:tcW w:w="19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24,400,000.00</w:t>
            </w:r>
          </w:p>
        </w:tc>
      </w:tr>
    </w:tbl>
    <w:p>
      <w:pPr>
        <w:spacing w:line="240" w:lineRule="auto" w:before="0"/>
        <w:rPr>
          <w:rFonts w:ascii="宋体" w:hAnsi="宋体" w:cs="宋体" w:eastAsia="宋体" w:hint="default"/>
          <w:sz w:val="20"/>
          <w:szCs w:val="20"/>
        </w:rPr>
      </w:pPr>
    </w:p>
    <w:p>
      <w:pPr>
        <w:pStyle w:val="BodyText"/>
        <w:spacing w:line="240" w:lineRule="auto" w:before="176"/>
        <w:ind w:left="658" w:right="1688"/>
        <w:jc w:val="left"/>
      </w:pPr>
      <w:bookmarkStart w:name="5. 收到其他与筹资活动有关的现金" w:id="216"/>
      <w:bookmarkEnd w:id="216"/>
      <w:r>
        <w:rPr/>
      </w:r>
      <w:r>
        <w:rPr>
          <w:rFonts w:ascii="宋体" w:hAnsi="宋体" w:cs="宋体" w:eastAsia="宋体" w:hint="default"/>
        </w:rPr>
        <w:t>5.</w:t>
      </w:r>
      <w:r>
        <w:rPr>
          <w:rFonts w:ascii="宋体" w:hAnsi="宋体" w:cs="宋体" w:eastAsia="宋体" w:hint="default"/>
          <w:spacing w:val="-3"/>
        </w:rPr>
        <w:t> </w:t>
      </w:r>
      <w:r>
        <w:rPr/>
        <w:t>收到其他与筹资活动有关的现金</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取得出口押汇借款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宋体" w:hAnsi="宋体" w:cs="宋体" w:eastAsia="宋体" w:hint="default"/>
                <w:sz w:val="18"/>
                <w:szCs w:val="18"/>
              </w:rPr>
            </w:pPr>
            <w:r>
              <w:rPr>
                <w:rFonts w:ascii="宋体"/>
                <w:sz w:val="18"/>
              </w:rPr>
              <w:t>163,119,557.56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44" w:right="0"/>
              <w:jc w:val="left"/>
              <w:rPr>
                <w:rFonts w:ascii="宋体" w:hAnsi="宋体" w:cs="宋体" w:eastAsia="宋体" w:hint="default"/>
                <w:sz w:val="18"/>
                <w:szCs w:val="18"/>
              </w:rPr>
            </w:pPr>
            <w:r>
              <w:rPr>
                <w:rFonts w:ascii="宋体"/>
                <w:sz w:val="18"/>
              </w:rPr>
              <w:t>307,396,630.41</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取得出口打包借款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324,038,596.00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463,000,000.00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487,158,153.56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770,396,630.41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5"/>
        <w:ind w:left="658" w:right="1688"/>
        <w:jc w:val="left"/>
      </w:pPr>
      <w:bookmarkStart w:name="6. 支付其他与筹资活动有关的现金" w:id="217"/>
      <w:bookmarkEnd w:id="217"/>
      <w:r>
        <w:rPr/>
      </w:r>
      <w:r>
        <w:rPr>
          <w:rFonts w:ascii="宋体" w:hAnsi="宋体" w:cs="宋体" w:eastAsia="宋体" w:hint="default"/>
        </w:rPr>
        <w:t>6.</w:t>
      </w:r>
      <w:r>
        <w:rPr>
          <w:rFonts w:ascii="宋体" w:hAnsi="宋体" w:cs="宋体" w:eastAsia="宋体" w:hint="default"/>
          <w:spacing w:val="-3"/>
        </w:rPr>
        <w:t> </w:t>
      </w:r>
      <w:r>
        <w:rPr/>
        <w:t>支付其他与筹资活动有关的现金</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归还出口押汇借款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395,038,596.00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346,585,014.44</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归还出口打包借款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185,927,564.48</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450,100,000.00</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非公开发行股票中介机构费用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6,038,689.46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3,235,251.31</w:t>
            </w:r>
          </w:p>
        </w:tc>
      </w:tr>
      <w:tr>
        <w:trPr>
          <w:trHeight w:val="48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587,004,849.94</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799,920,265.75</w:t>
            </w:r>
          </w:p>
        </w:tc>
      </w:tr>
    </w:tbl>
    <w:p>
      <w:pPr>
        <w:spacing w:line="240" w:lineRule="auto" w:before="7"/>
        <w:rPr>
          <w:rFonts w:ascii="宋体" w:hAnsi="宋体" w:cs="宋体" w:eastAsia="宋体" w:hint="default"/>
          <w:sz w:val="27"/>
          <w:szCs w:val="27"/>
        </w:rPr>
      </w:pPr>
    </w:p>
    <w:p>
      <w:pPr>
        <w:pStyle w:val="BodyText"/>
        <w:spacing w:line="240" w:lineRule="auto" w:before="35"/>
        <w:ind w:left="658" w:right="1688"/>
        <w:jc w:val="left"/>
      </w:pPr>
      <w:bookmarkStart w:name="7. 现金流量表补充资料" w:id="218"/>
      <w:bookmarkEnd w:id="218"/>
      <w:r>
        <w:rPr/>
      </w:r>
      <w:r>
        <w:rPr>
          <w:rFonts w:ascii="宋体" w:hAnsi="宋体" w:cs="宋体" w:eastAsia="宋体" w:hint="default"/>
        </w:rPr>
        <w:t>7.</w:t>
      </w:r>
      <w:r>
        <w:rPr>
          <w:rFonts w:ascii="宋体" w:hAnsi="宋体" w:cs="宋体" w:eastAsia="宋体" w:hint="default"/>
          <w:spacing w:val="-2"/>
        </w:rPr>
        <w:t> </w:t>
      </w:r>
      <w:r>
        <w:rPr/>
        <w:t>现金流量表补充资料</w:t>
      </w:r>
    </w:p>
    <w:p>
      <w:pPr>
        <w:pStyle w:val="BodyText"/>
        <w:spacing w:line="240" w:lineRule="auto" w:before="175"/>
        <w:ind w:left="658" w:right="1688"/>
        <w:jc w:val="left"/>
      </w:pPr>
      <w:bookmarkStart w:name="(1) 现金流量表补充资料" w:id="219"/>
      <w:bookmarkEnd w:id="219"/>
      <w:r>
        <w:rPr/>
      </w:r>
      <w:r>
        <w:rPr>
          <w:rFonts w:ascii="宋体" w:hAnsi="宋体" w:cs="宋体" w:eastAsia="宋体" w:hint="default"/>
        </w:rPr>
        <w:t>(1)</w:t>
      </w:r>
      <w:r>
        <w:rPr>
          <w:rFonts w:ascii="宋体" w:hAnsi="宋体" w:cs="宋体" w:eastAsia="宋体" w:hint="default"/>
          <w:spacing w:val="-1"/>
        </w:rPr>
        <w:t> </w:t>
      </w:r>
      <w:r>
        <w:rPr/>
        <w:t>现金流量表补充资料</w:t>
      </w:r>
    </w:p>
    <w:p>
      <w:pPr>
        <w:spacing w:line="240" w:lineRule="auto" w:before="11"/>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762"/>
        <w:gridCol w:w="1875"/>
        <w:gridCol w:w="1876"/>
      </w:tblGrid>
      <w:tr>
        <w:trPr>
          <w:trHeight w:val="48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213,125,866.24</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52,602,070.53</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1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54,692,258.71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25,677,947.63</w:t>
            </w:r>
          </w:p>
        </w:tc>
      </w:tr>
      <w:tr>
        <w:trPr>
          <w:trHeight w:val="836"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818" w:right="15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71,570,613.83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78,171,902.69</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10,519,920.41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8,051,809.58</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2,138,942.73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1,385,260.68</w:t>
            </w:r>
          </w:p>
        </w:tc>
      </w:tr>
      <w:tr>
        <w:trPr>
          <w:trHeight w:val="838"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91"/>
              <w:ind w:left="818" w:right="33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1,669,559.24</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922,100.35</w:t>
            </w:r>
          </w:p>
        </w:tc>
      </w:tr>
      <w:tr>
        <w:trPr>
          <w:trHeight w:val="48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00"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00"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20,850,429.50</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-11,878,847.00</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00"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16,445,452.13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24,786,133.63</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00"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-109,477,697.48</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-14,533,762.06</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534"/>
              <w:jc w:val="righ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-12,767,708.59</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-3,464,989.54</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534"/>
              <w:jc w:val="righ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-2,777,563.05</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1,781,827.05</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00"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-89,872,349.81</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-25,575,812.17</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62"/>
        <w:gridCol w:w="1875"/>
        <w:gridCol w:w="1876"/>
      </w:tblGrid>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54"/>
              <w:jc w:val="right"/>
              <w:rPr>
                <w:rFonts w:ascii="宋体" w:hAnsi="宋体" w:cs="宋体" w:eastAsia="宋体" w:hint="default"/>
                <w:sz w:val="18"/>
                <w:szCs w:val="18"/>
              </w:rPr>
            </w:pPr>
            <w:r>
              <w:rPr>
                <w:rFonts w:ascii="宋体" w:hAnsi="宋体" w:cs="宋体" w:eastAsia="宋体" w:hint="default"/>
                <w:sz w:val="18"/>
                <w:szCs w:val="18"/>
              </w:rPr>
              <w:t>经营性应收项目的减少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-289,754,414.82</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-152,865,180.91</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354"/>
              <w:jc w:val="right"/>
              <w:rPr>
                <w:rFonts w:ascii="宋体" w:hAnsi="宋体" w:cs="宋体" w:eastAsia="宋体" w:hint="default"/>
                <w:sz w:val="18"/>
                <w:szCs w:val="18"/>
              </w:rPr>
            </w:pPr>
            <w:r>
              <w:rPr>
                <w:rFonts w:ascii="宋体" w:hAnsi="宋体" w:cs="宋体" w:eastAsia="宋体" w:hint="default"/>
                <w:sz w:val="18"/>
                <w:szCs w:val="18"/>
              </w:rPr>
              <w:t>经营性应付项目的增加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3,659,468.87</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61,465,181.09</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00"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-109,977,222.09</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46,525,641.55</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1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1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51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129,290,089.66</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442,582,837.03</w:t>
            </w: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442,582,837.03</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118,547,468.24</w:t>
            </w:r>
          </w:p>
        </w:tc>
      </w:tr>
      <w:tr>
        <w:trPr>
          <w:trHeight w:val="482"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1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75" w:type="dxa"/>
            <w:tcBorders>
              <w:top w:val="single" w:sz="4" w:space="0" w:color="000000"/>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-313,292,747.37</w:t>
            </w:r>
          </w:p>
        </w:tc>
        <w:tc>
          <w:tcPr>
            <w:tcW w:w="18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324,035,368.79</w:t>
            </w:r>
          </w:p>
        </w:tc>
      </w:tr>
    </w:tbl>
    <w:p>
      <w:pPr>
        <w:pStyle w:val="BodyText"/>
        <w:spacing w:line="240" w:lineRule="auto" w:before="85"/>
        <w:ind w:left="658" w:right="1688"/>
        <w:jc w:val="left"/>
      </w:pPr>
      <w:bookmarkStart w:name="(2) 本期支付的取得子公司的现金净额" w:id="220"/>
      <w:bookmarkEnd w:id="220"/>
      <w:r>
        <w:rPr/>
      </w:r>
      <w:r>
        <w:rPr>
          <w:rFonts w:ascii="宋体" w:hAnsi="宋体" w:cs="宋体" w:eastAsia="宋体" w:hint="default"/>
        </w:rPr>
        <w:t>(2)</w:t>
      </w:r>
      <w:r>
        <w:rPr>
          <w:rFonts w:ascii="宋体" w:hAnsi="宋体" w:cs="宋体" w:eastAsia="宋体" w:hint="default"/>
          <w:spacing w:val="-1"/>
        </w:rPr>
        <w:t> </w:t>
      </w:r>
      <w:r>
        <w:rPr/>
        <w:t>本期支付的取得子公司的现金净额</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08"/>
        <w:gridCol w:w="1966"/>
      </w:tblGrid>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339,969,507.17</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其中：上海漫酷公司</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129,500,000.00</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22" w:right="0"/>
              <w:jc w:val="left"/>
              <w:rPr>
                <w:rFonts w:ascii="宋体" w:hAnsi="宋体" w:cs="宋体" w:eastAsia="宋体" w:hint="default"/>
                <w:sz w:val="18"/>
                <w:szCs w:val="18"/>
              </w:rPr>
            </w:pPr>
            <w:r>
              <w:rPr>
                <w:rFonts w:ascii="宋体" w:hAnsi="宋体" w:cs="宋体" w:eastAsia="宋体" w:hint="default"/>
                <w:sz w:val="18"/>
                <w:szCs w:val="18"/>
              </w:rPr>
              <w:t>上海氩氪公司</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112,969,502.60</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22" w:right="0"/>
              <w:jc w:val="left"/>
              <w:rPr>
                <w:rFonts w:ascii="宋体" w:hAnsi="宋体" w:cs="宋体" w:eastAsia="宋体" w:hint="default"/>
                <w:sz w:val="18"/>
                <w:szCs w:val="18"/>
              </w:rPr>
            </w:pPr>
            <w:r>
              <w:rPr>
                <w:rFonts w:ascii="宋体" w:hAnsi="宋体" w:cs="宋体" w:eastAsia="宋体" w:hint="default"/>
                <w:sz w:val="18"/>
                <w:szCs w:val="18"/>
              </w:rPr>
              <w:t>琥珀传播公司</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97,500,004.57</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19,303,541.17</w:t>
            </w:r>
          </w:p>
        </w:tc>
      </w:tr>
      <w:tr>
        <w:trPr>
          <w:trHeight w:val="482"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其中：上海漫酷公司</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2,647,708.08</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22" w:right="0"/>
              <w:jc w:val="left"/>
              <w:rPr>
                <w:rFonts w:ascii="宋体" w:hAnsi="宋体" w:cs="宋体" w:eastAsia="宋体" w:hint="default"/>
                <w:sz w:val="18"/>
                <w:szCs w:val="18"/>
              </w:rPr>
            </w:pPr>
            <w:r>
              <w:rPr>
                <w:rFonts w:ascii="宋体" w:hAnsi="宋体" w:cs="宋体" w:eastAsia="宋体" w:hint="default"/>
                <w:sz w:val="18"/>
                <w:szCs w:val="18"/>
              </w:rPr>
              <w:t>上海氩氪公司</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6,636,474.33</w:t>
            </w: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22" w:right="0"/>
              <w:jc w:val="left"/>
              <w:rPr>
                <w:rFonts w:ascii="宋体" w:hAnsi="宋体" w:cs="宋体" w:eastAsia="宋体" w:hint="default"/>
                <w:sz w:val="18"/>
                <w:szCs w:val="18"/>
              </w:rPr>
            </w:pPr>
            <w:r>
              <w:rPr>
                <w:rFonts w:ascii="宋体" w:hAnsi="宋体" w:cs="宋体" w:eastAsia="宋体" w:hint="default"/>
                <w:sz w:val="18"/>
                <w:szCs w:val="18"/>
              </w:rPr>
              <w:t>琥珀传播公司</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10,019,358.76</w:t>
            </w:r>
          </w:p>
        </w:tc>
      </w:tr>
      <w:tr>
        <w:trPr>
          <w:trHeight w:val="718"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122" w:right="78"/>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 价物</w:t>
            </w:r>
          </w:p>
        </w:tc>
        <w:tc>
          <w:tcPr>
            <w:tcW w:w="1966" w:type="dxa"/>
            <w:tcBorders>
              <w:top w:val="single" w:sz="4" w:space="0" w:color="000000"/>
              <w:left w:val="single" w:sz="4" w:space="0" w:color="000000"/>
              <w:bottom w:val="single" w:sz="4" w:space="0" w:color="000000"/>
              <w:right w:val="nil" w:sz="6" w:space="0" w:color="auto"/>
            </w:tcBorders>
          </w:tcPr>
          <w:p>
            <w:pPr/>
          </w:p>
        </w:tc>
      </w:tr>
      <w:tr>
        <w:trPr>
          <w:trHeight w:val="48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82" w:right="0"/>
              <w:jc w:val="left"/>
              <w:rPr>
                <w:rFonts w:ascii="宋体" w:hAnsi="宋体" w:cs="宋体" w:eastAsia="宋体" w:hint="default"/>
                <w:sz w:val="18"/>
                <w:szCs w:val="18"/>
              </w:rPr>
            </w:pPr>
            <w:r>
              <w:rPr>
                <w:rFonts w:ascii="宋体" w:hAnsi="宋体" w:cs="宋体" w:eastAsia="宋体" w:hint="default"/>
                <w:sz w:val="18"/>
                <w:szCs w:val="18"/>
              </w:rPr>
              <w:t>其中：上海漫酷公司</w:t>
            </w:r>
          </w:p>
        </w:tc>
        <w:tc>
          <w:tcPr>
            <w:tcW w:w="196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22" w:right="0"/>
              <w:jc w:val="left"/>
              <w:rPr>
                <w:rFonts w:ascii="宋体" w:hAnsi="宋体" w:cs="宋体" w:eastAsia="宋体" w:hint="default"/>
                <w:sz w:val="18"/>
                <w:szCs w:val="18"/>
              </w:rPr>
            </w:pPr>
            <w:r>
              <w:rPr>
                <w:rFonts w:ascii="宋体" w:hAnsi="宋体" w:cs="宋体" w:eastAsia="宋体" w:hint="default"/>
                <w:sz w:val="18"/>
                <w:szCs w:val="18"/>
              </w:rPr>
              <w:t>上海氩氪公司</w:t>
            </w:r>
          </w:p>
        </w:tc>
        <w:tc>
          <w:tcPr>
            <w:tcW w:w="196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22" w:right="0"/>
              <w:jc w:val="left"/>
              <w:rPr>
                <w:rFonts w:ascii="宋体" w:hAnsi="宋体" w:cs="宋体" w:eastAsia="宋体" w:hint="default"/>
                <w:sz w:val="18"/>
                <w:szCs w:val="18"/>
              </w:rPr>
            </w:pPr>
            <w:r>
              <w:rPr>
                <w:rFonts w:ascii="宋体" w:hAnsi="宋体" w:cs="宋体" w:eastAsia="宋体" w:hint="default"/>
                <w:sz w:val="18"/>
                <w:szCs w:val="18"/>
              </w:rPr>
              <w:t>琥珀传播公司</w:t>
            </w:r>
          </w:p>
        </w:tc>
        <w:tc>
          <w:tcPr>
            <w:tcW w:w="196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2"/>
        <w:rPr>
          <w:rFonts w:ascii="宋体" w:hAnsi="宋体" w:cs="宋体" w:eastAsia="宋体" w:hint="default"/>
          <w:sz w:val="24"/>
          <w:szCs w:val="24"/>
        </w:rPr>
      </w:pPr>
    </w:p>
    <w:p>
      <w:pPr>
        <w:spacing w:line="502" w:lineRule="exact"/>
        <w:ind w:left="110"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334.2pt;height:25.15pt;mso-position-horizontal-relative:char;mso-position-vertical-relative:line" coordorigin="0,0" coordsize="6684,503">
            <v:group style="position:absolute;left:19;top:10;width:4689;height:2" coordorigin="19,10" coordsize="4689,2">
              <v:shape style="position:absolute;left:19;top:10;width:4689;height:2" coordorigin="19,10" coordsize="4689,0" path="m19,10l4708,10e" filled="false" stroked="true" strokeweight=".48pt" strokecolor="#000000">
                <v:path arrowok="t"/>
              </v:shape>
            </v:group>
            <v:group style="position:absolute;left:4718;top:10;width:1962;height:2" coordorigin="4718,10" coordsize="1962,2">
              <v:shape style="position:absolute;left:4718;top:10;width:1962;height:2" coordorigin="4718,10" coordsize="1962,0" path="m4718,10l6679,10e" filled="false" stroked="true" strokeweight=".48pt" strokecolor="#000000">
                <v:path arrowok="t"/>
              </v:shape>
            </v:group>
            <v:group style="position:absolute;left:5;top:493;width:4704;height:2" coordorigin="5,493" coordsize="4704,2">
              <v:shape style="position:absolute;left:5;top:493;width:4704;height:2" coordorigin="5,493" coordsize="4704,0" path="m5,493l4708,493e" filled="false" stroked="true" strokeweight=".48pt" strokecolor="#000000">
                <v:path arrowok="t"/>
              </v:shape>
            </v:group>
            <v:group style="position:absolute;left:4713;top:5;width:2;height:494" coordorigin="4713,5" coordsize="2,494">
              <v:shape style="position:absolute;left:4713;top:5;width:2;height:494" coordorigin="4713,5" coordsize="0,494" path="m4713,5l4713,498e" filled="false" stroked="true" strokeweight=".48pt" strokecolor="#000000">
                <v:path arrowok="t"/>
              </v:shape>
            </v:group>
            <v:group style="position:absolute;left:4718;top:493;width:1962;height:2" coordorigin="4718,493" coordsize="1962,2">
              <v:shape style="position:absolute;left:4718;top:493;width:1962;height:2" coordorigin="4718,493" coordsize="1962,0" path="m4718,493l6679,493e" filled="false" stroked="true" strokeweight=".48pt" strokecolor="#000000">
                <v:path arrowok="t"/>
              </v:shape>
              <v:shape style="position:absolute;left:127;top:160;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xbxContent>
                </v:textbox>
                <w10:wrap type="none"/>
              </v:shape>
              <v:shape style="position:absolute;left:5309;top:160;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320,665,966.00</w:t>
                      </w:r>
                    </w:p>
                  </w:txbxContent>
                </v:textbox>
                <w10:wrap type="none"/>
              </v:shape>
            </v:group>
          </v:group>
        </w:pict>
      </w:r>
      <w:r>
        <w:rPr>
          <w:rFonts w:ascii="宋体" w:hAnsi="宋体" w:cs="宋体" w:eastAsia="宋体" w:hint="default"/>
          <w:position w:val="-9"/>
          <w:sz w:val="20"/>
          <w:szCs w:val="20"/>
        </w:rPr>
      </w:r>
    </w:p>
    <w:p>
      <w:pPr>
        <w:pStyle w:val="BodyText"/>
        <w:spacing w:line="240" w:lineRule="auto" w:before="80"/>
        <w:ind w:left="658" w:right="1688"/>
        <w:jc w:val="left"/>
      </w:pPr>
      <w:bookmarkStart w:name="(3) 现金和现金等价物的构成" w:id="221"/>
      <w:bookmarkEnd w:id="221"/>
      <w:r>
        <w:rPr/>
      </w:r>
      <w:r>
        <w:rPr>
          <w:rFonts w:ascii="宋体" w:hAnsi="宋体" w:cs="宋体" w:eastAsia="宋体" w:hint="default"/>
        </w:rPr>
        <w:t>(3)</w:t>
      </w:r>
      <w:r>
        <w:rPr>
          <w:rFonts w:ascii="宋体" w:hAnsi="宋体" w:cs="宋体" w:eastAsia="宋体" w:hint="default"/>
          <w:spacing w:val="-1"/>
        </w:rPr>
        <w:t> </w:t>
      </w:r>
      <w:r>
        <w:rPr/>
        <w:t>现金和现金等价物的构成</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  金</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129,290,089.66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442,582,837.03</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603,499.95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392,929.27</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9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128,686,589.71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442,189,907.76</w:t>
            </w:r>
          </w:p>
        </w:tc>
      </w:tr>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517"/>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517"/>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6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6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现金等价物</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期末现金及现金等价物余额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129,290,089.66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442,582,837.03</w:t>
            </w:r>
          </w:p>
        </w:tc>
      </w:tr>
      <w:tr>
        <w:trPr>
          <w:trHeight w:val="837"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971" w:right="101" w:hanging="490"/>
              <w:jc w:val="left"/>
              <w:rPr>
                <w:rFonts w:ascii="宋体" w:hAnsi="宋体" w:cs="宋体" w:eastAsia="宋体" w:hint="default"/>
                <w:sz w:val="18"/>
                <w:szCs w:val="18"/>
              </w:rPr>
            </w:pPr>
            <w:r>
              <w:rPr>
                <w:rFonts w:ascii="宋体" w:hAnsi="宋体" w:cs="宋体" w:eastAsia="宋体" w:hint="default"/>
                <w:spacing w:val="-2"/>
                <w:sz w:val="18"/>
                <w:szCs w:val="18"/>
              </w:rPr>
              <w:t>其中：母公司或集团内子公司使用受限制的现金及现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金等价物</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129,290,089.66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442,582,837.03</w:t>
            </w:r>
          </w:p>
        </w:tc>
      </w:tr>
    </w:tbl>
    <w:p>
      <w:pPr>
        <w:pStyle w:val="BodyText"/>
        <w:spacing w:line="391" w:lineRule="auto" w:before="6"/>
        <w:ind w:left="658" w:right="5048"/>
        <w:jc w:val="left"/>
      </w:pPr>
      <w:bookmarkStart w:name="(4) 现金流量表补充资料的说明" w:id="222"/>
      <w:bookmarkEnd w:id="222"/>
      <w:r>
        <w:rPr/>
      </w:r>
      <w:r>
        <w:rPr>
          <w:rFonts w:ascii="宋体" w:hAnsi="宋体" w:cs="宋体" w:eastAsia="宋体" w:hint="default"/>
        </w:rPr>
        <w:t>(4) </w:t>
      </w:r>
      <w:r>
        <w:rPr/>
        <w:t>现金流量表补充资料的说明 不属于现金及现金等价物的货币资金情况的说明：</w:t>
      </w:r>
    </w:p>
    <w:p>
      <w:pPr>
        <w:pStyle w:val="BodyText"/>
        <w:spacing w:line="240" w:lineRule="auto" w:before="41"/>
        <w:ind w:left="658" w:right="1688"/>
        <w:jc w:val="left"/>
      </w:pPr>
      <w:r>
        <w:rPr>
          <w:rFonts w:ascii="宋体" w:hAnsi="宋体" w:cs="宋体" w:eastAsia="宋体" w:hint="default"/>
        </w:rPr>
        <w:t>2014</w:t>
      </w:r>
      <w:r>
        <w:rPr>
          <w:rFonts w:ascii="宋体" w:hAnsi="宋体" w:cs="宋体" w:eastAsia="宋体" w:hint="default"/>
          <w:spacing w:val="-51"/>
        </w:rPr>
        <w:t> </w:t>
      </w:r>
      <w:r>
        <w:rPr/>
        <w:t>年度现金流量表中期末现金及现金等价物余额为</w:t>
      </w:r>
      <w:r>
        <w:rPr>
          <w:spacing w:val="-52"/>
        </w:rPr>
        <w:t> </w:t>
      </w:r>
      <w:r>
        <w:rPr>
          <w:rFonts w:ascii="宋体" w:hAnsi="宋体" w:cs="宋体" w:eastAsia="宋体" w:hint="default"/>
        </w:rPr>
        <w:t>129,290,089.66</w:t>
      </w:r>
      <w:r>
        <w:rPr>
          <w:rFonts w:ascii="宋体" w:hAnsi="宋体" w:cs="宋体" w:eastAsia="宋体" w:hint="default"/>
          <w:spacing w:val="-52"/>
        </w:rPr>
        <w:t> </w:t>
      </w:r>
      <w:r>
        <w:rPr>
          <w:spacing w:val="-6"/>
        </w:rPr>
        <w:t>元，资产负债表</w:t>
      </w:r>
    </w:p>
    <w:p>
      <w:pPr>
        <w:pStyle w:val="BodyText"/>
        <w:spacing w:line="240" w:lineRule="auto" w:before="134"/>
        <w:ind w:left="238" w:right="1688"/>
        <w:jc w:val="left"/>
      </w:pPr>
      <w:r>
        <w:rPr/>
        <w:t>中货币资金期末数为</w:t>
      </w:r>
      <w:r>
        <w:rPr>
          <w:spacing w:val="-44"/>
        </w:rPr>
        <w:t> </w:t>
      </w:r>
      <w:r>
        <w:rPr>
          <w:rFonts w:ascii="宋体" w:hAnsi="宋体" w:cs="宋体" w:eastAsia="宋体" w:hint="default"/>
        </w:rPr>
        <w:t>179,467,891.43</w:t>
      </w:r>
      <w:r>
        <w:rPr>
          <w:rFonts w:ascii="宋体" w:hAnsi="宋体" w:cs="宋体" w:eastAsia="宋体" w:hint="default"/>
          <w:spacing w:val="-45"/>
        </w:rPr>
        <w:t> </w:t>
      </w:r>
      <w:r>
        <w:rPr/>
        <w:t>元，差额系公司现金流量表期末现金及现金等价物余</w:t>
      </w:r>
    </w:p>
    <w:p>
      <w:pPr>
        <w:pStyle w:val="BodyText"/>
        <w:spacing w:line="240" w:lineRule="auto" w:before="133"/>
        <w:ind w:left="238" w:right="1688"/>
        <w:jc w:val="left"/>
      </w:pPr>
      <w:r>
        <w:rPr/>
        <w:t>额扣除了不符合现金及现金等价物标准的保证金等</w:t>
      </w:r>
      <w:r>
        <w:rPr>
          <w:spacing w:val="-52"/>
        </w:rPr>
        <w:t> </w:t>
      </w:r>
      <w:r>
        <w:rPr>
          <w:rFonts w:ascii="宋体" w:hAnsi="宋体" w:cs="宋体" w:eastAsia="宋体" w:hint="default"/>
        </w:rPr>
        <w:t>50,177,801.77</w:t>
      </w:r>
      <w:r>
        <w:rPr>
          <w:rFonts w:ascii="宋体" w:hAnsi="宋体" w:cs="宋体" w:eastAsia="宋体" w:hint="default"/>
          <w:spacing w:val="-52"/>
        </w:rPr>
        <w:t> </w:t>
      </w:r>
      <w:r>
        <w:rPr/>
        <w:t>元。</w:t>
      </w:r>
    </w:p>
    <w:p>
      <w:pPr>
        <w:pStyle w:val="BodyText"/>
        <w:spacing w:line="240" w:lineRule="auto" w:before="174"/>
        <w:ind w:left="657" w:right="1688"/>
        <w:jc w:val="left"/>
      </w:pPr>
      <w:r>
        <w:rPr>
          <w:rFonts w:ascii="宋体" w:hAnsi="宋体" w:cs="宋体" w:eastAsia="宋体" w:hint="default"/>
        </w:rPr>
        <w:t>2013</w:t>
      </w:r>
      <w:r>
        <w:rPr>
          <w:rFonts w:ascii="宋体" w:hAnsi="宋体" w:cs="宋体" w:eastAsia="宋体" w:hint="default"/>
          <w:spacing w:val="-51"/>
        </w:rPr>
        <w:t> </w:t>
      </w:r>
      <w:r>
        <w:rPr/>
        <w:t>年度现金流量表中期末现金及现金等价物余额为</w:t>
      </w:r>
      <w:r>
        <w:rPr>
          <w:spacing w:val="-52"/>
        </w:rPr>
        <w:t> </w:t>
      </w:r>
      <w:r>
        <w:rPr>
          <w:rFonts w:ascii="宋体" w:hAnsi="宋体" w:cs="宋体" w:eastAsia="宋体" w:hint="default"/>
        </w:rPr>
        <w:t>442,582,837.03</w:t>
      </w:r>
      <w:r>
        <w:rPr>
          <w:rFonts w:ascii="宋体" w:hAnsi="宋体" w:cs="宋体" w:eastAsia="宋体" w:hint="default"/>
          <w:spacing w:val="-52"/>
        </w:rPr>
        <w:t> </w:t>
      </w:r>
      <w:r>
        <w:rPr>
          <w:spacing w:val="-6"/>
        </w:rPr>
        <w:t>元，资产负债表</w:t>
      </w:r>
    </w:p>
    <w:p>
      <w:pPr>
        <w:pStyle w:val="BodyText"/>
        <w:spacing w:line="240" w:lineRule="auto" w:before="133"/>
        <w:ind w:left="237" w:right="1688"/>
        <w:jc w:val="left"/>
      </w:pPr>
      <w:r>
        <w:rPr/>
        <w:t>中货币资金期末数为</w:t>
      </w:r>
      <w:r>
        <w:rPr>
          <w:spacing w:val="-45"/>
        </w:rPr>
        <w:t> </w:t>
      </w:r>
      <w:r>
        <w:rPr>
          <w:rFonts w:ascii="宋体" w:hAnsi="宋体" w:cs="宋体" w:eastAsia="宋体" w:hint="default"/>
        </w:rPr>
        <w:t>482,266,172.27</w:t>
      </w:r>
      <w:r>
        <w:rPr>
          <w:rFonts w:ascii="宋体" w:hAnsi="宋体" w:cs="宋体" w:eastAsia="宋体" w:hint="default"/>
          <w:spacing w:val="-45"/>
        </w:rPr>
        <w:t> </w:t>
      </w:r>
      <w:r>
        <w:rPr/>
        <w:t>元，差额系公司现金流量表期末现金及现金等价物余</w:t>
      </w:r>
    </w:p>
    <w:p>
      <w:pPr>
        <w:pStyle w:val="BodyText"/>
        <w:spacing w:line="240" w:lineRule="auto" w:before="134"/>
        <w:ind w:left="237" w:right="1688"/>
        <w:jc w:val="left"/>
      </w:pPr>
      <w:r>
        <w:rPr/>
        <w:t>额扣除了不符合现金及现金等价物标准的保证金等</w:t>
      </w:r>
      <w:r>
        <w:rPr>
          <w:spacing w:val="-52"/>
        </w:rPr>
        <w:t> </w:t>
      </w:r>
      <w:r>
        <w:rPr>
          <w:rFonts w:ascii="宋体" w:hAnsi="宋体" w:cs="宋体" w:eastAsia="宋体" w:hint="default"/>
        </w:rPr>
        <w:t>39,683,335.24</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0"/>
        <w:ind w:left="657" w:right="1688"/>
        <w:jc w:val="left"/>
      </w:pPr>
      <w:bookmarkStart w:name="(四) 其他" w:id="223"/>
      <w:bookmarkEnd w:id="223"/>
      <w:r>
        <w:rPr/>
      </w:r>
      <w:r>
        <w:rPr>
          <w:rFonts w:ascii="宋体" w:hAnsi="宋体" w:cs="宋体" w:eastAsia="宋体" w:hint="default"/>
        </w:rPr>
        <w:t>(</w:t>
      </w:r>
      <w:r>
        <w:rPr/>
        <w:t>四</w:t>
      </w:r>
      <w:r>
        <w:rPr>
          <w:rFonts w:ascii="宋体" w:hAnsi="宋体" w:cs="宋体" w:eastAsia="宋体" w:hint="default"/>
        </w:rPr>
        <w:t>) </w:t>
      </w:r>
      <w:r>
        <w:rPr/>
        <w:t>其他</w:t>
      </w:r>
    </w:p>
    <w:p>
      <w:pPr>
        <w:pStyle w:val="BodyText"/>
        <w:spacing w:line="240" w:lineRule="auto" w:before="172"/>
        <w:ind w:left="658" w:right="1688"/>
        <w:jc w:val="left"/>
      </w:pPr>
      <w:bookmarkStart w:name="1. 所有权或使用权受到限制的资产" w:id="224"/>
      <w:bookmarkEnd w:id="224"/>
      <w:r>
        <w:rPr/>
      </w:r>
      <w:r>
        <w:rPr>
          <w:rFonts w:ascii="宋体" w:hAnsi="宋体" w:cs="宋体" w:eastAsia="宋体" w:hint="default"/>
        </w:rPr>
        <w:t>1.</w:t>
      </w:r>
      <w:r>
        <w:rPr>
          <w:rFonts w:ascii="宋体" w:hAnsi="宋体" w:cs="宋体" w:eastAsia="宋体" w:hint="default"/>
          <w:spacing w:val="-2"/>
        </w:rPr>
        <w:t> </w:t>
      </w:r>
      <w:r>
        <w:rPr/>
        <w:t>所有权或使用权受到限制的资产</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856"/>
        <w:gridCol w:w="2844"/>
        <w:gridCol w:w="2843"/>
      </w:tblGrid>
      <w:tr>
        <w:trPr>
          <w:trHeight w:val="48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006"/>
              <w:jc w:val="right"/>
              <w:rPr>
                <w:rFonts w:ascii="宋体" w:hAnsi="宋体" w:cs="宋体" w:eastAsia="宋体" w:hint="default"/>
                <w:sz w:val="18"/>
                <w:szCs w:val="18"/>
              </w:rPr>
            </w:pPr>
            <w:r>
              <w:rPr>
                <w:rFonts w:ascii="宋体" w:hAnsi="宋体" w:cs="宋体" w:eastAsia="宋体" w:hint="default"/>
                <w:sz w:val="18"/>
                <w:szCs w:val="18"/>
              </w:rPr>
              <w:t>项  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8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right="2006"/>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50,177,801.77</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87"/>
              <w:jc w:val="center"/>
              <w:rPr>
                <w:rFonts w:ascii="宋体" w:hAnsi="宋体" w:cs="宋体" w:eastAsia="宋体" w:hint="default"/>
                <w:sz w:val="18"/>
                <w:szCs w:val="18"/>
              </w:rPr>
            </w:pPr>
            <w:r>
              <w:rPr>
                <w:rFonts w:ascii="宋体" w:hAnsi="宋体" w:cs="宋体" w:eastAsia="宋体" w:hint="default"/>
                <w:sz w:val="18"/>
                <w:szCs w:val="18"/>
              </w:rPr>
              <w:t>保证金等</w:t>
            </w:r>
          </w:p>
        </w:tc>
      </w:tr>
      <w:tr>
        <w:trPr>
          <w:trHeight w:val="48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006"/>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172,002,738.53</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7"/>
              <w:jc w:val="center"/>
              <w:rPr>
                <w:rFonts w:ascii="宋体" w:hAnsi="宋体" w:cs="宋体" w:eastAsia="宋体" w:hint="default"/>
                <w:sz w:val="18"/>
                <w:szCs w:val="18"/>
              </w:rPr>
            </w:pPr>
            <w:r>
              <w:rPr>
                <w:rFonts w:ascii="宋体" w:hAnsi="宋体" w:cs="宋体" w:eastAsia="宋体" w:hint="default"/>
                <w:sz w:val="18"/>
                <w:szCs w:val="18"/>
              </w:rPr>
              <w:t>质  押</w:t>
            </w:r>
          </w:p>
        </w:tc>
      </w:tr>
      <w:tr>
        <w:trPr>
          <w:trHeight w:val="48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006"/>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39,767,138.08</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7"/>
              <w:jc w:val="center"/>
              <w:rPr>
                <w:rFonts w:ascii="宋体" w:hAnsi="宋体" w:cs="宋体" w:eastAsia="宋体" w:hint="default"/>
                <w:sz w:val="18"/>
                <w:szCs w:val="18"/>
              </w:rPr>
            </w:pPr>
            <w:r>
              <w:rPr>
                <w:rFonts w:ascii="宋体" w:hAnsi="宋体" w:cs="宋体" w:eastAsia="宋体" w:hint="default"/>
                <w:sz w:val="18"/>
                <w:szCs w:val="18"/>
              </w:rPr>
              <w:t>抵  押</w:t>
            </w:r>
          </w:p>
        </w:tc>
      </w:tr>
    </w:tbl>
    <w:p>
      <w:pPr>
        <w:spacing w:after="0" w:line="240" w:lineRule="auto"/>
        <w:jc w:val="center"/>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6"/>
        <w:gridCol w:w="2844"/>
        <w:gridCol w:w="2843"/>
      </w:tblGrid>
      <w:tr>
        <w:trPr>
          <w:trHeight w:val="48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006"/>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161,496,936.98</w:t>
            </w:r>
          </w:p>
        </w:tc>
        <w:tc>
          <w:tcPr>
            <w:tcW w:w="2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7"/>
              <w:jc w:val="center"/>
              <w:rPr>
                <w:rFonts w:ascii="宋体" w:hAnsi="宋体" w:cs="宋体" w:eastAsia="宋体" w:hint="default"/>
                <w:sz w:val="18"/>
                <w:szCs w:val="18"/>
              </w:rPr>
            </w:pPr>
            <w:r>
              <w:rPr>
                <w:rFonts w:ascii="宋体" w:hAnsi="宋体" w:cs="宋体" w:eastAsia="宋体" w:hint="default"/>
                <w:sz w:val="18"/>
                <w:szCs w:val="18"/>
              </w:rPr>
              <w:t>抵  押</w:t>
            </w:r>
          </w:p>
        </w:tc>
      </w:tr>
      <w:tr>
        <w:trPr>
          <w:trHeight w:val="48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006"/>
              <w:jc w:val="right"/>
              <w:rPr>
                <w:rFonts w:ascii="宋体" w:hAnsi="宋体" w:cs="宋体" w:eastAsia="宋体" w:hint="default"/>
                <w:sz w:val="18"/>
                <w:szCs w:val="18"/>
              </w:rPr>
            </w:pPr>
            <w:r>
              <w:rPr>
                <w:rFonts w:ascii="宋体" w:hAnsi="宋体" w:cs="宋体" w:eastAsia="宋体" w:hint="default"/>
                <w:sz w:val="18"/>
                <w:szCs w:val="18"/>
              </w:rPr>
              <w:t>合  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423,444,615.36</w:t>
            </w:r>
          </w:p>
        </w:tc>
        <w:tc>
          <w:tcPr>
            <w:tcW w:w="2843"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78"/>
        <w:ind w:left="658" w:right="1688"/>
        <w:jc w:val="left"/>
      </w:pPr>
      <w:bookmarkStart w:name="2. 外币货币性项目" w:id="225"/>
      <w:bookmarkEnd w:id="225"/>
      <w:r>
        <w:rPr/>
      </w:r>
      <w:r>
        <w:rPr>
          <w:rFonts w:ascii="宋体" w:hAnsi="宋体" w:cs="宋体" w:eastAsia="宋体" w:hint="default"/>
        </w:rPr>
        <w:t>2.</w:t>
      </w:r>
      <w:r>
        <w:rPr>
          <w:rFonts w:ascii="宋体" w:hAnsi="宋体" w:cs="宋体" w:eastAsia="宋体" w:hint="default"/>
          <w:spacing w:val="-2"/>
        </w:rPr>
        <w:t> </w:t>
      </w:r>
      <w:r>
        <w:rPr/>
        <w:t>外币货币性项目</w:t>
      </w:r>
    </w:p>
    <w:p>
      <w:pPr>
        <w:pStyle w:val="BodyText"/>
        <w:spacing w:line="240" w:lineRule="auto" w:before="172"/>
        <w:ind w:left="658" w:right="1688"/>
        <w:jc w:val="left"/>
      </w:pPr>
      <w:r>
        <w:rPr>
          <w:rFonts w:ascii="宋体" w:hAnsi="宋体" w:cs="宋体" w:eastAsia="宋体" w:hint="default"/>
        </w:rPr>
        <w:t>(1)</w:t>
      </w:r>
      <w:r>
        <w:rPr>
          <w:rFonts w:ascii="宋体" w:hAnsi="宋体" w:cs="宋体" w:eastAsia="宋体" w:hint="default"/>
          <w:spacing w:val="-3"/>
        </w:rPr>
        <w:t> </w:t>
      </w:r>
      <w:r>
        <w:rPr/>
        <w:t>明细情况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249"/>
        <w:gridCol w:w="2030"/>
        <w:gridCol w:w="1379"/>
        <w:gridCol w:w="2886"/>
      </w:tblGrid>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42" w:right="0"/>
              <w:jc w:val="left"/>
              <w:rPr>
                <w:rFonts w:ascii="宋体" w:hAnsi="宋体" w:cs="宋体" w:eastAsia="宋体" w:hint="default"/>
                <w:sz w:val="18"/>
                <w:szCs w:val="18"/>
              </w:rPr>
            </w:pPr>
            <w:r>
              <w:rPr>
                <w:rFonts w:ascii="宋体" w:hAnsi="宋体" w:cs="宋体" w:eastAsia="宋体" w:hint="default"/>
                <w:sz w:val="18"/>
                <w:szCs w:val="18"/>
              </w:rPr>
              <w:t>期末折算成人民币余额</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10,108,775.88</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1,192,079.27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7,294,333.05</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60"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17,401.06</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7.4556</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129,735.34</w:t>
            </w:r>
          </w:p>
        </w:tc>
      </w:tr>
      <w:tr>
        <w:trPr>
          <w:trHeight w:val="4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60" w:right="0"/>
              <w:jc w:val="center"/>
              <w:rPr>
                <w:rFonts w:ascii="宋体" w:hAnsi="宋体" w:cs="宋体" w:eastAsia="宋体" w:hint="default"/>
                <w:sz w:val="18"/>
                <w:szCs w:val="18"/>
              </w:rPr>
            </w:pPr>
            <w:r>
              <w:rPr>
                <w:rFonts w:ascii="宋体" w:hAnsi="宋体" w:cs="宋体" w:eastAsia="宋体" w:hint="default"/>
                <w:sz w:val="18"/>
                <w:szCs w:val="18"/>
              </w:rPr>
              <w:t>澳元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5.0174</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5.37</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60" w:right="0"/>
              <w:jc w:val="center"/>
              <w:rPr>
                <w:rFonts w:ascii="宋体" w:hAnsi="宋体" w:cs="宋体" w:eastAsia="宋体" w:hint="default"/>
                <w:sz w:val="18"/>
                <w:szCs w:val="18"/>
              </w:rPr>
            </w:pPr>
            <w:r>
              <w:rPr>
                <w:rFonts w:ascii="宋体" w:hAnsi="宋体" w:cs="宋体" w:eastAsia="宋体" w:hint="default"/>
                <w:sz w:val="18"/>
                <w:szCs w:val="18"/>
              </w:rPr>
              <w:t>福林</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88,838,000.00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0.02339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2,077,920.82</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679"/>
              <w:jc w:val="right"/>
              <w:rPr>
                <w:rFonts w:ascii="宋体" w:hAnsi="宋体" w:cs="宋体" w:eastAsia="宋体" w:hint="default"/>
                <w:sz w:val="18"/>
                <w:szCs w:val="18"/>
              </w:rPr>
            </w:pPr>
            <w:r>
              <w:rPr>
                <w:rFonts w:ascii="宋体" w:hAnsi="宋体" w:cs="宋体" w:eastAsia="宋体" w:hint="default"/>
                <w:sz w:val="18"/>
                <w:szCs w:val="18"/>
              </w:rPr>
              <w:t>迪拉姆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364,236.33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1.6659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606,781.30</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3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197,780,593.61</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32,167,057.10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196,830,222.39</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60"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24,189.74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7.4556</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180,349.03</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60" w:right="0"/>
              <w:jc w:val="center"/>
              <w:rPr>
                <w:rFonts w:ascii="宋体" w:hAnsi="宋体" w:cs="宋体" w:eastAsia="宋体" w:hint="default"/>
                <w:sz w:val="18"/>
                <w:szCs w:val="18"/>
              </w:rPr>
            </w:pPr>
            <w:r>
              <w:rPr>
                <w:rFonts w:ascii="宋体" w:hAnsi="宋体" w:cs="宋体" w:eastAsia="宋体" w:hint="default"/>
                <w:sz w:val="18"/>
                <w:szCs w:val="18"/>
              </w:rPr>
              <w:t>福林</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32,921,000.00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0.02339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770,022.19</w:t>
            </w:r>
          </w:p>
        </w:tc>
      </w:tr>
      <w:tr>
        <w:trPr>
          <w:trHeight w:val="4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3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45,686,792.07</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7,466,382.10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45,686,792.07</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30"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7,532,296.41</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562,112.74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3,439,567.86</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60" w:right="0"/>
              <w:jc w:val="center"/>
              <w:rPr>
                <w:rFonts w:ascii="宋体" w:hAnsi="宋体" w:cs="宋体" w:eastAsia="宋体" w:hint="default"/>
                <w:sz w:val="18"/>
                <w:szCs w:val="18"/>
              </w:rPr>
            </w:pPr>
            <w:r>
              <w:rPr>
                <w:rFonts w:ascii="宋体" w:hAnsi="宋体" w:cs="宋体" w:eastAsia="宋体" w:hint="default"/>
                <w:sz w:val="18"/>
                <w:szCs w:val="18"/>
              </w:rPr>
              <w:t>福林</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123,794,000.00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0.02339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2,895,541.66</w:t>
            </w:r>
          </w:p>
        </w:tc>
      </w:tr>
      <w:tr>
        <w:trPr>
          <w:trHeight w:val="484"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679"/>
              <w:jc w:val="right"/>
              <w:rPr>
                <w:rFonts w:ascii="宋体" w:hAnsi="宋体" w:cs="宋体" w:eastAsia="宋体" w:hint="default"/>
                <w:sz w:val="18"/>
                <w:szCs w:val="18"/>
              </w:rPr>
            </w:pPr>
            <w:r>
              <w:rPr>
                <w:rFonts w:ascii="宋体" w:hAnsi="宋体" w:cs="宋体" w:eastAsia="宋体" w:hint="default"/>
                <w:sz w:val="18"/>
                <w:szCs w:val="18"/>
              </w:rPr>
              <w:t>迪拉姆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718,642.71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1.6659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1,197,186.89</w:t>
            </w:r>
          </w:p>
        </w:tc>
      </w:tr>
    </w:tbl>
    <w:p>
      <w:pPr>
        <w:spacing w:before="89"/>
        <w:ind w:left="658" w:right="1688"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境外经营实体说明</w:t>
      </w: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250"/>
        <w:gridCol w:w="2028"/>
        <w:gridCol w:w="2132"/>
        <w:gridCol w:w="2133"/>
      </w:tblGrid>
      <w:tr>
        <w:trPr>
          <w:trHeight w:val="48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记账本位币</w:t>
            </w:r>
          </w:p>
        </w:tc>
        <w:tc>
          <w:tcPr>
            <w:tcW w:w="2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选择依据</w:t>
            </w:r>
          </w:p>
        </w:tc>
      </w:tr>
      <w:tr>
        <w:trPr>
          <w:trHeight w:val="48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2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重要境外子公司</w:t>
            </w:r>
          </w:p>
        </w:tc>
      </w:tr>
    </w:tbl>
    <w:p>
      <w:pPr>
        <w:spacing w:line="240" w:lineRule="auto" w:before="0"/>
        <w:rPr>
          <w:rFonts w:ascii="宋体" w:hAnsi="宋体" w:cs="宋体" w:eastAsia="宋体" w:hint="default"/>
          <w:sz w:val="20"/>
          <w:szCs w:val="20"/>
        </w:rPr>
      </w:pPr>
    </w:p>
    <w:p>
      <w:pPr>
        <w:pStyle w:val="Heading2"/>
        <w:spacing w:line="240" w:lineRule="auto" w:before="172"/>
        <w:ind w:left="658" w:right="1688"/>
        <w:jc w:val="left"/>
        <w:rPr>
          <w:rFonts w:ascii="黑体" w:hAnsi="黑体" w:cs="黑体" w:eastAsia="黑体" w:hint="default"/>
          <w:b w:val="0"/>
          <w:bCs w:val="0"/>
        </w:rPr>
      </w:pPr>
      <w:bookmarkStart w:name="八、合并范围的变更" w:id="226"/>
      <w:bookmarkEnd w:id="226"/>
      <w:r>
        <w:rPr>
          <w:b w:val="0"/>
          <w:bCs w:val="0"/>
        </w:rPr>
      </w:r>
      <w:r>
        <w:rPr>
          <w:rFonts w:ascii="黑体" w:hAnsi="黑体" w:cs="黑体" w:eastAsia="黑体" w:hint="default"/>
        </w:rPr>
        <w:t>八、合并范围的变更</w:t>
      </w:r>
      <w:r>
        <w:rPr>
          <w:rFonts w:ascii="黑体" w:hAnsi="黑体" w:cs="黑体" w:eastAsia="黑体" w:hint="default"/>
          <w:b w:val="0"/>
          <w:bCs w:val="0"/>
        </w:rPr>
      </w:r>
    </w:p>
    <w:p>
      <w:pPr>
        <w:pStyle w:val="BodyText"/>
        <w:spacing w:line="240" w:lineRule="auto" w:before="121"/>
        <w:ind w:left="657" w:right="1688"/>
        <w:jc w:val="left"/>
      </w:pPr>
      <w:bookmarkStart w:name="(一) 非同一控制下企业合并" w:id="227"/>
      <w:bookmarkEnd w:id="227"/>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非同一控制下企业合并</w:t>
      </w:r>
    </w:p>
    <w:p>
      <w:pPr>
        <w:pStyle w:val="BodyText"/>
        <w:spacing w:line="240" w:lineRule="auto" w:before="117"/>
        <w:ind w:left="658" w:right="1688"/>
        <w:jc w:val="left"/>
      </w:pPr>
      <w:bookmarkStart w:name="1. 本期发生的非同一控制下企业合并" w:id="228"/>
      <w:bookmarkEnd w:id="228"/>
      <w:r>
        <w:rPr/>
      </w:r>
      <w:r>
        <w:rPr>
          <w:rFonts w:ascii="宋体" w:hAnsi="宋体" w:cs="宋体" w:eastAsia="宋体" w:hint="default"/>
        </w:rPr>
        <w:t>1.</w:t>
      </w:r>
      <w:r>
        <w:rPr>
          <w:rFonts w:ascii="宋体" w:hAnsi="宋体" w:cs="宋体" w:eastAsia="宋体" w:hint="default"/>
          <w:spacing w:val="-2"/>
        </w:rPr>
        <w:t> </w:t>
      </w:r>
      <w:r>
        <w:rPr/>
        <w:t>本期发生的非同一控制下企业合并</w:t>
      </w:r>
    </w:p>
    <w:p>
      <w:pPr>
        <w:spacing w:after="0" w:line="240" w:lineRule="auto"/>
        <w:jc w:val="left"/>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388"/>
        <w:gridCol w:w="1655"/>
        <w:gridCol w:w="1483"/>
        <w:gridCol w:w="965"/>
        <w:gridCol w:w="2052"/>
      </w:tblGrid>
      <w:tr>
        <w:trPr>
          <w:trHeight w:val="836"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646" w:right="456"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560" w:right="371"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66" w:right="112" w:hanging="46"/>
              <w:jc w:val="left"/>
              <w:rPr>
                <w:rFonts w:ascii="宋体" w:hAnsi="宋体" w:cs="宋体" w:eastAsia="宋体" w:hint="default"/>
                <w:sz w:val="18"/>
                <w:szCs w:val="18"/>
              </w:rPr>
            </w:pPr>
            <w:r>
              <w:rPr>
                <w:rFonts w:ascii="宋体" w:hAnsi="宋体" w:cs="宋体" w:eastAsia="宋体" w:hint="default"/>
                <w:sz w:val="18"/>
                <w:szCs w:val="18"/>
              </w:rPr>
              <w:t>股权取得 比例</w:t>
            </w:r>
            <w:r>
              <w:rPr>
                <w:rFonts w:ascii="宋体" w:hAnsi="宋体" w:cs="宋体" w:eastAsia="宋体" w:hint="default"/>
                <w:sz w:val="18"/>
                <w:szCs w:val="18"/>
              </w:rPr>
              <w:t>(%)</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844" w:right="660"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r>
      <w:tr>
        <w:trPr>
          <w:trHeight w:val="484"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344,450,000.00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85.00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4"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225,939,000.00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8"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2"/>
              <w:jc w:val="left"/>
              <w:rPr>
                <w:rFonts w:ascii="宋体" w:hAnsi="宋体" w:cs="宋体" w:eastAsia="宋体" w:hint="default"/>
                <w:sz w:val="18"/>
                <w:szCs w:val="18"/>
              </w:rPr>
            </w:pPr>
            <w:r>
              <w:rPr>
                <w:rFonts w:ascii="宋体" w:hAnsi="宋体" w:cs="宋体" w:eastAsia="宋体" w:hint="default"/>
                <w:spacing w:val="13"/>
                <w:sz w:val="18"/>
                <w:szCs w:val="18"/>
              </w:rPr>
              <w:t>银色琥珀文化传播</w:t>
            </w:r>
            <w:r>
              <w:rPr>
                <w:rFonts w:ascii="宋体" w:hAnsi="宋体" w:cs="宋体" w:eastAsia="宋体" w:hint="default"/>
                <w:spacing w:val="13"/>
                <w:sz w:val="18"/>
                <w:szCs w:val="18"/>
              </w:rPr>
              <w:t>(</w:t>
            </w:r>
            <w:r>
              <w:rPr>
                <w:rFonts w:ascii="宋体" w:hAnsi="宋体" w:cs="宋体" w:eastAsia="宋体" w:hint="default"/>
                <w:spacing w:val="-71"/>
                <w:sz w:val="18"/>
                <w:szCs w:val="18"/>
              </w:rPr>
              <w:t> </w:t>
            </w:r>
            <w:r>
              <w:rPr>
                <w:rFonts w:ascii="宋体" w:hAnsi="宋体" w:cs="宋体" w:eastAsia="宋体" w:hint="default"/>
                <w:spacing w:val="10"/>
                <w:sz w:val="18"/>
                <w:szCs w:val="18"/>
              </w:rPr>
              <w:t>北京</w:t>
            </w:r>
            <w:r>
              <w:rPr>
                <w:rFonts w:ascii="宋体" w:hAnsi="宋体" w:cs="宋体" w:eastAsia="宋体" w:hint="default"/>
                <w:spacing w:val="10"/>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11</w:t>
            </w:r>
            <w:r>
              <w:rPr>
                <w:rFonts w:ascii="宋体" w:hAnsi="宋体" w:cs="宋体" w:eastAsia="宋体" w:hint="default"/>
                <w:spacing w:val="-5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宋体" w:hAnsi="宋体" w:cs="宋体" w:eastAsia="宋体" w:hint="default"/>
                <w:sz w:val="18"/>
                <w:szCs w:val="18"/>
              </w:rPr>
              <w:t>28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195,000,000.00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240" w:lineRule="auto" w:before="84"/>
        <w:ind w:left="658" w:right="168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138"/>
        <w:gridCol w:w="1679"/>
        <w:gridCol w:w="1667"/>
        <w:gridCol w:w="1568"/>
        <w:gridCol w:w="1492"/>
      </w:tblGrid>
      <w:tr>
        <w:trPr>
          <w:trHeight w:val="836" w:hRule="exact"/>
        </w:trPr>
        <w:tc>
          <w:tcPr>
            <w:tcW w:w="2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472" w:right="462"/>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52" w:right="143" w:firstLine="90"/>
              <w:jc w:val="left"/>
              <w:rPr>
                <w:rFonts w:ascii="宋体" w:hAnsi="宋体" w:cs="宋体" w:eastAsia="宋体" w:hint="default"/>
                <w:sz w:val="18"/>
                <w:szCs w:val="18"/>
              </w:rPr>
            </w:pPr>
            <w:r>
              <w:rPr>
                <w:rFonts w:ascii="宋体" w:hAnsi="宋体" w:cs="宋体" w:eastAsia="宋体" w:hint="default"/>
                <w:sz w:val="18"/>
                <w:szCs w:val="18"/>
              </w:rPr>
              <w:t>购买日至期末 被购买方的收入</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115" w:right="109"/>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484" w:hRule="exact"/>
        </w:trPr>
        <w:tc>
          <w:tcPr>
            <w:tcW w:w="2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宋体" w:hAnsi="宋体" w:cs="宋体" w:eastAsia="宋体" w:hint="default"/>
                <w:sz w:val="18"/>
                <w:szCs w:val="18"/>
              </w:rPr>
            </w:pPr>
            <w:r>
              <w:rPr>
                <w:rFonts w:ascii="宋体" w:hAnsi="宋体" w:cs="宋体" w:eastAsia="宋体" w:hint="default"/>
                <w:sz w:val="18"/>
                <w:szCs w:val="18"/>
              </w:rPr>
              <w:t>办妥股权转让手续</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956,565,942.03</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6"/>
              <w:jc w:val="right"/>
              <w:rPr>
                <w:rFonts w:ascii="宋体" w:hAnsi="宋体" w:cs="宋体" w:eastAsia="宋体" w:hint="default"/>
                <w:sz w:val="18"/>
                <w:szCs w:val="18"/>
              </w:rPr>
            </w:pPr>
            <w:r>
              <w:rPr>
                <w:rFonts w:ascii="宋体"/>
                <w:sz w:val="18"/>
              </w:rPr>
              <w:t>43,037,698.33</w:t>
            </w:r>
          </w:p>
        </w:tc>
      </w:tr>
      <w:tr>
        <w:trPr>
          <w:trHeight w:val="484" w:hRule="exact"/>
        </w:trPr>
        <w:tc>
          <w:tcPr>
            <w:tcW w:w="2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3" w:right="0"/>
              <w:jc w:val="left"/>
              <w:rPr>
                <w:rFonts w:ascii="宋体" w:hAnsi="宋体" w:cs="宋体" w:eastAsia="宋体" w:hint="default"/>
                <w:sz w:val="18"/>
                <w:szCs w:val="18"/>
              </w:rPr>
            </w:pPr>
            <w:r>
              <w:rPr>
                <w:rFonts w:ascii="宋体" w:hAnsi="宋体" w:cs="宋体" w:eastAsia="宋体" w:hint="default"/>
                <w:sz w:val="18"/>
                <w:szCs w:val="18"/>
              </w:rPr>
              <w:t>办妥股权转让手续</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17,800,787.13</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6"/>
              <w:jc w:val="right"/>
              <w:rPr>
                <w:rFonts w:ascii="宋体" w:hAnsi="宋体" w:cs="宋体" w:eastAsia="宋体" w:hint="default"/>
                <w:sz w:val="18"/>
                <w:szCs w:val="18"/>
              </w:rPr>
            </w:pPr>
            <w:r>
              <w:rPr>
                <w:rFonts w:ascii="宋体"/>
                <w:sz w:val="18"/>
              </w:rPr>
              <w:t>2,124,150.21</w:t>
            </w:r>
          </w:p>
        </w:tc>
      </w:tr>
      <w:tr>
        <w:trPr>
          <w:trHeight w:val="718" w:hRule="exact"/>
        </w:trPr>
        <w:tc>
          <w:tcPr>
            <w:tcW w:w="2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2"/>
              <w:jc w:val="left"/>
              <w:rPr>
                <w:rFonts w:ascii="宋体" w:hAnsi="宋体" w:cs="宋体" w:eastAsia="宋体" w:hint="default"/>
                <w:sz w:val="18"/>
                <w:szCs w:val="18"/>
              </w:rPr>
            </w:pPr>
            <w:r>
              <w:rPr>
                <w:rFonts w:ascii="宋体" w:hAnsi="宋体" w:cs="宋体" w:eastAsia="宋体" w:hint="default"/>
                <w:spacing w:val="15"/>
                <w:sz w:val="18"/>
                <w:szCs w:val="18"/>
              </w:rPr>
              <w:t>银色琥珀</w:t>
            </w:r>
            <w:r>
              <w:rPr>
                <w:rFonts w:ascii="宋体" w:hAnsi="宋体" w:cs="宋体" w:eastAsia="宋体" w:hint="default"/>
                <w:spacing w:val="-67"/>
                <w:sz w:val="18"/>
                <w:szCs w:val="18"/>
              </w:rPr>
              <w:t> </w:t>
            </w:r>
            <w:r>
              <w:rPr>
                <w:rFonts w:ascii="宋体" w:hAnsi="宋体" w:cs="宋体" w:eastAsia="宋体" w:hint="default"/>
                <w:spacing w:val="10"/>
                <w:sz w:val="18"/>
                <w:szCs w:val="18"/>
              </w:rPr>
              <w:t>文化</w:t>
            </w:r>
            <w:r>
              <w:rPr>
                <w:rFonts w:ascii="宋体" w:hAnsi="宋体" w:cs="宋体" w:eastAsia="宋体" w:hint="default"/>
                <w:spacing w:val="-67"/>
                <w:sz w:val="18"/>
                <w:szCs w:val="18"/>
              </w:rPr>
              <w:t> </w:t>
            </w:r>
            <w:r>
              <w:rPr>
                <w:rFonts w:ascii="宋体" w:hAnsi="宋体" w:cs="宋体" w:eastAsia="宋体" w:hint="default"/>
                <w:spacing w:val="10"/>
                <w:sz w:val="18"/>
                <w:szCs w:val="18"/>
              </w:rPr>
              <w:t>传播</w:t>
            </w:r>
            <w:r>
              <w:rPr>
                <w:rFonts w:ascii="宋体" w:hAnsi="宋体" w:cs="宋体" w:eastAsia="宋体" w:hint="default"/>
                <w:spacing w:val="-67"/>
                <w:sz w:val="18"/>
                <w:szCs w:val="18"/>
              </w:rPr>
              <w:t> </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北 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30</w:t>
            </w:r>
            <w:r>
              <w:rPr>
                <w:rFonts w:ascii="宋体" w:hAnsi="宋体" w:cs="宋体" w:eastAsia="宋体" w:hint="default"/>
                <w:spacing w:val="-51"/>
                <w:sz w:val="18"/>
                <w:szCs w:val="18"/>
              </w:rPr>
              <w:t> </w:t>
            </w:r>
            <w:r>
              <w:rPr>
                <w:rFonts w:ascii="宋体" w:hAnsi="宋体" w:cs="宋体" w:eastAsia="宋体" w:hint="default"/>
                <w:sz w:val="18"/>
                <w:szCs w:val="18"/>
              </w:rPr>
              <w:t>日</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办妥股权转让手续</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11,161,273.71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1,583,963.36</w:t>
            </w:r>
          </w:p>
        </w:tc>
      </w:tr>
    </w:tbl>
    <w:p>
      <w:pPr>
        <w:pStyle w:val="BodyText"/>
        <w:spacing w:line="240" w:lineRule="auto" w:before="84"/>
        <w:ind w:left="658" w:right="1688"/>
        <w:jc w:val="left"/>
      </w:pPr>
      <w:bookmarkStart w:name="2. 合并成本及商誉" w:id="229"/>
      <w:bookmarkEnd w:id="229"/>
      <w:r>
        <w:rPr/>
      </w:r>
      <w:r>
        <w:rPr>
          <w:rFonts w:ascii="宋体" w:hAnsi="宋体" w:cs="宋体" w:eastAsia="宋体" w:hint="default"/>
        </w:rPr>
        <w:t>2.</w:t>
      </w:r>
      <w:r>
        <w:rPr>
          <w:rFonts w:ascii="宋体" w:hAnsi="宋体" w:cs="宋体" w:eastAsia="宋体" w:hint="default"/>
          <w:spacing w:val="-2"/>
        </w:rPr>
        <w:t> </w:t>
      </w:r>
      <w:r>
        <w:rPr/>
        <w:t>合并成本及商誉</w:t>
      </w:r>
    </w:p>
    <w:p>
      <w:pPr>
        <w:pStyle w:val="BodyText"/>
        <w:spacing w:line="240" w:lineRule="auto" w:before="117"/>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938"/>
        <w:gridCol w:w="1414"/>
        <w:gridCol w:w="1346"/>
        <w:gridCol w:w="1354"/>
        <w:gridCol w:w="1492"/>
      </w:tblGrid>
      <w:tr>
        <w:trPr>
          <w:trHeight w:val="482"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38"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上海氩氪</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08"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377" w:right="0"/>
              <w:jc w:val="left"/>
              <w:rPr>
                <w:rFonts w:ascii="宋体" w:hAnsi="宋体" w:cs="宋体" w:eastAsia="宋体" w:hint="default"/>
                <w:sz w:val="18"/>
                <w:szCs w:val="18"/>
              </w:rPr>
            </w:pPr>
            <w:r>
              <w:rPr>
                <w:rFonts w:ascii="宋体" w:hAnsi="宋体" w:cs="宋体" w:eastAsia="宋体" w:hint="default"/>
                <w:sz w:val="18"/>
                <w:szCs w:val="18"/>
              </w:rPr>
              <w:t>上海沃动</w:t>
            </w: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现  金</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344,450,000.00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9" w:right="0"/>
              <w:jc w:val="center"/>
              <w:rPr>
                <w:rFonts w:ascii="宋体" w:hAnsi="宋体" w:cs="宋体" w:eastAsia="宋体" w:hint="default"/>
                <w:sz w:val="15"/>
                <w:szCs w:val="15"/>
              </w:rPr>
            </w:pPr>
            <w:r>
              <w:rPr>
                <w:rFonts w:ascii="宋体"/>
                <w:sz w:val="15"/>
              </w:rPr>
              <w:t>112,969,502.60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5"/>
                <w:szCs w:val="15"/>
              </w:rPr>
            </w:pPr>
            <w:r>
              <w:rPr>
                <w:rFonts w:ascii="宋体"/>
                <w:spacing w:val="-1"/>
                <w:sz w:val="15"/>
              </w:rPr>
              <w:t>97,500,004.57</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7,362,112.35</w:t>
            </w: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88"/>
              <w:jc w:val="righ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88"/>
              <w:jc w:val="righ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79" w:right="0"/>
              <w:jc w:val="center"/>
              <w:rPr>
                <w:rFonts w:ascii="宋体" w:hAnsi="宋体" w:cs="宋体" w:eastAsia="宋体" w:hint="default"/>
                <w:sz w:val="15"/>
                <w:szCs w:val="15"/>
              </w:rPr>
            </w:pPr>
            <w:r>
              <w:rPr>
                <w:rFonts w:ascii="宋体"/>
                <w:sz w:val="15"/>
              </w:rPr>
              <w:t>112,969,497.40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宋体" w:hAnsi="宋体" w:cs="宋体" w:eastAsia="宋体" w:hint="default"/>
                <w:sz w:val="15"/>
                <w:szCs w:val="15"/>
              </w:rPr>
            </w:pPr>
            <w:r>
              <w:rPr>
                <w:rFonts w:ascii="宋体"/>
                <w:spacing w:val="-1"/>
                <w:sz w:val="15"/>
              </w:rPr>
              <w:t>97,499,995.43</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5"/>
              <w:jc w:val="right"/>
              <w:rPr>
                <w:rFonts w:ascii="宋体" w:hAnsi="宋体" w:cs="宋体" w:eastAsia="宋体" w:hint="default"/>
                <w:sz w:val="15"/>
                <w:szCs w:val="15"/>
              </w:rPr>
            </w:pPr>
            <w:r>
              <w:rPr>
                <w:rFonts w:ascii="宋体" w:hAnsi="宋体" w:cs="宋体" w:eastAsia="宋体" w:hint="default"/>
                <w:spacing w:val="-1"/>
                <w:sz w:val="15"/>
                <w:szCs w:val="15"/>
              </w:rPr>
              <w:t>100,429,884.24[</w:t>
            </w:r>
            <w:r>
              <w:rPr>
                <w:rFonts w:ascii="宋体" w:hAnsi="宋体" w:cs="宋体" w:eastAsia="宋体" w:hint="default"/>
                <w:spacing w:val="-1"/>
                <w:sz w:val="15"/>
                <w:szCs w:val="15"/>
              </w:rPr>
              <w:t>注</w:t>
            </w:r>
            <w:r>
              <w:rPr>
                <w:rFonts w:ascii="宋体" w:hAnsi="宋体" w:cs="宋体" w:eastAsia="宋体" w:hint="default"/>
                <w:spacing w:val="-1"/>
                <w:sz w:val="15"/>
                <w:szCs w:val="15"/>
              </w:rPr>
              <w:t>]</w:t>
            </w: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836"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302" w:right="108"/>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 的公允价值</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414"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344,450,000.00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9" w:right="0"/>
              <w:jc w:val="center"/>
              <w:rPr>
                <w:rFonts w:ascii="宋体" w:hAnsi="宋体" w:cs="宋体" w:eastAsia="宋体" w:hint="default"/>
                <w:sz w:val="15"/>
                <w:szCs w:val="15"/>
              </w:rPr>
            </w:pPr>
            <w:r>
              <w:rPr>
                <w:rFonts w:ascii="宋体"/>
                <w:sz w:val="15"/>
              </w:rPr>
              <w:t>225,939,000.00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195,000,000.00</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5"/>
                <w:szCs w:val="15"/>
              </w:rPr>
            </w:pPr>
            <w:r>
              <w:rPr>
                <w:rFonts w:ascii="宋体"/>
                <w:spacing w:val="-1"/>
                <w:sz w:val="15"/>
              </w:rPr>
              <w:t>107,791,996.59</w:t>
            </w:r>
          </w:p>
        </w:tc>
      </w:tr>
      <w:tr>
        <w:trPr>
          <w:trHeight w:val="716"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8"/>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 份额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19,925,423.19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79" w:right="0"/>
              <w:jc w:val="center"/>
              <w:rPr>
                <w:rFonts w:ascii="宋体" w:hAnsi="宋体" w:cs="宋体" w:eastAsia="宋体" w:hint="default"/>
                <w:sz w:val="15"/>
                <w:szCs w:val="15"/>
              </w:rPr>
            </w:pPr>
            <w:r>
              <w:rPr>
                <w:rFonts w:ascii="宋体"/>
                <w:sz w:val="15"/>
              </w:rPr>
              <w:t>120,983,554.63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22,608,079.39</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8,162,292.35</w:t>
            </w:r>
          </w:p>
        </w:tc>
      </w:tr>
      <w:tr>
        <w:trPr>
          <w:trHeight w:val="484"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5"/>
                <w:szCs w:val="15"/>
              </w:rPr>
            </w:pPr>
            <w:r>
              <w:rPr>
                <w:rFonts w:ascii="宋体"/>
                <w:spacing w:val="-1"/>
                <w:sz w:val="15"/>
              </w:rPr>
              <w:t>324,524,576.81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9" w:right="0"/>
              <w:jc w:val="center"/>
              <w:rPr>
                <w:rFonts w:ascii="宋体" w:hAnsi="宋体" w:cs="宋体" w:eastAsia="宋体" w:hint="default"/>
                <w:sz w:val="15"/>
                <w:szCs w:val="15"/>
              </w:rPr>
            </w:pPr>
            <w:r>
              <w:rPr>
                <w:rFonts w:ascii="宋体"/>
                <w:sz w:val="15"/>
              </w:rPr>
              <w:t>104,955,445.37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5"/>
                <w:szCs w:val="15"/>
              </w:rPr>
            </w:pPr>
            <w:r>
              <w:rPr>
                <w:rFonts w:ascii="宋体"/>
                <w:spacing w:val="-1"/>
                <w:sz w:val="15"/>
              </w:rPr>
              <w:t>172,391,920.61</w:t>
            </w:r>
          </w:p>
        </w:tc>
        <w:tc>
          <w:tcPr>
            <w:tcW w:w="14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5"/>
                <w:szCs w:val="15"/>
              </w:rPr>
            </w:pPr>
            <w:r>
              <w:rPr>
                <w:rFonts w:ascii="宋体"/>
                <w:spacing w:val="-1"/>
                <w:sz w:val="15"/>
              </w:rPr>
              <w:t>99,629,704.24</w:t>
            </w:r>
          </w:p>
        </w:tc>
      </w:tr>
    </w:tbl>
    <w:p>
      <w:pPr>
        <w:pStyle w:val="BodyText"/>
        <w:spacing w:line="240" w:lineRule="auto" w:before="6"/>
        <w:ind w:left="658" w:right="1688"/>
        <w:jc w:val="left"/>
      </w:pPr>
      <w:r>
        <w:rPr>
          <w:rFonts w:ascii="宋体" w:hAnsi="宋体" w:cs="宋体" w:eastAsia="宋体" w:hint="default"/>
        </w:rPr>
        <w:t>[</w:t>
      </w:r>
      <w:r>
        <w:rPr/>
        <w:t>注</w:t>
      </w:r>
      <w:r>
        <w:rPr>
          <w:rFonts w:ascii="宋体" w:hAnsi="宋体" w:cs="宋体" w:eastAsia="宋体" w:hint="default"/>
        </w:rPr>
        <w:t>]</w:t>
      </w:r>
      <w:r>
        <w:rPr/>
        <w:t>：详见下述</w:t>
      </w:r>
      <w:r>
        <w:rPr>
          <w:rFonts w:ascii="宋体" w:hAnsi="宋体" w:cs="宋体" w:eastAsia="宋体" w:hint="default"/>
        </w:rPr>
        <w:t>(2)</w:t>
      </w:r>
      <w:r>
        <w:rPr/>
        <w:t>之说明。</w:t>
      </w:r>
    </w:p>
    <w:p>
      <w:pPr>
        <w:pStyle w:val="BodyText"/>
        <w:spacing w:line="240" w:lineRule="auto" w:before="172"/>
        <w:ind w:left="658" w:right="1688"/>
        <w:jc w:val="left"/>
      </w:pPr>
      <w:r>
        <w:rPr>
          <w:rFonts w:ascii="宋体" w:hAnsi="宋体" w:cs="宋体" w:eastAsia="宋体" w:hint="default"/>
        </w:rPr>
        <w:t>(2)</w:t>
      </w:r>
      <w:r>
        <w:rPr>
          <w:rFonts w:ascii="宋体" w:hAnsi="宋体" w:cs="宋体" w:eastAsia="宋体" w:hint="default"/>
          <w:spacing w:val="-1"/>
        </w:rPr>
        <w:t> </w:t>
      </w:r>
      <w:r>
        <w:rPr/>
        <w:t>合并成本公允价值的确定方法、或有对价及其变动的说明</w:t>
      </w:r>
    </w:p>
    <w:p>
      <w:pPr>
        <w:spacing w:after="0" w:line="240" w:lineRule="auto"/>
        <w:jc w:val="left"/>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357" w:lineRule="auto" w:before="35"/>
        <w:ind w:right="1706" w:firstLine="420"/>
        <w:jc w:val="both"/>
      </w:pPr>
      <w:r>
        <w:rPr/>
        <w:t>公司以发行股份和支付现金相结合的方式购买上海氩氪、琥珀传播</w:t>
      </w:r>
      <w:r>
        <w:rPr>
          <w:spacing w:val="7"/>
        </w:rPr>
        <w:t> </w:t>
      </w:r>
      <w:r>
        <w:rPr>
          <w:rFonts w:ascii="宋体" w:hAnsi="宋体" w:cs="宋体" w:eastAsia="宋体" w:hint="default"/>
        </w:rPr>
        <w:t>100%</w:t>
      </w:r>
      <w:r>
        <w:rPr/>
        <w:t>的股权。股份 发行的定价基准日为公司第四届董事会第二次会议决议公告日，即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3</w:t>
      </w:r>
      <w:r>
        <w:rPr>
          <w:rFonts w:ascii="宋体" w:hAnsi="宋体" w:cs="宋体" w:eastAsia="宋体" w:hint="default"/>
          <w:spacing w:val="-51"/>
        </w:rPr>
        <w:t> </w:t>
      </w:r>
      <w:r>
        <w:rPr/>
        <w:t>日。根据 </w:t>
      </w:r>
      <w:r>
        <w:rPr>
          <w:spacing w:val="-3"/>
        </w:rPr>
        <w:t>中国证券监督管理委员会《上市公司重大资产重组管理办法》等有关规定，本次发行股份购</w:t>
      </w:r>
      <w:r>
        <w:rPr>
          <w:spacing w:val="-72"/>
        </w:rPr>
        <w:t> </w:t>
      </w:r>
      <w:r>
        <w:rPr>
          <w:spacing w:val="-72"/>
        </w:rPr>
      </w:r>
      <w:r>
        <w:rPr/>
        <w:t>买资产的定价依据为不低于定价基准日前</w:t>
      </w:r>
      <w:r>
        <w:rPr>
          <w:spacing w:val="-55"/>
        </w:rPr>
        <w:t> </w:t>
      </w:r>
      <w:r>
        <w:rPr>
          <w:rFonts w:ascii="宋体" w:hAnsi="宋体" w:cs="宋体" w:eastAsia="宋体" w:hint="default"/>
        </w:rPr>
        <w:t>20</w:t>
      </w:r>
      <w:r>
        <w:rPr>
          <w:rFonts w:ascii="宋体" w:hAnsi="宋体" w:cs="宋体" w:eastAsia="宋体" w:hint="default"/>
          <w:spacing w:val="-54"/>
        </w:rPr>
        <w:t> </w:t>
      </w:r>
      <w:r>
        <w:rPr/>
        <w:t>个交易日公司股票交易均价，即</w:t>
      </w:r>
      <w:r>
        <w:rPr>
          <w:spacing w:val="-54"/>
        </w:rPr>
        <w:t> </w:t>
      </w:r>
      <w:r>
        <w:rPr>
          <w:rFonts w:ascii="宋体" w:hAnsi="宋体" w:cs="宋体" w:eastAsia="宋体" w:hint="default"/>
        </w:rPr>
        <w:t>18.77</w:t>
      </w:r>
      <w:r>
        <w:rPr>
          <w:rFonts w:ascii="宋体" w:hAnsi="宋体" w:cs="宋体" w:eastAsia="宋体" w:hint="default"/>
          <w:spacing w:val="-54"/>
        </w:rPr>
        <w:t> </w:t>
      </w:r>
      <w:r>
        <w:rPr/>
        <w:t>元</w:t>
      </w:r>
      <w:r>
        <w:rPr>
          <w:rFonts w:ascii="宋体" w:hAnsi="宋体" w:cs="宋体" w:eastAsia="宋体" w:hint="default"/>
        </w:rPr>
        <w:t>/</w:t>
      </w:r>
      <w:r>
        <w:rPr/>
        <w:t>股。</w:t>
      </w:r>
    </w:p>
    <w:p>
      <w:pPr>
        <w:pStyle w:val="BodyText"/>
        <w:spacing w:line="357" w:lineRule="auto" w:before="31"/>
        <w:ind w:right="1678"/>
        <w:jc w:val="left"/>
      </w:pPr>
      <w:r>
        <w:rPr/>
        <w:t>经交易各方友好协商，并经公司第六次临时股东大会批准，确定本次发行股份价格为</w:t>
      </w:r>
      <w:r>
        <w:rPr>
          <w:spacing w:val="-65"/>
        </w:rPr>
        <w:t> </w:t>
      </w:r>
      <w:r>
        <w:rPr>
          <w:rFonts w:ascii="宋体" w:hAnsi="宋体" w:cs="宋体" w:eastAsia="宋体" w:hint="default"/>
        </w:rPr>
        <w:t>18.77 </w:t>
      </w:r>
      <w:r>
        <w:rPr/>
        <w:t>元</w:t>
      </w:r>
      <w:r>
        <w:rPr>
          <w:rFonts w:ascii="宋体" w:hAnsi="宋体" w:cs="宋体" w:eastAsia="宋体" w:hint="default"/>
        </w:rPr>
        <w:t>/</w:t>
      </w:r>
      <w:r>
        <w:rPr/>
        <w:t>股。根据中国证券监督管理委员会《关于核准利欧集团股份有限公司向詹嘉等发行股份</w:t>
      </w:r>
      <w:r>
        <w:rPr>
          <w:spacing w:val="-92"/>
        </w:rPr>
        <w:t> </w:t>
      </w:r>
      <w:r>
        <w:rPr>
          <w:spacing w:val="-92"/>
        </w:rPr>
      </w:r>
      <w:r>
        <w:rPr>
          <w:spacing w:val="-1"/>
        </w:rPr>
        <w:t>购买资产并募集配套资金的批复》</w:t>
      </w:r>
      <w:r>
        <w:rPr>
          <w:rFonts w:ascii="宋体" w:hAnsi="宋体" w:cs="宋体" w:eastAsia="宋体" w:hint="default"/>
          <w:spacing w:val="-1"/>
        </w:rPr>
        <w:t>(</w:t>
      </w:r>
      <w:r>
        <w:rPr>
          <w:spacing w:val="-1"/>
        </w:rPr>
        <w:t>证监许可〔</w:t>
      </w:r>
      <w:r>
        <w:rPr>
          <w:rFonts w:ascii="宋体" w:hAnsi="宋体" w:cs="宋体" w:eastAsia="宋体" w:hint="default"/>
          <w:spacing w:val="-1"/>
        </w:rPr>
        <w:t>2014</w:t>
      </w:r>
      <w:r>
        <w:rPr>
          <w:spacing w:val="-1"/>
        </w:rPr>
        <w:t>〕</w:t>
      </w:r>
      <w:r>
        <w:rPr>
          <w:rFonts w:ascii="宋体" w:hAnsi="宋体" w:cs="宋体" w:eastAsia="宋体" w:hint="default"/>
          <w:spacing w:val="-1"/>
        </w:rPr>
        <w:t>1227</w:t>
      </w:r>
      <w:r>
        <w:rPr>
          <w:rFonts w:ascii="宋体" w:hAnsi="宋体" w:cs="宋体" w:eastAsia="宋体" w:hint="default"/>
          <w:spacing w:val="-49"/>
        </w:rPr>
        <w:t> </w:t>
      </w:r>
      <w:r>
        <w:rPr>
          <w:spacing w:val="-8"/>
        </w:rPr>
        <w:t>号），核准公司分别向上海氩氪、</w:t>
      </w:r>
      <w:r>
        <w:rPr/>
        <w:t> 琥珀传播原股东发行股份</w:t>
      </w:r>
      <w:r>
        <w:rPr>
          <w:spacing w:val="-61"/>
        </w:rPr>
        <w:t> </w:t>
      </w:r>
      <w:r>
        <w:rPr>
          <w:rFonts w:ascii="宋体" w:hAnsi="宋体" w:cs="宋体" w:eastAsia="宋体" w:hint="default"/>
        </w:rPr>
        <w:t>6,018,620.00</w:t>
      </w:r>
      <w:r>
        <w:rPr>
          <w:rFonts w:ascii="宋体" w:hAnsi="宋体" w:cs="宋体" w:eastAsia="宋体" w:hint="default"/>
          <w:spacing w:val="-60"/>
        </w:rPr>
        <w:t> </w:t>
      </w:r>
      <w:r>
        <w:rPr/>
        <w:t>股、</w:t>
      </w:r>
      <w:r>
        <w:rPr>
          <w:rFonts w:ascii="宋体" w:hAnsi="宋体" w:cs="宋体" w:eastAsia="宋体" w:hint="default"/>
        </w:rPr>
        <w:t>5,194,459.00</w:t>
      </w:r>
      <w:r>
        <w:rPr>
          <w:rFonts w:ascii="宋体" w:hAnsi="宋体" w:cs="宋体" w:eastAsia="宋体" w:hint="default"/>
          <w:spacing w:val="-60"/>
        </w:rPr>
        <w:t> </w:t>
      </w:r>
      <w:r>
        <w:rPr/>
        <w:t>股，即上述发行的股份其公允价 值分别为</w:t>
      </w:r>
      <w:r>
        <w:rPr>
          <w:spacing w:val="-53"/>
        </w:rPr>
        <w:t> </w:t>
      </w:r>
      <w:r>
        <w:rPr>
          <w:rFonts w:ascii="宋体" w:hAnsi="宋体" w:cs="宋体" w:eastAsia="宋体" w:hint="default"/>
        </w:rPr>
        <w:t>112,969,497.40</w:t>
      </w:r>
      <w:r>
        <w:rPr>
          <w:rFonts w:ascii="宋体" w:hAnsi="宋体" w:cs="宋体" w:eastAsia="宋体" w:hint="default"/>
          <w:spacing w:val="-54"/>
        </w:rPr>
        <w:t> </w:t>
      </w:r>
      <w:r>
        <w:rPr/>
        <w:t>元、</w:t>
      </w:r>
      <w:r>
        <w:rPr>
          <w:rFonts w:ascii="宋体" w:hAnsi="宋体" w:cs="宋体" w:eastAsia="宋体" w:hint="default"/>
        </w:rPr>
        <w:t>97,499,995.43</w:t>
      </w:r>
      <w:r>
        <w:rPr>
          <w:rFonts w:ascii="宋体" w:hAnsi="宋体" w:cs="宋体" w:eastAsia="宋体" w:hint="default"/>
          <w:spacing w:val="-52"/>
        </w:rPr>
        <w:t> </w:t>
      </w:r>
      <w:r>
        <w:rPr/>
        <w:t>元。</w:t>
      </w:r>
    </w:p>
    <w:p>
      <w:pPr>
        <w:pStyle w:val="BodyText"/>
        <w:spacing w:line="357" w:lineRule="auto" w:before="71"/>
        <w:ind w:right="1758" w:firstLine="420"/>
        <w:jc w:val="both"/>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日，根据上海氩氪与自然人李蘋、郑家泓分别签订的《股权转让协议》 </w:t>
      </w:r>
      <w:r>
        <w:rPr>
          <w:spacing w:val="-10"/>
        </w:rPr>
        <w:t>及《补充协议》，上海氩氪以</w:t>
      </w:r>
      <w:r>
        <w:rPr>
          <w:spacing w:val="-52"/>
        </w:rPr>
        <w:t> </w:t>
      </w:r>
      <w:r>
        <w:rPr>
          <w:rFonts w:ascii="宋体" w:hAnsi="宋体" w:cs="宋体" w:eastAsia="宋体" w:hint="default"/>
        </w:rPr>
        <w:t>8,162,292.35</w:t>
      </w:r>
      <w:r>
        <w:rPr>
          <w:rFonts w:ascii="宋体" w:hAnsi="宋体" w:cs="宋体" w:eastAsia="宋体" w:hint="default"/>
          <w:spacing w:val="-51"/>
        </w:rPr>
        <w:t> </w:t>
      </w:r>
      <w:r>
        <w:rPr>
          <w:spacing w:val="-1"/>
        </w:rPr>
        <w:t>元受让李蘋、郑家泓分别持有的上海沃动</w:t>
      </w:r>
      <w:r>
        <w:rPr>
          <w:spacing w:val="-51"/>
        </w:rPr>
        <w:t> </w:t>
      </w:r>
      <w:r>
        <w:rPr>
          <w:rFonts w:ascii="宋体" w:hAnsi="宋体" w:cs="宋体" w:eastAsia="宋体" w:hint="default"/>
        </w:rPr>
        <w:t>49%</w:t>
      </w:r>
      <w:r>
        <w:rPr/>
        <w:t>和 </w:t>
      </w:r>
      <w:r>
        <w:rPr>
          <w:rFonts w:ascii="宋体" w:hAnsi="宋体" w:cs="宋体" w:eastAsia="宋体" w:hint="default"/>
        </w:rPr>
        <w:t>51%</w:t>
      </w:r>
      <w:r>
        <w:rPr/>
        <w:t>股权。同日，根据上海氩氪股东会决议，同意将上海氩氪的注册资本由</w:t>
      </w:r>
      <w:r>
        <w:rPr>
          <w:spacing w:val="-45"/>
        </w:rPr>
        <w:t> </w:t>
      </w:r>
      <w:r>
        <w:rPr>
          <w:rFonts w:ascii="宋体" w:hAnsi="宋体" w:cs="宋体" w:eastAsia="宋体" w:hint="default"/>
        </w:rPr>
        <w:t>100</w:t>
      </w:r>
      <w:r>
        <w:rPr>
          <w:rFonts w:ascii="宋体" w:hAnsi="宋体" w:cs="宋体" w:eastAsia="宋体" w:hint="default"/>
          <w:spacing w:val="-46"/>
        </w:rPr>
        <w:t> </w:t>
      </w:r>
      <w:r>
        <w:rPr/>
        <w:t>万元增加至</w:t>
      </w:r>
    </w:p>
    <w:p>
      <w:pPr>
        <w:pStyle w:val="BodyText"/>
        <w:spacing w:line="357" w:lineRule="auto"/>
        <w:ind w:right="1793"/>
        <w:jc w:val="both"/>
        <w:rPr>
          <w:rFonts w:ascii="宋体" w:hAnsi="宋体" w:cs="宋体" w:eastAsia="宋体" w:hint="default"/>
        </w:rPr>
      </w:pPr>
      <w:r>
        <w:rPr>
          <w:rFonts w:ascii="宋体" w:hAnsi="宋体" w:cs="宋体" w:eastAsia="宋体" w:hint="default"/>
        </w:rPr>
        <w:t>180.018</w:t>
      </w:r>
      <w:r>
        <w:rPr>
          <w:rFonts w:ascii="宋体" w:hAnsi="宋体" w:cs="宋体" w:eastAsia="宋体" w:hint="default"/>
          <w:spacing w:val="-31"/>
        </w:rPr>
        <w:t> </w:t>
      </w:r>
      <w:r>
        <w:rPr/>
        <w:t>万元，新增注册资本</w:t>
      </w:r>
      <w:r>
        <w:rPr>
          <w:spacing w:val="-32"/>
        </w:rPr>
        <w:t> </w:t>
      </w:r>
      <w:r>
        <w:rPr>
          <w:rFonts w:ascii="宋体" w:hAnsi="宋体" w:cs="宋体" w:eastAsia="宋体" w:hint="default"/>
        </w:rPr>
        <w:t>80.018</w:t>
      </w:r>
      <w:r>
        <w:rPr>
          <w:rFonts w:ascii="宋体" w:hAnsi="宋体" w:cs="宋体" w:eastAsia="宋体" w:hint="default"/>
          <w:spacing w:val="-30"/>
        </w:rPr>
        <w:t> </w:t>
      </w:r>
      <w:r>
        <w:rPr/>
        <w:t>万元由自然人詹嘉以货币全额认购。增资完成后，詹 嘉持有本公司</w:t>
      </w:r>
      <w:r>
        <w:rPr>
          <w:spacing w:val="-85"/>
        </w:rPr>
        <w:t> </w:t>
      </w:r>
      <w:r>
        <w:rPr>
          <w:rFonts w:ascii="宋体" w:hAnsi="宋体" w:cs="宋体" w:eastAsia="宋体" w:hint="default"/>
        </w:rPr>
        <w:t>44.45%</w:t>
      </w:r>
      <w:r>
        <w:rPr/>
        <w:t>的股权。基于詹嘉向本公司增资及李蘋、郑家泓将持有的上海沃动</w:t>
      </w:r>
      <w:r>
        <w:rPr>
          <w:rFonts w:ascii="宋体" w:hAnsi="宋体" w:cs="宋体" w:eastAsia="宋体" w:hint="default"/>
        </w:rPr>
        <w:t>(</w:t>
      </w:r>
      <w:r>
        <w:rPr/>
        <w:t>詹 </w:t>
      </w:r>
      <w:r>
        <w:rPr>
          <w:spacing w:val="-5"/>
        </w:rPr>
        <w:t>嘉为上海沃动实际股东</w:t>
      </w:r>
      <w:r>
        <w:rPr>
          <w:rFonts w:ascii="宋体" w:hAnsi="宋体" w:cs="宋体" w:eastAsia="宋体" w:hint="default"/>
          <w:spacing w:val="-5"/>
        </w:rPr>
        <w:t>)</w:t>
      </w:r>
      <w:r>
        <w:rPr>
          <w:spacing w:val="-5"/>
        </w:rPr>
        <w:t>股权全部转让给上海氩氪为“互为条件”，视同上市公司定向发行股</w:t>
      </w:r>
      <w:r>
        <w:rPr>
          <w:spacing w:val="-96"/>
        </w:rPr>
        <w:t> </w:t>
      </w:r>
      <w:r>
        <w:rPr>
          <w:spacing w:val="-96"/>
        </w:rPr>
      </w:r>
      <w:r>
        <w:rPr>
          <w:spacing w:val="-6"/>
        </w:rPr>
        <w:t>票及支付现金购买资产行为。因本公司拟以截至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3"/>
        </w:rPr>
        <w:t> </w:t>
      </w:r>
      <w:r>
        <w:rPr>
          <w:rFonts w:ascii="宋体" w:hAnsi="宋体" w:cs="宋体" w:eastAsia="宋体" w:hint="default"/>
          <w:spacing w:val="-1"/>
        </w:rPr>
        <w:t>30</w:t>
      </w:r>
      <w:r>
        <w:rPr>
          <w:rFonts w:ascii="宋体" w:hAnsi="宋体" w:cs="宋体" w:eastAsia="宋体" w:hint="default"/>
          <w:spacing w:val="-53"/>
        </w:rPr>
        <w:t> </w:t>
      </w:r>
      <w:r>
        <w:rPr>
          <w:spacing w:val="-14"/>
        </w:rPr>
        <w:t>日为基准日，支付</w:t>
      </w:r>
      <w:r>
        <w:rPr>
          <w:spacing w:val="-53"/>
        </w:rPr>
        <w:t> </w:t>
      </w:r>
      <w:r>
        <w:rPr>
          <w:rFonts w:ascii="宋体" w:hAnsi="宋体" w:cs="宋体" w:eastAsia="宋体" w:hint="default"/>
          <w:spacing w:val="-1"/>
        </w:rPr>
        <w:t>22,593.90</w:t>
      </w:r>
    </w:p>
    <w:p>
      <w:pPr>
        <w:pStyle w:val="BodyText"/>
        <w:spacing w:line="240" w:lineRule="auto"/>
        <w:ind w:right="0"/>
        <w:jc w:val="both"/>
      </w:pPr>
      <w:r>
        <w:rPr/>
        <w:t>万元对价收购上海氩氪</w:t>
      </w:r>
      <w:r>
        <w:rPr>
          <w:spacing w:val="-14"/>
        </w:rPr>
        <w:t> </w:t>
      </w:r>
      <w:r>
        <w:rPr>
          <w:rFonts w:ascii="宋体" w:hAnsi="宋体" w:cs="宋体" w:eastAsia="宋体" w:hint="default"/>
        </w:rPr>
        <w:t>100%</w:t>
      </w:r>
      <w:r>
        <w:rPr/>
        <w:t>股权，即上海氩氪截至</w:t>
      </w:r>
      <w:r>
        <w:rPr>
          <w:spacing w:val="-14"/>
        </w:rPr>
        <w:t> </w:t>
      </w:r>
      <w:r>
        <w:rPr>
          <w:rFonts w:ascii="宋体" w:hAnsi="宋体" w:cs="宋体" w:eastAsia="宋体" w:hint="default"/>
        </w:rPr>
        <w:t>2014</w:t>
      </w:r>
      <w:r>
        <w:rPr>
          <w:rFonts w:ascii="宋体" w:hAnsi="宋体" w:cs="宋体" w:eastAsia="宋体" w:hint="default"/>
          <w:spacing w:val="-14"/>
        </w:rPr>
        <w:t> </w:t>
      </w:r>
      <w:r>
        <w:rPr/>
        <w:t>年</w:t>
      </w:r>
      <w:r>
        <w:rPr>
          <w:spacing w:val="-14"/>
        </w:rPr>
        <w:t> </w:t>
      </w:r>
      <w:r>
        <w:rPr>
          <w:rFonts w:ascii="宋体" w:hAnsi="宋体" w:cs="宋体" w:eastAsia="宋体" w:hint="default"/>
        </w:rPr>
        <w:t>4</w:t>
      </w:r>
      <w:r>
        <w:rPr>
          <w:rFonts w:ascii="宋体" w:hAnsi="宋体" w:cs="宋体" w:eastAsia="宋体" w:hint="default"/>
          <w:spacing w:val="-13"/>
        </w:rPr>
        <w:t> </w:t>
      </w:r>
      <w:r>
        <w:rPr/>
        <w:t>月</w:t>
      </w:r>
      <w:r>
        <w:rPr>
          <w:spacing w:val="-14"/>
        </w:rPr>
        <w:t> </w:t>
      </w:r>
      <w:r>
        <w:rPr>
          <w:rFonts w:ascii="宋体" w:hAnsi="宋体" w:cs="宋体" w:eastAsia="宋体" w:hint="default"/>
        </w:rPr>
        <w:t>30</w:t>
      </w:r>
      <w:r>
        <w:rPr>
          <w:rFonts w:ascii="宋体" w:hAnsi="宋体" w:cs="宋体" w:eastAsia="宋体" w:hint="default"/>
          <w:spacing w:val="-14"/>
        </w:rPr>
        <w:t> </w:t>
      </w:r>
      <w:r>
        <w:rPr/>
        <w:t>日的整体公允价值为</w:t>
      </w:r>
    </w:p>
    <w:p>
      <w:pPr>
        <w:pStyle w:val="BodyText"/>
        <w:spacing w:line="355" w:lineRule="auto" w:before="134"/>
        <w:ind w:right="1792"/>
        <w:jc w:val="both"/>
      </w:pPr>
      <w:r>
        <w:rPr>
          <w:rFonts w:ascii="宋体" w:hAnsi="宋体" w:cs="宋体" w:eastAsia="宋体" w:hint="default"/>
        </w:rPr>
        <w:t>22,593.90</w:t>
      </w:r>
      <w:r>
        <w:rPr>
          <w:rFonts w:ascii="宋体" w:hAnsi="宋体" w:cs="宋体" w:eastAsia="宋体" w:hint="default"/>
          <w:spacing w:val="-30"/>
        </w:rPr>
        <w:t> </w:t>
      </w:r>
      <w:r>
        <w:rPr/>
        <w:t>万元，本次詹嘉增资部分所占总注册资本份额的公允价值为</w:t>
      </w:r>
      <w:r>
        <w:rPr>
          <w:spacing w:val="-29"/>
        </w:rPr>
        <w:t> </w:t>
      </w:r>
      <w:r>
        <w:rPr>
          <w:rFonts w:ascii="宋体" w:hAnsi="宋体" w:cs="宋体" w:eastAsia="宋体" w:hint="default"/>
        </w:rPr>
        <w:t>100,429,884.24</w:t>
      </w:r>
      <w:r>
        <w:rPr>
          <w:rFonts w:ascii="宋体" w:hAnsi="宋体" w:cs="宋体" w:eastAsia="宋体" w:hint="default"/>
          <w:spacing w:val="-28"/>
        </w:rPr>
        <w:t> </w:t>
      </w:r>
      <w:r>
        <w:rPr/>
        <w:t>元 </w:t>
      </w:r>
      <w:r>
        <w:rPr>
          <w:rFonts w:ascii="宋体" w:hAnsi="宋体" w:cs="宋体" w:eastAsia="宋体" w:hint="default"/>
        </w:rPr>
        <w:t>(22,593.90</w:t>
      </w:r>
      <w:r>
        <w:rPr>
          <w:rFonts w:ascii="宋体" w:hAnsi="宋体" w:cs="宋体" w:eastAsia="宋体" w:hint="default"/>
          <w:spacing w:val="-50"/>
        </w:rPr>
        <w:t> </w:t>
      </w:r>
      <w:r>
        <w:rPr/>
        <w:t>万元×</w:t>
      </w:r>
      <w:r>
        <w:rPr>
          <w:rFonts w:ascii="宋体" w:hAnsi="宋体" w:cs="宋体" w:eastAsia="宋体" w:hint="default"/>
        </w:rPr>
        <w:t>80.018</w:t>
      </w:r>
      <w:r>
        <w:rPr>
          <w:rFonts w:ascii="宋体" w:hAnsi="宋体" w:cs="宋体" w:eastAsia="宋体" w:hint="default"/>
          <w:spacing w:val="-50"/>
        </w:rPr>
        <w:t> </w:t>
      </w:r>
      <w:r>
        <w:rPr/>
        <w:t>万元</w:t>
      </w:r>
      <w:r>
        <w:rPr>
          <w:rFonts w:ascii="宋体" w:hAnsi="宋体" w:cs="宋体" w:eastAsia="宋体" w:hint="default"/>
        </w:rPr>
        <w:t>/180.018</w:t>
      </w:r>
      <w:r>
        <w:rPr>
          <w:rFonts w:ascii="宋体" w:hAnsi="宋体" w:cs="宋体" w:eastAsia="宋体" w:hint="default"/>
          <w:spacing w:val="-48"/>
        </w:rPr>
        <w:t> </w:t>
      </w:r>
      <w:r>
        <w:rPr/>
        <w:t>万元</w:t>
      </w:r>
      <w:r>
        <w:rPr>
          <w:rFonts w:ascii="宋体" w:hAnsi="宋体" w:cs="宋体" w:eastAsia="宋体" w:hint="default"/>
        </w:rPr>
        <w:t>)</w:t>
      </w:r>
      <w:r>
        <w:rPr/>
        <w:t>，因此，本次购买上海沃动</w:t>
      </w:r>
      <w:r>
        <w:rPr>
          <w:spacing w:val="-50"/>
        </w:rPr>
        <w:t> </w:t>
      </w:r>
      <w:r>
        <w:rPr>
          <w:rFonts w:ascii="宋体" w:hAnsi="宋体" w:cs="宋体" w:eastAsia="宋体" w:hint="default"/>
        </w:rPr>
        <w:t>100%</w:t>
      </w:r>
      <w:r>
        <w:rPr/>
        <w:t>股权以新增 注册资本方式支付的股权对价为</w:t>
      </w:r>
      <w:r>
        <w:rPr>
          <w:spacing w:val="-44"/>
        </w:rPr>
        <w:t> </w:t>
      </w:r>
      <w:r>
        <w:rPr>
          <w:rFonts w:ascii="宋体" w:hAnsi="宋体" w:cs="宋体" w:eastAsia="宋体" w:hint="default"/>
        </w:rPr>
        <w:t>100,429,884.24</w:t>
      </w:r>
      <w:r>
        <w:rPr>
          <w:rFonts w:ascii="宋体" w:hAnsi="宋体" w:cs="宋体" w:eastAsia="宋体" w:hint="default"/>
          <w:spacing w:val="-45"/>
        </w:rPr>
        <w:t> </w:t>
      </w:r>
      <w:r>
        <w:rPr/>
        <w:t>元；另外，上海氩氪以现金方式支付的对</w:t>
      </w:r>
    </w:p>
    <w:p>
      <w:pPr>
        <w:pStyle w:val="BodyText"/>
        <w:spacing w:line="240" w:lineRule="auto" w:before="33"/>
        <w:ind w:right="0"/>
        <w:jc w:val="both"/>
      </w:pPr>
      <w:r>
        <w:rPr/>
        <w:t>价差额为</w:t>
      </w:r>
      <w:r>
        <w:rPr>
          <w:spacing w:val="-51"/>
        </w:rPr>
        <w:t> </w:t>
      </w:r>
      <w:r>
        <w:rPr>
          <w:rFonts w:ascii="宋体" w:hAnsi="宋体" w:cs="宋体" w:eastAsia="宋体" w:hint="default"/>
        </w:rPr>
        <w:t>7,362,112.35</w:t>
      </w:r>
      <w:r>
        <w:rPr>
          <w:rFonts w:ascii="宋体" w:hAnsi="宋体" w:cs="宋体" w:eastAsia="宋体" w:hint="default"/>
          <w:spacing w:val="-50"/>
        </w:rPr>
        <w:t> </w:t>
      </w:r>
      <w:r>
        <w:rPr/>
        <w:t>元</w:t>
      </w:r>
      <w:r>
        <w:rPr>
          <w:rFonts w:ascii="宋体" w:hAnsi="宋体" w:cs="宋体" w:eastAsia="宋体" w:hint="default"/>
        </w:rPr>
        <w:t>(</w:t>
      </w:r>
      <w:r>
        <w:rPr/>
        <w:t>即上海氩氪收购上海沃动股权支付现金对价</w:t>
      </w:r>
      <w:r>
        <w:rPr>
          <w:spacing w:val="-51"/>
        </w:rPr>
        <w:t> </w:t>
      </w:r>
      <w:r>
        <w:rPr>
          <w:rFonts w:ascii="宋体" w:hAnsi="宋体" w:cs="宋体" w:eastAsia="宋体" w:hint="default"/>
        </w:rPr>
        <w:t>8,162,292.35</w:t>
      </w:r>
      <w:r>
        <w:rPr>
          <w:rFonts w:ascii="宋体" w:hAnsi="宋体" w:cs="宋体" w:eastAsia="宋体" w:hint="default"/>
          <w:spacing w:val="-50"/>
        </w:rPr>
        <w:t> </w:t>
      </w:r>
      <w:r>
        <w:rPr/>
        <w:t>元与</w:t>
      </w:r>
    </w:p>
    <w:p>
      <w:pPr>
        <w:pStyle w:val="BodyText"/>
        <w:spacing w:line="357" w:lineRule="auto" w:before="133"/>
        <w:ind w:right="1794"/>
        <w:jc w:val="both"/>
      </w:pPr>
      <w:r>
        <w:rPr/>
        <w:t>詹嘉向上海氩氪增资支付现金对价</w:t>
      </w:r>
      <w:r>
        <w:rPr>
          <w:spacing w:val="-62"/>
        </w:rPr>
        <w:t> </w:t>
      </w:r>
      <w:r>
        <w:rPr>
          <w:rFonts w:ascii="宋体" w:hAnsi="宋体" w:cs="宋体" w:eastAsia="宋体" w:hint="default"/>
        </w:rPr>
        <w:t>800,180.00</w:t>
      </w:r>
      <w:r>
        <w:rPr>
          <w:rFonts w:ascii="宋体" w:hAnsi="宋体" w:cs="宋体" w:eastAsia="宋体" w:hint="default"/>
          <w:spacing w:val="-63"/>
        </w:rPr>
        <w:t> </w:t>
      </w:r>
      <w:r>
        <w:rPr>
          <w:spacing w:val="-9"/>
        </w:rPr>
        <w:t>元的差额</w:t>
      </w:r>
      <w:r>
        <w:rPr>
          <w:rFonts w:ascii="宋体" w:hAnsi="宋体" w:cs="宋体" w:eastAsia="宋体" w:hint="default"/>
          <w:spacing w:val="-9"/>
        </w:rPr>
        <w:t>)</w:t>
      </w:r>
      <w:r>
        <w:rPr>
          <w:spacing w:val="-9"/>
        </w:rPr>
        <w:t>，合计上海氩氪以</w:t>
      </w:r>
      <w:r>
        <w:rPr>
          <w:spacing w:val="-62"/>
        </w:rPr>
        <w:t> </w:t>
      </w:r>
      <w:r>
        <w:rPr>
          <w:rFonts w:ascii="宋体" w:hAnsi="宋体" w:cs="宋体" w:eastAsia="宋体" w:hint="default"/>
        </w:rPr>
        <w:t>107,791,996.59 </w:t>
      </w:r>
      <w:r>
        <w:rPr/>
        <w:t>元的收购对价完成对上海沃动</w:t>
      </w:r>
      <w:r>
        <w:rPr>
          <w:spacing w:val="-53"/>
        </w:rPr>
        <w:t> </w:t>
      </w:r>
      <w:r>
        <w:rPr>
          <w:rFonts w:ascii="宋体" w:hAnsi="宋体" w:cs="宋体" w:eastAsia="宋体" w:hint="default"/>
        </w:rPr>
        <w:t>100%</w:t>
      </w:r>
      <w:r>
        <w:rPr/>
        <w:t>的股权收购。</w:t>
      </w:r>
    </w:p>
    <w:p>
      <w:pPr>
        <w:pStyle w:val="BodyText"/>
        <w:spacing w:line="391" w:lineRule="auto" w:before="71"/>
        <w:ind w:left="558" w:right="0"/>
        <w:jc w:val="left"/>
      </w:pPr>
      <w:r>
        <w:rPr>
          <w:rFonts w:ascii="宋体" w:hAnsi="宋体" w:cs="宋体" w:eastAsia="宋体" w:hint="default"/>
        </w:rPr>
        <w:t>(3) </w:t>
      </w:r>
      <w:r>
        <w:rPr/>
        <w:t>大额商誉形成的主要原因 </w:t>
      </w:r>
      <w:r>
        <w:rPr>
          <w:spacing w:val="-3"/>
        </w:rPr>
        <w:t>本次收购的上海漫酷、上海氩氪和琥珀传播均属于轻资产企业，获利能力较强。评估机</w:t>
      </w:r>
    </w:p>
    <w:p>
      <w:pPr>
        <w:pStyle w:val="BodyText"/>
        <w:spacing w:line="357" w:lineRule="auto" w:before="2"/>
        <w:ind w:left="138" w:right="1757"/>
        <w:jc w:val="both"/>
      </w:pPr>
      <w:r>
        <w:rPr>
          <w:spacing w:val="-3"/>
        </w:rPr>
        <w:t>构在评估上述公司价值时，从企业未来发展的角度，通过合理预测企业未来收益及其对应的</w:t>
      </w:r>
      <w:r>
        <w:rPr>
          <w:spacing w:val="-75"/>
        </w:rPr>
        <w:t> </w:t>
      </w:r>
      <w:r>
        <w:rPr>
          <w:spacing w:val="-75"/>
        </w:rPr>
      </w:r>
      <w:r>
        <w:rPr>
          <w:spacing w:val="-3"/>
        </w:rPr>
        <w:t>风险，综合评估企业股东全部权益价值。在评估时，不仅考虑了各分项资产是否在企业中得</w:t>
      </w:r>
      <w:r>
        <w:rPr>
          <w:spacing w:val="-72"/>
        </w:rPr>
        <w:t> </w:t>
      </w:r>
      <w:r>
        <w:rPr>
          <w:spacing w:val="-72"/>
        </w:rPr>
      </w:r>
      <w:r>
        <w:rPr>
          <w:spacing w:val="-3"/>
        </w:rPr>
        <w:t>到合理和充分利用、组合在一起时是否发挥了其应有的贡献等因素对企业股东全部权益价值</w:t>
      </w:r>
      <w:r>
        <w:rPr>
          <w:spacing w:val="-73"/>
        </w:rPr>
        <w:t> </w:t>
      </w:r>
      <w:r>
        <w:rPr>
          <w:spacing w:val="-73"/>
        </w:rPr>
      </w:r>
      <w:r>
        <w:rPr>
          <w:spacing w:val="-3"/>
        </w:rPr>
        <w:t>的影响，同时也考虑了企业运营资质、行业竞争力、企业的管理水平、人力资源、要素协同</w:t>
      </w:r>
      <w:r>
        <w:rPr>
          <w:spacing w:val="-78"/>
        </w:rPr>
        <w:t> </w:t>
      </w:r>
      <w:r>
        <w:rPr>
          <w:spacing w:val="-78"/>
        </w:rPr>
      </w:r>
      <w:r>
        <w:rPr>
          <w:spacing w:val="-3"/>
        </w:rPr>
        <w:t>作用等资产基础法无法考虑的因素对股东全部权益价值的影响。根据坤元资产评估有限公司</w:t>
      </w:r>
      <w:r>
        <w:rPr>
          <w:spacing w:val="-73"/>
        </w:rPr>
        <w:t> </w:t>
      </w:r>
      <w:r>
        <w:rPr>
          <w:spacing w:val="-73"/>
        </w:rPr>
      </w:r>
      <w:r>
        <w:rPr/>
        <w:t>对上海漫酷、上海氩氪和琥珀传播分别出具的《资产评估报告》</w:t>
      </w:r>
      <w:r>
        <w:rPr>
          <w:rFonts w:ascii="宋体" w:hAnsi="宋体" w:cs="宋体" w:eastAsia="宋体" w:hint="default"/>
        </w:rPr>
        <w:t>(</w:t>
      </w:r>
      <w:r>
        <w:rPr/>
        <w:t>坤元评报〔</w:t>
      </w:r>
      <w:r>
        <w:rPr>
          <w:rFonts w:ascii="宋体" w:hAnsi="宋体" w:cs="宋体" w:eastAsia="宋体" w:hint="default"/>
        </w:rPr>
        <w:t>2014</w:t>
      </w:r>
      <w:r>
        <w:rPr/>
        <w:t>〕</w:t>
      </w:r>
      <w:r>
        <w:rPr>
          <w:rFonts w:ascii="宋体" w:hAnsi="宋体" w:cs="宋体" w:eastAsia="宋体" w:hint="default"/>
        </w:rPr>
        <w:t>40</w:t>
      </w:r>
      <w:r>
        <w:rPr>
          <w:rFonts w:ascii="宋体" w:hAnsi="宋体" w:cs="宋体" w:eastAsia="宋体" w:hint="default"/>
          <w:spacing w:val="-54"/>
        </w:rPr>
        <w:t> </w:t>
      </w:r>
      <w:r>
        <w:rPr/>
        <w:t>号、 坤元评报〔</w:t>
      </w:r>
      <w:r>
        <w:rPr>
          <w:rFonts w:ascii="宋体" w:hAnsi="宋体" w:cs="宋体" w:eastAsia="宋体" w:hint="default"/>
        </w:rPr>
        <w:t>2014</w:t>
      </w:r>
      <w:r>
        <w:rPr/>
        <w:t>〕</w:t>
      </w:r>
      <w:r>
        <w:rPr>
          <w:rFonts w:ascii="宋体" w:hAnsi="宋体" w:cs="宋体" w:eastAsia="宋体" w:hint="default"/>
        </w:rPr>
        <w:t>208</w:t>
      </w:r>
      <w:r>
        <w:rPr>
          <w:rFonts w:ascii="宋体" w:hAnsi="宋体" w:cs="宋体" w:eastAsia="宋体" w:hint="default"/>
          <w:spacing w:val="-51"/>
        </w:rPr>
        <w:t> </w:t>
      </w:r>
      <w:r>
        <w:rPr/>
        <w:t>号和坤元评报〔</w:t>
      </w:r>
      <w:r>
        <w:rPr>
          <w:rFonts w:ascii="宋体" w:hAnsi="宋体" w:cs="宋体" w:eastAsia="宋体" w:hint="default"/>
        </w:rPr>
        <w:t>2014</w:t>
      </w:r>
      <w:r>
        <w:rPr/>
        <w:t>〕</w:t>
      </w:r>
      <w:r>
        <w:rPr>
          <w:rFonts w:ascii="宋体" w:hAnsi="宋体" w:cs="宋体" w:eastAsia="宋体" w:hint="default"/>
        </w:rPr>
        <w:t>193</w:t>
      </w:r>
      <w:r>
        <w:rPr>
          <w:rFonts w:ascii="宋体" w:hAnsi="宋体" w:cs="宋体" w:eastAsia="宋体" w:hint="default"/>
          <w:spacing w:val="-52"/>
        </w:rPr>
        <w:t> </w:t>
      </w:r>
      <w:r>
        <w:rPr/>
        <w:t>号</w:t>
      </w:r>
      <w:r>
        <w:rPr>
          <w:rFonts w:ascii="宋体" w:hAnsi="宋体" w:cs="宋体" w:eastAsia="宋体" w:hint="default"/>
        </w:rPr>
        <w:t>)</w:t>
      </w:r>
      <w:r>
        <w:rPr/>
        <w:t>，以</w:t>
      </w:r>
      <w:r>
        <w:rPr>
          <w:spacing w:val="-52"/>
        </w:rPr>
        <w:t> </w:t>
      </w: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日为基准日，上</w:t>
      </w:r>
    </w:p>
    <w:p>
      <w:pPr>
        <w:pStyle w:val="BodyText"/>
        <w:spacing w:line="355" w:lineRule="auto" w:before="31"/>
        <w:ind w:left="138" w:right="1683"/>
        <w:jc w:val="left"/>
      </w:pPr>
      <w:r>
        <w:rPr/>
        <w:t>海漫酷</w:t>
      </w:r>
      <w:r>
        <w:rPr>
          <w:spacing w:val="-53"/>
        </w:rPr>
        <w:t> </w:t>
      </w:r>
      <w:r>
        <w:rPr>
          <w:rFonts w:ascii="宋体" w:hAnsi="宋体" w:cs="宋体" w:eastAsia="宋体" w:hint="default"/>
        </w:rPr>
        <w:t>100%</w:t>
      </w:r>
      <w:r>
        <w:rPr/>
        <w:t>股权的评估值为</w:t>
      </w:r>
      <w:r>
        <w:rPr>
          <w:spacing w:val="-53"/>
        </w:rPr>
        <w:t> </w:t>
      </w:r>
      <w:r>
        <w:rPr>
          <w:rFonts w:ascii="宋体" w:hAnsi="宋体" w:cs="宋体" w:eastAsia="宋体" w:hint="default"/>
        </w:rPr>
        <w:t>406,417,500.00</w:t>
      </w:r>
      <w:r>
        <w:rPr>
          <w:rFonts w:ascii="宋体" w:hAnsi="宋体" w:cs="宋体" w:eastAsia="宋体" w:hint="default"/>
          <w:spacing w:val="-52"/>
        </w:rPr>
        <w:t> </w:t>
      </w:r>
      <w:r>
        <w:rPr>
          <w:spacing w:val="-24"/>
        </w:rPr>
        <w:t>元；以</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2"/>
        </w:rPr>
        <w:t> </w:t>
      </w:r>
      <w:r>
        <w:rPr>
          <w:spacing w:val="-7"/>
        </w:rPr>
        <w:t>日为基准日，上海氩氪、</w:t>
      </w:r>
      <w:r>
        <w:rPr/>
        <w:t> 琥珀传播</w:t>
      </w:r>
      <w:r>
        <w:rPr>
          <w:spacing w:val="-53"/>
        </w:rPr>
        <w:t> </w:t>
      </w:r>
      <w:r>
        <w:rPr>
          <w:rFonts w:ascii="宋体" w:hAnsi="宋体" w:cs="宋体" w:eastAsia="宋体" w:hint="default"/>
        </w:rPr>
        <w:t>100%</w:t>
      </w:r>
      <w:r>
        <w:rPr/>
        <w:t>股权的评估值分别为</w:t>
      </w:r>
      <w:r>
        <w:rPr>
          <w:spacing w:val="-52"/>
        </w:rPr>
        <w:t> </w:t>
      </w:r>
      <w:r>
        <w:rPr>
          <w:rFonts w:ascii="宋体" w:hAnsi="宋体" w:cs="宋体" w:eastAsia="宋体" w:hint="default"/>
        </w:rPr>
        <w:t>226,068,300.00</w:t>
      </w:r>
      <w:r>
        <w:rPr>
          <w:rFonts w:ascii="宋体" w:hAnsi="宋体" w:cs="宋体" w:eastAsia="宋体" w:hint="default"/>
          <w:spacing w:val="-54"/>
        </w:rPr>
        <w:t> </w:t>
      </w:r>
      <w:r>
        <w:rPr>
          <w:spacing w:val="-3"/>
        </w:rPr>
        <w:t>元、</w:t>
      </w:r>
      <w:r>
        <w:rPr>
          <w:rFonts w:ascii="宋体" w:hAnsi="宋体" w:cs="宋体" w:eastAsia="宋体" w:hint="default"/>
          <w:spacing w:val="-3"/>
        </w:rPr>
        <w:t>195,636,600.00</w:t>
      </w:r>
      <w:r>
        <w:rPr>
          <w:rFonts w:ascii="宋体" w:hAnsi="宋体" w:cs="宋体" w:eastAsia="宋体" w:hint="default"/>
          <w:spacing w:val="-51"/>
        </w:rPr>
        <w:t> </w:t>
      </w:r>
      <w:r>
        <w:rPr>
          <w:spacing w:val="-6"/>
        </w:rPr>
        <w:t>元。在考虑上述各</w:t>
      </w:r>
    </w:p>
    <w:p>
      <w:pPr>
        <w:spacing w:after="0" w:line="355" w:lineRule="auto"/>
        <w:jc w:val="left"/>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258" w:right="1440"/>
        <w:jc w:val="left"/>
      </w:pPr>
      <w:r>
        <w:rPr>
          <w:spacing w:val="2"/>
        </w:rPr>
        <w:t>种因素后，上述非同一控制下企业合并各公司的合并成本较其可辨认净资产均存在大幅增</w:t>
      </w:r>
      <w:r>
        <w:rPr>
          <w:spacing w:val="-82"/>
        </w:rPr>
        <w:t> </w:t>
      </w:r>
      <w:r>
        <w:rPr>
          <w:spacing w:val="-82"/>
        </w:rPr>
      </w:r>
      <w:r>
        <w:rPr/>
        <w:t>值。</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0"/>
        <w:ind w:left="678" w:right="4895"/>
        <w:jc w:val="left"/>
      </w:pPr>
      <w:bookmarkStart w:name="3. 被购买方于购买日可辨认资产、负债" w:id="230"/>
      <w:bookmarkEnd w:id="230"/>
      <w:r>
        <w:rPr/>
      </w:r>
      <w:r>
        <w:rPr>
          <w:rFonts w:ascii="宋体" w:hAnsi="宋体" w:cs="宋体" w:eastAsia="宋体" w:hint="default"/>
        </w:rPr>
        <w:t>3.</w:t>
      </w:r>
      <w:r>
        <w:rPr>
          <w:rFonts w:ascii="宋体" w:hAnsi="宋体" w:cs="宋体" w:eastAsia="宋体" w:hint="default"/>
          <w:spacing w:val="-2"/>
        </w:rPr>
        <w:t> </w:t>
      </w:r>
      <w:r>
        <w:rPr/>
        <w:t>被购买方于购买日可辨认资产、负债</w:t>
      </w:r>
    </w:p>
    <w:p>
      <w:pPr>
        <w:pStyle w:val="BodyText"/>
        <w:spacing w:line="240" w:lineRule="auto" w:before="174"/>
        <w:ind w:left="677" w:right="4895"/>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939"/>
        <w:gridCol w:w="1306"/>
        <w:gridCol w:w="1300"/>
        <w:gridCol w:w="1276"/>
        <w:gridCol w:w="1277"/>
        <w:gridCol w:w="1274"/>
        <w:gridCol w:w="1189"/>
      </w:tblGrid>
      <w:tr>
        <w:trPr>
          <w:trHeight w:val="484"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6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8"/>
                <w:szCs w:val="18"/>
              </w:rPr>
            </w:pPr>
            <w:r>
              <w:rPr>
                <w:rFonts w:ascii="宋体" w:hAnsi="宋体" w:cs="宋体" w:eastAsia="宋体" w:hint="default"/>
                <w:sz w:val="18"/>
                <w:szCs w:val="18"/>
              </w:rPr>
              <w:t>上海漫酷</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上海氩氪</w:t>
            </w:r>
          </w:p>
        </w:tc>
        <w:tc>
          <w:tcPr>
            <w:tcW w:w="24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琥珀传播</w:t>
            </w:r>
          </w:p>
        </w:tc>
      </w:tr>
      <w:tr>
        <w:trPr>
          <w:trHeight w:val="836" w:hRule="exact"/>
        </w:trPr>
        <w:tc>
          <w:tcPr>
            <w:tcW w:w="1939" w:type="dxa"/>
            <w:vMerge/>
            <w:tcBorders>
              <w:left w:val="nil" w:sz="6" w:space="0" w:color="auto"/>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88" w:right="286" w:firstLine="91"/>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83" w:right="284" w:firstLine="91"/>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71" w:right="272" w:firstLine="91"/>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72" w:right="273" w:firstLine="91"/>
              <w:jc w:val="left"/>
              <w:rPr>
                <w:rFonts w:ascii="宋体" w:hAnsi="宋体" w:cs="宋体" w:eastAsia="宋体" w:hint="default"/>
                <w:sz w:val="18"/>
                <w:szCs w:val="18"/>
              </w:rPr>
            </w:pPr>
            <w:r>
              <w:rPr>
                <w:rFonts w:ascii="宋体" w:hAnsi="宋体" w:cs="宋体" w:eastAsia="宋体" w:hint="default"/>
                <w:sz w:val="18"/>
                <w:szCs w:val="18"/>
              </w:rPr>
              <w:t>购买日 账面价值</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72" w:right="270" w:firstLine="90"/>
              <w:jc w:val="left"/>
              <w:rPr>
                <w:rFonts w:ascii="宋体" w:hAnsi="宋体" w:cs="宋体" w:eastAsia="宋体" w:hint="default"/>
                <w:sz w:val="18"/>
                <w:szCs w:val="18"/>
              </w:rPr>
            </w:pPr>
            <w:r>
              <w:rPr>
                <w:rFonts w:ascii="宋体" w:hAnsi="宋体" w:cs="宋体" w:eastAsia="宋体" w:hint="default"/>
                <w:sz w:val="18"/>
                <w:szCs w:val="18"/>
              </w:rPr>
              <w:t>购买日 公允价值</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230" w:right="233" w:firstLine="90"/>
              <w:jc w:val="left"/>
              <w:rPr>
                <w:rFonts w:ascii="宋体" w:hAnsi="宋体" w:cs="宋体" w:eastAsia="宋体" w:hint="default"/>
                <w:sz w:val="18"/>
                <w:szCs w:val="18"/>
              </w:rPr>
            </w:pPr>
            <w:r>
              <w:rPr>
                <w:rFonts w:ascii="宋体" w:hAnsi="宋体" w:cs="宋体" w:eastAsia="宋体" w:hint="default"/>
                <w:sz w:val="18"/>
                <w:szCs w:val="18"/>
              </w:rPr>
              <w:t>购买日 账面价值</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516"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2,755,598.20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2,755,598.20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6,636,474.33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6,636,474.33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10,019,358.76</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10,019,358.76</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664,855,160.10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664,855,160.10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5"/>
              <w:jc w:val="right"/>
              <w:rPr>
                <w:rFonts w:ascii="宋体" w:hAnsi="宋体" w:cs="宋体" w:eastAsia="宋体" w:hint="default"/>
                <w:sz w:val="15"/>
                <w:szCs w:val="15"/>
              </w:rPr>
            </w:pPr>
            <w:r>
              <w:rPr>
                <w:rFonts w:ascii="宋体"/>
                <w:spacing w:val="-1"/>
                <w:sz w:val="15"/>
              </w:rPr>
              <w:t>35,621,594.37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宋体" w:hAnsi="宋体" w:cs="宋体" w:eastAsia="宋体" w:hint="default"/>
                <w:sz w:val="15"/>
                <w:szCs w:val="15"/>
              </w:rPr>
            </w:pPr>
            <w:r>
              <w:rPr>
                <w:rFonts w:ascii="宋体"/>
                <w:spacing w:val="-1"/>
                <w:sz w:val="15"/>
              </w:rPr>
              <w:t>35,621,594.37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24,984,256.42</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24,984,256.42</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4,125,532.34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4,125,532.34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5,500,000.00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5,500,000.00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2,512,419.55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2,512,419.55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572,386.63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572,386.63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522,308.58</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5"/>
                <w:szCs w:val="15"/>
              </w:rPr>
            </w:pPr>
            <w:r>
              <w:rPr>
                <w:rFonts w:ascii="宋体"/>
                <w:spacing w:val="-1"/>
                <w:sz w:val="15"/>
              </w:rPr>
              <w:t>522,308.58</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10,666.84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10,666.84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6,135.97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6,135.97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12,106.94</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5"/>
                <w:szCs w:val="15"/>
              </w:rPr>
            </w:pPr>
            <w:r>
              <w:rPr>
                <w:rFonts w:ascii="宋体"/>
                <w:spacing w:val="-1"/>
                <w:sz w:val="15"/>
              </w:rPr>
              <w:t>12,106.94</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1,286,030.61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1,286,030.61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492,062.46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492,062.46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3"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48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1,384,318.44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1,384,318.44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105,635.39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105,635.39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37,082.50</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5"/>
                <w:szCs w:val="15"/>
              </w:rPr>
            </w:pPr>
            <w:r>
              <w:rPr>
                <w:rFonts w:ascii="宋体"/>
                <w:spacing w:val="-1"/>
                <w:sz w:val="15"/>
              </w:rPr>
              <w:t>37,082.50</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1"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99,629,704.24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99,629,704.24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1" w:right="0"/>
              <w:jc w:val="left"/>
              <w:rPr>
                <w:rFonts w:ascii="宋体" w:hAnsi="宋体" w:cs="宋体" w:eastAsia="宋体" w:hint="default"/>
                <w:sz w:val="18"/>
                <w:szCs w:val="18"/>
              </w:rPr>
            </w:pPr>
            <w:r>
              <w:rPr>
                <w:rFonts w:ascii="宋体" w:hAnsi="宋体" w:cs="宋体" w:eastAsia="宋体" w:hint="default"/>
                <w:sz w:val="18"/>
                <w:szCs w:val="18"/>
              </w:rPr>
              <w:t>借  款</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33,451,609.85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33,451,609.85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619,058,961.89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619,058,961.89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5"/>
              <w:jc w:val="right"/>
              <w:rPr>
                <w:rFonts w:ascii="宋体" w:hAnsi="宋体" w:cs="宋体" w:eastAsia="宋体" w:hint="default"/>
                <w:sz w:val="15"/>
                <w:szCs w:val="15"/>
              </w:rPr>
            </w:pPr>
            <w:r>
              <w:rPr>
                <w:rFonts w:ascii="宋体"/>
                <w:spacing w:val="-1"/>
                <w:sz w:val="15"/>
              </w:rPr>
              <w:t>27,580,438.76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宋体" w:hAnsi="宋体" w:cs="宋体" w:eastAsia="宋体" w:hint="default"/>
                <w:sz w:val="15"/>
                <w:szCs w:val="15"/>
              </w:rPr>
            </w:pPr>
            <w:r>
              <w:rPr>
                <w:rFonts w:ascii="宋体"/>
                <w:spacing w:val="-1"/>
                <w:sz w:val="15"/>
              </w:rPr>
              <w:t>27,580,438.76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12,967,033.81</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5"/>
                <w:szCs w:val="15"/>
              </w:rPr>
            </w:pPr>
            <w:r>
              <w:rPr>
                <w:rFonts w:ascii="宋体"/>
                <w:spacing w:val="-1"/>
                <w:sz w:val="15"/>
              </w:rPr>
              <w:t>12,967,033.81</w:t>
            </w: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177,480.00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177,480.00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800,000.00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800,000.00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23,441,674.34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23,441,674.34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宋体" w:hAnsi="宋体" w:cs="宋体" w:eastAsia="宋体" w:hint="default"/>
                <w:sz w:val="15"/>
                <w:szCs w:val="15"/>
              </w:rPr>
            </w:pPr>
            <w:r>
              <w:rPr>
                <w:rFonts w:ascii="宋体"/>
                <w:spacing w:val="-1"/>
                <w:sz w:val="15"/>
              </w:rPr>
              <w:t>120,983,554.63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120,983,554.63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22,608,079.39</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15"/>
                <w:szCs w:val="15"/>
              </w:rPr>
            </w:pPr>
            <w:r>
              <w:rPr>
                <w:rFonts w:ascii="宋体"/>
                <w:spacing w:val="-1"/>
                <w:sz w:val="15"/>
              </w:rPr>
              <w:t>22,608,079.39</w:t>
            </w:r>
          </w:p>
        </w:tc>
      </w:tr>
      <w:tr>
        <w:trPr>
          <w:trHeight w:val="48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nil" w:sz="6" w:space="0" w:color="auto"/>
            </w:tcBorders>
          </w:tcPr>
          <w:p>
            <w:pPr/>
          </w:p>
        </w:tc>
      </w:tr>
      <w:tr>
        <w:trPr>
          <w:trHeight w:val="485"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23,441,674.34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23,441,674.34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宋体" w:hAnsi="宋体" w:cs="宋体" w:eastAsia="宋体" w:hint="default"/>
                <w:sz w:val="15"/>
                <w:szCs w:val="15"/>
              </w:rPr>
            </w:pPr>
            <w:r>
              <w:rPr>
                <w:rFonts w:ascii="宋体"/>
                <w:spacing w:val="-1"/>
                <w:sz w:val="15"/>
              </w:rPr>
              <w:t>120,983,554.63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宋体" w:hAnsi="宋体" w:cs="宋体" w:eastAsia="宋体" w:hint="default"/>
                <w:sz w:val="15"/>
                <w:szCs w:val="15"/>
              </w:rPr>
            </w:pPr>
            <w:r>
              <w:rPr>
                <w:rFonts w:ascii="宋体"/>
                <w:spacing w:val="-1"/>
                <w:sz w:val="15"/>
              </w:rPr>
              <w:t>120,983,554.63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22,608,079.39</w:t>
            </w:r>
          </w:p>
        </w:tc>
        <w:tc>
          <w:tcPr>
            <w:tcW w:w="11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22,608,079.39</w:t>
            </w:r>
          </w:p>
        </w:tc>
      </w:tr>
    </w:tbl>
    <w:p>
      <w:pPr>
        <w:pStyle w:val="BodyText"/>
        <w:spacing w:line="241" w:lineRule="exact" w:before="0"/>
        <w:ind w:left="678" w:right="4895"/>
        <w:jc w:val="left"/>
      </w:pPr>
      <w:r>
        <w:rPr>
          <w:rFonts w:ascii="宋体" w:hAnsi="宋体" w:cs="宋体" w:eastAsia="宋体" w:hint="default"/>
        </w:rPr>
        <w:t>(2)</w:t>
      </w:r>
      <w:r>
        <w:rPr>
          <w:rFonts w:ascii="宋体" w:hAnsi="宋体" w:cs="宋体" w:eastAsia="宋体" w:hint="default"/>
          <w:spacing w:val="-1"/>
        </w:rPr>
        <w:t> </w:t>
      </w:r>
      <w:r>
        <w:rPr/>
        <w:t>可辨认资产、负债公允价值的确定方法</w:t>
      </w:r>
    </w:p>
    <w:p>
      <w:pPr>
        <w:pStyle w:val="BodyText"/>
        <w:spacing w:line="357" w:lineRule="auto" w:before="133"/>
        <w:ind w:left="258" w:right="1792" w:firstLine="420"/>
        <w:jc w:val="both"/>
      </w:pPr>
      <w:r>
        <w:rPr>
          <w:spacing w:val="-3"/>
        </w:rPr>
        <w:t>按照资产基础法，即以被评估单位评估基准日的资产负债表为基础，合理评估企业表内</w:t>
      </w:r>
      <w:r>
        <w:rPr/>
        <w:t> </w:t>
      </w:r>
      <w:r>
        <w:rPr>
          <w:spacing w:val="-3"/>
        </w:rPr>
        <w:t>及表外各项资产、负债价值，确定评估对象价值的评估方法。它是以重置各项生产要素为假</w:t>
      </w:r>
      <w:r>
        <w:rPr>
          <w:spacing w:val="-72"/>
        </w:rPr>
        <w:t> </w:t>
      </w:r>
      <w:r>
        <w:rPr>
          <w:spacing w:val="-72"/>
        </w:rPr>
      </w:r>
      <w:r>
        <w:rPr>
          <w:spacing w:val="-3"/>
        </w:rPr>
        <w:t>设前提，根据委托评估的分项资产的具体情况选用适宜的方法分别评定估算各分项资产的价</w:t>
      </w:r>
      <w:r>
        <w:rPr>
          <w:spacing w:val="-73"/>
        </w:rPr>
        <w:t> </w:t>
      </w:r>
      <w:r>
        <w:rPr>
          <w:spacing w:val="-73"/>
        </w:rPr>
      </w:r>
      <w:r>
        <w:rPr/>
        <w:t>值并累加求和，再扣减相关负债评估值，得出股东全部权益的评估价值。</w:t>
      </w:r>
    </w:p>
    <w:p>
      <w:pPr>
        <w:spacing w:after="0" w:line="357" w:lineRule="auto"/>
        <w:jc w:val="both"/>
        <w:sectPr>
          <w:pgSz w:w="11910" w:h="16840"/>
          <w:pgMar w:header="877" w:footer="938" w:top="1100" w:bottom="1120" w:left="1540" w:right="0"/>
        </w:sectPr>
      </w:pPr>
    </w:p>
    <w:p>
      <w:pPr>
        <w:spacing w:line="240" w:lineRule="auto" w:before="2"/>
        <w:rPr>
          <w:rFonts w:ascii="宋体" w:hAnsi="宋体" w:cs="宋体" w:eastAsia="宋体" w:hint="default"/>
          <w:sz w:val="19"/>
          <w:szCs w:val="19"/>
        </w:rPr>
      </w:pPr>
    </w:p>
    <w:p>
      <w:pPr>
        <w:pStyle w:val="BodyText"/>
        <w:spacing w:line="355" w:lineRule="auto" w:before="35"/>
        <w:ind w:left="657" w:right="6836"/>
        <w:jc w:val="left"/>
      </w:pPr>
      <w:bookmarkStart w:name="(二) 其他原因的合并范围变动" w:id="231"/>
      <w:bookmarkEnd w:id="231"/>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其他原因的合并范围变动 </w:t>
      </w:r>
      <w:bookmarkStart w:name="合并范围增加" w:id="232"/>
      <w:bookmarkEnd w:id="232"/>
      <w:r>
        <w:rPr/>
        <w:t>合并范围增加</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628"/>
        <w:gridCol w:w="1401"/>
        <w:gridCol w:w="1764"/>
        <w:gridCol w:w="1268"/>
        <w:gridCol w:w="1477"/>
      </w:tblGrid>
      <w:tr>
        <w:trPr>
          <w:trHeight w:val="48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8" w:right="0"/>
              <w:jc w:val="left"/>
              <w:rPr>
                <w:rFonts w:ascii="宋体" w:hAnsi="宋体" w:cs="宋体" w:eastAsia="宋体" w:hint="default"/>
                <w:sz w:val="18"/>
                <w:szCs w:val="18"/>
              </w:rPr>
            </w:pPr>
            <w:r>
              <w:rPr>
                <w:rFonts w:ascii="宋体" w:hAnsi="宋体" w:cs="宋体" w:eastAsia="宋体" w:hint="default"/>
                <w:sz w:val="18"/>
                <w:szCs w:val="18"/>
              </w:rPr>
              <w:t>出资额</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48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利欧中东公司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54" w:right="0"/>
              <w:jc w:val="left"/>
              <w:rPr>
                <w:rFonts w:ascii="宋体" w:hAnsi="宋体" w:cs="宋体" w:eastAsia="宋体" w:hint="default"/>
                <w:sz w:val="18"/>
                <w:szCs w:val="18"/>
              </w:rPr>
            </w:pPr>
            <w:r>
              <w:rPr>
                <w:rFonts w:ascii="宋体"/>
                <w:sz w:val="18"/>
              </w:rPr>
              <w:t>614,530.00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6"/>
              <w:jc w:val="center"/>
              <w:rPr>
                <w:rFonts w:ascii="宋体" w:hAnsi="宋体" w:cs="宋体" w:eastAsia="宋体" w:hint="default"/>
                <w:sz w:val="18"/>
                <w:szCs w:val="18"/>
              </w:rPr>
            </w:pPr>
            <w:r>
              <w:rPr>
                <w:rFonts w:ascii="宋体"/>
                <w:sz w:val="18"/>
              </w:rPr>
              <w:t>100%</w:t>
            </w:r>
          </w:p>
        </w:tc>
      </w:tr>
      <w:tr>
        <w:trPr>
          <w:trHeight w:val="482"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100%</w:t>
            </w:r>
          </w:p>
        </w:tc>
      </w:tr>
      <w:tr>
        <w:trPr>
          <w:trHeight w:val="485"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6"/>
              <w:jc w:val="center"/>
              <w:rPr>
                <w:rFonts w:ascii="宋体" w:hAnsi="宋体" w:cs="宋体" w:eastAsia="宋体" w:hint="default"/>
                <w:sz w:val="18"/>
                <w:szCs w:val="18"/>
              </w:rPr>
            </w:pPr>
            <w:r>
              <w:rPr>
                <w:rFonts w:ascii="宋体"/>
                <w:sz w:val="18"/>
              </w:rPr>
              <w:t>100%</w:t>
            </w:r>
          </w:p>
        </w:tc>
      </w:tr>
    </w:tbl>
    <w:p>
      <w:pPr>
        <w:pStyle w:val="BodyText"/>
        <w:spacing w:line="355" w:lineRule="auto" w:before="5"/>
        <w:ind w:left="237" w:right="1687" w:firstLine="420"/>
        <w:jc w:val="left"/>
      </w:pPr>
      <w:r>
        <w:rPr>
          <w:rFonts w:ascii="宋体" w:hAnsi="宋体" w:cs="宋体" w:eastAsia="宋体" w:hint="default"/>
        </w:rPr>
        <w:t>[</w:t>
      </w:r>
      <w:r>
        <w:rPr/>
        <w:t>注</w:t>
      </w:r>
      <w:r>
        <w:rPr>
          <w:spacing w:val="-55"/>
        </w:rPr>
        <w:t> </w:t>
      </w:r>
      <w:r>
        <w:rPr>
          <w:rFonts w:ascii="宋体" w:hAnsi="宋体" w:cs="宋体" w:eastAsia="宋体" w:hint="default"/>
        </w:rPr>
        <w:t>1]</w:t>
      </w:r>
      <w:r>
        <w:rPr/>
        <w:t>：根据聚嘉网络《公司章程》的相关规定，该公司认缴的注册资本为</w:t>
      </w:r>
      <w:r>
        <w:rPr>
          <w:spacing w:val="-54"/>
        </w:rPr>
        <w:t> </w:t>
      </w:r>
      <w:r>
        <w:rPr>
          <w:rFonts w:ascii="宋体" w:hAnsi="宋体" w:cs="宋体" w:eastAsia="宋体" w:hint="default"/>
        </w:rPr>
        <w:t>500</w:t>
      </w:r>
      <w:r>
        <w:rPr>
          <w:rFonts w:ascii="宋体" w:hAnsi="宋体" w:cs="宋体" w:eastAsia="宋体" w:hint="default"/>
          <w:spacing w:val="-54"/>
        </w:rPr>
        <w:t> </w:t>
      </w:r>
      <w:r>
        <w:rPr/>
        <w:t>万元， 本公司认缴应于</w:t>
      </w:r>
      <w:r>
        <w:rPr>
          <w:spacing w:val="-52"/>
        </w:rPr>
        <w:t> </w:t>
      </w:r>
      <w:r>
        <w:rPr>
          <w:rFonts w:ascii="宋体" w:hAnsi="宋体" w:cs="宋体" w:eastAsia="宋体" w:hint="default"/>
        </w:rPr>
        <w:t>2024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spacing w:val="-1"/>
        </w:rPr>
        <w:t>31</w:t>
      </w:r>
      <w:r>
        <w:rPr>
          <w:rFonts w:ascii="宋体" w:hAnsi="宋体" w:cs="宋体" w:eastAsia="宋体" w:hint="default"/>
          <w:spacing w:val="-51"/>
        </w:rPr>
        <w:t> </w:t>
      </w:r>
      <w:r>
        <w:rPr>
          <w:spacing w:val="-14"/>
        </w:rPr>
        <w:t>日前到位。截至</w:t>
      </w:r>
      <w:r>
        <w:rPr>
          <w:spacing w:val="-51"/>
        </w:rPr>
        <w:t> </w:t>
      </w:r>
      <w:r>
        <w:rPr>
          <w:rFonts w:ascii="宋体" w:hAnsi="宋体" w:cs="宋体" w:eastAsia="宋体" w:hint="default"/>
          <w:spacing w:val="-1"/>
        </w:rPr>
        <w:t>2014</w:t>
      </w:r>
      <w:r>
        <w:rPr>
          <w:rFonts w:ascii="宋体" w:hAnsi="宋体" w:cs="宋体" w:eastAsia="宋体" w:hint="default"/>
          <w:spacing w:val="-52"/>
        </w:rPr>
        <w:t> </w:t>
      </w:r>
      <w:r>
        <w:rPr/>
        <w:t>年</w:t>
      </w:r>
      <w:r>
        <w:rPr>
          <w:spacing w:val="-52"/>
        </w:rPr>
        <w:t> </w:t>
      </w:r>
      <w:r>
        <w:rPr>
          <w:rFonts w:ascii="宋体" w:hAnsi="宋体" w:cs="宋体" w:eastAsia="宋体" w:hint="default"/>
          <w:spacing w:val="-1"/>
        </w:rPr>
        <w:t>12</w:t>
      </w:r>
      <w:r>
        <w:rPr>
          <w:rFonts w:ascii="宋体" w:hAnsi="宋体" w:cs="宋体" w:eastAsia="宋体" w:hint="default"/>
          <w:spacing w:val="-51"/>
        </w:rPr>
        <w:t> </w:t>
      </w:r>
      <w:r>
        <w:rPr/>
        <w:t>月</w:t>
      </w:r>
      <w:r>
        <w:rPr>
          <w:spacing w:val="-53"/>
        </w:rPr>
        <w:t> </w:t>
      </w:r>
      <w:r>
        <w:rPr>
          <w:rFonts w:ascii="宋体" w:hAnsi="宋体" w:cs="宋体" w:eastAsia="宋体" w:hint="default"/>
          <w:spacing w:val="-1"/>
        </w:rPr>
        <w:t>31</w:t>
      </w:r>
      <w:r>
        <w:rPr>
          <w:rFonts w:ascii="宋体" w:hAnsi="宋体" w:cs="宋体" w:eastAsia="宋体" w:hint="default"/>
          <w:spacing w:val="-51"/>
        </w:rPr>
        <w:t> </w:t>
      </w:r>
      <w:r>
        <w:rPr>
          <w:spacing w:val="-9"/>
        </w:rPr>
        <w:t>日，本公司尚未认缴出资。</w:t>
      </w:r>
    </w:p>
    <w:p>
      <w:pPr>
        <w:pStyle w:val="BodyText"/>
        <w:spacing w:line="357" w:lineRule="auto" w:before="73"/>
        <w:ind w:left="237" w:right="1688" w:firstLine="420"/>
        <w:jc w:val="left"/>
      </w:pPr>
      <w:r>
        <w:rPr>
          <w:rFonts w:ascii="宋体" w:hAnsi="宋体" w:cs="宋体" w:eastAsia="宋体" w:hint="default"/>
        </w:rPr>
        <w:t>[</w:t>
      </w:r>
      <w:r>
        <w:rPr/>
        <w:t>注</w:t>
      </w:r>
      <w:r>
        <w:rPr>
          <w:spacing w:val="-55"/>
        </w:rPr>
        <w:t> </w:t>
      </w:r>
      <w:r>
        <w:rPr>
          <w:rFonts w:ascii="宋体" w:hAnsi="宋体" w:cs="宋体" w:eastAsia="宋体" w:hint="default"/>
        </w:rPr>
        <w:t>2]</w:t>
      </w:r>
      <w:r>
        <w:rPr/>
        <w:t>：根据温岭滨泰《公司章程》的相关规定，该公司认缴的注册资本为</w:t>
      </w:r>
      <w:r>
        <w:rPr>
          <w:spacing w:val="-54"/>
        </w:rPr>
        <w:t> </w:t>
      </w:r>
      <w:r>
        <w:rPr>
          <w:rFonts w:ascii="宋体" w:hAnsi="宋体" w:cs="宋体" w:eastAsia="宋体" w:hint="default"/>
        </w:rPr>
        <w:t>100</w:t>
      </w:r>
      <w:r>
        <w:rPr>
          <w:rFonts w:ascii="宋体" w:hAnsi="宋体" w:cs="宋体" w:eastAsia="宋体" w:hint="default"/>
          <w:spacing w:val="-54"/>
        </w:rPr>
        <w:t> </w:t>
      </w:r>
      <w:r>
        <w:rPr/>
        <w:t>万元， 本公司认缴应于</w:t>
      </w:r>
      <w:r>
        <w:rPr>
          <w:spacing w:val="-54"/>
        </w:rPr>
        <w:t> </w:t>
      </w:r>
      <w:r>
        <w:rPr>
          <w:rFonts w:ascii="宋体" w:hAnsi="宋体" w:cs="宋体" w:eastAsia="宋体" w:hint="default"/>
        </w:rPr>
        <w:t>2034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日前到位。截至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日，本公司尚未认缴出资。</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line="355" w:lineRule="auto" w:before="0"/>
        <w:ind w:left="657" w:right="7046" w:firstLine="0"/>
        <w:jc w:val="left"/>
        <w:rPr>
          <w:rFonts w:ascii="宋体" w:hAnsi="宋体" w:cs="宋体" w:eastAsia="宋体" w:hint="default"/>
          <w:sz w:val="21"/>
          <w:szCs w:val="21"/>
        </w:rPr>
      </w:pPr>
      <w:bookmarkStart w:name="九、在其他主体中的权益" w:id="233"/>
      <w:bookmarkEnd w:id="233"/>
      <w:r>
        <w:rPr/>
      </w:r>
      <w:r>
        <w:rPr>
          <w:rFonts w:ascii="黑体" w:hAnsi="黑体" w:cs="黑体" w:eastAsia="黑体" w:hint="default"/>
          <w:b/>
          <w:bCs/>
          <w:sz w:val="21"/>
          <w:szCs w:val="21"/>
        </w:rPr>
        <w:t>九、在其他主体中的权益</w:t>
      </w:r>
      <w:r>
        <w:rPr>
          <w:rFonts w:ascii="黑体" w:hAnsi="黑体" w:cs="黑体" w:eastAsia="黑体" w:hint="default"/>
          <w:b/>
          <w:bCs/>
          <w:w w:val="99"/>
          <w:sz w:val="21"/>
          <w:szCs w:val="21"/>
        </w:rPr>
        <w:t> </w:t>
      </w:r>
      <w:bookmarkStart w:name="(一) 在重要子公司中的权益" w:id="234"/>
      <w:bookmarkEnd w:id="234"/>
      <w:r>
        <w:rPr>
          <w:rFonts w:ascii="黑体" w:hAnsi="黑体" w:cs="黑体" w:eastAsia="黑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在重要子公司中的权益 </w:t>
      </w:r>
      <w:bookmarkStart w:name="1. 重要子公司的构成" w:id="235"/>
      <w:bookmarkEnd w:id="235"/>
      <w:r>
        <w:rPr>
          <w:rFonts w:ascii="宋体" w:hAnsi="宋体" w:cs="宋体" w:eastAsia="宋体" w:hint="default"/>
          <w:sz w:val="21"/>
          <w:szCs w:val="21"/>
        </w:rPr>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重要子公司的构成</w:t>
      </w:r>
    </w:p>
    <w:p>
      <w:pPr>
        <w:spacing w:line="240" w:lineRule="auto" w:before="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389"/>
        <w:gridCol w:w="946"/>
        <w:gridCol w:w="944"/>
        <w:gridCol w:w="947"/>
        <w:gridCol w:w="764"/>
        <w:gridCol w:w="506"/>
        <w:gridCol w:w="2047"/>
      </w:tblGrid>
      <w:tr>
        <w:trPr>
          <w:trHeight w:val="484" w:hRule="exact"/>
        </w:trPr>
        <w:tc>
          <w:tcPr>
            <w:tcW w:w="2389"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46" w:type="dxa"/>
            <w:vMerge w:val="restart"/>
            <w:tcBorders>
              <w:top w:val="single" w:sz="4" w:space="0" w:color="000000"/>
              <w:left w:val="single" w:sz="4" w:space="0" w:color="000000"/>
              <w:right w:val="single" w:sz="4" w:space="0" w:color="000000"/>
            </w:tcBorders>
          </w:tcPr>
          <w:p>
            <w:pPr>
              <w:pStyle w:val="TableParagraph"/>
              <w:spacing w:line="360" w:lineRule="auto" w:before="154"/>
              <w:ind w:left="195" w:right="198"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94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04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84" w:hRule="exact"/>
        </w:trPr>
        <w:tc>
          <w:tcPr>
            <w:tcW w:w="2389" w:type="dxa"/>
            <w:vMerge/>
            <w:tcBorders>
              <w:left w:val="nil" w:sz="6" w:space="0" w:color="auto"/>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4"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直接</w:t>
            </w:r>
          </w:p>
        </w:tc>
        <w:tc>
          <w:tcPr>
            <w:tcW w:w="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47" w:type="dxa"/>
            <w:vMerge/>
            <w:tcBorders>
              <w:left w:val="single" w:sz="4" w:space="0" w:color="000000"/>
              <w:bottom w:val="single" w:sz="4" w:space="0" w:color="000000"/>
              <w:right w:val="nil" w:sz="6" w:space="0" w:color="auto"/>
            </w:tcBorders>
          </w:tcPr>
          <w:p>
            <w:pPr/>
          </w:p>
        </w:tc>
      </w:tr>
      <w:tr>
        <w:trPr>
          <w:trHeight w:val="482"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6" w:right="0"/>
              <w:jc w:val="left"/>
              <w:rPr>
                <w:rFonts w:ascii="宋体" w:hAnsi="宋体" w:cs="宋体" w:eastAsia="宋体" w:hint="default"/>
                <w:sz w:val="18"/>
                <w:szCs w:val="18"/>
              </w:rPr>
            </w:pPr>
            <w:r>
              <w:rPr>
                <w:rFonts w:ascii="宋体" w:hAnsi="宋体" w:cs="宋体" w:eastAsia="宋体" w:hint="default"/>
                <w:sz w:val="18"/>
                <w:szCs w:val="18"/>
              </w:rPr>
              <w:t>台州市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台州市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7"/>
              <w:jc w:val="right"/>
              <w:rPr>
                <w:rFonts w:ascii="宋体" w:hAnsi="宋体" w:cs="宋体" w:eastAsia="宋体" w:hint="default"/>
                <w:sz w:val="18"/>
                <w:szCs w:val="18"/>
              </w:rPr>
            </w:pPr>
            <w:r>
              <w:rPr>
                <w:rFonts w:ascii="宋体" w:hAnsi="宋体" w:cs="宋体" w:eastAsia="宋体" w:hint="default"/>
                <w:sz w:val="18"/>
                <w:szCs w:val="18"/>
              </w:rPr>
              <w:t>制造业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1" w:right="0"/>
              <w:jc w:val="center"/>
              <w:rPr>
                <w:rFonts w:ascii="宋体" w:hAnsi="宋体" w:cs="宋体" w:eastAsia="宋体" w:hint="default"/>
                <w:sz w:val="18"/>
                <w:szCs w:val="18"/>
              </w:rPr>
            </w:pPr>
            <w:r>
              <w:rPr>
                <w:rFonts w:ascii="宋体"/>
                <w:sz w:val="18"/>
              </w:rPr>
              <w:t>70.00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湖南利欧</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宋体" w:hAnsi="宋体" w:cs="宋体" w:eastAsia="宋体" w:hint="default"/>
                <w:sz w:val="18"/>
                <w:szCs w:val="18"/>
              </w:rPr>
            </w:pPr>
            <w:r>
              <w:rPr>
                <w:rFonts w:ascii="宋体" w:hAnsi="宋体" w:cs="宋体" w:eastAsia="宋体" w:hint="default"/>
                <w:sz w:val="18"/>
                <w:szCs w:val="18"/>
              </w:rPr>
              <w:t>湘潭市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湘潭市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7"/>
              <w:jc w:val="right"/>
              <w:rPr>
                <w:rFonts w:ascii="宋体" w:hAnsi="宋体" w:cs="宋体" w:eastAsia="宋体" w:hint="default"/>
                <w:sz w:val="18"/>
                <w:szCs w:val="18"/>
              </w:rPr>
            </w:pPr>
            <w:r>
              <w:rPr>
                <w:rFonts w:ascii="宋体" w:hAnsi="宋体" w:cs="宋体" w:eastAsia="宋体" w:hint="default"/>
                <w:sz w:val="18"/>
                <w:szCs w:val="18"/>
              </w:rPr>
              <w:t>制造业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宋体" w:hAnsi="宋体" w:cs="宋体" w:eastAsia="宋体" w:hint="default"/>
                <w:sz w:val="18"/>
                <w:szCs w:val="18"/>
              </w:rPr>
            </w:pPr>
            <w:r>
              <w:rPr>
                <w:rFonts w:ascii="宋体"/>
                <w:sz w:val="18"/>
              </w:rPr>
              <w:t>100.00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长沙天鹅</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7"/>
              <w:jc w:val="right"/>
              <w:rPr>
                <w:rFonts w:ascii="宋体" w:hAnsi="宋体" w:cs="宋体" w:eastAsia="宋体" w:hint="default"/>
                <w:sz w:val="18"/>
                <w:szCs w:val="18"/>
              </w:rPr>
            </w:pPr>
            <w:r>
              <w:rPr>
                <w:rFonts w:ascii="宋体" w:hAnsi="宋体" w:cs="宋体" w:eastAsia="宋体" w:hint="default"/>
                <w:sz w:val="18"/>
                <w:szCs w:val="18"/>
              </w:rPr>
              <w:t>制造业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宋体" w:hAnsi="宋体" w:cs="宋体" w:eastAsia="宋体" w:hint="default"/>
                <w:sz w:val="18"/>
                <w:szCs w:val="18"/>
              </w:rPr>
            </w:pPr>
            <w:r>
              <w:rPr>
                <w:rFonts w:ascii="宋体"/>
                <w:sz w:val="18"/>
              </w:rPr>
              <w:t>100.00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大连华能</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6"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大连市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7"/>
              <w:jc w:val="right"/>
              <w:rPr>
                <w:rFonts w:ascii="宋体" w:hAnsi="宋体" w:cs="宋体" w:eastAsia="宋体" w:hint="default"/>
                <w:sz w:val="18"/>
                <w:szCs w:val="18"/>
              </w:rPr>
            </w:pPr>
            <w:r>
              <w:rPr>
                <w:rFonts w:ascii="宋体" w:hAnsi="宋体" w:cs="宋体" w:eastAsia="宋体" w:hint="default"/>
                <w:sz w:val="18"/>
                <w:szCs w:val="18"/>
              </w:rPr>
              <w:t>制造业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100.00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6"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无锡市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7"/>
              <w:jc w:val="right"/>
              <w:rPr>
                <w:rFonts w:ascii="宋体" w:hAnsi="宋体" w:cs="宋体" w:eastAsia="宋体" w:hint="default"/>
                <w:sz w:val="18"/>
                <w:szCs w:val="18"/>
              </w:rPr>
            </w:pPr>
            <w:r>
              <w:rPr>
                <w:rFonts w:ascii="宋体" w:hAnsi="宋体" w:cs="宋体" w:eastAsia="宋体" w:hint="default"/>
                <w:sz w:val="18"/>
                <w:szCs w:val="18"/>
              </w:rPr>
              <w:t>制造业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1" w:right="0"/>
              <w:jc w:val="center"/>
              <w:rPr>
                <w:rFonts w:ascii="宋体" w:hAnsi="宋体" w:cs="宋体" w:eastAsia="宋体" w:hint="default"/>
                <w:sz w:val="18"/>
                <w:szCs w:val="18"/>
              </w:rPr>
            </w:pPr>
            <w:r>
              <w:rPr>
                <w:rFonts w:ascii="宋体"/>
                <w:sz w:val="18"/>
              </w:rPr>
              <w:t>72.00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6"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7"/>
              <w:jc w:val="right"/>
              <w:rPr>
                <w:rFonts w:ascii="宋体" w:hAnsi="宋体" w:cs="宋体" w:eastAsia="宋体" w:hint="default"/>
                <w:sz w:val="18"/>
                <w:szCs w:val="18"/>
              </w:rPr>
            </w:pPr>
            <w:r>
              <w:rPr>
                <w:rFonts w:ascii="宋体" w:hAnsi="宋体" w:cs="宋体" w:eastAsia="宋体" w:hint="default"/>
                <w:sz w:val="18"/>
                <w:szCs w:val="18"/>
              </w:rPr>
              <w:t>广告业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1" w:right="0"/>
              <w:jc w:val="center"/>
              <w:rPr>
                <w:rFonts w:ascii="宋体" w:hAnsi="宋体" w:cs="宋体" w:eastAsia="宋体" w:hint="default"/>
                <w:sz w:val="18"/>
                <w:szCs w:val="18"/>
              </w:rPr>
            </w:pPr>
            <w:r>
              <w:rPr>
                <w:rFonts w:ascii="宋体"/>
                <w:sz w:val="18"/>
              </w:rPr>
              <w:t>85.00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上海氩氪</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6"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上海市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7"/>
              <w:jc w:val="right"/>
              <w:rPr>
                <w:rFonts w:ascii="宋体" w:hAnsi="宋体" w:cs="宋体" w:eastAsia="宋体" w:hint="default"/>
                <w:sz w:val="18"/>
                <w:szCs w:val="18"/>
              </w:rPr>
            </w:pPr>
            <w:r>
              <w:rPr>
                <w:rFonts w:ascii="宋体" w:hAnsi="宋体" w:cs="宋体" w:eastAsia="宋体" w:hint="default"/>
                <w:sz w:val="18"/>
                <w:szCs w:val="18"/>
              </w:rPr>
              <w:t>广告业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100.00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琥珀传播</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6"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97"/>
              <w:jc w:val="right"/>
              <w:rPr>
                <w:rFonts w:ascii="宋体" w:hAnsi="宋体" w:cs="宋体" w:eastAsia="宋体" w:hint="default"/>
                <w:sz w:val="18"/>
                <w:szCs w:val="18"/>
              </w:rPr>
            </w:pPr>
            <w:r>
              <w:rPr>
                <w:rFonts w:ascii="宋体" w:hAnsi="宋体" w:cs="宋体" w:eastAsia="宋体" w:hint="default"/>
                <w:sz w:val="18"/>
                <w:szCs w:val="18"/>
              </w:rPr>
              <w:t>广告业</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
              <w:jc w:val="center"/>
              <w:rPr>
                <w:rFonts w:ascii="宋体" w:hAnsi="宋体" w:cs="宋体" w:eastAsia="宋体" w:hint="default"/>
                <w:sz w:val="18"/>
                <w:szCs w:val="18"/>
              </w:rPr>
            </w:pPr>
            <w:r>
              <w:rPr>
                <w:rFonts w:ascii="宋体"/>
                <w:sz w:val="18"/>
              </w:rPr>
              <w:t>100.00</w:t>
            </w:r>
          </w:p>
        </w:tc>
        <w:tc>
          <w:tcPr>
            <w:tcW w:w="506"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pStyle w:val="BodyText"/>
        <w:spacing w:line="241" w:lineRule="exact" w:before="0"/>
        <w:ind w:left="658" w:right="1688"/>
        <w:jc w:val="left"/>
      </w:pPr>
      <w:bookmarkStart w:name="2. 重要的非全资子公司" w:id="236"/>
      <w:bookmarkEnd w:id="236"/>
      <w:r>
        <w:rPr/>
      </w:r>
      <w:r>
        <w:rPr>
          <w:rFonts w:ascii="宋体" w:hAnsi="宋体" w:cs="宋体" w:eastAsia="宋体" w:hint="default"/>
        </w:rPr>
        <w:t>2.</w:t>
      </w:r>
      <w:r>
        <w:rPr>
          <w:rFonts w:ascii="宋体" w:hAnsi="宋体" w:cs="宋体" w:eastAsia="宋体" w:hint="default"/>
          <w:spacing w:val="-2"/>
        </w:rPr>
        <w:t> </w:t>
      </w:r>
      <w:r>
        <w:rPr/>
        <w:t>重要的非全资子公司</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389"/>
        <w:gridCol w:w="1388"/>
        <w:gridCol w:w="1511"/>
        <w:gridCol w:w="1550"/>
        <w:gridCol w:w="1706"/>
      </w:tblGrid>
      <w:tr>
        <w:trPr>
          <w:trHeight w:val="838"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329" w:right="327"/>
              <w:jc w:val="left"/>
              <w:rPr>
                <w:rFonts w:ascii="宋体" w:hAnsi="宋体" w:cs="宋体" w:eastAsia="宋体" w:hint="default"/>
                <w:sz w:val="18"/>
                <w:szCs w:val="18"/>
              </w:rPr>
            </w:pPr>
            <w:r>
              <w:rPr>
                <w:rFonts w:ascii="宋体" w:hAnsi="宋体" w:cs="宋体" w:eastAsia="宋体" w:hint="default"/>
                <w:sz w:val="18"/>
                <w:szCs w:val="18"/>
              </w:rPr>
              <w:t>少数股东 持股比例</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10" w:right="209"/>
              <w:jc w:val="left"/>
              <w:rPr>
                <w:rFonts w:ascii="宋体" w:hAnsi="宋体" w:cs="宋体" w:eastAsia="宋体" w:hint="default"/>
                <w:sz w:val="18"/>
                <w:szCs w:val="18"/>
              </w:rPr>
            </w:pPr>
            <w:r>
              <w:rPr>
                <w:rFonts w:ascii="宋体" w:hAnsi="宋体" w:cs="宋体" w:eastAsia="宋体" w:hint="default"/>
                <w:sz w:val="18"/>
                <w:szCs w:val="18"/>
              </w:rPr>
              <w:t>本期归属于少 数股东的损益</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40" w:right="137"/>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91"/>
              <w:ind w:left="488" w:right="311" w:hanging="180"/>
              <w:jc w:val="left"/>
              <w:rPr>
                <w:rFonts w:ascii="宋体" w:hAnsi="宋体" w:cs="宋体" w:eastAsia="宋体" w:hint="default"/>
                <w:sz w:val="18"/>
                <w:szCs w:val="18"/>
              </w:rPr>
            </w:pPr>
            <w:r>
              <w:rPr>
                <w:rFonts w:ascii="宋体" w:hAnsi="宋体" w:cs="宋体" w:eastAsia="宋体" w:hint="default"/>
                <w:sz w:val="18"/>
                <w:szCs w:val="18"/>
              </w:rPr>
              <w:t>期末少数股东 权益余额</w:t>
            </w:r>
          </w:p>
        </w:tc>
      </w:tr>
      <w:tr>
        <w:trPr>
          <w:trHeight w:val="483"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30%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4,634,295.22</w:t>
            </w:r>
          </w:p>
        </w:tc>
        <w:tc>
          <w:tcPr>
            <w:tcW w:w="155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37,019,608.33</w:t>
            </w:r>
          </w:p>
        </w:tc>
      </w:tr>
      <w:tr>
        <w:trPr>
          <w:trHeight w:val="484"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28%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23,090,132.74</w:t>
            </w:r>
          </w:p>
        </w:tc>
        <w:tc>
          <w:tcPr>
            <w:tcW w:w="155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30,977,224.34</w:t>
            </w:r>
          </w:p>
        </w:tc>
      </w:tr>
      <w:tr>
        <w:trPr>
          <w:trHeight w:val="485" w:hRule="exact"/>
        </w:trPr>
        <w:tc>
          <w:tcPr>
            <w:tcW w:w="23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15%</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6,455,654.75</w:t>
            </w:r>
          </w:p>
        </w:tc>
        <w:tc>
          <w:tcPr>
            <w:tcW w:w="1550"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9,971,905.90</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240" w:lineRule="auto" w:before="35"/>
        <w:ind w:left="658" w:right="1688"/>
        <w:jc w:val="left"/>
      </w:pPr>
      <w:bookmarkStart w:name="3. 重要非全资子公司的主要财务信息" w:id="237"/>
      <w:bookmarkEnd w:id="237"/>
      <w:r>
        <w:rPr/>
      </w:r>
      <w:r>
        <w:rPr>
          <w:rFonts w:ascii="宋体" w:hAnsi="宋体" w:cs="宋体" w:eastAsia="宋体" w:hint="default"/>
        </w:rPr>
        <w:t>3.</w:t>
      </w:r>
      <w:r>
        <w:rPr>
          <w:rFonts w:ascii="宋体" w:hAnsi="宋体" w:cs="宋体" w:eastAsia="宋体" w:hint="default"/>
          <w:spacing w:val="-2"/>
        </w:rPr>
        <w:t> </w:t>
      </w:r>
      <w:r>
        <w:rPr/>
        <w:t>重要非全资子公司的主要财务信息</w:t>
      </w:r>
    </w:p>
    <w:p>
      <w:pPr>
        <w:pStyle w:val="BodyText"/>
        <w:spacing w:line="240" w:lineRule="auto" w:before="133"/>
        <w:ind w:left="657" w:right="1688"/>
        <w:jc w:val="left"/>
      </w:pPr>
      <w:r>
        <w:rPr>
          <w:rFonts w:ascii="宋体" w:hAnsi="宋体" w:cs="宋体" w:eastAsia="宋体" w:hint="default"/>
        </w:rPr>
        <w:t>(1)</w:t>
      </w:r>
      <w:r>
        <w:rPr>
          <w:rFonts w:ascii="宋体" w:hAnsi="宋体" w:cs="宋体" w:eastAsia="宋体" w:hint="default"/>
          <w:spacing w:val="-1"/>
        </w:rPr>
        <w:t> </w:t>
      </w:r>
      <w:r>
        <w:rPr/>
        <w:t>资产和负债情况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995"/>
        <w:gridCol w:w="1315"/>
        <w:gridCol w:w="1234"/>
        <w:gridCol w:w="1232"/>
        <w:gridCol w:w="1259"/>
        <w:gridCol w:w="1233"/>
        <w:gridCol w:w="1202"/>
      </w:tblGrid>
      <w:tr>
        <w:trPr>
          <w:trHeight w:val="484" w:hRule="exact"/>
        </w:trPr>
        <w:tc>
          <w:tcPr>
            <w:tcW w:w="995" w:type="dxa"/>
            <w:vMerge w:val="restart"/>
            <w:tcBorders>
              <w:top w:val="single" w:sz="4" w:space="0" w:color="000000"/>
              <w:left w:val="nil" w:sz="6" w:space="0" w:color="auto"/>
              <w:right w:val="single" w:sz="4" w:space="0" w:color="000000"/>
            </w:tcBorders>
          </w:tcPr>
          <w:p>
            <w:pPr>
              <w:pStyle w:val="TableParagraph"/>
              <w:spacing w:line="360" w:lineRule="auto" w:before="154"/>
              <w:ind w:left="324" w:right="21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47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995" w:type="dxa"/>
            <w:vMerge/>
            <w:tcBorders>
              <w:left w:val="nil" w:sz="6" w:space="0" w:color="auto"/>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9"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82" w:hRule="exact"/>
        </w:trPr>
        <w:tc>
          <w:tcPr>
            <w:tcW w:w="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23"/>
              <w:jc w:val="center"/>
              <w:rPr>
                <w:rFonts w:ascii="宋体" w:hAnsi="宋体" w:cs="宋体" w:eastAsia="宋体" w:hint="default"/>
                <w:sz w:val="18"/>
                <w:szCs w:val="18"/>
              </w:rPr>
            </w:pPr>
            <w:r>
              <w:rPr>
                <w:rFonts w:ascii="宋体" w:hAnsi="宋体" w:cs="宋体" w:eastAsia="宋体" w:hint="default"/>
                <w:sz w:val="18"/>
                <w:szCs w:val="18"/>
              </w:rPr>
              <w:t>大农实业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8" w:right="0"/>
              <w:jc w:val="center"/>
              <w:rPr>
                <w:rFonts w:ascii="宋体" w:hAnsi="宋体" w:cs="宋体" w:eastAsia="宋体" w:hint="default"/>
                <w:sz w:val="15"/>
                <w:szCs w:val="15"/>
              </w:rPr>
            </w:pPr>
            <w:r>
              <w:rPr>
                <w:rFonts w:ascii="宋体"/>
                <w:sz w:val="15"/>
              </w:rPr>
              <w:t>109,376,062.87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0" w:right="0"/>
              <w:jc w:val="center"/>
              <w:rPr>
                <w:rFonts w:ascii="宋体" w:hAnsi="宋体" w:cs="宋体" w:eastAsia="宋体" w:hint="default"/>
                <w:sz w:val="15"/>
                <w:szCs w:val="15"/>
              </w:rPr>
            </w:pPr>
            <w:r>
              <w:rPr>
                <w:rFonts w:ascii="宋体"/>
                <w:sz w:val="15"/>
              </w:rPr>
              <w:t>83,509,517.88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2"/>
              <w:jc w:val="center"/>
              <w:rPr>
                <w:rFonts w:ascii="宋体" w:hAnsi="宋体" w:cs="宋体" w:eastAsia="宋体" w:hint="default"/>
                <w:sz w:val="15"/>
                <w:szCs w:val="15"/>
              </w:rPr>
            </w:pPr>
            <w:r>
              <w:rPr>
                <w:rFonts w:ascii="宋体"/>
                <w:sz w:val="15"/>
              </w:rPr>
              <w:t>192,885,580.75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63,668,017.34</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5"/>
                <w:szCs w:val="15"/>
              </w:rPr>
            </w:pPr>
            <w:r>
              <w:rPr>
                <w:rFonts w:ascii="宋体"/>
                <w:spacing w:val="-1"/>
                <w:sz w:val="15"/>
              </w:rPr>
              <w:t>5,818,868.97</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4" w:right="0"/>
              <w:jc w:val="center"/>
              <w:rPr>
                <w:rFonts w:ascii="宋体" w:hAnsi="宋体" w:cs="宋体" w:eastAsia="宋体" w:hint="default"/>
                <w:sz w:val="15"/>
                <w:szCs w:val="15"/>
              </w:rPr>
            </w:pPr>
            <w:r>
              <w:rPr>
                <w:rFonts w:ascii="宋体"/>
                <w:sz w:val="15"/>
              </w:rPr>
              <w:t>69,486,886.31</w:t>
            </w:r>
          </w:p>
        </w:tc>
      </w:tr>
      <w:tr>
        <w:trPr>
          <w:trHeight w:val="484" w:hRule="exact"/>
        </w:trPr>
        <w:tc>
          <w:tcPr>
            <w:tcW w:w="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
              <w:jc w:val="center"/>
              <w:rPr>
                <w:rFonts w:ascii="宋体" w:hAnsi="宋体" w:cs="宋体" w:eastAsia="宋体" w:hint="default"/>
                <w:sz w:val="18"/>
                <w:szCs w:val="18"/>
              </w:rPr>
            </w:pPr>
            <w:r>
              <w:rPr>
                <w:rFonts w:ascii="宋体" w:hAnsi="宋体" w:cs="宋体" w:eastAsia="宋体" w:hint="default"/>
                <w:sz w:val="18"/>
                <w:szCs w:val="18"/>
              </w:rPr>
              <w:t>无锡锡泵</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center"/>
              <w:rPr>
                <w:rFonts w:ascii="宋体" w:hAnsi="宋体" w:cs="宋体" w:eastAsia="宋体" w:hint="default"/>
                <w:sz w:val="15"/>
                <w:szCs w:val="15"/>
              </w:rPr>
            </w:pPr>
            <w:r>
              <w:rPr>
                <w:rFonts w:ascii="宋体"/>
                <w:sz w:val="15"/>
              </w:rPr>
              <w:t>159,822,422.86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宋体" w:hAnsi="宋体" w:cs="宋体" w:eastAsia="宋体" w:hint="default"/>
                <w:sz w:val="15"/>
                <w:szCs w:val="15"/>
              </w:rPr>
            </w:pPr>
            <w:r>
              <w:rPr>
                <w:rFonts w:ascii="宋体"/>
                <w:sz w:val="15"/>
              </w:rPr>
              <w:t>37,666,697.03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center"/>
              <w:rPr>
                <w:rFonts w:ascii="宋体" w:hAnsi="宋体" w:cs="宋体" w:eastAsia="宋体" w:hint="default"/>
                <w:sz w:val="15"/>
                <w:szCs w:val="15"/>
              </w:rPr>
            </w:pPr>
            <w:r>
              <w:rPr>
                <w:rFonts w:ascii="宋体"/>
                <w:sz w:val="15"/>
              </w:rPr>
              <w:t>197,489,119.89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85,805,072.90</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743,161.65</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6" w:right="0"/>
              <w:jc w:val="center"/>
              <w:rPr>
                <w:rFonts w:ascii="宋体" w:hAnsi="宋体" w:cs="宋体" w:eastAsia="宋体" w:hint="default"/>
                <w:sz w:val="15"/>
                <w:szCs w:val="15"/>
              </w:rPr>
            </w:pPr>
            <w:r>
              <w:rPr>
                <w:rFonts w:ascii="宋体"/>
                <w:sz w:val="15"/>
              </w:rPr>
              <w:t>86,548,234.55</w:t>
            </w:r>
          </w:p>
        </w:tc>
      </w:tr>
      <w:tr>
        <w:trPr>
          <w:trHeight w:val="485" w:hRule="exact"/>
        </w:trPr>
        <w:tc>
          <w:tcPr>
            <w:tcW w:w="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
              <w:jc w:val="center"/>
              <w:rPr>
                <w:rFonts w:ascii="宋体" w:hAnsi="宋体" w:cs="宋体" w:eastAsia="宋体" w:hint="default"/>
                <w:sz w:val="18"/>
                <w:szCs w:val="18"/>
              </w:rPr>
            </w:pPr>
            <w:r>
              <w:rPr>
                <w:rFonts w:ascii="宋体" w:hAnsi="宋体" w:cs="宋体" w:eastAsia="宋体" w:hint="default"/>
                <w:sz w:val="18"/>
                <w:szCs w:val="18"/>
              </w:rPr>
              <w:t>上海漫酷</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center"/>
              <w:rPr>
                <w:rFonts w:ascii="宋体" w:hAnsi="宋体" w:cs="宋体" w:eastAsia="宋体" w:hint="default"/>
                <w:sz w:val="15"/>
                <w:szCs w:val="15"/>
              </w:rPr>
            </w:pPr>
            <w:r>
              <w:rPr>
                <w:rFonts w:ascii="宋体"/>
                <w:sz w:val="15"/>
              </w:rPr>
              <w:t>830,111,135.68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center"/>
              <w:rPr>
                <w:rFonts w:ascii="宋体" w:hAnsi="宋体" w:cs="宋体" w:eastAsia="宋体" w:hint="default"/>
                <w:sz w:val="15"/>
                <w:szCs w:val="15"/>
              </w:rPr>
            </w:pPr>
            <w:r>
              <w:rPr>
                <w:rFonts w:ascii="宋体"/>
                <w:sz w:val="15"/>
              </w:rPr>
              <w:t>10,817,914.74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center"/>
              <w:rPr>
                <w:rFonts w:ascii="宋体" w:hAnsi="宋体" w:cs="宋体" w:eastAsia="宋体" w:hint="default"/>
                <w:sz w:val="15"/>
                <w:szCs w:val="15"/>
              </w:rPr>
            </w:pPr>
            <w:r>
              <w:rPr>
                <w:rFonts w:ascii="宋体"/>
                <w:sz w:val="15"/>
              </w:rPr>
              <w:t>840,929,050.42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623,149,677.75</w:t>
            </w:r>
          </w:p>
        </w:tc>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151,300,000.00</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66"/>
              <w:jc w:val="center"/>
              <w:rPr>
                <w:rFonts w:ascii="宋体" w:hAnsi="宋体" w:cs="宋体" w:eastAsia="宋体" w:hint="default"/>
                <w:sz w:val="15"/>
                <w:szCs w:val="15"/>
              </w:rPr>
            </w:pPr>
            <w:r>
              <w:rPr>
                <w:rFonts w:ascii="宋体"/>
                <w:sz w:val="15"/>
              </w:rPr>
              <w:t>774,449,677.75</w:t>
            </w:r>
          </w:p>
        </w:tc>
      </w:tr>
    </w:tbl>
    <w:p>
      <w:pPr>
        <w:pStyle w:val="BodyText"/>
        <w:spacing w:line="241" w:lineRule="exact" w:before="0"/>
        <w:ind w:left="658" w:right="168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79"/>
        <w:gridCol w:w="1373"/>
        <w:gridCol w:w="1199"/>
        <w:gridCol w:w="1295"/>
        <w:gridCol w:w="1272"/>
        <w:gridCol w:w="1055"/>
        <w:gridCol w:w="1297"/>
      </w:tblGrid>
      <w:tr>
        <w:trPr>
          <w:trHeight w:val="484" w:hRule="exact"/>
        </w:trPr>
        <w:tc>
          <w:tcPr>
            <w:tcW w:w="979" w:type="dxa"/>
            <w:vMerge w:val="restart"/>
            <w:tcBorders>
              <w:top w:val="single" w:sz="4" w:space="0" w:color="000000"/>
              <w:left w:val="nil" w:sz="6" w:space="0" w:color="auto"/>
              <w:right w:val="single" w:sz="4" w:space="0" w:color="000000"/>
            </w:tcBorders>
          </w:tcPr>
          <w:p>
            <w:pPr>
              <w:pStyle w:val="TableParagraph"/>
              <w:spacing w:line="360" w:lineRule="auto" w:before="154"/>
              <w:ind w:left="315" w:right="206"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491"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979" w:type="dxa"/>
            <w:vMerge/>
            <w:tcBorders>
              <w:left w:val="nil" w:sz="6" w:space="0" w:color="auto"/>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72"/>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8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484"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大农实业</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center"/>
              <w:rPr>
                <w:rFonts w:ascii="宋体" w:hAnsi="宋体" w:cs="宋体" w:eastAsia="宋体" w:hint="default"/>
                <w:sz w:val="15"/>
                <w:szCs w:val="15"/>
              </w:rPr>
            </w:pPr>
            <w:r>
              <w:rPr>
                <w:rFonts w:ascii="宋体"/>
                <w:sz w:val="15"/>
              </w:rPr>
              <w:t>112,727,207.60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 w:right="0"/>
              <w:jc w:val="left"/>
              <w:rPr>
                <w:rFonts w:ascii="宋体" w:hAnsi="宋体" w:cs="宋体" w:eastAsia="宋体" w:hint="default"/>
                <w:sz w:val="15"/>
                <w:szCs w:val="15"/>
              </w:rPr>
            </w:pPr>
            <w:r>
              <w:rPr>
                <w:rFonts w:ascii="宋体"/>
                <w:sz w:val="15"/>
              </w:rPr>
              <w:t>83,135,101.94</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5" w:right="0"/>
              <w:jc w:val="center"/>
              <w:rPr>
                <w:rFonts w:ascii="宋体" w:hAnsi="宋体" w:cs="宋体" w:eastAsia="宋体" w:hint="default"/>
                <w:sz w:val="15"/>
                <w:szCs w:val="15"/>
              </w:rPr>
            </w:pPr>
            <w:r>
              <w:rPr>
                <w:rFonts w:ascii="宋体"/>
                <w:sz w:val="15"/>
              </w:rPr>
              <w:t>195,862,309.54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8" w:right="0"/>
              <w:jc w:val="center"/>
              <w:rPr>
                <w:rFonts w:ascii="宋体" w:hAnsi="宋体" w:cs="宋体" w:eastAsia="宋体" w:hint="default"/>
                <w:sz w:val="15"/>
                <w:szCs w:val="15"/>
              </w:rPr>
            </w:pPr>
            <w:r>
              <w:rPr>
                <w:rFonts w:ascii="宋体"/>
                <w:sz w:val="15"/>
              </w:rPr>
              <w:t>81,916,300.85</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宋体" w:hAnsi="宋体" w:cs="宋体" w:eastAsia="宋体" w:hint="default"/>
                <w:sz w:val="15"/>
                <w:szCs w:val="15"/>
              </w:rPr>
            </w:pPr>
            <w:r>
              <w:rPr>
                <w:rFonts w:ascii="宋体"/>
                <w:spacing w:val="-1"/>
                <w:sz w:val="15"/>
              </w:rPr>
              <w:t>5,994,965.00</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5"/>
                <w:szCs w:val="15"/>
              </w:rPr>
            </w:pPr>
            <w:r>
              <w:rPr>
                <w:rFonts w:ascii="宋体"/>
                <w:spacing w:val="-1"/>
                <w:sz w:val="15"/>
              </w:rPr>
              <w:t>87,911,265.85</w:t>
            </w:r>
          </w:p>
        </w:tc>
      </w:tr>
      <w:tr>
        <w:trPr>
          <w:trHeight w:val="484" w:hRule="exact"/>
        </w:trPr>
        <w:tc>
          <w:tcPr>
            <w:tcW w:w="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11"/>
              <w:jc w:val="center"/>
              <w:rPr>
                <w:rFonts w:ascii="宋体" w:hAnsi="宋体" w:cs="宋体" w:eastAsia="宋体" w:hint="default"/>
                <w:sz w:val="18"/>
                <w:szCs w:val="18"/>
              </w:rPr>
            </w:pPr>
            <w:r>
              <w:rPr>
                <w:rFonts w:ascii="宋体" w:hAnsi="宋体" w:cs="宋体" w:eastAsia="宋体" w:hint="default"/>
                <w:sz w:val="18"/>
                <w:szCs w:val="18"/>
              </w:rPr>
              <w:t>无锡锡泵</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center"/>
              <w:rPr>
                <w:rFonts w:ascii="宋体" w:hAnsi="宋体" w:cs="宋体" w:eastAsia="宋体" w:hint="default"/>
                <w:sz w:val="15"/>
                <w:szCs w:val="15"/>
              </w:rPr>
            </w:pPr>
            <w:r>
              <w:rPr>
                <w:rFonts w:ascii="宋体"/>
                <w:sz w:val="15"/>
              </w:rPr>
              <w:t>110,468,904.32</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 w:right="0"/>
              <w:jc w:val="left"/>
              <w:rPr>
                <w:rFonts w:ascii="宋体" w:hAnsi="宋体" w:cs="宋体" w:eastAsia="宋体" w:hint="default"/>
                <w:sz w:val="15"/>
                <w:szCs w:val="15"/>
              </w:rPr>
            </w:pPr>
            <w:r>
              <w:rPr>
                <w:rFonts w:ascii="宋体"/>
                <w:sz w:val="15"/>
              </w:rPr>
              <w:t>67,702,803.69</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5" w:right="0"/>
              <w:jc w:val="center"/>
              <w:rPr>
                <w:rFonts w:ascii="宋体" w:hAnsi="宋体" w:cs="宋体" w:eastAsia="宋体" w:hint="default"/>
                <w:sz w:val="15"/>
                <w:szCs w:val="15"/>
              </w:rPr>
            </w:pPr>
            <w:r>
              <w:rPr>
                <w:rFonts w:ascii="宋体"/>
                <w:sz w:val="15"/>
              </w:rPr>
              <w:t>178,171,708.01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 w:right="0"/>
              <w:jc w:val="center"/>
              <w:rPr>
                <w:rFonts w:ascii="宋体" w:hAnsi="宋体" w:cs="宋体" w:eastAsia="宋体" w:hint="default"/>
                <w:sz w:val="15"/>
                <w:szCs w:val="15"/>
              </w:rPr>
            </w:pPr>
            <w:r>
              <w:rPr>
                <w:rFonts w:ascii="宋体"/>
                <w:sz w:val="15"/>
              </w:rPr>
              <w:t>149,417,747.87</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5"/>
                <w:szCs w:val="15"/>
              </w:rPr>
            </w:pPr>
            <w:r>
              <w:rPr>
                <w:rFonts w:ascii="宋体"/>
                <w:spacing w:val="-1"/>
                <w:sz w:val="15"/>
              </w:rPr>
              <w:t>443,701.75</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107"/>
              <w:jc w:val="right"/>
              <w:rPr>
                <w:rFonts w:ascii="宋体" w:hAnsi="宋体" w:cs="宋体" w:eastAsia="宋体" w:hint="default"/>
                <w:sz w:val="15"/>
                <w:szCs w:val="15"/>
              </w:rPr>
            </w:pPr>
            <w:r>
              <w:rPr>
                <w:rFonts w:ascii="宋体"/>
                <w:spacing w:val="-1"/>
                <w:sz w:val="15"/>
              </w:rPr>
              <w:t>149,861,449.62</w:t>
            </w:r>
          </w:p>
        </w:tc>
      </w:tr>
    </w:tbl>
    <w:p>
      <w:pPr>
        <w:pStyle w:val="BodyText"/>
        <w:spacing w:line="241" w:lineRule="exact" w:before="0"/>
        <w:ind w:left="658" w:right="1688"/>
        <w:jc w:val="left"/>
      </w:pPr>
      <w:r>
        <w:rPr>
          <w:rFonts w:ascii="宋体" w:hAnsi="宋体" w:cs="宋体" w:eastAsia="宋体" w:hint="default"/>
        </w:rPr>
        <w:t>(2)</w:t>
      </w:r>
      <w:r>
        <w:rPr>
          <w:rFonts w:ascii="宋体" w:hAnsi="宋体" w:cs="宋体" w:eastAsia="宋体" w:hint="default"/>
          <w:spacing w:val="-1"/>
        </w:rPr>
        <w:t> </w:t>
      </w:r>
      <w:r>
        <w:rPr/>
        <w:t>损益和现金流量情况</w:t>
      </w:r>
    </w:p>
    <w:p>
      <w:pPr>
        <w:spacing w:line="240" w:lineRule="auto" w:before="10"/>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524"/>
        <w:gridCol w:w="1692"/>
        <w:gridCol w:w="1488"/>
        <w:gridCol w:w="1737"/>
        <w:gridCol w:w="2058"/>
      </w:tblGrid>
      <w:tr>
        <w:trPr>
          <w:trHeight w:val="484" w:hRule="exact"/>
        </w:trPr>
        <w:tc>
          <w:tcPr>
            <w:tcW w:w="1524" w:type="dxa"/>
            <w:vMerge w:val="restart"/>
            <w:tcBorders>
              <w:top w:val="single" w:sz="4" w:space="0" w:color="000000"/>
              <w:left w:val="nil" w:sz="6" w:space="0" w:color="auto"/>
              <w:right w:val="single" w:sz="4" w:space="0" w:color="000000"/>
            </w:tcBorders>
          </w:tcPr>
          <w:p>
            <w:pPr>
              <w:pStyle w:val="TableParagraph"/>
              <w:spacing w:line="360" w:lineRule="auto" w:before="158"/>
              <w:ind w:left="589" w:right="479"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975"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90" w:hRule="exact"/>
        </w:trPr>
        <w:tc>
          <w:tcPr>
            <w:tcW w:w="1524" w:type="dxa"/>
            <w:vMerge/>
            <w:tcBorders>
              <w:left w:val="nil" w:sz="6" w:space="0" w:color="auto"/>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left="30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82" w:hRule="exact"/>
        </w:trPr>
        <w:tc>
          <w:tcPr>
            <w:tcW w:w="1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164,356,242.85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center"/>
              <w:rPr>
                <w:rFonts w:ascii="宋体" w:hAnsi="宋体" w:cs="宋体" w:eastAsia="宋体" w:hint="default"/>
                <w:sz w:val="18"/>
                <w:szCs w:val="18"/>
              </w:rPr>
            </w:pPr>
            <w:r>
              <w:rPr>
                <w:rFonts w:ascii="宋体"/>
                <w:sz w:val="18"/>
              </w:rPr>
              <w:t>15,447,650.75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15,447,650.75</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14,626,497.48</w:t>
            </w:r>
          </w:p>
        </w:tc>
      </w:tr>
      <w:tr>
        <w:trPr>
          <w:trHeight w:val="484" w:hRule="exact"/>
        </w:trPr>
        <w:tc>
          <w:tcPr>
            <w:tcW w:w="1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127,500,091.68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center"/>
              <w:rPr>
                <w:rFonts w:ascii="宋体" w:hAnsi="宋体" w:cs="宋体" w:eastAsia="宋体" w:hint="default"/>
                <w:sz w:val="18"/>
                <w:szCs w:val="18"/>
              </w:rPr>
            </w:pPr>
            <w:r>
              <w:rPr>
                <w:rFonts w:ascii="宋体"/>
                <w:sz w:val="18"/>
              </w:rPr>
              <w:t>82,464,759.80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82,464,759.80</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-18,241,167.43</w:t>
            </w:r>
          </w:p>
        </w:tc>
      </w:tr>
      <w:tr>
        <w:trPr>
          <w:trHeight w:val="484" w:hRule="exact"/>
        </w:trPr>
        <w:tc>
          <w:tcPr>
            <w:tcW w:w="1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上海漫酷</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956,565,942.03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宋体" w:hAnsi="宋体" w:cs="宋体" w:eastAsia="宋体" w:hint="default"/>
                <w:sz w:val="18"/>
                <w:szCs w:val="18"/>
              </w:rPr>
            </w:pPr>
            <w:r>
              <w:rPr>
                <w:rFonts w:ascii="宋体"/>
                <w:sz w:val="18"/>
              </w:rPr>
              <w:t>43,037,698.33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43,037,698.33</w:t>
            </w:r>
          </w:p>
        </w:tc>
        <w:tc>
          <w:tcPr>
            <w:tcW w:w="20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4,508,150.29</w:t>
            </w:r>
          </w:p>
        </w:tc>
      </w:tr>
    </w:tbl>
    <w:p>
      <w:pPr>
        <w:pStyle w:val="BodyText"/>
        <w:spacing w:line="241" w:lineRule="exact" w:before="0"/>
        <w:ind w:left="658" w:right="1688"/>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517"/>
        <w:gridCol w:w="1702"/>
        <w:gridCol w:w="1486"/>
        <w:gridCol w:w="1749"/>
        <w:gridCol w:w="2046"/>
      </w:tblGrid>
      <w:tr>
        <w:trPr>
          <w:trHeight w:val="484" w:hRule="exact"/>
        </w:trPr>
        <w:tc>
          <w:tcPr>
            <w:tcW w:w="1517" w:type="dxa"/>
            <w:vMerge w:val="restart"/>
            <w:tcBorders>
              <w:top w:val="single" w:sz="4" w:space="0" w:color="000000"/>
              <w:left w:val="nil" w:sz="6" w:space="0" w:color="auto"/>
              <w:right w:val="single" w:sz="4" w:space="0" w:color="000000"/>
            </w:tcBorders>
          </w:tcPr>
          <w:p>
            <w:pPr>
              <w:pStyle w:val="TableParagraph"/>
              <w:spacing w:line="360" w:lineRule="auto" w:before="154"/>
              <w:ind w:left="585" w:right="474"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982"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84" w:hRule="exact"/>
        </w:trPr>
        <w:tc>
          <w:tcPr>
            <w:tcW w:w="1517" w:type="dxa"/>
            <w:vMerge/>
            <w:tcBorders>
              <w:left w:val="nil" w:sz="6" w:space="0" w:color="auto"/>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8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9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82"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大农实业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165,761,988.70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15,754,832.36</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15,754,832.36</w:t>
            </w: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32,970,231.47</w:t>
            </w:r>
          </w:p>
        </w:tc>
      </w:tr>
      <w:tr>
        <w:trPr>
          <w:trHeight w:val="485"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无锡锡泵</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85,865,847.62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-17,236,685.04</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-17,236,685.04</w:t>
            </w:r>
          </w:p>
        </w:tc>
        <w:tc>
          <w:tcPr>
            <w:tcW w:w="20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-41,723,419.65</w:t>
            </w:r>
          </w:p>
        </w:tc>
      </w:tr>
    </w:tbl>
    <w:p>
      <w:pPr>
        <w:spacing w:line="240" w:lineRule="auto" w:before="0"/>
        <w:rPr>
          <w:rFonts w:ascii="宋体" w:hAnsi="宋体" w:cs="宋体" w:eastAsia="宋体" w:hint="default"/>
          <w:sz w:val="20"/>
          <w:szCs w:val="20"/>
        </w:rPr>
      </w:pPr>
    </w:p>
    <w:p>
      <w:pPr>
        <w:pStyle w:val="BodyText"/>
        <w:spacing w:line="343" w:lineRule="auto" w:before="176"/>
        <w:ind w:left="657" w:right="6206"/>
        <w:jc w:val="left"/>
      </w:pPr>
      <w:bookmarkStart w:name="(二) 在合营企业或联营企业中的权益" w:id="238"/>
      <w:bookmarkEnd w:id="238"/>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在合营企业或联营企业中的权益 </w:t>
      </w:r>
      <w:bookmarkStart w:name="1. 重要的联营企业" w:id="239"/>
      <w:bookmarkEnd w:id="239"/>
      <w:r>
        <w:rPr/>
      </w:r>
      <w:r>
        <w:rPr>
          <w:rFonts w:ascii="宋体" w:hAnsi="宋体" w:cs="宋体" w:eastAsia="宋体" w:hint="default"/>
        </w:rPr>
        <w:t>1.</w:t>
      </w:r>
      <w:r>
        <w:rPr>
          <w:rFonts w:ascii="宋体" w:hAnsi="宋体" w:cs="宋体" w:eastAsia="宋体" w:hint="default"/>
          <w:spacing w:val="-2"/>
        </w:rPr>
        <w:t> </w:t>
      </w:r>
      <w:r>
        <w:rPr/>
        <w:t>重要的联营企业</w:t>
      </w:r>
    </w:p>
    <w:p>
      <w:pPr>
        <w:spacing w:line="240" w:lineRule="auto" w:before="10"/>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541"/>
        <w:gridCol w:w="947"/>
        <w:gridCol w:w="947"/>
        <w:gridCol w:w="947"/>
        <w:gridCol w:w="923"/>
        <w:gridCol w:w="924"/>
        <w:gridCol w:w="2315"/>
      </w:tblGrid>
      <w:tr>
        <w:trPr>
          <w:trHeight w:val="484"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947" w:type="dxa"/>
            <w:vMerge w:val="restart"/>
            <w:tcBorders>
              <w:top w:val="single" w:sz="4" w:space="0" w:color="000000"/>
              <w:left w:val="single" w:sz="4" w:space="0" w:color="000000"/>
              <w:right w:val="single" w:sz="4" w:space="0" w:color="000000"/>
            </w:tcBorders>
          </w:tcPr>
          <w:p>
            <w:pPr>
              <w:pStyle w:val="TableParagraph"/>
              <w:spacing w:line="360" w:lineRule="auto" w:before="155"/>
              <w:ind w:left="193" w:right="203"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315" w:type="dxa"/>
            <w:vMerge w:val="restart"/>
            <w:tcBorders>
              <w:top w:val="single" w:sz="4" w:space="0" w:color="000000"/>
              <w:left w:val="single" w:sz="4" w:space="0" w:color="000000"/>
              <w:right w:val="nil" w:sz="6" w:space="0" w:color="auto"/>
            </w:tcBorders>
          </w:tcPr>
          <w:p>
            <w:pPr>
              <w:pStyle w:val="TableParagraph"/>
              <w:spacing w:line="360" w:lineRule="auto" w:before="155"/>
              <w:ind w:left="338" w:right="259"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84" w:hRule="exact"/>
        </w:trPr>
        <w:tc>
          <w:tcPr>
            <w:tcW w:w="1541" w:type="dxa"/>
            <w:vMerge/>
            <w:tcBorders>
              <w:left w:val="nil" w:sz="6" w:space="0" w:color="auto"/>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15" w:type="dxa"/>
            <w:vMerge/>
            <w:tcBorders>
              <w:left w:val="single" w:sz="4" w:space="0" w:color="000000"/>
              <w:bottom w:val="single" w:sz="4" w:space="0" w:color="000000"/>
              <w:right w:val="nil" w:sz="6" w:space="0" w:color="auto"/>
            </w:tcBorders>
          </w:tcPr>
          <w:p>
            <w:pPr/>
          </w:p>
        </w:tc>
      </w:tr>
      <w:tr>
        <w:trPr>
          <w:trHeight w:val="83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61" w:right="212"/>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30.00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0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541"/>
        <w:gridCol w:w="947"/>
        <w:gridCol w:w="947"/>
        <w:gridCol w:w="947"/>
        <w:gridCol w:w="923"/>
        <w:gridCol w:w="924"/>
        <w:gridCol w:w="2315"/>
      </w:tblGrid>
      <w:tr>
        <w:trPr>
          <w:trHeight w:val="838"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360" w:lineRule="auto" w:before="89"/>
              <w:ind w:left="61" w:right="212"/>
              <w:jc w:val="left"/>
              <w:rPr>
                <w:rFonts w:ascii="宋体" w:hAnsi="宋体" w:cs="宋体" w:eastAsia="宋体" w:hint="default"/>
                <w:sz w:val="18"/>
                <w:szCs w:val="18"/>
              </w:rPr>
            </w:pPr>
            <w:r>
              <w:rPr>
                <w:rFonts w:ascii="宋体" w:hAnsi="宋体" w:cs="宋体" w:eastAsia="宋体" w:hint="default"/>
                <w:sz w:val="18"/>
                <w:szCs w:val="18"/>
              </w:rPr>
              <w:t>温岭市信合担保 有限公司</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温岭市</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31" w:right="0"/>
              <w:jc w:val="left"/>
              <w:rPr>
                <w:rFonts w:ascii="宋体" w:hAnsi="宋体" w:cs="宋体" w:eastAsia="宋体" w:hint="default"/>
                <w:sz w:val="18"/>
                <w:szCs w:val="18"/>
              </w:rPr>
            </w:pPr>
            <w:r>
              <w:rPr>
                <w:rFonts w:ascii="宋体"/>
                <w:sz w:val="18"/>
              </w:rPr>
              <w:t>40.00</w:t>
            </w:r>
          </w:p>
        </w:tc>
        <w:tc>
          <w:tcPr>
            <w:tcW w:w="924"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0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1" w:lineRule="exact" w:before="0"/>
        <w:ind w:left="658" w:right="1688"/>
        <w:jc w:val="left"/>
      </w:pPr>
      <w:bookmarkStart w:name="2. 重要联营企业的主要财务信息" w:id="240"/>
      <w:bookmarkEnd w:id="240"/>
      <w:r>
        <w:rPr/>
      </w:r>
      <w:r>
        <w:rPr>
          <w:rFonts w:ascii="宋体" w:hAnsi="宋体" w:cs="宋体" w:eastAsia="宋体" w:hint="default"/>
        </w:rPr>
        <w:t>2.</w:t>
      </w:r>
      <w:r>
        <w:rPr>
          <w:rFonts w:ascii="宋体" w:hAnsi="宋体" w:cs="宋体" w:eastAsia="宋体" w:hint="default"/>
          <w:spacing w:val="-2"/>
        </w:rPr>
        <w:t> </w:t>
      </w:r>
      <w:r>
        <w:rPr/>
        <w:t>重要联营企业的主要财务信息</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812"/>
        <w:gridCol w:w="1476"/>
        <w:gridCol w:w="1386"/>
        <w:gridCol w:w="1476"/>
        <w:gridCol w:w="1386"/>
      </w:tblGrid>
      <w:tr>
        <w:trPr>
          <w:trHeight w:val="484" w:hRule="exact"/>
        </w:trPr>
        <w:tc>
          <w:tcPr>
            <w:tcW w:w="281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40"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w:t>
            </w:r>
            <w:r>
              <w:rPr>
                <w:rFonts w:ascii="宋体" w:hAnsi="宋体" w:cs="宋体" w:eastAsia="宋体" w:hint="default"/>
                <w:sz w:val="18"/>
                <w:szCs w:val="18"/>
              </w:rPr>
              <w:t>本期数</w:t>
            </w:r>
          </w:p>
        </w:tc>
        <w:tc>
          <w:tcPr>
            <w:tcW w:w="286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left="66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上年同期数</w:t>
            </w:r>
          </w:p>
        </w:tc>
      </w:tr>
      <w:tr>
        <w:trPr>
          <w:trHeight w:val="836" w:hRule="exact"/>
        </w:trPr>
        <w:tc>
          <w:tcPr>
            <w:tcW w:w="2812"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91" w:right="87" w:hanging="75"/>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61" w:right="132" w:firstLine="90"/>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7" w:right="87" w:hanging="90"/>
              <w:jc w:val="left"/>
              <w:rPr>
                <w:rFonts w:ascii="宋体" w:hAnsi="宋体" w:cs="宋体" w:eastAsia="宋体" w:hint="default"/>
                <w:sz w:val="18"/>
                <w:szCs w:val="18"/>
              </w:rPr>
            </w:pPr>
            <w:r>
              <w:rPr>
                <w:rFonts w:ascii="宋体" w:hAnsi="宋体" w:cs="宋体" w:eastAsia="宋体" w:hint="default"/>
                <w:sz w:val="18"/>
                <w:szCs w:val="18"/>
              </w:rPr>
              <w:t>温岭市利欧小额 贷款有限公司</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89"/>
              <w:ind w:left="161" w:right="137" w:firstLine="90"/>
              <w:jc w:val="left"/>
              <w:rPr>
                <w:rFonts w:ascii="宋体" w:hAnsi="宋体" w:cs="宋体" w:eastAsia="宋体" w:hint="default"/>
                <w:sz w:val="18"/>
                <w:szCs w:val="18"/>
              </w:rPr>
            </w:pPr>
            <w:r>
              <w:rPr>
                <w:rFonts w:ascii="宋体" w:hAnsi="宋体" w:cs="宋体" w:eastAsia="宋体" w:hint="default"/>
                <w:sz w:val="18"/>
                <w:szCs w:val="18"/>
              </w:rPr>
              <w:t>温岭市信合 担保有限公司</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260,157,731.37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61,689,926.72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391,392,407.13</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60,382,125.04</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4,644,273.87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663,221.69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202,227.81</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16,109.35</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264,802,005.24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62,353,148.41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391,594,634.94</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60,398,234.39</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13,105,287.81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7,028,724.83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128,683,044.38</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5,375,649.44</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2,977,855.41</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16,083,143.22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7,028,724.83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128,683,044.38</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5,375,649.44</w:t>
            </w:r>
          </w:p>
        </w:tc>
      </w:tr>
      <w:tr>
        <w:trPr>
          <w:trHeight w:val="482"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248,718,862.02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55,324,423.58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262,911,590.56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55,022,584.95</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74,615,658.61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22,129,769.43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78,873,477.17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22,009,033.98</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商  誉</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74,615,658.61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22,129,769.43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78,873,477.17</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22,009,033.98</w:t>
            </w:r>
          </w:p>
        </w:tc>
      </w:tr>
      <w:tr>
        <w:trPr>
          <w:trHeight w:val="716"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62"/>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 资的公允价值</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47,296,398.69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429,407.61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61,533,702.75</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736,745.19</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22,996,862.20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301,838.63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39,615,183.12</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1,477,372.06</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907,264.64</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-1,246,500.00</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22,996,862.20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301,838.63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40,522,447.76</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230,872.06</w:t>
            </w:r>
          </w:p>
        </w:tc>
      </w:tr>
      <w:tr>
        <w:trPr>
          <w:trHeight w:val="484" w:hRule="exact"/>
        </w:trPr>
        <w:tc>
          <w:tcPr>
            <w:tcW w:w="28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本期收到的来自联营企业的股利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9,000,000.00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11,400,000.00</w:t>
            </w:r>
          </w:p>
        </w:tc>
        <w:tc>
          <w:tcPr>
            <w:tcW w:w="1386"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27"/>
          <w:szCs w:val="27"/>
        </w:rPr>
      </w:pPr>
    </w:p>
    <w:p>
      <w:pPr>
        <w:pStyle w:val="Heading3"/>
        <w:spacing w:line="240" w:lineRule="auto" w:before="35"/>
        <w:ind w:left="658" w:right="1688"/>
        <w:jc w:val="left"/>
        <w:rPr>
          <w:rFonts w:ascii="黑体" w:hAnsi="黑体" w:cs="黑体" w:eastAsia="黑体" w:hint="default"/>
          <w:b w:val="0"/>
          <w:bCs w:val="0"/>
        </w:rPr>
      </w:pPr>
      <w:bookmarkStart w:name="十、与金融工具相关的风险" w:id="241"/>
      <w:bookmarkEnd w:id="241"/>
      <w:r>
        <w:rPr>
          <w:b w:val="0"/>
          <w:bCs w:val="0"/>
        </w:rPr>
      </w:r>
      <w:r>
        <w:rPr>
          <w:rFonts w:ascii="黑体" w:hAnsi="黑体" w:cs="黑体" w:eastAsia="黑体" w:hint="default"/>
        </w:rPr>
        <w:t>十、与金融工具相关的风险</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877" w:footer="938" w:top="1100" w:bottom="1120" w:left="1560" w:right="0"/>
        </w:sectPr>
      </w:pPr>
    </w:p>
    <w:p>
      <w:pPr>
        <w:spacing w:line="240" w:lineRule="auto" w:before="2"/>
        <w:rPr>
          <w:rFonts w:ascii="黑体" w:hAnsi="黑体" w:cs="黑体" w:eastAsia="黑体" w:hint="default"/>
          <w:b/>
          <w:bCs/>
          <w:sz w:val="19"/>
          <w:szCs w:val="19"/>
        </w:rPr>
      </w:pPr>
    </w:p>
    <w:p>
      <w:pPr>
        <w:pStyle w:val="BodyText"/>
        <w:spacing w:line="357" w:lineRule="auto" w:before="35"/>
        <w:ind w:left="238" w:right="1792" w:firstLine="420"/>
        <w:jc w:val="both"/>
      </w:pPr>
      <w:r>
        <w:rPr>
          <w:spacing w:val="-3"/>
        </w:rPr>
        <w:t>本公司从事风险管理的目标是在风险和收益之间取得平衡，将风险对本公司经营业绩的</w:t>
      </w:r>
      <w:r>
        <w:rPr/>
        <w:t> </w:t>
      </w:r>
      <w:r>
        <w:rPr>
          <w:spacing w:val="-3"/>
        </w:rPr>
        <w:t>负面影响降至最低水平，使股东和其他权益投资者的利益最大化。基于该风险管理目标，本</w:t>
      </w:r>
      <w:r>
        <w:rPr>
          <w:spacing w:val="-72"/>
        </w:rPr>
        <w:t> </w:t>
      </w:r>
      <w:r>
        <w:rPr>
          <w:spacing w:val="-72"/>
        </w:rPr>
      </w:r>
      <w:r>
        <w:rPr>
          <w:spacing w:val="-3"/>
        </w:rPr>
        <w:t>公司风险管理的基本策略是确认和分析本公司面临的各种风险，建立适当的风险承受底线和</w:t>
      </w:r>
      <w:r>
        <w:rPr>
          <w:spacing w:val="-73"/>
        </w:rPr>
        <w:t> </w:t>
      </w:r>
      <w:r>
        <w:rPr>
          <w:spacing w:val="-73"/>
        </w:rPr>
      </w:r>
      <w:r>
        <w:rPr/>
        <w:t>进行风险管理，并及时可靠地对各种风险进行监督，将风险控制在限定的范围内。</w:t>
      </w:r>
    </w:p>
    <w:p>
      <w:pPr>
        <w:pStyle w:val="BodyText"/>
        <w:spacing w:line="355" w:lineRule="auto" w:before="71"/>
        <w:ind w:left="238" w:right="1795" w:firstLine="420"/>
        <w:jc w:val="both"/>
      </w:pPr>
      <w:r>
        <w:rPr>
          <w:spacing w:val="-3"/>
        </w:rPr>
        <w:t>本公司的金融工具面临的主要风险是信用风险、流动风险及市场风险。管理层已审议并</w:t>
      </w:r>
      <w:r>
        <w:rPr/>
        <w:t> 批准管理这些风险的政策，概括如下。</w:t>
      </w:r>
    </w:p>
    <w:p>
      <w:pPr>
        <w:pStyle w:val="BodyText"/>
        <w:tabs>
          <w:tab w:pos="1603" w:val="left" w:leader="none"/>
        </w:tabs>
        <w:spacing w:line="391" w:lineRule="auto" w:before="73"/>
        <w:ind w:left="657" w:right="1688"/>
        <w:jc w:val="left"/>
      </w:pPr>
      <w:bookmarkStart w:name="信用风险" w:id="242"/>
      <w:bookmarkEnd w:id="242"/>
      <w:r>
        <w:rPr/>
      </w:r>
      <w:r>
        <w:rPr>
          <w:rFonts w:ascii="宋体" w:hAnsi="宋体" w:cs="宋体" w:eastAsia="宋体" w:hint="default"/>
        </w:rPr>
        <w:t>(</w:t>
      </w:r>
      <w:r>
        <w:rPr/>
        <w:t>一</w:t>
      </w:r>
      <w:r>
        <w:rPr>
          <w:rFonts w:ascii="宋体" w:hAnsi="宋体" w:cs="宋体" w:eastAsia="宋体" w:hint="default"/>
        </w:rPr>
        <w:t>)</w:t>
        <w:tab/>
      </w:r>
      <w:r>
        <w:rPr/>
        <w:t>信用风险 信用风险，是指金融工具的一方不能履行义务，造成另一方发生财务损失的风险。 </w:t>
      </w:r>
      <w:r>
        <w:rPr>
          <w:spacing w:val="-5"/>
        </w:rPr>
        <w:t>本公司的信用风险主要与应收款项有关。为控制该项风险，本公司分别采取了以下措施。</w:t>
      </w:r>
      <w:r>
        <w:rPr>
          <w:spacing w:val="-102"/>
        </w:rPr>
        <w:t> </w:t>
      </w:r>
      <w:r>
        <w:rPr>
          <w:spacing w:val="-102"/>
        </w:rPr>
      </w:r>
      <w:r>
        <w:rPr>
          <w:rFonts w:ascii="宋体" w:hAnsi="宋体" w:cs="宋体" w:eastAsia="宋体" w:hint="default"/>
        </w:rPr>
        <w:t>1.</w:t>
      </w:r>
      <w:r>
        <w:rPr>
          <w:rFonts w:ascii="宋体" w:hAnsi="宋体" w:cs="宋体" w:eastAsia="宋体" w:hint="default"/>
          <w:spacing w:val="44"/>
        </w:rPr>
        <w:t> </w:t>
      </w:r>
      <w:r>
        <w:rPr/>
        <w:t>应收账款、应收票据 </w:t>
      </w:r>
      <w:r>
        <w:rPr>
          <w:spacing w:val="-3"/>
        </w:rPr>
        <w:t>本公司仅与经认可的、信誉良好的第三方进行交易。按照本公司的政策，需对所有要求</w:t>
      </w:r>
    </w:p>
    <w:p>
      <w:pPr>
        <w:pStyle w:val="BodyText"/>
        <w:spacing w:line="355" w:lineRule="auto" w:before="2"/>
        <w:ind w:left="237" w:right="1689"/>
        <w:jc w:val="left"/>
      </w:pPr>
      <w:r>
        <w:rPr/>
        <w:t>采用信用方式进行交易的客户进行信用审核。另外，本公司对应收账款余额进行持续监控， 以确保本公司不致面临重大坏账风险。</w:t>
      </w:r>
    </w:p>
    <w:p>
      <w:pPr>
        <w:pStyle w:val="BodyText"/>
        <w:spacing w:line="355" w:lineRule="auto" w:before="73"/>
        <w:ind w:left="238" w:right="1794" w:firstLine="420"/>
        <w:jc w:val="both"/>
      </w:pPr>
      <w:r>
        <w:rPr>
          <w:spacing w:val="-3"/>
        </w:rPr>
        <w:t>由于本公司仅与经认可的且信誉良好的第三方进行交易，所以无需担保物。信用风险集</w:t>
      </w:r>
      <w:r>
        <w:rPr/>
        <w:t> 中按照客户进行管理。截至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日，本公司具有特定信用风险集中，本公司的</w:t>
      </w:r>
    </w:p>
    <w:p>
      <w:pPr>
        <w:pStyle w:val="BodyText"/>
        <w:spacing w:line="357" w:lineRule="auto" w:before="33"/>
        <w:ind w:left="237" w:right="1785"/>
        <w:jc w:val="left"/>
      </w:pPr>
      <w:r>
        <w:rPr/>
        <w:t>应收账款</w:t>
      </w:r>
      <w:r>
        <w:rPr>
          <w:spacing w:val="-51"/>
        </w:rPr>
        <w:t> </w:t>
      </w:r>
      <w:r>
        <w:rPr>
          <w:rFonts w:ascii="宋体" w:hAnsi="宋体" w:cs="宋体" w:eastAsia="宋体" w:hint="default"/>
        </w:rPr>
        <w:t>30.47%(2013</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t>日：</w:t>
      </w:r>
      <w:r>
        <w:rPr>
          <w:rFonts w:ascii="宋体" w:hAnsi="宋体" w:cs="宋体" w:eastAsia="宋体" w:hint="default"/>
        </w:rPr>
        <w:t>17.21%)</w:t>
      </w:r>
      <w:r>
        <w:rPr/>
        <w:t>源于前五大客户。本公司对应收账款余额未 持有任何担保物或其他信用增级。</w:t>
      </w:r>
    </w:p>
    <w:p>
      <w:pPr>
        <w:pStyle w:val="BodyText"/>
        <w:spacing w:line="391" w:lineRule="auto" w:before="71"/>
        <w:ind w:left="657" w:right="1688" w:firstLine="6"/>
        <w:jc w:val="left"/>
      </w:pPr>
      <w:r>
        <w:rPr>
          <w:rFonts w:ascii="宋体" w:hAnsi="宋体" w:cs="宋体" w:eastAsia="宋体" w:hint="default"/>
        </w:rPr>
        <w:t>2.</w:t>
      </w:r>
      <w:r>
        <w:rPr>
          <w:rFonts w:ascii="宋体" w:hAnsi="宋体" w:cs="宋体" w:eastAsia="宋体" w:hint="default"/>
          <w:spacing w:val="44"/>
        </w:rPr>
        <w:t> </w:t>
      </w:r>
      <w:r>
        <w:rPr/>
        <w:t>其他应收款 </w:t>
      </w:r>
      <w:r>
        <w:rPr>
          <w:spacing w:val="-3"/>
        </w:rPr>
        <w:t>本公司的其他应收款主要系应收出口退税款、单位往来款、保证金等，公司对此等款项</w:t>
      </w:r>
    </w:p>
    <w:p>
      <w:pPr>
        <w:pStyle w:val="BodyText"/>
        <w:spacing w:line="391" w:lineRule="auto" w:before="2"/>
        <w:ind w:left="657" w:right="1688" w:hanging="420"/>
        <w:jc w:val="left"/>
      </w:pPr>
      <w:r>
        <w:rPr/>
        <w:t>与相关经济业务一并管理并持续监控，以确保本公司不致面临重大坏账风险。 </w:t>
      </w:r>
      <w:r>
        <w:rPr>
          <w:spacing w:val="-3"/>
        </w:rPr>
        <w:t>本公司的应收款项中尚未逾期且未发生减值的金额，以及虽已逾期但未减值的金融资产</w:t>
      </w:r>
    </w:p>
    <w:p>
      <w:pPr>
        <w:pStyle w:val="BodyText"/>
        <w:spacing w:line="240" w:lineRule="auto" w:before="1"/>
        <w:ind w:left="237" w:right="1688"/>
        <w:jc w:val="left"/>
      </w:pPr>
      <w:r>
        <w:rPr/>
        <w:t>的期限分析如下：</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434"/>
        <w:gridCol w:w="1666"/>
        <w:gridCol w:w="1175"/>
        <w:gridCol w:w="1420"/>
        <w:gridCol w:w="1422"/>
        <w:gridCol w:w="1421"/>
      </w:tblGrid>
      <w:tr>
        <w:trPr>
          <w:trHeight w:val="484"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1434" w:type="dxa"/>
            <w:vMerge/>
            <w:tcBorders>
              <w:left w:val="nil" w:sz="6" w:space="0" w:color="auto"/>
              <w:right w:val="single" w:sz="4" w:space="0" w:color="000000"/>
            </w:tcBorders>
          </w:tcPr>
          <w:p>
            <w:pPr/>
          </w:p>
        </w:tc>
        <w:tc>
          <w:tcPr>
            <w:tcW w:w="16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84" w:hRule="exact"/>
        </w:trPr>
        <w:tc>
          <w:tcPr>
            <w:tcW w:w="1434" w:type="dxa"/>
            <w:vMerge/>
            <w:tcBorders>
              <w:left w:val="nil" w:sz="6" w:space="0" w:color="auto"/>
              <w:bottom w:val="single" w:sz="4" w:space="0" w:color="000000"/>
              <w:right w:val="single" w:sz="4" w:space="0" w:color="000000"/>
            </w:tcBorders>
          </w:tcPr>
          <w:p>
            <w:pPr/>
          </w:p>
        </w:tc>
        <w:tc>
          <w:tcPr>
            <w:tcW w:w="1666" w:type="dxa"/>
            <w:vMerge/>
            <w:tcBorders>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5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vMerge/>
            <w:tcBorders>
              <w:left w:val="single" w:sz="4" w:space="0" w:color="000000"/>
              <w:bottom w:val="single" w:sz="4" w:space="0" w:color="000000"/>
              <w:right w:val="nil" w:sz="6" w:space="0" w:color="auto"/>
            </w:tcBorders>
          </w:tcPr>
          <w:p>
            <w:pPr/>
          </w:p>
        </w:tc>
      </w:tr>
      <w:tr>
        <w:trPr>
          <w:trHeight w:val="484"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45,769,566.02</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7" w:right="0"/>
              <w:jc w:val="center"/>
              <w:rPr>
                <w:rFonts w:ascii="宋体" w:hAnsi="宋体" w:cs="宋体" w:eastAsia="宋体" w:hint="default"/>
                <w:sz w:val="18"/>
                <w:szCs w:val="18"/>
              </w:rPr>
            </w:pPr>
            <w:r>
              <w:rPr>
                <w:rFonts w:ascii="宋体"/>
                <w:sz w:val="18"/>
              </w:rPr>
              <w:t>45,769,566.02</w:t>
            </w:r>
          </w:p>
        </w:tc>
      </w:tr>
      <w:tr>
        <w:trPr>
          <w:trHeight w:val="482"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11,279,801.36</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7" w:right="0"/>
              <w:jc w:val="center"/>
              <w:rPr>
                <w:rFonts w:ascii="宋体" w:hAnsi="宋体" w:cs="宋体" w:eastAsia="宋体" w:hint="default"/>
                <w:sz w:val="18"/>
                <w:szCs w:val="18"/>
              </w:rPr>
            </w:pPr>
            <w:r>
              <w:rPr>
                <w:rFonts w:ascii="宋体"/>
                <w:sz w:val="18"/>
              </w:rPr>
              <w:t>11,279,801.36</w:t>
            </w:r>
          </w:p>
        </w:tc>
      </w:tr>
      <w:tr>
        <w:trPr>
          <w:trHeight w:val="485"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57,049,367.38</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27" w:right="0"/>
              <w:jc w:val="center"/>
              <w:rPr>
                <w:rFonts w:ascii="宋体" w:hAnsi="宋体" w:cs="宋体" w:eastAsia="宋体" w:hint="default"/>
                <w:sz w:val="18"/>
                <w:szCs w:val="18"/>
              </w:rPr>
            </w:pPr>
            <w:r>
              <w:rPr>
                <w:rFonts w:ascii="宋体"/>
                <w:sz w:val="18"/>
              </w:rPr>
              <w:t>57,049,367.38</w:t>
            </w:r>
          </w:p>
        </w:tc>
      </w:tr>
    </w:tbl>
    <w:p>
      <w:pPr>
        <w:spacing w:before="90"/>
        <w:ind w:left="65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4"/>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1420"/>
        <w:gridCol w:w="1666"/>
        <w:gridCol w:w="4017"/>
        <w:gridCol w:w="1421"/>
      </w:tblGrid>
      <w:tr>
        <w:trPr>
          <w:trHeight w:val="484" w:hRule="exact"/>
        </w:trPr>
        <w:tc>
          <w:tcPr>
            <w:tcW w:w="1420"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1420" w:type="dxa"/>
            <w:vMerge/>
            <w:tcBorders>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34" w:right="0"/>
              <w:jc w:val="left"/>
              <w:rPr>
                <w:rFonts w:ascii="宋体" w:hAnsi="宋体" w:cs="宋体" w:eastAsia="宋体" w:hint="default"/>
                <w:sz w:val="18"/>
                <w:szCs w:val="18"/>
              </w:rPr>
            </w:pPr>
            <w:r>
              <w:rPr>
                <w:rFonts w:ascii="宋体" w:hAnsi="宋体" w:cs="宋体" w:eastAsia="宋体" w:hint="default"/>
                <w:sz w:val="18"/>
                <w:szCs w:val="18"/>
              </w:rPr>
              <w:t>合  计</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434"/>
        <w:gridCol w:w="1666"/>
        <w:gridCol w:w="1175"/>
        <w:gridCol w:w="1420"/>
        <w:gridCol w:w="1422"/>
        <w:gridCol w:w="1421"/>
      </w:tblGrid>
      <w:tr>
        <w:trPr>
          <w:trHeight w:val="484" w:hRule="exact"/>
        </w:trPr>
        <w:tc>
          <w:tcPr>
            <w:tcW w:w="1434" w:type="dxa"/>
            <w:tcBorders>
              <w:top w:val="single" w:sz="4" w:space="0" w:color="000000"/>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5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21"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14,930,668.61</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14,930,668.61</w:t>
            </w:r>
          </w:p>
        </w:tc>
      </w:tr>
      <w:tr>
        <w:trPr>
          <w:trHeight w:val="484"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7,809,003.58</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7,809,003.58</w:t>
            </w:r>
          </w:p>
        </w:tc>
      </w:tr>
      <w:tr>
        <w:trPr>
          <w:trHeight w:val="484"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22,739,672.19</w:t>
            </w:r>
          </w:p>
        </w:tc>
        <w:tc>
          <w:tcPr>
            <w:tcW w:w="1175"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22,739,672.19</w:t>
            </w:r>
          </w:p>
        </w:tc>
      </w:tr>
    </w:tbl>
    <w:p>
      <w:pPr>
        <w:pStyle w:val="BodyText"/>
        <w:tabs>
          <w:tab w:pos="1603" w:val="left" w:leader="none"/>
        </w:tabs>
        <w:spacing w:line="241" w:lineRule="exact" w:before="0"/>
        <w:ind w:left="658" w:right="1688"/>
        <w:jc w:val="left"/>
      </w:pPr>
      <w:bookmarkStart w:name="流动风险" w:id="243"/>
      <w:bookmarkEnd w:id="243"/>
      <w:r>
        <w:rPr/>
      </w:r>
      <w:r>
        <w:rPr>
          <w:rFonts w:ascii="宋体" w:hAnsi="宋体" w:cs="宋体" w:eastAsia="宋体" w:hint="default"/>
        </w:rPr>
        <w:t>(</w:t>
      </w:r>
      <w:r>
        <w:rPr/>
        <w:t>二</w:t>
      </w:r>
      <w:r>
        <w:rPr>
          <w:rFonts w:ascii="宋体" w:hAnsi="宋体" w:cs="宋体" w:eastAsia="宋体" w:hint="default"/>
        </w:rPr>
        <w:t>)</w:t>
        <w:tab/>
      </w:r>
      <w:r>
        <w:rPr/>
        <w:t>流动风险</w:t>
      </w:r>
    </w:p>
    <w:p>
      <w:pPr>
        <w:pStyle w:val="BodyText"/>
        <w:spacing w:line="357" w:lineRule="auto" w:before="172"/>
        <w:ind w:left="238" w:right="1795" w:firstLine="420"/>
        <w:jc w:val="both"/>
      </w:pPr>
      <w:r>
        <w:rPr>
          <w:spacing w:val="-3"/>
        </w:rPr>
        <w:t>流动风险，是指企业在履行与金融负债有关的义务时遇到资金短缺的风险，其可能源于</w:t>
      </w:r>
      <w:r>
        <w:rPr/>
        <w:t> </w:t>
      </w:r>
      <w:r>
        <w:rPr>
          <w:spacing w:val="-3"/>
        </w:rPr>
        <w:t>无法尽快以公允价值售出金融资产；或者源于对方无法偿还其合同债务；或者源于提前到期</w:t>
      </w:r>
      <w:r>
        <w:rPr>
          <w:spacing w:val="-75"/>
        </w:rPr>
        <w:t> </w:t>
      </w:r>
      <w:r>
        <w:rPr>
          <w:spacing w:val="-75"/>
        </w:rPr>
      </w:r>
      <w:r>
        <w:rPr/>
        <w:t>的债务；或者源于无法产生预期的现金流量。</w:t>
      </w:r>
    </w:p>
    <w:p>
      <w:pPr>
        <w:pStyle w:val="BodyText"/>
        <w:spacing w:line="357" w:lineRule="auto" w:before="71"/>
        <w:ind w:left="238" w:right="1673" w:firstLine="420"/>
        <w:jc w:val="left"/>
      </w:pPr>
      <w:r>
        <w:rPr>
          <w:spacing w:val="-5"/>
        </w:rPr>
        <w:t>为控制该项风险，本公司综合运用票据结算、银行借款等多种融资手段，优化融资结构，</w:t>
      </w:r>
      <w:r>
        <w:rPr/>
        <w:t> </w:t>
      </w:r>
      <w:r>
        <w:rPr>
          <w:spacing w:val="-3"/>
        </w:rPr>
        <w:t>保持融资持续性与灵活性之间的平衡。本公司已从多家商业银行取得银行授信额度以满足营</w:t>
      </w:r>
      <w:r>
        <w:rPr>
          <w:spacing w:val="-73"/>
        </w:rPr>
        <w:t> </w:t>
      </w:r>
      <w:r>
        <w:rPr>
          <w:spacing w:val="-73"/>
        </w:rPr>
      </w:r>
      <w:r>
        <w:rPr/>
        <w:t>运资金需求和资本开支。</w:t>
      </w:r>
    </w:p>
    <w:p>
      <w:pPr>
        <w:pStyle w:val="BodyText"/>
        <w:spacing w:line="240" w:lineRule="auto" w:before="71"/>
        <w:ind w:left="658" w:right="1688"/>
        <w:jc w:val="left"/>
      </w:pPr>
      <w:r>
        <w:rPr/>
        <w:t>金融工具按剩余到期日分类</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382"/>
        <w:gridCol w:w="1750"/>
        <w:gridCol w:w="1415"/>
        <w:gridCol w:w="1567"/>
        <w:gridCol w:w="1380"/>
        <w:gridCol w:w="1049"/>
      </w:tblGrid>
      <w:tr>
        <w:trPr>
          <w:trHeight w:val="482" w:hRule="exact"/>
        </w:trPr>
        <w:tc>
          <w:tcPr>
            <w:tcW w:w="13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6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838" w:hRule="exact"/>
        </w:trPr>
        <w:tc>
          <w:tcPr>
            <w:tcW w:w="1382"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522" w:right="251" w:hanging="270"/>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8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8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50"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539,116,792.07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center"/>
              <w:rPr>
                <w:rFonts w:ascii="宋体" w:hAnsi="宋体" w:cs="宋体" w:eastAsia="宋体" w:hint="default"/>
                <w:sz w:val="18"/>
                <w:szCs w:val="18"/>
              </w:rPr>
            </w:pPr>
            <w:r>
              <w:rPr>
                <w:rFonts w:ascii="宋体"/>
                <w:sz w:val="18"/>
              </w:rPr>
              <w:t>572,226,387.60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421,616,792.07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
              <w:jc w:val="center"/>
              <w:rPr>
                <w:rFonts w:ascii="宋体" w:hAnsi="宋体" w:cs="宋体" w:eastAsia="宋体" w:hint="default"/>
                <w:sz w:val="18"/>
                <w:szCs w:val="18"/>
              </w:rPr>
            </w:pPr>
            <w:r>
              <w:rPr>
                <w:rFonts w:ascii="宋体"/>
                <w:sz w:val="18"/>
              </w:rPr>
              <w:t>117,500,000.00</w:t>
            </w: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58,349,154.00</w:t>
            </w:r>
          </w:p>
        </w:tc>
        <w:tc>
          <w:tcPr>
            <w:tcW w:w="14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58,349,154.00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宋体" w:hAnsi="宋体" w:cs="宋体" w:eastAsia="宋体" w:hint="default"/>
                <w:sz w:val="18"/>
                <w:szCs w:val="18"/>
              </w:rPr>
            </w:pPr>
            <w:r>
              <w:rPr>
                <w:rFonts w:ascii="宋体"/>
                <w:sz w:val="18"/>
              </w:rPr>
              <w:t>828,566,738.78</w:t>
            </w:r>
          </w:p>
        </w:tc>
        <w:tc>
          <w:tcPr>
            <w:tcW w:w="14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828,566,738.78</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830,369.24</w:t>
            </w:r>
          </w:p>
        </w:tc>
        <w:tc>
          <w:tcPr>
            <w:tcW w:w="14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830,369.24</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249,306,947.05</w:t>
            </w:r>
          </w:p>
        </w:tc>
        <w:tc>
          <w:tcPr>
            <w:tcW w:w="14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249,306,947.05</w:t>
            </w:r>
          </w:p>
        </w:tc>
        <w:tc>
          <w:tcPr>
            <w:tcW w:w="1380"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8"/>
              <w:jc w:val="right"/>
              <w:rPr>
                <w:rFonts w:ascii="宋体" w:hAnsi="宋体" w:cs="宋体" w:eastAsia="宋体" w:hint="default"/>
                <w:sz w:val="18"/>
                <w:szCs w:val="18"/>
              </w:rPr>
            </w:pPr>
            <w:r>
              <w:rPr>
                <w:rFonts w:ascii="宋体"/>
                <w:sz w:val="18"/>
              </w:rPr>
              <w:t>1,676,170,001.14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center"/>
              <w:rPr>
                <w:rFonts w:ascii="宋体" w:hAnsi="宋体" w:cs="宋体" w:eastAsia="宋体" w:hint="default"/>
                <w:sz w:val="18"/>
                <w:szCs w:val="18"/>
              </w:rPr>
            </w:pPr>
            <w:r>
              <w:rPr>
                <w:rFonts w:ascii="宋体"/>
                <w:sz w:val="18"/>
              </w:rPr>
              <w:t>572,226,387.60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1,558,670,001.14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
              <w:jc w:val="center"/>
              <w:rPr>
                <w:rFonts w:ascii="宋体" w:hAnsi="宋体" w:cs="宋体" w:eastAsia="宋体" w:hint="default"/>
                <w:sz w:val="18"/>
                <w:szCs w:val="18"/>
              </w:rPr>
            </w:pPr>
            <w:r>
              <w:rPr>
                <w:rFonts w:ascii="宋体"/>
                <w:sz w:val="18"/>
              </w:rPr>
              <w:t>117,500,000.00</w:t>
            </w:r>
          </w:p>
        </w:tc>
        <w:tc>
          <w:tcPr>
            <w:tcW w:w="1049" w:type="dxa"/>
            <w:tcBorders>
              <w:top w:val="single" w:sz="4" w:space="0" w:color="000000"/>
              <w:left w:val="single" w:sz="4" w:space="0" w:color="000000"/>
              <w:bottom w:val="single" w:sz="4" w:space="0" w:color="000000"/>
              <w:right w:val="nil" w:sz="6" w:space="0" w:color="auto"/>
            </w:tcBorders>
          </w:tcPr>
          <w:p>
            <w:pPr/>
          </w:p>
        </w:tc>
      </w:tr>
    </w:tbl>
    <w:p>
      <w:pPr>
        <w:spacing w:before="89"/>
        <w:ind w:left="65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398"/>
        <w:gridCol w:w="1734"/>
        <w:gridCol w:w="1428"/>
        <w:gridCol w:w="1540"/>
        <w:gridCol w:w="1395"/>
        <w:gridCol w:w="1049"/>
      </w:tblGrid>
      <w:tr>
        <w:trPr>
          <w:trHeight w:val="484" w:hRule="exact"/>
        </w:trPr>
        <w:tc>
          <w:tcPr>
            <w:tcW w:w="13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4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836" w:hRule="exact"/>
        </w:trPr>
        <w:tc>
          <w:tcPr>
            <w:tcW w:w="1398" w:type="dxa"/>
            <w:vMerge/>
            <w:tcBorders>
              <w:left w:val="nil" w:sz="6" w:space="0" w:color="auto"/>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529" w:right="257" w:hanging="270"/>
              <w:jc w:val="left"/>
              <w:rPr>
                <w:rFonts w:ascii="宋体" w:hAnsi="宋体" w:cs="宋体" w:eastAsia="宋体" w:hint="default"/>
                <w:sz w:val="18"/>
                <w:szCs w:val="18"/>
              </w:rPr>
            </w:pPr>
            <w:r>
              <w:rPr>
                <w:rFonts w:ascii="宋体" w:hAnsi="宋体" w:cs="宋体" w:eastAsia="宋体" w:hint="default"/>
                <w:sz w:val="18"/>
                <w:szCs w:val="18"/>
              </w:rPr>
              <w:t>未折现合同 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2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8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3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z w:val="18"/>
              </w:rPr>
              <w:t>534,794,798.99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宋体" w:hAnsi="宋体" w:cs="宋体" w:eastAsia="宋体" w:hint="default"/>
                <w:sz w:val="18"/>
                <w:szCs w:val="18"/>
              </w:rPr>
            </w:pPr>
            <w:r>
              <w:rPr>
                <w:rFonts w:ascii="宋体"/>
                <w:sz w:val="18"/>
              </w:rPr>
              <w:t>556,769,415.88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z w:val="18"/>
              </w:rPr>
              <w:t>434,794,798.99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8"/>
                <w:szCs w:val="18"/>
              </w:rPr>
            </w:pPr>
            <w:r>
              <w:rPr>
                <w:rFonts w:ascii="宋体"/>
                <w:sz w:val="18"/>
              </w:rPr>
              <w:t>100,000,000.00</w:t>
            </w: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56,246,123.60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56,246,123.60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320,999,267.23</w:t>
            </w:r>
          </w:p>
        </w:tc>
        <w:tc>
          <w:tcPr>
            <w:tcW w:w="1428"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320,999,267.23</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398"/>
        <w:gridCol w:w="1734"/>
        <w:gridCol w:w="1428"/>
        <w:gridCol w:w="1540"/>
        <w:gridCol w:w="1395"/>
        <w:gridCol w:w="1049"/>
      </w:tblGrid>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868,938.95</w:t>
            </w:r>
          </w:p>
        </w:tc>
        <w:tc>
          <w:tcPr>
            <w:tcW w:w="1428"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868,938.95</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27,860,175.40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27,860,175.40</w:t>
            </w:r>
          </w:p>
        </w:tc>
        <w:tc>
          <w:tcPr>
            <w:tcW w:w="1395"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940,769,304.17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8" w:right="0"/>
              <w:jc w:val="left"/>
              <w:rPr>
                <w:rFonts w:ascii="宋体" w:hAnsi="宋体" w:cs="宋体" w:eastAsia="宋体" w:hint="default"/>
                <w:sz w:val="18"/>
                <w:szCs w:val="18"/>
              </w:rPr>
            </w:pPr>
            <w:r>
              <w:rPr>
                <w:rFonts w:ascii="宋体"/>
                <w:sz w:val="18"/>
              </w:rPr>
              <w:t>556,769,415.88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z w:val="18"/>
              </w:rPr>
              <w:t>840,769,304.17</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2" w:right="0"/>
              <w:jc w:val="left"/>
              <w:rPr>
                <w:rFonts w:ascii="宋体" w:hAnsi="宋体" w:cs="宋体" w:eastAsia="宋体" w:hint="default"/>
                <w:sz w:val="18"/>
                <w:szCs w:val="18"/>
              </w:rPr>
            </w:pPr>
            <w:r>
              <w:rPr>
                <w:rFonts w:ascii="宋体"/>
                <w:sz w:val="18"/>
              </w:rPr>
              <w:t>100,000,000.00</w:t>
            </w:r>
          </w:p>
        </w:tc>
        <w:tc>
          <w:tcPr>
            <w:tcW w:w="1049" w:type="dxa"/>
            <w:tcBorders>
              <w:top w:val="single" w:sz="4" w:space="0" w:color="000000"/>
              <w:left w:val="single" w:sz="4" w:space="0" w:color="000000"/>
              <w:bottom w:val="single" w:sz="4" w:space="0" w:color="000000"/>
              <w:right w:val="nil" w:sz="6" w:space="0" w:color="auto"/>
            </w:tcBorders>
          </w:tcPr>
          <w:p>
            <w:pPr/>
          </w:p>
        </w:tc>
      </w:tr>
    </w:tbl>
    <w:p>
      <w:pPr>
        <w:pStyle w:val="BodyText"/>
        <w:tabs>
          <w:tab w:pos="1603" w:val="left" w:leader="none"/>
        </w:tabs>
        <w:spacing w:line="241" w:lineRule="exact" w:before="0"/>
        <w:ind w:left="658" w:right="1688"/>
        <w:jc w:val="left"/>
      </w:pPr>
      <w:bookmarkStart w:name="市场风险" w:id="244"/>
      <w:bookmarkEnd w:id="244"/>
      <w:r>
        <w:rPr/>
      </w:r>
      <w:r>
        <w:rPr>
          <w:rFonts w:ascii="宋体" w:hAnsi="宋体" w:cs="宋体" w:eastAsia="宋体" w:hint="default"/>
        </w:rPr>
        <w:t>(</w:t>
      </w:r>
      <w:r>
        <w:rPr/>
        <w:t>三</w:t>
      </w:r>
      <w:r>
        <w:rPr>
          <w:rFonts w:ascii="宋体" w:hAnsi="宋体" w:cs="宋体" w:eastAsia="宋体" w:hint="default"/>
        </w:rPr>
        <w:t>)</w:t>
        <w:tab/>
      </w:r>
      <w:r>
        <w:rPr/>
        <w:t>市场风险</w:t>
      </w:r>
    </w:p>
    <w:p>
      <w:pPr>
        <w:pStyle w:val="BodyText"/>
        <w:spacing w:line="357" w:lineRule="auto" w:before="172"/>
        <w:ind w:left="238" w:right="1688" w:firstLine="420"/>
        <w:jc w:val="left"/>
      </w:pPr>
      <w:r>
        <w:rPr>
          <w:spacing w:val="2"/>
        </w:rPr>
        <w:t>市场风险，是指金融工具的公允价值或未来现金流量因市场价格变动而发生波动的风</w:t>
      </w:r>
      <w:r>
        <w:rPr/>
        <w:t> 险。市场风险主要包括利率风险和外汇风险。</w:t>
      </w:r>
    </w:p>
    <w:p>
      <w:pPr>
        <w:pStyle w:val="BodyText"/>
        <w:spacing w:line="391" w:lineRule="auto" w:before="71"/>
        <w:ind w:left="658" w:right="1688"/>
        <w:jc w:val="left"/>
      </w:pPr>
      <w:r>
        <w:rPr>
          <w:rFonts w:ascii="宋体" w:hAnsi="宋体" w:cs="宋体" w:eastAsia="宋体" w:hint="default"/>
        </w:rPr>
        <w:t>1. </w:t>
      </w:r>
      <w:r>
        <w:rPr/>
        <w:t>利率风险 </w:t>
      </w:r>
      <w:r>
        <w:rPr>
          <w:spacing w:val="2"/>
        </w:rPr>
        <w:t>利率风险，是指金融工具的公允价值或未来现金流量因市场利率变动而发生波动的风</w:t>
      </w:r>
    </w:p>
    <w:p>
      <w:pPr>
        <w:pStyle w:val="BodyText"/>
        <w:spacing w:line="391" w:lineRule="auto" w:before="1"/>
        <w:ind w:left="658" w:right="1688" w:hanging="420"/>
        <w:jc w:val="left"/>
      </w:pPr>
      <w:r>
        <w:rPr/>
        <w:t>险。本公司面临的市场利率变动的风险主要与本公司以浮动利率计息的借款有关。 </w:t>
      </w:r>
      <w:r>
        <w:rPr>
          <w:spacing w:val="-3"/>
        </w:rPr>
        <w:t>截至</w:t>
      </w: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日，本公司以同期同档次国家基准利率上浮一定百分比的利率计息的</w:t>
      </w:r>
    </w:p>
    <w:p>
      <w:pPr>
        <w:pStyle w:val="BodyText"/>
        <w:spacing w:line="357" w:lineRule="auto" w:before="1"/>
        <w:ind w:left="237" w:right="1794"/>
        <w:jc w:val="both"/>
      </w:pPr>
      <w:r>
        <w:rPr>
          <w:spacing w:val="-2"/>
        </w:rPr>
        <w:t>银行借款人民币</w:t>
      </w:r>
      <w:r>
        <w:rPr>
          <w:rFonts w:ascii="宋体" w:hAnsi="宋体" w:cs="宋体" w:eastAsia="宋体" w:hint="default"/>
          <w:spacing w:val="-2"/>
        </w:rPr>
        <w:t>150,930,000.00</w:t>
      </w:r>
      <w:r>
        <w:rPr>
          <w:spacing w:val="-2"/>
        </w:rPr>
        <w:t>元</w:t>
      </w:r>
      <w:r>
        <w:rPr>
          <w:rFonts w:ascii="宋体" w:hAnsi="宋体" w:cs="宋体" w:eastAsia="宋体" w:hint="default"/>
          <w:spacing w:val="-2"/>
        </w:rPr>
        <w:t>(2013</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111,800,000.00</w:t>
      </w:r>
      <w:r>
        <w:rPr>
          <w:spacing w:val="-2"/>
        </w:rPr>
        <w:t>元</w:t>
      </w:r>
      <w:r>
        <w:rPr>
          <w:rFonts w:ascii="宋体" w:hAnsi="宋体" w:cs="宋体" w:eastAsia="宋体" w:hint="default"/>
          <w:spacing w:val="-2"/>
        </w:rPr>
        <w:t>)</w:t>
      </w:r>
      <w:r>
        <w:rPr>
          <w:spacing w:val="-2"/>
        </w:rPr>
        <w:t>，在其他变</w:t>
      </w:r>
      <w:r>
        <w:rPr>
          <w:spacing w:val="-83"/>
        </w:rPr>
        <w:t> </w:t>
      </w:r>
      <w:r>
        <w:rPr>
          <w:spacing w:val="-83"/>
        </w:rPr>
      </w:r>
      <w:r>
        <w:rPr/>
        <w:t>量不变的假设下，利率发生合理、可能的</w:t>
      </w:r>
      <w:r>
        <w:rPr>
          <w:rFonts w:ascii="宋体" w:hAnsi="宋体" w:cs="宋体" w:eastAsia="宋体" w:hint="default"/>
        </w:rPr>
        <w:t>50%</w:t>
      </w:r>
      <w:r>
        <w:rPr/>
        <w:t>基准点的变动时，将不会对本公司的利润总额</w:t>
      </w:r>
      <w:r>
        <w:rPr>
          <w:spacing w:val="-93"/>
        </w:rPr>
        <w:t> </w:t>
      </w:r>
      <w:r>
        <w:rPr>
          <w:spacing w:val="-93"/>
        </w:rPr>
      </w:r>
      <w:r>
        <w:rPr/>
        <w:t>和股东权益产生重大的影响。</w:t>
      </w:r>
    </w:p>
    <w:p>
      <w:pPr>
        <w:pStyle w:val="BodyText"/>
        <w:spacing w:line="391" w:lineRule="auto" w:before="71"/>
        <w:ind w:left="657" w:right="1688" w:firstLine="6"/>
        <w:jc w:val="left"/>
      </w:pPr>
      <w:r>
        <w:rPr>
          <w:rFonts w:ascii="宋体" w:hAnsi="宋体" w:cs="宋体" w:eastAsia="宋体" w:hint="default"/>
        </w:rPr>
        <w:t>3.</w:t>
      </w:r>
      <w:r>
        <w:rPr>
          <w:rFonts w:ascii="宋体" w:hAnsi="宋体" w:cs="宋体" w:eastAsia="宋体" w:hint="default"/>
          <w:spacing w:val="44"/>
        </w:rPr>
        <w:t> </w:t>
      </w:r>
      <w:r>
        <w:rPr/>
        <w:t>外汇风险 </w:t>
      </w:r>
      <w:r>
        <w:rPr>
          <w:spacing w:val="-3"/>
        </w:rPr>
        <w:t>外汇风险是因汇率变动产生的风险。本公司面临的汇率变动的风险主要与本公司外币货</w:t>
      </w:r>
    </w:p>
    <w:p>
      <w:pPr>
        <w:pStyle w:val="BodyText"/>
        <w:spacing w:line="357" w:lineRule="auto" w:before="2"/>
        <w:ind w:left="237" w:right="1792"/>
        <w:jc w:val="both"/>
      </w:pPr>
      <w:r>
        <w:rPr>
          <w:spacing w:val="-3"/>
        </w:rPr>
        <w:t>币性资产和负债有关。对于外币资产和负债，如果出现短期的失衡情况，本公司会在必要时</w:t>
      </w:r>
      <w:r>
        <w:rPr>
          <w:spacing w:val="-72"/>
        </w:rPr>
        <w:t> </w:t>
      </w:r>
      <w:r>
        <w:rPr>
          <w:spacing w:val="-72"/>
        </w:rPr>
      </w:r>
      <w:r>
        <w:rPr/>
        <w:t>按市场汇率买卖外币，以确保将净风险敞口维持在可接受的水平。</w:t>
      </w:r>
    </w:p>
    <w:p>
      <w:pPr>
        <w:pStyle w:val="BodyText"/>
        <w:spacing w:line="357" w:lineRule="auto" w:before="70"/>
        <w:ind w:left="238" w:right="1688" w:firstLine="420"/>
        <w:jc w:val="left"/>
      </w:pPr>
      <w:r>
        <w:rPr>
          <w:spacing w:val="2"/>
        </w:rPr>
        <w:t>本公司期末外币金融资产和外币金融负债列示见本附注项目注释其他之外币货币性项</w:t>
      </w:r>
      <w:r>
        <w:rPr/>
        <w:t> 目说明。</w:t>
      </w:r>
    </w:p>
    <w:p>
      <w:pPr>
        <w:pStyle w:val="BodyText"/>
        <w:tabs>
          <w:tab w:pos="1603" w:val="left" w:leader="none"/>
        </w:tabs>
        <w:spacing w:line="391" w:lineRule="auto" w:before="70"/>
        <w:ind w:left="658" w:right="1793"/>
        <w:jc w:val="left"/>
      </w:pPr>
      <w:bookmarkStart w:name="资本风险管理" w:id="245"/>
      <w:bookmarkEnd w:id="245"/>
      <w:r>
        <w:rPr/>
      </w:r>
      <w:r>
        <w:rPr>
          <w:rFonts w:ascii="宋体" w:hAnsi="宋体" w:cs="宋体" w:eastAsia="宋体" w:hint="default"/>
        </w:rPr>
        <w:t>(</w:t>
      </w:r>
      <w:r>
        <w:rPr/>
        <w:t>四</w:t>
      </w:r>
      <w:r>
        <w:rPr>
          <w:rFonts w:ascii="宋体" w:hAnsi="宋体" w:cs="宋体" w:eastAsia="宋体" w:hint="default"/>
        </w:rPr>
        <w:t>)</w:t>
        <w:tab/>
      </w:r>
      <w:r>
        <w:rPr/>
        <w:t>资本风险管理 </w:t>
      </w:r>
      <w:r>
        <w:rPr>
          <w:spacing w:val="-3"/>
        </w:rPr>
        <w:t>本公司的资本风险管理政策是保障公司持续经营，为股东提供回报和为其他利益相关者</w:t>
      </w:r>
    </w:p>
    <w:p>
      <w:pPr>
        <w:pStyle w:val="BodyText"/>
        <w:spacing w:line="391" w:lineRule="auto" w:before="2"/>
        <w:ind w:left="658" w:right="1688" w:hanging="420"/>
        <w:jc w:val="left"/>
      </w:pPr>
      <w:r>
        <w:rPr/>
        <w:t>提供利益，同时维持最佳的资本结构以降低资本成本。 </w:t>
      </w:r>
      <w:r>
        <w:rPr>
          <w:spacing w:val="-3"/>
        </w:rPr>
        <w:t>本公司的资本结构包括短期借款、银行存款及本公司所有者权益。管理层通过考虑资金</w:t>
      </w:r>
    </w:p>
    <w:p>
      <w:pPr>
        <w:pStyle w:val="BodyText"/>
        <w:spacing w:line="355" w:lineRule="auto" w:before="2"/>
        <w:ind w:left="238" w:right="1794"/>
        <w:jc w:val="both"/>
      </w:pPr>
      <w:r>
        <w:rPr>
          <w:spacing w:val="-3"/>
        </w:rPr>
        <w:t>成本及各类资本风险而确定资本结构。本公司将通过派发股息、发行新股或偿还银行借款平</w:t>
      </w:r>
      <w:r>
        <w:rPr>
          <w:spacing w:val="-75"/>
        </w:rPr>
        <w:t> </w:t>
      </w:r>
      <w:r>
        <w:rPr>
          <w:spacing w:val="-75"/>
        </w:rPr>
      </w:r>
      <w:r>
        <w:rPr/>
        <w:t>衡资本结构。</w:t>
      </w:r>
    </w:p>
    <w:p>
      <w:pPr>
        <w:pStyle w:val="BodyText"/>
        <w:spacing w:line="355" w:lineRule="auto" w:before="73"/>
        <w:ind w:left="237" w:right="1781" w:firstLine="420"/>
        <w:jc w:val="left"/>
      </w:pPr>
      <w:r>
        <w:rPr/>
        <w:t>本公司采用资产负债率监督资本风险。截至</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日，本公司的资产负债比 率为</w:t>
      </w:r>
      <w:r>
        <w:rPr>
          <w:spacing w:val="-50"/>
        </w:rPr>
        <w:t> </w:t>
      </w:r>
      <w:r>
        <w:rPr>
          <w:rFonts w:ascii="宋体" w:hAnsi="宋体" w:cs="宋体" w:eastAsia="宋体" w:hint="default"/>
          <w:spacing w:val="-1"/>
        </w:rPr>
        <w:t>50.40%</w:t>
      </w:r>
      <w:r>
        <w:rPr>
          <w:spacing w:val="-1"/>
        </w:rPr>
        <w:t>（</w:t>
      </w:r>
      <w:r>
        <w:rPr>
          <w:rFonts w:ascii="宋体" w:hAnsi="宋体" w:cs="宋体" w:eastAsia="宋体" w:hint="default"/>
          <w:spacing w:val="-1"/>
        </w:rPr>
        <w:t>2013</w:t>
      </w:r>
      <w:r>
        <w:rPr>
          <w:rFonts w:ascii="宋体" w:hAnsi="宋体" w:cs="宋体" w:eastAsia="宋体" w:hint="default"/>
          <w:spacing w:val="-50"/>
        </w:rPr>
        <w:t> </w:t>
      </w:r>
      <w:r>
        <w:rPr/>
        <w:t>年</w:t>
      </w:r>
      <w:r>
        <w:rPr>
          <w:spacing w:val="-50"/>
        </w:rPr>
        <w:t> </w:t>
      </w:r>
      <w:r>
        <w:rPr>
          <w:rFonts w:ascii="宋体" w:hAnsi="宋体" w:cs="宋体" w:eastAsia="宋体" w:hint="default"/>
          <w:spacing w:val="-1"/>
        </w:rPr>
        <w:t>12</w:t>
      </w:r>
      <w:r>
        <w:rPr>
          <w:rFonts w:ascii="宋体" w:hAnsi="宋体" w:cs="宋体" w:eastAsia="宋体" w:hint="default"/>
          <w:spacing w:val="-50"/>
        </w:rPr>
        <w:t> </w:t>
      </w:r>
      <w:r>
        <w:rPr/>
        <w:t>月</w:t>
      </w:r>
      <w:r>
        <w:rPr>
          <w:spacing w:val="-50"/>
        </w:rPr>
        <w:t> </w:t>
      </w:r>
      <w:r>
        <w:rPr>
          <w:rFonts w:ascii="宋体" w:hAnsi="宋体" w:cs="宋体" w:eastAsia="宋体" w:hint="default"/>
          <w:spacing w:val="-1"/>
        </w:rPr>
        <w:t>31</w:t>
      </w:r>
      <w:r>
        <w:rPr>
          <w:rFonts w:ascii="宋体" w:hAnsi="宋体" w:cs="宋体" w:eastAsia="宋体" w:hint="default"/>
          <w:spacing w:val="-49"/>
        </w:rPr>
        <w:t> </w:t>
      </w:r>
      <w:r>
        <w:rPr>
          <w:spacing w:val="-22"/>
        </w:rPr>
        <w:t>日：</w:t>
      </w:r>
      <w:r>
        <w:rPr>
          <w:rFonts w:ascii="宋体" w:hAnsi="宋体" w:cs="宋体" w:eastAsia="宋体" w:hint="default"/>
          <w:spacing w:val="-22"/>
        </w:rPr>
        <w:t>45.27%</w:t>
      </w:r>
      <w:r>
        <w:rPr>
          <w:spacing w:val="-22"/>
        </w:rPr>
        <w:t>）。</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658" w:right="1688"/>
        <w:jc w:val="left"/>
        <w:rPr>
          <w:rFonts w:ascii="黑体" w:hAnsi="黑体" w:cs="黑体" w:eastAsia="黑体" w:hint="default"/>
          <w:b w:val="0"/>
          <w:bCs w:val="0"/>
        </w:rPr>
      </w:pPr>
      <w:bookmarkStart w:name="十一、公允价值的披露" w:id="246"/>
      <w:bookmarkEnd w:id="246"/>
      <w:r>
        <w:rPr>
          <w:b w:val="0"/>
          <w:bCs w:val="0"/>
        </w:rPr>
      </w:r>
      <w:r>
        <w:rPr>
          <w:rFonts w:ascii="黑体" w:hAnsi="黑体" w:cs="黑体" w:eastAsia="黑体" w:hint="default"/>
        </w:rPr>
        <w:t>十一、公允价值的披露</w:t>
      </w:r>
      <w:r>
        <w:rPr>
          <w:rFonts w:ascii="黑体" w:hAnsi="黑体" w:cs="黑体" w:eastAsia="黑体" w:hint="default"/>
          <w:b w:val="0"/>
          <w:bCs w:val="0"/>
        </w:rPr>
      </w:r>
    </w:p>
    <w:p>
      <w:pPr>
        <w:pStyle w:val="BodyText"/>
        <w:spacing w:line="240" w:lineRule="auto" w:before="134"/>
        <w:ind w:left="657" w:right="1688"/>
        <w:jc w:val="left"/>
      </w:pPr>
      <w:bookmarkStart w:name="(一) 以公允价值计量的资产和负债的期末公允价值明细情况" w:id="247"/>
      <w:bookmarkEnd w:id="247"/>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以公允价值计量的资产和负债的期末公允价值明细情况</w:t>
      </w:r>
    </w:p>
    <w:p>
      <w:pPr>
        <w:spacing w:line="240" w:lineRule="auto" w:before="10"/>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953"/>
        <w:gridCol w:w="1395"/>
        <w:gridCol w:w="1392"/>
        <w:gridCol w:w="1394"/>
        <w:gridCol w:w="1396"/>
      </w:tblGrid>
      <w:tr>
        <w:trPr>
          <w:trHeight w:val="484" w:hRule="exact"/>
        </w:trPr>
        <w:tc>
          <w:tcPr>
            <w:tcW w:w="2953"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557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84" w:hRule="exact"/>
        </w:trPr>
        <w:tc>
          <w:tcPr>
            <w:tcW w:w="2953" w:type="dxa"/>
            <w:vMerge/>
            <w:tcBorders>
              <w:left w:val="nil" w:sz="6" w:space="0" w:color="auto"/>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3" w:right="0"/>
              <w:jc w:val="left"/>
              <w:rPr>
                <w:rFonts w:ascii="宋体" w:hAnsi="宋体" w:cs="宋体" w:eastAsia="宋体" w:hint="default"/>
                <w:sz w:val="18"/>
                <w:szCs w:val="18"/>
              </w:rPr>
            </w:pPr>
            <w:r>
              <w:rPr>
                <w:rFonts w:ascii="宋体" w:hAnsi="宋体" w:cs="宋体" w:eastAsia="宋体" w:hint="default"/>
                <w:sz w:val="18"/>
                <w:szCs w:val="18"/>
              </w:rPr>
              <w:t>第一层次公允</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3" w:right="0"/>
              <w:jc w:val="left"/>
              <w:rPr>
                <w:rFonts w:ascii="宋体" w:hAnsi="宋体" w:cs="宋体" w:eastAsia="宋体" w:hint="default"/>
                <w:sz w:val="18"/>
                <w:szCs w:val="18"/>
              </w:rPr>
            </w:pPr>
            <w:r>
              <w:rPr>
                <w:rFonts w:ascii="宋体" w:hAnsi="宋体" w:cs="宋体" w:eastAsia="宋体" w:hint="default"/>
                <w:sz w:val="18"/>
                <w:szCs w:val="18"/>
              </w:rPr>
              <w:t>第二层次公允</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4" w:right="0"/>
              <w:jc w:val="left"/>
              <w:rPr>
                <w:rFonts w:ascii="宋体" w:hAnsi="宋体" w:cs="宋体" w:eastAsia="宋体" w:hint="default"/>
                <w:sz w:val="18"/>
                <w:szCs w:val="18"/>
              </w:rPr>
            </w:pPr>
            <w:r>
              <w:rPr>
                <w:rFonts w:ascii="宋体" w:hAnsi="宋体" w:cs="宋体" w:eastAsia="宋体" w:hint="default"/>
                <w:sz w:val="18"/>
                <w:szCs w:val="18"/>
              </w:rPr>
              <w:t>第三层次公允</w:t>
            </w: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26" w:right="0"/>
              <w:jc w:val="left"/>
              <w:rPr>
                <w:rFonts w:ascii="宋体" w:hAnsi="宋体" w:cs="宋体" w:eastAsia="宋体" w:hint="default"/>
                <w:sz w:val="18"/>
                <w:szCs w:val="18"/>
              </w:rPr>
            </w:pPr>
            <w:r>
              <w:rPr>
                <w:rFonts w:ascii="宋体" w:hAnsi="宋体" w:cs="宋体" w:eastAsia="宋体" w:hint="default"/>
                <w:sz w:val="18"/>
                <w:szCs w:val="18"/>
              </w:rPr>
              <w:t>合  计</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968"/>
        <w:gridCol w:w="1395"/>
        <w:gridCol w:w="1392"/>
        <w:gridCol w:w="1394"/>
        <w:gridCol w:w="1396"/>
      </w:tblGrid>
      <w:tr>
        <w:trPr>
          <w:trHeight w:val="364" w:hRule="exact"/>
        </w:trPr>
        <w:tc>
          <w:tcPr>
            <w:tcW w:w="2968" w:type="dxa"/>
            <w:tcBorders>
              <w:top w:val="single" w:sz="4" w:space="0" w:color="000000"/>
              <w:left w:val="nil" w:sz="6" w:space="0" w:color="auto"/>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价值计量</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3" w:right="0"/>
              <w:jc w:val="left"/>
              <w:rPr>
                <w:rFonts w:ascii="宋体" w:hAnsi="宋体" w:cs="宋体" w:eastAsia="宋体" w:hint="default"/>
                <w:sz w:val="18"/>
                <w:szCs w:val="18"/>
              </w:rPr>
            </w:pPr>
            <w:r>
              <w:rPr>
                <w:rFonts w:ascii="宋体" w:hAnsi="宋体" w:cs="宋体" w:eastAsia="宋体" w:hint="default"/>
                <w:sz w:val="18"/>
                <w:szCs w:val="18"/>
              </w:rPr>
              <w:t>价值计量</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4" w:right="0"/>
              <w:jc w:val="left"/>
              <w:rPr>
                <w:rFonts w:ascii="宋体" w:hAnsi="宋体" w:cs="宋体" w:eastAsia="宋体" w:hint="default"/>
                <w:sz w:val="18"/>
                <w:szCs w:val="18"/>
              </w:rPr>
            </w:pPr>
            <w:r>
              <w:rPr>
                <w:rFonts w:ascii="宋体" w:hAnsi="宋体" w:cs="宋体" w:eastAsia="宋体" w:hint="default"/>
                <w:sz w:val="18"/>
                <w:szCs w:val="18"/>
              </w:rPr>
              <w:t>价值计量</w:t>
            </w:r>
          </w:p>
        </w:tc>
        <w:tc>
          <w:tcPr>
            <w:tcW w:w="1396"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sz w:val="18"/>
              </w:rPr>
              <w:t>2,333,342.50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2,333,342.50</w:t>
            </w:r>
          </w:p>
        </w:tc>
      </w:tr>
      <w:tr>
        <w:trPr>
          <w:trHeight w:val="484" w:hRule="exact"/>
        </w:trPr>
        <w:tc>
          <w:tcPr>
            <w:tcW w:w="2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84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sz w:val="18"/>
              </w:rPr>
              <w:t>2,333,342.50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2,333,342.50</w:t>
            </w:r>
          </w:p>
        </w:tc>
      </w:tr>
      <w:tr>
        <w:trPr>
          <w:trHeight w:val="484" w:hRule="exact"/>
        </w:trPr>
        <w:tc>
          <w:tcPr>
            <w:tcW w:w="2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5" w:right="0"/>
              <w:jc w:val="center"/>
              <w:rPr>
                <w:rFonts w:ascii="宋体" w:hAnsi="宋体" w:cs="宋体" w:eastAsia="宋体" w:hint="default"/>
                <w:sz w:val="18"/>
                <w:szCs w:val="18"/>
              </w:rPr>
            </w:pPr>
            <w:r>
              <w:rPr>
                <w:rFonts w:ascii="宋体"/>
                <w:sz w:val="18"/>
              </w:rPr>
              <w:t>2,333,342.50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2,333,342.50</w:t>
            </w:r>
          </w:p>
        </w:tc>
      </w:tr>
    </w:tbl>
    <w:p>
      <w:pPr>
        <w:pStyle w:val="BodyText"/>
        <w:spacing w:line="241" w:lineRule="exact" w:before="0"/>
        <w:ind w:left="658" w:right="1688"/>
        <w:jc w:val="left"/>
      </w:pPr>
      <w:bookmarkStart w:name="(二) 持续和非持续第一层次公允价值计量项目市价的确定依据" w:id="248"/>
      <w:bookmarkEnd w:id="248"/>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持续和非持续第一层次公允价值计量项目市价的确定依据</w:t>
      </w:r>
    </w:p>
    <w:p>
      <w:pPr>
        <w:pStyle w:val="BodyText"/>
        <w:spacing w:line="357" w:lineRule="auto" w:before="172"/>
        <w:ind w:left="237" w:right="1688" w:firstLine="420"/>
        <w:jc w:val="left"/>
      </w:pPr>
      <w:r>
        <w:rPr>
          <w:spacing w:val="2"/>
        </w:rPr>
        <w:t>公司按照在计量日能够取得的相同资产或负债在活跃市场上未经调整的报价确认公允</w:t>
      </w:r>
      <w:r>
        <w:rPr/>
        <w:t> 价值变动。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left="658" w:right="1688"/>
        <w:jc w:val="left"/>
        <w:rPr>
          <w:rFonts w:ascii="黑体" w:hAnsi="黑体" w:cs="黑体" w:eastAsia="黑体" w:hint="default"/>
          <w:b w:val="0"/>
          <w:bCs w:val="0"/>
        </w:rPr>
      </w:pPr>
      <w:bookmarkStart w:name="十二、关联方及关联交易" w:id="249"/>
      <w:bookmarkEnd w:id="249"/>
      <w:r>
        <w:rPr>
          <w:b w:val="0"/>
          <w:bCs w:val="0"/>
        </w:rPr>
      </w:r>
      <w:r>
        <w:rPr>
          <w:rFonts w:ascii="黑体" w:hAnsi="黑体" w:cs="黑体" w:eastAsia="黑体" w:hint="default"/>
        </w:rPr>
        <w:t>十二、关联方及关联交易</w:t>
      </w:r>
      <w:r>
        <w:rPr>
          <w:rFonts w:ascii="黑体" w:hAnsi="黑体" w:cs="黑体" w:eastAsia="黑体" w:hint="default"/>
          <w:b w:val="0"/>
          <w:bCs w:val="0"/>
        </w:rPr>
      </w:r>
    </w:p>
    <w:p>
      <w:pPr>
        <w:pStyle w:val="BodyText"/>
        <w:spacing w:line="240" w:lineRule="auto" w:before="174"/>
        <w:ind w:left="657" w:right="1688"/>
        <w:jc w:val="left"/>
      </w:pPr>
      <w:bookmarkStart w:name="(一) 关联方情况" w:id="250"/>
      <w:bookmarkEnd w:id="250"/>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关联方情况</w:t>
      </w:r>
    </w:p>
    <w:p>
      <w:pPr>
        <w:pStyle w:val="BodyText"/>
        <w:spacing w:line="357" w:lineRule="auto" w:before="172"/>
        <w:ind w:left="237" w:right="1787" w:firstLine="420"/>
        <w:jc w:val="left"/>
      </w:pPr>
      <w:bookmarkStart w:name="1. 截至2014年12月31日，自然人股东王相荣持有公司股份94,714,20" w:id="251"/>
      <w:bookmarkEnd w:id="251"/>
      <w:r>
        <w:rPr/>
      </w:r>
      <w:r>
        <w:rPr>
          <w:rFonts w:ascii="宋体" w:hAnsi="宋体" w:cs="宋体" w:eastAsia="宋体" w:hint="default"/>
        </w:rPr>
        <w:t>1.</w:t>
      </w:r>
      <w:r>
        <w:rPr>
          <w:rFonts w:ascii="宋体" w:hAnsi="宋体" w:cs="宋体" w:eastAsia="宋体" w:hint="default"/>
          <w:spacing w:val="-1"/>
        </w:rPr>
        <w:t> </w:t>
      </w:r>
      <w:r>
        <w:rPr/>
        <w:t>截至</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日，自然人股东王相荣持有公司股份</w:t>
      </w:r>
      <w:r>
        <w:rPr>
          <w:spacing w:val="-51"/>
        </w:rPr>
        <w:t> </w:t>
      </w:r>
      <w:r>
        <w:rPr>
          <w:rFonts w:ascii="宋体" w:hAnsi="宋体" w:cs="宋体" w:eastAsia="宋体" w:hint="default"/>
        </w:rPr>
        <w:t>94,714,205</w:t>
      </w:r>
      <w:r>
        <w:rPr>
          <w:rFonts w:ascii="宋体" w:hAnsi="宋体" w:cs="宋体" w:eastAsia="宋体" w:hint="default"/>
          <w:spacing w:val="-51"/>
        </w:rPr>
        <w:t> </w:t>
      </w:r>
      <w:r>
        <w:rPr/>
        <w:t>股，占公司 股份总额的</w:t>
      </w:r>
      <w:r>
        <w:rPr>
          <w:spacing w:val="-55"/>
        </w:rPr>
        <w:t> </w:t>
      </w:r>
      <w:r>
        <w:rPr>
          <w:rFonts w:ascii="宋体" w:hAnsi="宋体" w:cs="宋体" w:eastAsia="宋体" w:hint="default"/>
        </w:rPr>
        <w:t>24.20%</w:t>
      </w:r>
      <w:r>
        <w:rPr/>
        <w:t>，为公司实际控制人。</w:t>
      </w:r>
    </w:p>
    <w:p>
      <w:pPr>
        <w:pStyle w:val="BodyText"/>
        <w:spacing w:line="240" w:lineRule="auto" w:before="71"/>
        <w:ind w:left="658" w:right="1688"/>
        <w:jc w:val="left"/>
      </w:pPr>
      <w:bookmarkStart w:name="2. 本公司的子公司情况详见本财务报表附注在其他主体中的权益之说明。" w:id="252"/>
      <w:bookmarkEnd w:id="252"/>
      <w:r>
        <w:rPr/>
      </w:r>
      <w:r>
        <w:rPr>
          <w:rFonts w:ascii="宋体" w:hAnsi="宋体" w:cs="宋体" w:eastAsia="宋体" w:hint="default"/>
        </w:rPr>
        <w:t>2.</w:t>
      </w:r>
      <w:r>
        <w:rPr>
          <w:rFonts w:ascii="宋体" w:hAnsi="宋体" w:cs="宋体" w:eastAsia="宋体" w:hint="default"/>
          <w:spacing w:val="-2"/>
        </w:rPr>
        <w:t> </w:t>
      </w:r>
      <w:r>
        <w:rPr/>
        <w:t>本公司的子公司情况详见本财务报表附注在其他主体中的权益之说明。</w:t>
      </w:r>
    </w:p>
    <w:p>
      <w:pPr>
        <w:pStyle w:val="BodyText"/>
        <w:spacing w:line="391" w:lineRule="auto" w:before="172"/>
        <w:ind w:left="658" w:right="3368"/>
        <w:jc w:val="left"/>
      </w:pPr>
      <w:bookmarkStart w:name="3. 本公司的联营企业情况" w:id="253"/>
      <w:bookmarkEnd w:id="253"/>
      <w:r>
        <w:rPr/>
      </w:r>
      <w:r>
        <w:rPr>
          <w:rFonts w:ascii="宋体" w:hAnsi="宋体" w:cs="宋体" w:eastAsia="宋体" w:hint="default"/>
        </w:rPr>
        <w:t>3.</w:t>
      </w:r>
      <w:r>
        <w:rPr>
          <w:rFonts w:ascii="宋体" w:hAnsi="宋体" w:cs="宋体" w:eastAsia="宋体" w:hint="default"/>
          <w:spacing w:val="-1"/>
        </w:rPr>
        <w:t> </w:t>
      </w:r>
      <w:r>
        <w:rPr/>
        <w:t>本公司的联营企业情况 本公司的联营企业详见本财务报表附注在其他主体中的权益之说明。 </w:t>
      </w:r>
      <w:bookmarkStart w:name="本公司其他关联方情况" w:id="254"/>
      <w:bookmarkEnd w:id="254"/>
      <w:r>
        <w:rPr/>
      </w:r>
      <w:r>
        <w:rPr>
          <w:rFonts w:ascii="宋体" w:hAnsi="宋体" w:cs="宋体" w:eastAsia="宋体" w:hint="default"/>
        </w:rPr>
        <w:t>4.</w:t>
      </w:r>
      <w:r>
        <w:rPr>
          <w:rFonts w:ascii="宋体" w:hAnsi="宋体" w:cs="宋体" w:eastAsia="宋体" w:hint="default"/>
          <w:spacing w:val="44"/>
        </w:rPr>
        <w:t> </w:t>
      </w:r>
      <w:r>
        <w:rPr/>
        <w:t>本公司其他关联方情况</w:t>
      </w:r>
    </w:p>
    <w:p>
      <w:pPr>
        <w:spacing w:line="240" w:lineRule="auto" w:before="9"/>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276"/>
        <w:gridCol w:w="4242"/>
      </w:tblGrid>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29"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原持有公司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以上表决权股份的股东之控股子公司</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原持有公司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以上表决权股份的股东之控股子公司</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同一关键管理人员</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王壮利</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关键管理人员</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482"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中国水务投资有限公司</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hAnsi="宋体" w:cs="宋体" w:eastAsia="宋体" w:hint="default"/>
                <w:sz w:val="18"/>
                <w:szCs w:val="18"/>
              </w:rPr>
              <w:t>原持有公司</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以上表决权股份的股东</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聚越信息技术</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4"/>
              <w:jc w:val="center"/>
              <w:rPr>
                <w:rFonts w:ascii="宋体" w:hAnsi="宋体" w:cs="宋体" w:eastAsia="宋体" w:hint="default"/>
                <w:sz w:val="18"/>
                <w:szCs w:val="18"/>
              </w:rPr>
            </w:pPr>
            <w:r>
              <w:rPr>
                <w:rFonts w:ascii="宋体" w:hAnsi="宋体" w:cs="宋体" w:eastAsia="宋体" w:hint="default"/>
                <w:sz w:val="18"/>
                <w:szCs w:val="18"/>
              </w:rPr>
              <w:t>关键管理人员原能实施重大影响的企业</w:t>
            </w:r>
          </w:p>
        </w:tc>
      </w:tr>
      <w:tr>
        <w:trPr>
          <w:trHeight w:val="484" w:hRule="exact"/>
        </w:trPr>
        <w:tc>
          <w:tcPr>
            <w:tcW w:w="32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sz w:val="18"/>
              </w:rPr>
              <w:t>MediaV(HK) Limited</w:t>
            </w:r>
          </w:p>
        </w:tc>
        <w:tc>
          <w:tcPr>
            <w:tcW w:w="42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hAnsi="宋体" w:cs="宋体" w:eastAsia="宋体" w:hint="default"/>
                <w:sz w:val="18"/>
                <w:szCs w:val="18"/>
              </w:rPr>
              <w:t>关键管理人员原能实施重大影响的企业</w:t>
            </w:r>
          </w:p>
        </w:tc>
      </w:tr>
    </w:tbl>
    <w:p>
      <w:pPr>
        <w:pStyle w:val="BodyText"/>
        <w:spacing w:line="391" w:lineRule="auto" w:before="6"/>
        <w:ind w:left="658" w:right="3528"/>
        <w:jc w:val="left"/>
      </w:pPr>
      <w:r>
        <w:rPr>
          <w:rFonts w:ascii="宋体" w:hAnsi="宋体" w:cs="宋体" w:eastAsia="宋体" w:hint="default"/>
        </w:rPr>
        <w:t>[</w:t>
      </w:r>
      <w:r>
        <w:rPr/>
        <w:t>注</w:t>
      </w:r>
      <w:r>
        <w:rPr>
          <w:spacing w:val="-55"/>
        </w:rPr>
        <w:t> </w:t>
      </w:r>
      <w:r>
        <w:rPr>
          <w:rFonts w:ascii="宋体" w:hAnsi="宋体" w:cs="宋体" w:eastAsia="宋体" w:hint="default"/>
        </w:rPr>
        <w:t>1]:</w:t>
      </w:r>
      <w:r>
        <w:rPr/>
        <w:t>王洪仁系公司关键管理人员；王洪仁与应云琴系配偶关系。 </w:t>
      </w:r>
      <w:r>
        <w:rPr>
          <w:rFonts w:ascii="宋体" w:hAnsi="宋体" w:cs="宋体" w:eastAsia="宋体" w:hint="default"/>
        </w:rPr>
        <w:t>[</w:t>
      </w:r>
      <w:r>
        <w:rPr/>
        <w:t>注</w:t>
      </w:r>
      <w:r>
        <w:rPr>
          <w:spacing w:val="-56"/>
        </w:rPr>
        <w:t> </w:t>
      </w:r>
      <w:r>
        <w:rPr>
          <w:rFonts w:ascii="宋体" w:hAnsi="宋体" w:cs="宋体" w:eastAsia="宋体" w:hint="default"/>
        </w:rPr>
        <w:t>2]:</w:t>
      </w:r>
      <w:r>
        <w:rPr/>
        <w:t>系公司实际控制人之胞弟。</w:t>
      </w:r>
    </w:p>
    <w:p>
      <w:pPr>
        <w:pStyle w:val="BodyText"/>
        <w:spacing w:line="357" w:lineRule="auto" w:before="42"/>
        <w:ind w:left="237" w:right="1792" w:firstLine="420"/>
        <w:jc w:val="both"/>
      </w:pPr>
      <w:r>
        <w:rPr>
          <w:rFonts w:ascii="宋体" w:hAnsi="宋体" w:cs="宋体" w:eastAsia="宋体" w:hint="default"/>
          <w:spacing w:val="5"/>
        </w:rPr>
        <w:t>[</w:t>
      </w:r>
      <w:r>
        <w:rPr>
          <w:spacing w:val="5"/>
        </w:rPr>
        <w:t>注 </w:t>
      </w:r>
      <w:r>
        <w:rPr>
          <w:rFonts w:ascii="宋体" w:hAnsi="宋体" w:cs="宋体" w:eastAsia="宋体" w:hint="default"/>
          <w:spacing w:val="9"/>
        </w:rPr>
        <w:t>3]:</w:t>
      </w:r>
      <w:r>
        <w:rPr>
          <w:spacing w:val="9"/>
        </w:rPr>
        <w:t>该公司原名为聚胜万合信息技术</w:t>
      </w:r>
      <w:r>
        <w:rPr>
          <w:rFonts w:ascii="宋体" w:hAnsi="宋体" w:cs="宋体" w:eastAsia="宋体" w:hint="default"/>
          <w:spacing w:val="9"/>
        </w:rPr>
        <w:t>(</w:t>
      </w:r>
      <w:r>
        <w:rPr>
          <w:spacing w:val="9"/>
        </w:rPr>
        <w:t>上海</w:t>
      </w:r>
      <w:r>
        <w:rPr>
          <w:rFonts w:ascii="宋体" w:hAnsi="宋体" w:cs="宋体" w:eastAsia="宋体" w:hint="default"/>
          <w:spacing w:val="9"/>
        </w:rPr>
        <w:t>)</w:t>
      </w:r>
      <w:r>
        <w:rPr>
          <w:spacing w:val="9"/>
        </w:rPr>
        <w:t>有限公司，其原股东为</w:t>
      </w:r>
      <w:r>
        <w:rPr>
          <w:spacing w:val="20"/>
        </w:rPr>
        <w:t> </w:t>
      </w:r>
      <w:r>
        <w:rPr>
          <w:rFonts w:ascii="宋体" w:hAnsi="宋体" w:cs="宋体" w:eastAsia="宋体" w:hint="default"/>
        </w:rPr>
        <w:t>MediaV(HK) Limited</w:t>
      </w:r>
      <w:r>
        <w:rPr/>
        <w:t>；自</w:t>
      </w:r>
      <w:r>
        <w:rPr>
          <w:spacing w:val="-45"/>
        </w:rPr>
        <w:t> </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10</w:t>
      </w:r>
      <w:r>
        <w:rPr>
          <w:rFonts w:ascii="宋体" w:hAnsi="宋体" w:cs="宋体" w:eastAsia="宋体" w:hint="default"/>
          <w:spacing w:val="-45"/>
        </w:rPr>
        <w:t> </w:t>
      </w:r>
      <w:r>
        <w:rPr/>
        <w:t>月</w:t>
      </w:r>
      <w:r>
        <w:rPr>
          <w:spacing w:val="-44"/>
        </w:rPr>
        <w:t> </w:t>
      </w:r>
      <w:r>
        <w:rPr>
          <w:rFonts w:ascii="宋体" w:hAnsi="宋体" w:cs="宋体" w:eastAsia="宋体" w:hint="default"/>
        </w:rPr>
        <w:t>22</w:t>
      </w:r>
      <w:r>
        <w:rPr>
          <w:rFonts w:ascii="宋体" w:hAnsi="宋体" w:cs="宋体" w:eastAsia="宋体" w:hint="default"/>
          <w:spacing w:val="-43"/>
        </w:rPr>
        <w:t> </w:t>
      </w:r>
      <w:r>
        <w:rPr/>
        <w:t>日起，股东变更为</w:t>
      </w:r>
      <w:r>
        <w:rPr>
          <w:spacing w:val="-44"/>
        </w:rPr>
        <w:t> </w:t>
      </w:r>
      <w:r>
        <w:rPr>
          <w:rFonts w:ascii="宋体" w:hAnsi="宋体" w:cs="宋体" w:eastAsia="宋体" w:hint="default"/>
        </w:rPr>
        <w:t>MV(HK)</w:t>
      </w:r>
      <w:r>
        <w:rPr>
          <w:rFonts w:ascii="宋体" w:hAnsi="宋体" w:cs="宋体" w:eastAsia="宋体" w:hint="default"/>
          <w:spacing w:val="-1"/>
        </w:rPr>
        <w:t> </w:t>
      </w:r>
      <w:r>
        <w:rPr>
          <w:rFonts w:ascii="宋体" w:hAnsi="宋体" w:cs="宋体" w:eastAsia="宋体" w:hint="default"/>
        </w:rPr>
        <w:t>LIMITED</w:t>
      </w:r>
      <w:r>
        <w:rPr/>
        <w:t>，同时将名称变更为聚越 信息技术</w:t>
      </w:r>
      <w:r>
        <w:rPr>
          <w:rFonts w:ascii="宋体" w:hAnsi="宋体" w:cs="宋体" w:eastAsia="宋体" w:hint="default"/>
        </w:rPr>
        <w:t>(</w:t>
      </w:r>
      <w:r>
        <w:rPr/>
        <w:t>上海</w:t>
      </w:r>
      <w:r>
        <w:rPr>
          <w:rFonts w:ascii="宋体" w:hAnsi="宋体" w:cs="宋体" w:eastAsia="宋体" w:hint="default"/>
        </w:rPr>
        <w:t>)</w:t>
      </w:r>
      <w:r>
        <w:rPr/>
        <w:t>有限公司。</w:t>
      </w:r>
    </w:p>
    <w:p>
      <w:pPr>
        <w:spacing w:after="0" w:line="357" w:lineRule="auto"/>
        <w:jc w:val="both"/>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240" w:lineRule="auto" w:before="35"/>
        <w:ind w:left="658" w:right="1688"/>
        <w:jc w:val="left"/>
      </w:pPr>
      <w:bookmarkStart w:name="(二) 关联交易情况" w:id="255"/>
      <w:bookmarkEnd w:id="255"/>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关联交易情况</w:t>
      </w:r>
    </w:p>
    <w:p>
      <w:pPr>
        <w:pStyle w:val="BodyText"/>
        <w:spacing w:line="240" w:lineRule="auto" w:before="174"/>
        <w:ind w:left="658" w:right="1688"/>
        <w:jc w:val="left"/>
      </w:pPr>
      <w:bookmarkStart w:name="1. 出售商品和提供劳务的关联交易" w:id="256"/>
      <w:bookmarkEnd w:id="256"/>
      <w:r>
        <w:rPr/>
      </w:r>
      <w:r>
        <w:rPr>
          <w:rFonts w:ascii="宋体" w:hAnsi="宋体" w:cs="宋体" w:eastAsia="宋体" w:hint="default"/>
        </w:rPr>
        <w:t>1.</w:t>
      </w:r>
      <w:r>
        <w:rPr>
          <w:rFonts w:ascii="宋体" w:hAnsi="宋体" w:cs="宋体" w:eastAsia="宋体" w:hint="default"/>
          <w:spacing w:val="-2"/>
        </w:rPr>
        <w:t> </w:t>
      </w:r>
      <w:r>
        <w:rPr/>
        <w:t>出售商品和提供劳务的关联交易</w:t>
      </w:r>
    </w:p>
    <w:p>
      <w:pPr>
        <w:spacing w:line="240" w:lineRule="auto" w:before="12"/>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568"/>
        <w:gridCol w:w="1036"/>
        <w:gridCol w:w="1209"/>
        <w:gridCol w:w="1213"/>
        <w:gridCol w:w="1338"/>
        <w:gridCol w:w="1224"/>
        <w:gridCol w:w="1327"/>
      </w:tblGrid>
      <w:tr>
        <w:trPr>
          <w:trHeight w:val="340" w:hRule="exact"/>
        </w:trPr>
        <w:tc>
          <w:tcPr>
            <w:tcW w:w="1568"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6" w:type="dxa"/>
            <w:vMerge w:val="restart"/>
            <w:tcBorders>
              <w:top w:val="single" w:sz="4" w:space="0" w:color="000000"/>
              <w:left w:val="single" w:sz="4" w:space="0" w:color="000000"/>
              <w:right w:val="single" w:sz="4" w:space="0" w:color="000000"/>
            </w:tcBorders>
          </w:tcPr>
          <w:p>
            <w:pPr>
              <w:pStyle w:val="TableParagraph"/>
              <w:spacing w:line="278" w:lineRule="auto" w:before="160"/>
              <w:ind w:left="333" w:right="150"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09" w:type="dxa"/>
            <w:vMerge w:val="restart"/>
            <w:tcBorders>
              <w:top w:val="single" w:sz="4" w:space="0" w:color="000000"/>
              <w:left w:val="single" w:sz="4" w:space="0" w:color="000000"/>
              <w:right w:val="single" w:sz="4" w:space="0" w:color="000000"/>
            </w:tcBorders>
          </w:tcPr>
          <w:p>
            <w:pPr>
              <w:pStyle w:val="TableParagraph"/>
              <w:spacing w:line="278" w:lineRule="auto" w:before="23"/>
              <w:ind w:left="59" w:right="57"/>
              <w:jc w:val="center"/>
              <w:rPr>
                <w:rFonts w:ascii="宋体" w:hAnsi="宋体" w:cs="宋体" w:eastAsia="宋体" w:hint="default"/>
                <w:sz w:val="18"/>
                <w:szCs w:val="18"/>
              </w:rPr>
            </w:pPr>
            <w:r>
              <w:rPr>
                <w:rFonts w:ascii="宋体" w:hAnsi="宋体" w:cs="宋体" w:eastAsia="宋体" w:hint="default"/>
                <w:sz w:val="18"/>
                <w:szCs w:val="18"/>
              </w:rPr>
              <w:t>关联交易定价 方式及决策 程序</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7" w:hRule="exact"/>
        </w:trPr>
        <w:tc>
          <w:tcPr>
            <w:tcW w:w="1568" w:type="dxa"/>
            <w:vMerge/>
            <w:tcBorders>
              <w:left w:val="nil" w:sz="6" w:space="0" w:color="auto"/>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209"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3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2"/>
              <w:jc w:val="left"/>
              <w:rPr>
                <w:rFonts w:ascii="宋体" w:hAnsi="宋体" w:cs="宋体" w:eastAsia="宋体" w:hint="default"/>
                <w:sz w:val="18"/>
                <w:szCs w:val="18"/>
              </w:rPr>
            </w:pPr>
            <w:r>
              <w:rPr>
                <w:rFonts w:ascii="宋体" w:hAnsi="宋体" w:cs="宋体" w:eastAsia="宋体" w:hint="default"/>
                <w:spacing w:val="8"/>
                <w:sz w:val="18"/>
                <w:szCs w:val="18"/>
              </w:rPr>
              <w:t>占同类交易金 </w:t>
            </w:r>
            <w:r>
              <w:rPr>
                <w:rFonts w:ascii="宋体" w:hAnsi="宋体" w:cs="宋体" w:eastAsia="宋体" w:hint="default"/>
                <w:sz w:val="18"/>
                <w:szCs w:val="18"/>
              </w:rPr>
              <w:t>额的比例</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37"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left="102" w:right="108"/>
              <w:jc w:val="left"/>
              <w:rPr>
                <w:rFonts w:ascii="宋体" w:hAnsi="宋体" w:cs="宋体" w:eastAsia="宋体" w:hint="default"/>
                <w:sz w:val="18"/>
                <w:szCs w:val="18"/>
              </w:rPr>
            </w:pPr>
            <w:r>
              <w:rPr>
                <w:rFonts w:ascii="宋体" w:hAnsi="宋体" w:cs="宋体" w:eastAsia="宋体" w:hint="default"/>
                <w:spacing w:val="4"/>
                <w:sz w:val="18"/>
                <w:szCs w:val="18"/>
              </w:rPr>
              <w:t>占同类交易金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额的比例</w:t>
            </w:r>
            <w:r>
              <w:rPr>
                <w:rFonts w:ascii="宋体" w:hAnsi="宋体" w:cs="宋体" w:eastAsia="宋体" w:hint="default"/>
                <w:sz w:val="18"/>
                <w:szCs w:val="18"/>
              </w:rPr>
              <w:t>(%)</w:t>
            </w:r>
          </w:p>
        </w:tc>
      </w:tr>
      <w:tr>
        <w:trPr>
          <w:trHeight w:val="596"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1" w:right="180"/>
              <w:jc w:val="left"/>
              <w:rPr>
                <w:rFonts w:ascii="宋体" w:hAnsi="宋体" w:cs="宋体" w:eastAsia="宋体" w:hint="default"/>
                <w:sz w:val="18"/>
                <w:szCs w:val="18"/>
              </w:rPr>
            </w:pPr>
            <w:r>
              <w:rPr>
                <w:rFonts w:ascii="宋体" w:hAnsi="宋体" w:cs="宋体" w:eastAsia="宋体" w:hint="default"/>
                <w:sz w:val="18"/>
                <w:szCs w:val="18"/>
              </w:rPr>
              <w:t>新疆昌源水务准 东供水有限公司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3"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9"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8"/>
              <w:jc w:val="right"/>
              <w:rPr>
                <w:rFonts w:ascii="宋体" w:hAnsi="宋体" w:cs="宋体" w:eastAsia="宋体" w:hint="default"/>
                <w:sz w:val="18"/>
                <w:szCs w:val="18"/>
              </w:rPr>
            </w:pPr>
            <w:r>
              <w:rPr>
                <w:rFonts w:ascii="宋体"/>
                <w:sz w:val="18"/>
              </w:rPr>
              <w:t>105,042.74</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0.01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13" w:right="0"/>
              <w:jc w:val="left"/>
              <w:rPr>
                <w:rFonts w:ascii="宋体" w:hAnsi="宋体" w:cs="宋体" w:eastAsia="宋体" w:hint="default"/>
                <w:sz w:val="18"/>
                <w:szCs w:val="18"/>
              </w:rPr>
            </w:pPr>
            <w:r>
              <w:rPr>
                <w:rFonts w:ascii="宋体"/>
                <w:sz w:val="18"/>
              </w:rPr>
              <w:t>3,076.92</w:t>
            </w:r>
          </w:p>
        </w:tc>
        <w:tc>
          <w:tcPr>
            <w:tcW w:w="13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5"/>
              <w:jc w:val="center"/>
              <w:rPr>
                <w:rFonts w:ascii="宋体" w:hAnsi="宋体" w:cs="宋体" w:eastAsia="宋体" w:hint="default"/>
                <w:sz w:val="18"/>
                <w:szCs w:val="18"/>
              </w:rPr>
            </w:pPr>
            <w:r>
              <w:rPr>
                <w:rFonts w:ascii="宋体"/>
                <w:sz w:val="18"/>
              </w:rPr>
              <w:t>0.00</w:t>
            </w:r>
          </w:p>
        </w:tc>
      </w:tr>
      <w:tr>
        <w:trPr>
          <w:trHeight w:val="598" w:hRule="exact"/>
        </w:trPr>
        <w:tc>
          <w:tcPr>
            <w:tcW w:w="1568"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1"/>
              <w:ind w:left="121" w:right="180"/>
              <w:jc w:val="left"/>
              <w:rPr>
                <w:rFonts w:ascii="宋体" w:hAnsi="宋体" w:cs="宋体" w:eastAsia="宋体" w:hint="default"/>
                <w:sz w:val="18"/>
                <w:szCs w:val="18"/>
              </w:rPr>
            </w:pPr>
            <w:r>
              <w:rPr>
                <w:rFonts w:ascii="宋体" w:hAnsi="宋体" w:cs="宋体" w:eastAsia="宋体" w:hint="default"/>
                <w:sz w:val="18"/>
                <w:szCs w:val="18"/>
              </w:rPr>
              <w:t>上海自来水投资 建设有限公司</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51" w:right="0"/>
              <w:jc w:val="left"/>
              <w:rPr>
                <w:rFonts w:ascii="宋体" w:hAnsi="宋体" w:cs="宋体" w:eastAsia="宋体" w:hint="default"/>
                <w:sz w:val="18"/>
                <w:szCs w:val="18"/>
              </w:rPr>
            </w:pPr>
            <w:r>
              <w:rPr>
                <w:rFonts w:ascii="宋体" w:hAnsi="宋体" w:cs="宋体" w:eastAsia="宋体" w:hint="default"/>
                <w:sz w:val="18"/>
                <w:szCs w:val="18"/>
              </w:rPr>
              <w:t>泵及配件</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8"/>
              <w:jc w:val="right"/>
              <w:rPr>
                <w:rFonts w:ascii="宋体" w:hAnsi="宋体" w:cs="宋体" w:eastAsia="宋体" w:hint="default"/>
                <w:sz w:val="18"/>
                <w:szCs w:val="18"/>
              </w:rPr>
            </w:pPr>
            <w:r>
              <w:rPr>
                <w:rFonts w:ascii="宋体"/>
                <w:sz w:val="18"/>
              </w:rPr>
              <w:t>2,818,811.15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0.25</w:t>
            </w:r>
          </w:p>
        </w:tc>
        <w:tc>
          <w:tcPr>
            <w:tcW w:w="1224"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6"/>
        <w:ind w:left="658" w:right="1688"/>
        <w:jc w:val="left"/>
      </w:pPr>
      <w:bookmarkStart w:name="2. 购买商品和接受劳务的关联交易" w:id="257"/>
      <w:bookmarkEnd w:id="257"/>
      <w:r>
        <w:rPr/>
      </w:r>
      <w:r>
        <w:rPr>
          <w:rFonts w:ascii="宋体" w:hAnsi="宋体" w:cs="宋体" w:eastAsia="宋体" w:hint="default"/>
        </w:rPr>
        <w:t>2.</w:t>
      </w:r>
      <w:r>
        <w:rPr>
          <w:rFonts w:ascii="宋体" w:hAnsi="宋体" w:cs="宋体" w:eastAsia="宋体" w:hint="default"/>
          <w:spacing w:val="-2"/>
        </w:rPr>
        <w:t> </w:t>
      </w:r>
      <w:r>
        <w:rPr/>
        <w:t>购买商品和接受劳务的关联交易</w:t>
      </w:r>
    </w:p>
    <w:p>
      <w:pPr>
        <w:spacing w:line="240" w:lineRule="auto" w:before="11"/>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98"/>
        <w:gridCol w:w="1064"/>
        <w:gridCol w:w="1209"/>
        <w:gridCol w:w="1200"/>
        <w:gridCol w:w="1351"/>
        <w:gridCol w:w="1252"/>
        <w:gridCol w:w="1300"/>
      </w:tblGrid>
      <w:tr>
        <w:trPr>
          <w:trHeight w:val="340" w:hRule="exact"/>
        </w:trPr>
        <w:tc>
          <w:tcPr>
            <w:tcW w:w="1498"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64" w:type="dxa"/>
            <w:vMerge w:val="restart"/>
            <w:tcBorders>
              <w:top w:val="single" w:sz="4" w:space="0" w:color="000000"/>
              <w:left w:val="single" w:sz="4" w:space="0" w:color="000000"/>
              <w:right w:val="single" w:sz="4" w:space="0" w:color="000000"/>
            </w:tcBorders>
          </w:tcPr>
          <w:p>
            <w:pPr>
              <w:pStyle w:val="TableParagraph"/>
              <w:spacing w:line="278" w:lineRule="auto" w:before="160"/>
              <w:ind w:left="349" w:right="163"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209" w:type="dxa"/>
            <w:vMerge w:val="restart"/>
            <w:tcBorders>
              <w:top w:val="single" w:sz="4" w:space="0" w:color="000000"/>
              <w:left w:val="single" w:sz="4" w:space="0" w:color="000000"/>
              <w:right w:val="single" w:sz="4" w:space="0" w:color="000000"/>
            </w:tcBorders>
          </w:tcPr>
          <w:p>
            <w:pPr>
              <w:pStyle w:val="TableParagraph"/>
              <w:spacing w:line="259" w:lineRule="auto" w:before="43"/>
              <w:ind w:left="59" w:right="57"/>
              <w:jc w:val="center"/>
              <w:rPr>
                <w:rFonts w:ascii="宋体" w:hAnsi="宋体" w:cs="宋体" w:eastAsia="宋体" w:hint="default"/>
                <w:sz w:val="18"/>
                <w:szCs w:val="18"/>
              </w:rPr>
            </w:pPr>
            <w:r>
              <w:rPr>
                <w:rFonts w:ascii="宋体" w:hAnsi="宋体" w:cs="宋体" w:eastAsia="宋体" w:hint="default"/>
                <w:sz w:val="18"/>
                <w:szCs w:val="18"/>
              </w:rPr>
              <w:t>关联交易定价 方式及决策 程序</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5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58" w:hRule="exact"/>
        </w:trPr>
        <w:tc>
          <w:tcPr>
            <w:tcW w:w="1498" w:type="dxa"/>
            <w:vMerge/>
            <w:tcBorders>
              <w:left w:val="nil" w:sz="6" w:space="0" w:color="auto"/>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20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2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92"/>
              <w:jc w:val="left"/>
              <w:rPr>
                <w:rFonts w:ascii="宋体" w:hAnsi="宋体" w:cs="宋体" w:eastAsia="宋体" w:hint="default"/>
                <w:sz w:val="18"/>
                <w:szCs w:val="18"/>
              </w:rPr>
            </w:pPr>
            <w:r>
              <w:rPr>
                <w:rFonts w:ascii="宋体" w:hAnsi="宋体" w:cs="宋体" w:eastAsia="宋体" w:hint="default"/>
                <w:spacing w:val="10"/>
                <w:sz w:val="18"/>
                <w:szCs w:val="18"/>
              </w:rPr>
              <w:t>占同类交易金 </w:t>
            </w:r>
            <w:r>
              <w:rPr>
                <w:rFonts w:ascii="宋体" w:hAnsi="宋体" w:cs="宋体" w:eastAsia="宋体" w:hint="default"/>
                <w:sz w:val="18"/>
                <w:szCs w:val="18"/>
              </w:rPr>
              <w:t>额的比例</w:t>
            </w:r>
            <w:r>
              <w:rPr>
                <w:rFonts w:ascii="宋体" w:hAnsi="宋体" w:cs="宋体" w:eastAsia="宋体" w:hint="default"/>
                <w:sz w:val="18"/>
                <w:szCs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1" w:right="106"/>
              <w:jc w:val="left"/>
              <w:rPr>
                <w:rFonts w:ascii="宋体" w:hAnsi="宋体" w:cs="宋体" w:eastAsia="宋体" w:hint="default"/>
                <w:sz w:val="18"/>
                <w:szCs w:val="18"/>
              </w:rPr>
            </w:pPr>
            <w:r>
              <w:rPr>
                <w:rFonts w:ascii="宋体" w:hAnsi="宋体" w:cs="宋体" w:eastAsia="宋体" w:hint="default"/>
                <w:sz w:val="18"/>
                <w:szCs w:val="18"/>
              </w:rPr>
              <w:t>占同类交易金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额的比例</w:t>
            </w:r>
            <w:r>
              <w:rPr>
                <w:rFonts w:ascii="宋体" w:hAnsi="宋体" w:cs="宋体" w:eastAsia="宋体" w:hint="default"/>
                <w:sz w:val="18"/>
                <w:szCs w:val="18"/>
              </w:rPr>
              <w:t>(%)</w:t>
            </w:r>
          </w:p>
        </w:tc>
      </w:tr>
      <w:tr>
        <w:trPr>
          <w:trHeight w:val="596"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0"/>
              <w:ind w:left="121" w:right="109"/>
              <w:jc w:val="left"/>
              <w:rPr>
                <w:rFonts w:ascii="宋体" w:hAnsi="宋体" w:cs="宋体" w:eastAsia="宋体" w:hint="default"/>
                <w:sz w:val="18"/>
                <w:szCs w:val="18"/>
              </w:rPr>
            </w:pPr>
            <w:r>
              <w:rPr>
                <w:rFonts w:ascii="宋体" w:hAnsi="宋体" w:cs="宋体" w:eastAsia="宋体" w:hint="default"/>
                <w:sz w:val="18"/>
                <w:szCs w:val="18"/>
              </w:rPr>
              <w:t>长沙美能电力设 备股份有限公司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66" w:right="167"/>
              <w:jc w:val="left"/>
              <w:rPr>
                <w:rFonts w:ascii="宋体" w:hAnsi="宋体" w:cs="宋体" w:eastAsia="宋体" w:hint="default"/>
                <w:sz w:val="18"/>
                <w:szCs w:val="18"/>
              </w:rPr>
            </w:pPr>
            <w:r>
              <w:rPr>
                <w:rFonts w:ascii="宋体" w:hAnsi="宋体" w:cs="宋体" w:eastAsia="宋体" w:hint="default"/>
                <w:sz w:val="18"/>
                <w:szCs w:val="18"/>
              </w:rPr>
              <w:t>配电箱等 专用设备</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0" w:right="0"/>
              <w:jc w:val="left"/>
              <w:rPr>
                <w:rFonts w:ascii="宋体" w:hAnsi="宋体" w:cs="宋体" w:eastAsia="宋体" w:hint="default"/>
                <w:sz w:val="18"/>
                <w:szCs w:val="18"/>
              </w:rPr>
            </w:pPr>
            <w:r>
              <w:rPr>
                <w:rFonts w:ascii="宋体"/>
                <w:sz w:val="18"/>
              </w:rPr>
              <w:t>99,145.30</w:t>
            </w:r>
          </w:p>
        </w:tc>
        <w:tc>
          <w:tcPr>
            <w:tcW w:w="13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6"/>
              <w:jc w:val="center"/>
              <w:rPr>
                <w:rFonts w:ascii="宋体" w:hAnsi="宋体" w:cs="宋体" w:eastAsia="宋体" w:hint="default"/>
                <w:sz w:val="18"/>
                <w:szCs w:val="18"/>
              </w:rPr>
            </w:pPr>
            <w:r>
              <w:rPr>
                <w:rFonts w:ascii="宋体"/>
                <w:sz w:val="18"/>
              </w:rPr>
              <w:t>0.26</w:t>
            </w:r>
          </w:p>
        </w:tc>
      </w:tr>
    </w:tbl>
    <w:p>
      <w:pPr>
        <w:pStyle w:val="BodyText"/>
        <w:spacing w:line="391" w:lineRule="auto" w:before="6"/>
        <w:ind w:left="763" w:right="6833" w:hanging="106"/>
        <w:jc w:val="left"/>
      </w:pPr>
      <w:bookmarkStart w:name="3. 关联担保情况" w:id="258"/>
      <w:bookmarkEnd w:id="258"/>
      <w:r>
        <w:rPr/>
      </w:r>
      <w:r>
        <w:rPr>
          <w:rFonts w:ascii="宋体" w:hAnsi="宋体" w:cs="宋体" w:eastAsia="宋体" w:hint="default"/>
        </w:rPr>
        <w:t>3.</w:t>
      </w:r>
      <w:r>
        <w:rPr>
          <w:rFonts w:ascii="宋体" w:hAnsi="宋体" w:cs="宋体" w:eastAsia="宋体" w:hint="default"/>
          <w:spacing w:val="-1"/>
        </w:rPr>
        <w:t> </w:t>
      </w:r>
      <w:r>
        <w:rPr/>
        <w:t>关联担保情况 本公司及子公司作为被担保方</w:t>
      </w: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666"/>
        <w:gridCol w:w="1380"/>
        <w:gridCol w:w="1236"/>
        <w:gridCol w:w="1214"/>
        <w:gridCol w:w="1048"/>
      </w:tblGrid>
      <w:tr>
        <w:trPr>
          <w:trHeight w:val="598"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18" w:right="319" w:hanging="90"/>
              <w:jc w:val="left"/>
              <w:rPr>
                <w:rFonts w:ascii="宋体" w:hAnsi="宋体" w:cs="宋体" w:eastAsia="宋体" w:hint="default"/>
                <w:sz w:val="18"/>
                <w:szCs w:val="18"/>
              </w:rPr>
            </w:pPr>
            <w:r>
              <w:rPr>
                <w:rFonts w:ascii="宋体" w:hAnsi="宋体" w:cs="宋体" w:eastAsia="宋体" w:hint="default"/>
                <w:sz w:val="18"/>
                <w:szCs w:val="18"/>
              </w:rPr>
              <w:t>担保金额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37" w:right="347" w:firstLine="103"/>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333" w:right="329" w:firstLine="88"/>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72" w:right="68"/>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597"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王洪仁、应云琴</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9" w:right="0"/>
              <w:jc w:val="left"/>
              <w:rPr>
                <w:rFonts w:ascii="宋体" w:hAnsi="宋体" w:cs="宋体" w:eastAsia="宋体" w:hint="default"/>
                <w:sz w:val="18"/>
                <w:szCs w:val="18"/>
              </w:rPr>
            </w:pPr>
            <w:r>
              <w:rPr>
                <w:rFonts w:ascii="宋体"/>
                <w:sz w:val="18"/>
              </w:rPr>
              <w:t>2,725.48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 w:right="0"/>
              <w:jc w:val="left"/>
              <w:rPr>
                <w:rFonts w:ascii="宋体" w:hAnsi="宋体" w:cs="宋体" w:eastAsia="宋体" w:hint="default"/>
                <w:sz w:val="18"/>
                <w:szCs w:val="18"/>
              </w:rPr>
            </w:pPr>
            <w:r>
              <w:rPr>
                <w:rFonts w:ascii="宋体"/>
                <w:sz w:val="18"/>
              </w:rPr>
              <w:t>2014.08.22-</w:t>
            </w:r>
          </w:p>
          <w:p>
            <w:pPr>
              <w:pStyle w:val="TableParagraph"/>
              <w:spacing w:line="240" w:lineRule="auto" w:before="37"/>
              <w:ind w:left="117" w:right="0"/>
              <w:jc w:val="left"/>
              <w:rPr>
                <w:rFonts w:ascii="宋体" w:hAnsi="宋体" w:cs="宋体" w:eastAsia="宋体" w:hint="default"/>
                <w:sz w:val="18"/>
                <w:szCs w:val="18"/>
              </w:rPr>
            </w:pPr>
            <w:r>
              <w:rPr>
                <w:rFonts w:ascii="宋体"/>
                <w:sz w:val="18"/>
              </w:rPr>
              <w:t>2014.12.26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1" w:right="0"/>
              <w:jc w:val="left"/>
              <w:rPr>
                <w:rFonts w:ascii="宋体" w:hAnsi="宋体" w:cs="宋体" w:eastAsia="宋体" w:hint="default"/>
                <w:sz w:val="18"/>
                <w:szCs w:val="18"/>
              </w:rPr>
            </w:pPr>
            <w:r>
              <w:rPr>
                <w:rFonts w:ascii="宋体"/>
                <w:sz w:val="18"/>
              </w:rPr>
              <w:t>2015.02.22-</w:t>
            </w:r>
          </w:p>
          <w:p>
            <w:pPr>
              <w:pStyle w:val="TableParagraph"/>
              <w:spacing w:line="240" w:lineRule="auto" w:before="37"/>
              <w:ind w:left="105" w:right="0"/>
              <w:jc w:val="left"/>
              <w:rPr>
                <w:rFonts w:ascii="宋体" w:hAnsi="宋体" w:cs="宋体" w:eastAsia="宋体" w:hint="default"/>
                <w:sz w:val="18"/>
                <w:szCs w:val="18"/>
              </w:rPr>
            </w:pPr>
            <w:r>
              <w:rPr>
                <w:rFonts w:ascii="宋体"/>
                <w:sz w:val="18"/>
              </w:rPr>
              <w:t>2015.06.26</w:t>
            </w:r>
          </w:p>
        </w:tc>
        <w:tc>
          <w:tcPr>
            <w:tcW w:w="10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2"/>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1" w:lineRule="exact" w:before="0"/>
        <w:ind w:left="664" w:right="1688"/>
        <w:jc w:val="left"/>
      </w:pPr>
      <w:bookmarkStart w:name="关联方资金拆借" w:id="259"/>
      <w:bookmarkEnd w:id="259"/>
      <w:r>
        <w:rPr/>
      </w:r>
      <w:r>
        <w:rPr>
          <w:rFonts w:ascii="宋体" w:hAnsi="宋体" w:cs="宋体" w:eastAsia="宋体" w:hint="default"/>
        </w:rPr>
        <w:t>4.</w:t>
      </w:r>
      <w:r>
        <w:rPr>
          <w:rFonts w:ascii="宋体" w:hAnsi="宋体" w:cs="宋体" w:eastAsia="宋体" w:hint="default"/>
          <w:spacing w:val="44"/>
        </w:rPr>
        <w:t> </w:t>
      </w:r>
      <w:r>
        <w:rPr/>
        <w:t>关联方资金拆借</w:t>
      </w:r>
    </w:p>
    <w:p>
      <w:pPr>
        <w:spacing w:line="240" w:lineRule="auto" w:before="11"/>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993"/>
        <w:gridCol w:w="1388"/>
        <w:gridCol w:w="1387"/>
        <w:gridCol w:w="1388"/>
        <w:gridCol w:w="1388"/>
      </w:tblGrid>
      <w:tr>
        <w:trPr>
          <w:trHeight w:val="484"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拆借金额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8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拆  入</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838"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宋体" w:hAnsi="宋体" w:cs="宋体" w:eastAsia="宋体" w:hint="default"/>
                <w:sz w:val="18"/>
                <w:szCs w:val="18"/>
              </w:rPr>
            </w:pPr>
            <w:r>
              <w:rPr>
                <w:rFonts w:ascii="宋体"/>
                <w:sz w:val="18"/>
              </w:rPr>
              <w:t>7,600,000.00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89"/>
              <w:jc w:val="center"/>
              <w:rPr>
                <w:rFonts w:ascii="宋体" w:hAnsi="宋体" w:cs="宋体" w:eastAsia="宋体" w:hint="default"/>
                <w:sz w:val="18"/>
                <w:szCs w:val="18"/>
              </w:rPr>
            </w:pPr>
            <w:r>
              <w:rPr>
                <w:rFonts w:ascii="宋体"/>
                <w:sz w:val="18"/>
              </w:rPr>
              <w:t>2014.10.14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宋体" w:hAnsi="宋体" w:cs="宋体" w:eastAsia="宋体" w:hint="default"/>
                <w:sz w:val="18"/>
                <w:szCs w:val="18"/>
              </w:rPr>
            </w:pPr>
            <w:r>
              <w:rPr>
                <w:rFonts w:ascii="宋体"/>
                <w:sz w:val="18"/>
              </w:rPr>
              <w:t>2014.10.17-</w:t>
            </w:r>
          </w:p>
          <w:p>
            <w:pPr>
              <w:pStyle w:val="TableParagraph"/>
              <w:spacing w:line="240" w:lineRule="auto" w:before="117"/>
              <w:ind w:left="193" w:right="0"/>
              <w:jc w:val="left"/>
              <w:rPr>
                <w:rFonts w:ascii="宋体" w:hAnsi="宋体" w:cs="宋体" w:eastAsia="宋体" w:hint="default"/>
                <w:sz w:val="18"/>
                <w:szCs w:val="18"/>
              </w:rPr>
            </w:pPr>
            <w:r>
              <w:rPr>
                <w:rFonts w:ascii="宋体"/>
                <w:sz w:val="18"/>
              </w:rPr>
              <w:t>2014.10.20</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836"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MediaV(HK) Limited[</w:t>
            </w:r>
            <w:r>
              <w:rPr>
                <w:rFonts w:ascii="宋体" w:hAnsi="宋体" w:cs="宋体" w:eastAsia="宋体" w:hint="default"/>
                <w:sz w:val="18"/>
                <w:szCs w:val="18"/>
              </w:rPr>
              <w:t>注</w:t>
            </w:r>
            <w:r>
              <w:rPr>
                <w:rFonts w:ascii="宋体" w:hAnsi="宋体" w:cs="宋体" w:eastAsia="宋体" w:hint="default"/>
                <w:sz w:val="18"/>
                <w:szCs w:val="18"/>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54,799,286.30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7" w:right="0"/>
              <w:jc w:val="left"/>
              <w:rPr>
                <w:rFonts w:ascii="宋体" w:hAnsi="宋体" w:cs="宋体" w:eastAsia="宋体" w:hint="default"/>
                <w:sz w:val="18"/>
                <w:szCs w:val="18"/>
              </w:rPr>
            </w:pPr>
            <w:r>
              <w:rPr>
                <w:rFonts w:ascii="宋体"/>
                <w:sz w:val="18"/>
              </w:rPr>
              <w:t>2012.01.17-</w:t>
            </w:r>
          </w:p>
          <w:p>
            <w:pPr>
              <w:pStyle w:val="TableParagraph"/>
              <w:spacing w:line="240" w:lineRule="auto" w:before="118"/>
              <w:ind w:left="193" w:right="0"/>
              <w:jc w:val="left"/>
              <w:rPr>
                <w:rFonts w:ascii="宋体" w:hAnsi="宋体" w:cs="宋体" w:eastAsia="宋体" w:hint="default"/>
                <w:sz w:val="18"/>
                <w:szCs w:val="18"/>
              </w:rPr>
            </w:pPr>
            <w:r>
              <w:rPr>
                <w:rFonts w:ascii="宋体"/>
                <w:sz w:val="18"/>
              </w:rPr>
              <w:t>2012.10.20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89"/>
              <w:jc w:val="center"/>
              <w:rPr>
                <w:rFonts w:ascii="宋体" w:hAnsi="宋体" w:cs="宋体" w:eastAsia="宋体" w:hint="default"/>
                <w:sz w:val="18"/>
                <w:szCs w:val="18"/>
              </w:rPr>
            </w:pPr>
            <w:r>
              <w:rPr>
                <w:rFonts w:ascii="宋体"/>
                <w:sz w:val="18"/>
              </w:rPr>
              <w:t>2014.05.31</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838"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聚越信息技术</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t>66,379,623.69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宋体" w:hAnsi="宋体" w:cs="宋体" w:eastAsia="宋体" w:hint="default"/>
                <w:sz w:val="18"/>
                <w:szCs w:val="18"/>
              </w:rPr>
            </w:pPr>
            <w:r>
              <w:rPr>
                <w:rFonts w:ascii="宋体"/>
                <w:sz w:val="18"/>
              </w:rPr>
              <w:t>2011.12.19-</w:t>
            </w:r>
          </w:p>
          <w:p>
            <w:pPr>
              <w:pStyle w:val="TableParagraph"/>
              <w:spacing w:line="240" w:lineRule="auto" w:before="117"/>
              <w:ind w:left="193" w:right="0"/>
              <w:jc w:val="left"/>
              <w:rPr>
                <w:rFonts w:ascii="宋体" w:hAnsi="宋体" w:cs="宋体" w:eastAsia="宋体" w:hint="default"/>
                <w:sz w:val="18"/>
                <w:szCs w:val="18"/>
              </w:rPr>
            </w:pPr>
            <w:r>
              <w:rPr>
                <w:rFonts w:ascii="宋体"/>
                <w:sz w:val="18"/>
              </w:rPr>
              <w:t>2013.02.22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宋体" w:hAnsi="宋体" w:cs="宋体" w:eastAsia="宋体" w:hint="default"/>
                <w:sz w:val="18"/>
                <w:szCs w:val="18"/>
              </w:rPr>
            </w:pPr>
            <w:r>
              <w:rPr>
                <w:rFonts w:ascii="宋体"/>
                <w:sz w:val="18"/>
              </w:rPr>
              <w:t>2014.01.23-</w:t>
            </w:r>
          </w:p>
          <w:p>
            <w:pPr>
              <w:pStyle w:val="TableParagraph"/>
              <w:spacing w:line="240" w:lineRule="auto" w:before="117"/>
              <w:ind w:left="193" w:right="0"/>
              <w:jc w:val="left"/>
              <w:rPr>
                <w:rFonts w:ascii="宋体" w:hAnsi="宋体" w:cs="宋体" w:eastAsia="宋体" w:hint="default"/>
                <w:sz w:val="18"/>
                <w:szCs w:val="18"/>
              </w:rPr>
            </w:pPr>
            <w:r>
              <w:rPr>
                <w:rFonts w:ascii="宋体"/>
                <w:sz w:val="18"/>
              </w:rPr>
              <w:t>2014.04.30</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拆  出</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宋体" w:hAnsi="宋体" w:cs="宋体" w:eastAsia="宋体" w:hint="default"/>
                <w:sz w:val="18"/>
                <w:szCs w:val="18"/>
              </w:rPr>
            </w:pPr>
            <w:r>
              <w:rPr>
                <w:rFonts w:ascii="宋体"/>
                <w:sz w:val="18"/>
              </w:rPr>
              <w:t>2,600,000.00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0"/>
              <w:jc w:val="center"/>
              <w:rPr>
                <w:rFonts w:ascii="宋体" w:hAnsi="宋体" w:cs="宋体" w:eastAsia="宋体" w:hint="default"/>
                <w:sz w:val="18"/>
                <w:szCs w:val="18"/>
              </w:rPr>
            </w:pPr>
            <w:r>
              <w:rPr>
                <w:rFonts w:ascii="宋体"/>
                <w:sz w:val="18"/>
              </w:rPr>
              <w:t>2014.9.22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8"/>
              <w:jc w:val="center"/>
              <w:rPr>
                <w:rFonts w:ascii="宋体" w:hAnsi="宋体" w:cs="宋体" w:eastAsia="宋体" w:hint="default"/>
                <w:sz w:val="18"/>
                <w:szCs w:val="18"/>
              </w:rPr>
            </w:pPr>
            <w:r>
              <w:rPr>
                <w:rFonts w:ascii="宋体"/>
                <w:sz w:val="18"/>
              </w:rPr>
              <w:t>2014.9.25</w:t>
            </w:r>
          </w:p>
        </w:tc>
        <w:tc>
          <w:tcPr>
            <w:tcW w:w="1388" w:type="dxa"/>
            <w:tcBorders>
              <w:top w:val="single" w:sz="4" w:space="0" w:color="000000"/>
              <w:left w:val="single" w:sz="4" w:space="0" w:color="000000"/>
              <w:bottom w:val="single" w:sz="4" w:space="0" w:color="000000"/>
              <w:right w:val="nil" w:sz="6" w:space="0" w:color="auto"/>
            </w:tcBorders>
          </w:tcPr>
          <w:p>
            <w:pPr/>
          </w:p>
        </w:tc>
      </w:tr>
      <w:tr>
        <w:trPr>
          <w:trHeight w:val="838" w:hRule="exact"/>
        </w:trPr>
        <w:tc>
          <w:tcPr>
            <w:tcW w:w="29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聚越信息技术</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宋体" w:hAnsi="宋体" w:cs="宋体" w:eastAsia="宋体" w:hint="default"/>
                <w:sz w:val="18"/>
                <w:szCs w:val="18"/>
              </w:rPr>
            </w:pPr>
            <w:r>
              <w:rPr>
                <w:rFonts w:ascii="宋体"/>
                <w:sz w:val="18"/>
              </w:rPr>
              <w:t>1,585,111.85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宋体" w:hAnsi="宋体" w:cs="宋体" w:eastAsia="宋体" w:hint="default"/>
                <w:sz w:val="18"/>
                <w:szCs w:val="18"/>
              </w:rPr>
            </w:pPr>
            <w:r>
              <w:rPr>
                <w:rFonts w:ascii="宋体"/>
                <w:sz w:val="18"/>
              </w:rPr>
              <w:t>2014.01.15-</w:t>
            </w:r>
          </w:p>
          <w:p>
            <w:pPr>
              <w:pStyle w:val="TableParagraph"/>
              <w:spacing w:line="240" w:lineRule="auto" w:before="117"/>
              <w:ind w:left="193" w:right="0"/>
              <w:jc w:val="left"/>
              <w:rPr>
                <w:rFonts w:ascii="宋体" w:hAnsi="宋体" w:cs="宋体" w:eastAsia="宋体" w:hint="default"/>
                <w:sz w:val="18"/>
                <w:szCs w:val="18"/>
              </w:rPr>
            </w:pPr>
            <w:r>
              <w:rPr>
                <w:rFonts w:ascii="宋体"/>
                <w:sz w:val="18"/>
              </w:rPr>
              <w:t>2014.02.17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宋体" w:hAnsi="宋体" w:cs="宋体" w:eastAsia="宋体" w:hint="default"/>
                <w:sz w:val="18"/>
                <w:szCs w:val="18"/>
              </w:rPr>
            </w:pPr>
            <w:r>
              <w:rPr>
                <w:rFonts w:ascii="宋体"/>
                <w:sz w:val="18"/>
              </w:rPr>
              <w:t>2014.03.11-</w:t>
            </w:r>
          </w:p>
          <w:p>
            <w:pPr>
              <w:pStyle w:val="TableParagraph"/>
              <w:spacing w:line="240" w:lineRule="auto" w:before="117"/>
              <w:ind w:left="193" w:right="0"/>
              <w:jc w:val="left"/>
              <w:rPr>
                <w:rFonts w:ascii="宋体" w:hAnsi="宋体" w:cs="宋体" w:eastAsia="宋体" w:hint="default"/>
                <w:sz w:val="18"/>
                <w:szCs w:val="18"/>
              </w:rPr>
            </w:pPr>
            <w:r>
              <w:rPr>
                <w:rFonts w:ascii="宋体"/>
                <w:sz w:val="18"/>
              </w:rPr>
              <w:t>2014.06.30</w:t>
            </w:r>
          </w:p>
        </w:tc>
        <w:tc>
          <w:tcPr>
            <w:tcW w:w="1388" w:type="dxa"/>
            <w:tcBorders>
              <w:top w:val="single" w:sz="4" w:space="0" w:color="000000"/>
              <w:left w:val="single" w:sz="4" w:space="0" w:color="000000"/>
              <w:bottom w:val="single" w:sz="4" w:space="0" w:color="000000"/>
              <w:right w:val="nil" w:sz="6" w:space="0" w:color="auto"/>
            </w:tcBorders>
          </w:tcPr>
          <w:p>
            <w:pPr/>
          </w:p>
        </w:tc>
      </w:tr>
    </w:tbl>
    <w:p>
      <w:pPr>
        <w:pStyle w:val="BodyText"/>
        <w:spacing w:line="357" w:lineRule="auto" w:before="5"/>
        <w:ind w:left="237" w:right="1781" w:firstLine="42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：根据聚胜广告和</w:t>
      </w:r>
      <w:r>
        <w:rPr>
          <w:spacing w:val="9"/>
        </w:rPr>
        <w:t> </w:t>
      </w:r>
      <w:r>
        <w:rPr>
          <w:rFonts w:ascii="宋体" w:hAnsi="宋体" w:cs="宋体" w:eastAsia="宋体" w:hint="default"/>
        </w:rPr>
        <w:t>MediaV(HK)Limited</w:t>
      </w:r>
      <w:r>
        <w:rPr/>
        <w:t>、聚越信息技术</w:t>
      </w:r>
      <w:r>
        <w:rPr>
          <w:rFonts w:ascii="宋体" w:hAnsi="宋体" w:cs="宋体" w:eastAsia="宋体" w:hint="default"/>
        </w:rPr>
        <w:t>(</w:t>
      </w:r>
      <w:r>
        <w:rPr/>
        <w:t>上海</w:t>
      </w:r>
      <w:r>
        <w:rPr>
          <w:rFonts w:ascii="宋体" w:hAnsi="宋体" w:cs="宋体" w:eastAsia="宋体" w:hint="default"/>
        </w:rPr>
        <w:t>)</w:t>
      </w:r>
      <w:r>
        <w:rPr/>
        <w:t>有限公司</w:t>
      </w:r>
      <w:r>
        <w:rPr>
          <w:rFonts w:ascii="宋体" w:hAnsi="宋体" w:cs="宋体" w:eastAsia="宋体" w:hint="default"/>
        </w:rPr>
        <w:t>(</w:t>
      </w:r>
      <w:r>
        <w:rPr/>
        <w:t>以下简称 </w:t>
      </w:r>
      <w:r>
        <w:rPr>
          <w:spacing w:val="-7"/>
        </w:rPr>
        <w:t>聚越信息</w:t>
      </w:r>
      <w:r>
        <w:rPr>
          <w:rFonts w:ascii="宋体" w:hAnsi="宋体" w:cs="宋体" w:eastAsia="宋体" w:hint="default"/>
          <w:spacing w:val="-7"/>
        </w:rPr>
        <w:t>)</w:t>
      </w:r>
      <w:r>
        <w:rPr>
          <w:spacing w:val="-7"/>
        </w:rPr>
        <w:t>签订的三方协议，公司应付</w:t>
      </w:r>
      <w:r>
        <w:rPr>
          <w:spacing w:val="-59"/>
        </w:rPr>
        <w:t> </w:t>
      </w:r>
      <w:r>
        <w:rPr>
          <w:rFonts w:ascii="宋体" w:hAnsi="宋体" w:cs="宋体" w:eastAsia="宋体" w:hint="default"/>
        </w:rPr>
        <w:t>MediaV(HK)Limited</w:t>
      </w:r>
      <w:r>
        <w:rPr>
          <w:rFonts w:ascii="宋体" w:hAnsi="宋体" w:cs="宋体" w:eastAsia="宋体" w:hint="default"/>
          <w:spacing w:val="-58"/>
        </w:rPr>
        <w:t> </w:t>
      </w:r>
      <w:r>
        <w:rPr>
          <w:spacing w:val="-1"/>
        </w:rPr>
        <w:t>的资金拆借款余额</w:t>
      </w:r>
      <w:r>
        <w:rPr>
          <w:spacing w:val="-58"/>
        </w:rPr>
        <w:t> </w:t>
      </w:r>
      <w:r>
        <w:rPr>
          <w:rFonts w:ascii="宋体" w:hAnsi="宋体" w:cs="宋体" w:eastAsia="宋体" w:hint="default"/>
        </w:rPr>
        <w:t>54,799,286.30</w:t>
      </w:r>
    </w:p>
    <w:p>
      <w:pPr>
        <w:spacing w:after="0" w:line="357" w:lineRule="auto"/>
        <w:jc w:val="left"/>
        <w:rPr>
          <w:rFonts w:ascii="宋体" w:hAnsi="宋体" w:cs="宋体" w:eastAsia="宋体" w:hint="default"/>
        </w:rPr>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391" w:lineRule="auto" w:before="35"/>
        <w:ind w:left="658" w:right="5678" w:hanging="420"/>
        <w:jc w:val="left"/>
      </w:pPr>
      <w:r>
        <w:rPr/>
        <w:t>元，由聚越信息技术</w:t>
      </w:r>
      <w:r>
        <w:rPr>
          <w:rFonts w:ascii="宋体" w:hAnsi="宋体" w:cs="宋体" w:eastAsia="宋体" w:hint="default"/>
        </w:rPr>
        <w:t>(</w:t>
      </w:r>
      <w:r>
        <w:rPr/>
        <w:t>上海</w:t>
      </w:r>
      <w:r>
        <w:rPr>
          <w:rFonts w:ascii="宋体" w:hAnsi="宋体" w:cs="宋体" w:eastAsia="宋体" w:hint="default"/>
        </w:rPr>
        <w:t>)</w:t>
      </w:r>
      <w:r>
        <w:rPr/>
        <w:t>有限公司代为收取。 </w:t>
      </w:r>
      <w:bookmarkStart w:name="5. 关键管理人员报酬" w:id="260"/>
      <w:bookmarkEnd w:id="260"/>
      <w:r>
        <w:rPr/>
      </w:r>
      <w:r>
        <w:rPr>
          <w:rFonts w:ascii="宋体" w:hAnsi="宋体" w:cs="宋体" w:eastAsia="宋体" w:hint="default"/>
        </w:rPr>
        <w:t>5.</w:t>
      </w:r>
      <w:r>
        <w:rPr>
          <w:rFonts w:ascii="宋体" w:hAnsi="宋体" w:cs="宋体" w:eastAsia="宋体" w:hint="default"/>
          <w:spacing w:val="-2"/>
        </w:rPr>
        <w:t> </w:t>
      </w:r>
      <w:r>
        <w:rPr/>
        <w:t>关键管理人员报酬</w:t>
      </w: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707"/>
        <w:gridCol w:w="1919"/>
        <w:gridCol w:w="1918"/>
      </w:tblGrid>
      <w:tr>
        <w:trPr>
          <w:trHeight w:val="48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15"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35"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485"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4" w:right="0"/>
              <w:jc w:val="left"/>
              <w:rPr>
                <w:rFonts w:ascii="宋体" w:hAnsi="宋体" w:cs="宋体" w:eastAsia="宋体" w:hint="default"/>
                <w:sz w:val="18"/>
                <w:szCs w:val="18"/>
              </w:rPr>
            </w:pPr>
            <w:r>
              <w:rPr>
                <w:rFonts w:ascii="宋体"/>
                <w:sz w:val="18"/>
              </w:rPr>
              <w:t>271.68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1264" w:right="0"/>
              <w:jc w:val="left"/>
              <w:rPr>
                <w:rFonts w:ascii="宋体" w:hAnsi="宋体" w:cs="宋体" w:eastAsia="宋体" w:hint="default"/>
                <w:sz w:val="18"/>
                <w:szCs w:val="18"/>
              </w:rPr>
            </w:pPr>
            <w:r>
              <w:rPr>
                <w:rFonts w:ascii="宋体"/>
                <w:sz w:val="18"/>
              </w:rPr>
              <w:t>233.08</w:t>
            </w:r>
          </w:p>
        </w:tc>
      </w:tr>
    </w:tbl>
    <w:p>
      <w:pPr>
        <w:pStyle w:val="BodyText"/>
        <w:spacing w:line="240" w:lineRule="auto" w:before="6"/>
        <w:ind w:left="664" w:right="1688"/>
        <w:jc w:val="left"/>
      </w:pPr>
      <w:bookmarkStart w:name="6. 其他关联交易" w:id="261"/>
      <w:bookmarkEnd w:id="261"/>
      <w:r>
        <w:rPr/>
      </w:r>
      <w:r>
        <w:rPr>
          <w:rFonts w:ascii="宋体" w:hAnsi="宋体" w:cs="宋体" w:eastAsia="宋体" w:hint="default"/>
        </w:rPr>
        <w:t>6.</w:t>
      </w:r>
      <w:r>
        <w:rPr>
          <w:rFonts w:ascii="宋体" w:hAnsi="宋体" w:cs="宋体" w:eastAsia="宋体" w:hint="default"/>
          <w:spacing w:val="-2"/>
        </w:rPr>
        <w:t> </w:t>
      </w:r>
      <w:r>
        <w:rPr/>
        <w:t>其他关联交易</w:t>
      </w:r>
    </w:p>
    <w:p>
      <w:pPr>
        <w:pStyle w:val="BodyText"/>
        <w:spacing w:line="357" w:lineRule="auto" w:before="172"/>
        <w:ind w:left="238" w:right="1793" w:firstLine="42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7</w:t>
      </w:r>
      <w:r>
        <w:rPr>
          <w:rFonts w:ascii="宋体" w:hAnsi="宋体" w:cs="宋体" w:eastAsia="宋体" w:hint="default"/>
          <w:spacing w:val="-39"/>
        </w:rPr>
        <w:t> </w:t>
      </w:r>
      <w:r>
        <w:rPr/>
        <w:t>月</w:t>
      </w:r>
      <w:r>
        <w:rPr>
          <w:spacing w:val="-39"/>
        </w:rPr>
        <w:t> </w:t>
      </w:r>
      <w:r>
        <w:rPr>
          <w:rFonts w:ascii="宋体" w:hAnsi="宋体" w:cs="宋体" w:eastAsia="宋体" w:hint="default"/>
        </w:rPr>
        <w:t>1</w:t>
      </w:r>
      <w:r>
        <w:rPr>
          <w:rFonts w:ascii="宋体" w:hAnsi="宋体" w:cs="宋体" w:eastAsia="宋体" w:hint="default"/>
          <w:spacing w:val="-39"/>
        </w:rPr>
        <w:t> </w:t>
      </w:r>
      <w:r>
        <w:rPr/>
        <w:t>日，经公司董事会第四届第二次会议审议通过，公司拟向八位特定对象 </w:t>
      </w:r>
      <w:r>
        <w:rPr>
          <w:spacing w:val="-3"/>
        </w:rPr>
        <w:t>以支付现金及发行股份的方式购买其资产；同时，公司拟向郑晓东等三名其他特定投资者定</w:t>
      </w:r>
      <w:r>
        <w:rPr>
          <w:spacing w:val="-75"/>
        </w:rPr>
        <w:t> </w:t>
      </w:r>
      <w:r>
        <w:rPr>
          <w:spacing w:val="-75"/>
        </w:rPr>
      </w:r>
      <w:r>
        <w:rPr>
          <w:spacing w:val="-3"/>
        </w:rPr>
        <w:t>向发行股份募集配套资金，其中拟向郑晓东定向增发人民币普通股</w:t>
      </w:r>
      <w:r>
        <w:rPr>
          <w:rFonts w:ascii="宋体" w:hAnsi="宋体" w:cs="宋体" w:eastAsia="宋体" w:hint="default"/>
          <w:spacing w:val="-3"/>
        </w:rPr>
        <w:t>(A</w:t>
      </w:r>
      <w:r>
        <w:rPr>
          <w:rFonts w:ascii="宋体" w:hAnsi="宋体" w:cs="宋体" w:eastAsia="宋体" w:hint="default"/>
          <w:spacing w:val="-49"/>
        </w:rPr>
        <w:t> </w:t>
      </w:r>
      <w:r>
        <w:rPr>
          <w:spacing w:val="-1"/>
        </w:rPr>
        <w:t>股</w:t>
      </w:r>
      <w:r>
        <w:rPr>
          <w:rFonts w:ascii="宋体" w:hAnsi="宋体" w:cs="宋体" w:eastAsia="宋体" w:hint="default"/>
          <w:spacing w:val="-1"/>
        </w:rPr>
        <w:t>)</w:t>
      </w:r>
      <w:r>
        <w:rPr>
          <w:spacing w:val="-1"/>
        </w:rPr>
        <w:t>股票</w:t>
      </w:r>
      <w:r>
        <w:rPr>
          <w:spacing w:val="-50"/>
        </w:rPr>
        <w:t> </w:t>
      </w:r>
      <w:r>
        <w:rPr>
          <w:rFonts w:ascii="宋体" w:hAnsi="宋体" w:cs="宋体" w:eastAsia="宋体" w:hint="default"/>
        </w:rPr>
        <w:t>4,275,380.00</w:t>
      </w:r>
    </w:p>
    <w:p>
      <w:pPr>
        <w:pStyle w:val="BodyText"/>
        <w:spacing w:line="355" w:lineRule="auto"/>
        <w:ind w:left="237" w:right="1780"/>
        <w:jc w:val="left"/>
      </w:pPr>
      <w:r>
        <w:rPr/>
        <w:t>股，每股面值</w:t>
      </w:r>
      <w:r>
        <w:rPr>
          <w:spacing w:val="-19"/>
        </w:rPr>
        <w:t> </w:t>
      </w:r>
      <w:r>
        <w:rPr>
          <w:rFonts w:ascii="宋体" w:hAnsi="宋体" w:cs="宋体" w:eastAsia="宋体" w:hint="default"/>
        </w:rPr>
        <w:t>1</w:t>
      </w:r>
      <w:r>
        <w:rPr>
          <w:rFonts w:ascii="宋体" w:hAnsi="宋体" w:cs="宋体" w:eastAsia="宋体" w:hint="default"/>
          <w:spacing w:val="-18"/>
        </w:rPr>
        <w:t> </w:t>
      </w:r>
      <w:r>
        <w:rPr/>
        <w:t>元，每股发行价格为人民币</w:t>
      </w:r>
      <w:r>
        <w:rPr>
          <w:spacing w:val="-18"/>
        </w:rPr>
        <w:t> </w:t>
      </w:r>
      <w:r>
        <w:rPr>
          <w:rFonts w:ascii="宋体" w:hAnsi="宋体" w:cs="宋体" w:eastAsia="宋体" w:hint="default"/>
        </w:rPr>
        <w:t>18.77</w:t>
      </w:r>
      <w:r>
        <w:rPr>
          <w:rFonts w:ascii="宋体" w:hAnsi="宋体" w:cs="宋体" w:eastAsia="宋体" w:hint="default"/>
          <w:spacing w:val="-18"/>
        </w:rPr>
        <w:t> </w:t>
      </w:r>
      <w:r>
        <w:rPr/>
        <w:t>元，向其配套募集资金</w:t>
      </w:r>
      <w:r>
        <w:rPr>
          <w:spacing w:val="-18"/>
        </w:rPr>
        <w:t> </w:t>
      </w:r>
      <w:r>
        <w:rPr>
          <w:rFonts w:ascii="宋体" w:hAnsi="宋体" w:cs="宋体" w:eastAsia="宋体" w:hint="default"/>
        </w:rPr>
        <w:t>80,248,882.60 </w:t>
      </w:r>
      <w:r>
        <w:rPr/>
        <w:t>元。</w:t>
      </w:r>
    </w:p>
    <w:p>
      <w:pPr>
        <w:pStyle w:val="BodyText"/>
        <w:spacing w:line="240" w:lineRule="auto" w:before="73"/>
        <w:ind w:left="658" w:right="0"/>
        <w:jc w:val="left"/>
      </w:pPr>
      <w:r>
        <w:rPr/>
        <w:t>截止</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89"/>
        </w:rPr>
        <w:t>，</w:t>
      </w:r>
      <w:r>
        <w:rPr/>
        <w:t>本公司已收到郑晓东投入的配套募集资金</w:t>
      </w:r>
      <w:r>
        <w:rPr>
          <w:spacing w:val="-52"/>
        </w:rPr>
        <w:t> </w:t>
      </w:r>
      <w:r>
        <w:rPr>
          <w:rFonts w:ascii="宋体" w:hAnsi="宋体" w:cs="宋体" w:eastAsia="宋体" w:hint="default"/>
        </w:rPr>
        <w:t>80,248,882.60</w:t>
      </w:r>
      <w:r>
        <w:rPr>
          <w:rFonts w:ascii="宋体" w:hAnsi="宋体" w:cs="宋体" w:eastAsia="宋体" w:hint="default"/>
          <w:spacing w:val="-52"/>
        </w:rPr>
        <w:t> </w:t>
      </w:r>
      <w:r>
        <w:rPr>
          <w:spacing w:val="-2"/>
        </w:rPr>
        <w:t>元，</w:t>
      </w:r>
      <w:r>
        <w:rPr/>
      </w:r>
    </w:p>
    <w:p>
      <w:pPr>
        <w:pStyle w:val="BodyText"/>
        <w:spacing w:line="391" w:lineRule="auto" w:before="134"/>
        <w:ind w:left="658" w:right="2379" w:hanging="420"/>
        <w:jc w:val="left"/>
      </w:pPr>
      <w:r>
        <w:rPr/>
        <w:t>并完成向郑晓东定向增发人民币普通股</w:t>
      </w:r>
      <w:r>
        <w:rPr>
          <w:rFonts w:ascii="宋体" w:hAnsi="宋体" w:cs="宋体" w:eastAsia="宋体" w:hint="default"/>
        </w:rPr>
        <w:t>(A</w:t>
      </w:r>
      <w:r>
        <w:rPr>
          <w:rFonts w:ascii="宋体" w:hAnsi="宋体" w:cs="宋体" w:eastAsia="宋体" w:hint="default"/>
          <w:spacing w:val="-54"/>
        </w:rPr>
        <w:t> </w:t>
      </w:r>
      <w:r>
        <w:rPr/>
        <w:t>股</w:t>
      </w:r>
      <w:r>
        <w:rPr>
          <w:rFonts w:ascii="宋体" w:hAnsi="宋体" w:cs="宋体" w:eastAsia="宋体" w:hint="default"/>
        </w:rPr>
        <w:t>)</w:t>
      </w:r>
      <w:r>
        <w:rPr/>
        <w:t>股票</w:t>
      </w:r>
      <w:r>
        <w:rPr>
          <w:spacing w:val="-55"/>
        </w:rPr>
        <w:t> </w:t>
      </w:r>
      <w:r>
        <w:rPr>
          <w:rFonts w:ascii="宋体" w:hAnsi="宋体" w:cs="宋体" w:eastAsia="宋体" w:hint="default"/>
        </w:rPr>
        <w:t>4,275,380.00</w:t>
      </w:r>
      <w:r>
        <w:rPr>
          <w:rFonts w:ascii="宋体" w:hAnsi="宋体" w:cs="宋体" w:eastAsia="宋体" w:hint="default"/>
          <w:spacing w:val="-54"/>
        </w:rPr>
        <w:t> </w:t>
      </w:r>
      <w:r>
        <w:rPr/>
        <w:t>股</w:t>
      </w:r>
      <w:r>
        <w:rPr>
          <w:rFonts w:ascii="宋体" w:hAnsi="宋体" w:cs="宋体" w:eastAsia="宋体" w:hint="default"/>
        </w:rPr>
        <w:t>,</w:t>
      </w:r>
      <w:r>
        <w:rPr/>
        <w:t>每股面值</w:t>
      </w:r>
      <w:r>
        <w:rPr>
          <w:spacing w:val="-54"/>
        </w:rPr>
        <w:t> </w:t>
      </w:r>
      <w:r>
        <w:rPr>
          <w:rFonts w:ascii="宋体" w:hAnsi="宋体" w:cs="宋体" w:eastAsia="宋体" w:hint="default"/>
        </w:rPr>
        <w:t>1</w:t>
      </w:r>
      <w:r>
        <w:rPr>
          <w:rFonts w:ascii="宋体" w:hAnsi="宋体" w:cs="宋体" w:eastAsia="宋体" w:hint="default"/>
          <w:spacing w:val="-54"/>
        </w:rPr>
        <w:t> </w:t>
      </w:r>
      <w:r>
        <w:rPr/>
        <w:t>元。 </w:t>
      </w:r>
      <w:bookmarkStart w:name="(三) 关联方应收应付款项" w:id="262"/>
      <w:bookmarkEnd w:id="262"/>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关联方应收应付款项</w:t>
      </w:r>
    </w:p>
    <w:p>
      <w:pPr>
        <w:pStyle w:val="BodyText"/>
        <w:spacing w:line="240" w:lineRule="auto" w:before="41"/>
        <w:ind w:left="664" w:right="1688"/>
        <w:jc w:val="left"/>
      </w:pPr>
      <w:bookmarkStart w:name="1．应收关联方款项" w:id="263"/>
      <w:bookmarkEnd w:id="263"/>
      <w:r>
        <w:rPr/>
      </w:r>
      <w:r>
        <w:rPr>
          <w:rFonts w:ascii="宋体" w:hAnsi="宋体" w:cs="宋体" w:eastAsia="宋体" w:hint="default"/>
        </w:rPr>
        <w:t>1</w:t>
      </w:r>
      <w:r>
        <w:rPr/>
        <w:t>．应收关联方款项</w:t>
      </w:r>
    </w:p>
    <w:p>
      <w:pPr>
        <w:spacing w:line="240" w:lineRule="auto" w:before="12"/>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1232"/>
        <w:gridCol w:w="2702"/>
        <w:gridCol w:w="1296"/>
        <w:gridCol w:w="1116"/>
        <w:gridCol w:w="1158"/>
        <w:gridCol w:w="1026"/>
      </w:tblGrid>
      <w:tr>
        <w:trPr>
          <w:trHeight w:val="484" w:hRule="exact"/>
        </w:trPr>
        <w:tc>
          <w:tcPr>
            <w:tcW w:w="123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6"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7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1232" w:type="dxa"/>
            <w:vMerge/>
            <w:tcBorders>
              <w:left w:val="nil" w:sz="6" w:space="0" w:color="auto"/>
              <w:bottom w:val="single" w:sz="4" w:space="0" w:color="000000"/>
              <w:right w:val="single" w:sz="4" w:space="0" w:color="000000"/>
            </w:tcBorders>
          </w:tcPr>
          <w:p>
            <w:pPr/>
          </w:p>
        </w:tc>
        <w:tc>
          <w:tcPr>
            <w:tcW w:w="2702"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397,200.15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87,715.05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0" w:right="0"/>
              <w:jc w:val="center"/>
              <w:rPr>
                <w:rFonts w:ascii="宋体" w:hAnsi="宋体" w:cs="宋体" w:eastAsia="宋体" w:hint="default"/>
                <w:sz w:val="18"/>
                <w:szCs w:val="18"/>
              </w:rPr>
            </w:pPr>
            <w:r>
              <w:rPr>
                <w:rFonts w:ascii="宋体"/>
                <w:sz w:val="18"/>
              </w:rPr>
              <w:t>397,200.15</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sz w:val="18"/>
              </w:rPr>
              <w:t>39,540.02</w:t>
            </w:r>
          </w:p>
        </w:tc>
      </w:tr>
      <w:tr>
        <w:trPr>
          <w:trHeight w:val="484" w:hRule="exact"/>
        </w:trPr>
        <w:tc>
          <w:tcPr>
            <w:tcW w:w="1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1,833,601.00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124,304.30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宋体" w:hAnsi="宋体" w:cs="宋体" w:eastAsia="宋体" w:hint="default"/>
                <w:sz w:val="18"/>
                <w:szCs w:val="18"/>
              </w:rPr>
            </w:pPr>
            <w:r>
              <w:rPr>
                <w:rFonts w:ascii="宋体"/>
                <w:sz w:val="18"/>
              </w:rPr>
              <w:t>130,497.00</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13,049.70</w:t>
            </w:r>
          </w:p>
        </w:tc>
      </w:tr>
      <w:tr>
        <w:trPr>
          <w:trHeight w:val="484" w:hRule="exact"/>
        </w:trPr>
        <w:tc>
          <w:tcPr>
            <w:tcW w:w="1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2,230,801.15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212,019.35</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宋体" w:hAnsi="宋体" w:cs="宋体" w:eastAsia="宋体" w:hint="default"/>
                <w:sz w:val="18"/>
                <w:szCs w:val="18"/>
              </w:rPr>
            </w:pPr>
            <w:r>
              <w:rPr>
                <w:rFonts w:ascii="宋体"/>
                <w:sz w:val="18"/>
              </w:rPr>
              <w:t>527,697.15</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52,589.72</w:t>
            </w:r>
          </w:p>
        </w:tc>
      </w:tr>
      <w:tr>
        <w:trPr>
          <w:trHeight w:val="484" w:hRule="exact"/>
        </w:trPr>
        <w:tc>
          <w:tcPr>
            <w:tcW w:w="1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新疆昌源水务准东供水有限公司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265,000.00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79,500.00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宋体" w:hAnsi="宋体" w:cs="宋体" w:eastAsia="宋体" w:hint="default"/>
                <w:sz w:val="18"/>
                <w:szCs w:val="18"/>
              </w:rPr>
            </w:pPr>
            <w:r>
              <w:rPr>
                <w:rFonts w:ascii="宋体"/>
                <w:sz w:val="18"/>
              </w:rPr>
              <w:t>265,000.00</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26,500.00</w:t>
            </w:r>
          </w:p>
        </w:tc>
      </w:tr>
      <w:tr>
        <w:trPr>
          <w:trHeight w:val="484" w:hRule="exact"/>
        </w:trPr>
        <w:tc>
          <w:tcPr>
            <w:tcW w:w="12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79,500.00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0" w:right="0"/>
              <w:jc w:val="center"/>
              <w:rPr>
                <w:rFonts w:ascii="宋体" w:hAnsi="宋体" w:cs="宋体" w:eastAsia="宋体" w:hint="default"/>
                <w:sz w:val="18"/>
                <w:szCs w:val="18"/>
              </w:rPr>
            </w:pPr>
            <w:r>
              <w:rPr>
                <w:rFonts w:ascii="宋体"/>
                <w:sz w:val="18"/>
              </w:rPr>
              <w:t>265,000.00</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sz w:val="18"/>
              </w:rPr>
              <w:t>26,500.00</w:t>
            </w:r>
          </w:p>
        </w:tc>
      </w:tr>
    </w:tbl>
    <w:p>
      <w:pPr>
        <w:spacing w:before="89"/>
        <w:ind w:left="658" w:right="1688" w:firstLine="0"/>
        <w:jc w:val="left"/>
        <w:rPr>
          <w:rFonts w:ascii="宋体" w:hAnsi="宋体" w:cs="宋体" w:eastAsia="宋体" w:hint="default"/>
          <w:sz w:val="18"/>
          <w:szCs w:val="18"/>
        </w:rPr>
      </w:pPr>
      <w:bookmarkStart w:name="2．应付关联方款项" w:id="264"/>
      <w:bookmarkEnd w:id="264"/>
      <w:r>
        <w:rPr/>
      </w:r>
      <w:r>
        <w:rPr>
          <w:rFonts w:ascii="宋体" w:hAnsi="宋体" w:cs="宋体" w:eastAsia="宋体" w:hint="default"/>
          <w:sz w:val="18"/>
          <w:szCs w:val="18"/>
        </w:rPr>
        <w:t>2</w:t>
      </w:r>
      <w:r>
        <w:rPr>
          <w:rFonts w:ascii="宋体" w:hAnsi="宋体" w:cs="宋体" w:eastAsia="宋体" w:hint="default"/>
          <w:sz w:val="18"/>
          <w:szCs w:val="18"/>
        </w:rPr>
        <w:t>．应付关联方款项</w:t>
      </w:r>
    </w:p>
    <w:p>
      <w:pPr>
        <w:spacing w:line="240" w:lineRule="auto" w:before="5"/>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218"/>
        <w:gridCol w:w="3074"/>
        <w:gridCol w:w="2177"/>
        <w:gridCol w:w="2044"/>
      </w:tblGrid>
      <w:tr>
        <w:trPr>
          <w:trHeight w:val="484"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长沙美能电力设备股份有限公司</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7"/>
              <w:jc w:val="right"/>
              <w:rPr>
                <w:rFonts w:ascii="宋体" w:hAnsi="宋体" w:cs="宋体" w:eastAsia="宋体" w:hint="default"/>
                <w:sz w:val="18"/>
                <w:szCs w:val="18"/>
              </w:rPr>
            </w:pPr>
            <w:r>
              <w:rPr>
                <w:rFonts w:ascii="宋体"/>
                <w:sz w:val="18"/>
              </w:rPr>
              <w:t>166,600.00</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42"/>
              <w:jc w:val="right"/>
              <w:rPr>
                <w:rFonts w:ascii="宋体" w:hAnsi="宋体" w:cs="宋体" w:eastAsia="宋体" w:hint="default"/>
                <w:sz w:val="18"/>
                <w:szCs w:val="18"/>
              </w:rPr>
            </w:pPr>
            <w:r>
              <w:rPr>
                <w:rFonts w:ascii="宋体"/>
                <w:sz w:val="18"/>
              </w:rPr>
              <w:t>166,600.00</w:t>
            </w:r>
          </w:p>
        </w:tc>
      </w:tr>
      <w:tr>
        <w:trPr>
          <w:trHeight w:val="482"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7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7"/>
              <w:jc w:val="right"/>
              <w:rPr>
                <w:rFonts w:ascii="宋体" w:hAnsi="宋体" w:cs="宋体" w:eastAsia="宋体" w:hint="default"/>
                <w:sz w:val="18"/>
                <w:szCs w:val="18"/>
              </w:rPr>
            </w:pPr>
            <w:r>
              <w:rPr>
                <w:rFonts w:ascii="宋体"/>
                <w:sz w:val="18"/>
              </w:rPr>
              <w:t>166,600.00</w:t>
            </w: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42"/>
              <w:jc w:val="right"/>
              <w:rPr>
                <w:rFonts w:ascii="宋体" w:hAnsi="宋体" w:cs="宋体" w:eastAsia="宋体" w:hint="default"/>
                <w:sz w:val="18"/>
                <w:szCs w:val="18"/>
              </w:rPr>
            </w:pPr>
            <w:r>
              <w:rPr>
                <w:rFonts w:ascii="宋体"/>
                <w:sz w:val="18"/>
              </w:rPr>
              <w:t>166,600.00</w:t>
            </w:r>
          </w:p>
        </w:tc>
      </w:tr>
      <w:tr>
        <w:trPr>
          <w:trHeight w:val="484"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上海自来水投资建设有限公司</w:t>
            </w:r>
          </w:p>
        </w:tc>
        <w:tc>
          <w:tcPr>
            <w:tcW w:w="2177"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2"/>
              <w:jc w:val="right"/>
              <w:rPr>
                <w:rFonts w:ascii="宋体" w:hAnsi="宋体" w:cs="宋体" w:eastAsia="宋体" w:hint="default"/>
                <w:sz w:val="18"/>
                <w:szCs w:val="18"/>
              </w:rPr>
            </w:pPr>
            <w:r>
              <w:rPr>
                <w:rFonts w:ascii="宋体"/>
                <w:sz w:val="18"/>
              </w:rPr>
              <w:t>243,600.00</w:t>
            </w:r>
          </w:p>
        </w:tc>
      </w:tr>
      <w:tr>
        <w:trPr>
          <w:trHeight w:val="484"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7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0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42"/>
              <w:jc w:val="right"/>
              <w:rPr>
                <w:rFonts w:ascii="宋体" w:hAnsi="宋体" w:cs="宋体" w:eastAsia="宋体" w:hint="default"/>
                <w:sz w:val="18"/>
                <w:szCs w:val="18"/>
              </w:rPr>
            </w:pPr>
            <w:r>
              <w:rPr>
                <w:rFonts w:ascii="宋体"/>
                <w:sz w:val="18"/>
              </w:rPr>
              <w:t>243,600.00</w:t>
            </w:r>
          </w:p>
        </w:tc>
      </w:tr>
      <w:tr>
        <w:trPr>
          <w:trHeight w:val="484"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宋体" w:hAnsi="宋体" w:cs="宋体" w:eastAsia="宋体" w:hint="default"/>
                <w:sz w:val="18"/>
                <w:szCs w:val="18"/>
              </w:rPr>
            </w:pPr>
            <w:r>
              <w:rPr>
                <w:rFonts w:ascii="宋体" w:hAnsi="宋体" w:cs="宋体" w:eastAsia="宋体" w:hint="default"/>
                <w:sz w:val="18"/>
                <w:szCs w:val="18"/>
              </w:rPr>
              <w:t>郑晓东</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7"/>
              <w:jc w:val="right"/>
              <w:rPr>
                <w:rFonts w:ascii="宋体" w:hAnsi="宋体" w:cs="宋体" w:eastAsia="宋体" w:hint="default"/>
                <w:sz w:val="18"/>
                <w:szCs w:val="18"/>
              </w:rPr>
            </w:pPr>
            <w:r>
              <w:rPr>
                <w:rFonts w:ascii="宋体"/>
                <w:sz w:val="18"/>
              </w:rPr>
              <w:t>128,330,823.00</w:t>
            </w:r>
          </w:p>
        </w:tc>
        <w:tc>
          <w:tcPr>
            <w:tcW w:w="204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2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74"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37"/>
              <w:jc w:val="right"/>
              <w:rPr>
                <w:rFonts w:ascii="宋体" w:hAnsi="宋体" w:cs="宋体" w:eastAsia="宋体" w:hint="default"/>
                <w:sz w:val="18"/>
                <w:szCs w:val="18"/>
              </w:rPr>
            </w:pPr>
            <w:r>
              <w:rPr>
                <w:rFonts w:ascii="宋体"/>
                <w:sz w:val="18"/>
              </w:rPr>
              <w:t>128,330,823.00</w:t>
            </w:r>
          </w:p>
        </w:tc>
        <w:tc>
          <w:tcPr>
            <w:tcW w:w="204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Heading3"/>
        <w:spacing w:line="240" w:lineRule="auto" w:before="35"/>
        <w:ind w:left="658" w:right="1688"/>
        <w:jc w:val="left"/>
        <w:rPr>
          <w:rFonts w:ascii="黑体" w:hAnsi="黑体" w:cs="黑体" w:eastAsia="黑体" w:hint="default"/>
          <w:b w:val="0"/>
          <w:bCs w:val="0"/>
        </w:rPr>
      </w:pPr>
      <w:bookmarkStart w:name="十三、承诺及或有事项" w:id="265"/>
      <w:bookmarkEnd w:id="265"/>
      <w:r>
        <w:rPr>
          <w:b w:val="0"/>
          <w:bCs w:val="0"/>
        </w:rPr>
      </w:r>
      <w:r>
        <w:rPr>
          <w:rFonts w:ascii="黑体" w:hAnsi="黑体" w:cs="黑体" w:eastAsia="黑体" w:hint="default"/>
        </w:rPr>
        <w:t>十三、承诺及或有事项</w:t>
      </w:r>
      <w:r>
        <w:rPr>
          <w:rFonts w:ascii="黑体" w:hAnsi="黑体" w:cs="黑体" w:eastAsia="黑体" w:hint="default"/>
          <w:b w:val="0"/>
          <w:bCs w:val="0"/>
        </w:rPr>
      </w:r>
    </w:p>
    <w:p>
      <w:pPr>
        <w:pStyle w:val="BodyText"/>
        <w:spacing w:line="240" w:lineRule="auto" w:before="133"/>
        <w:ind w:left="657" w:right="1688"/>
        <w:jc w:val="left"/>
      </w:pPr>
      <w:bookmarkStart w:name="(一) 重要承诺事项" w:id="266"/>
      <w:bookmarkEnd w:id="266"/>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重要承诺事项</w:t>
      </w:r>
    </w:p>
    <w:p>
      <w:pPr>
        <w:pStyle w:val="BodyText"/>
        <w:spacing w:line="240" w:lineRule="auto" w:before="134"/>
        <w:ind w:left="664" w:right="0"/>
        <w:jc w:val="left"/>
      </w:pPr>
      <w:r>
        <w:rPr>
          <w:rFonts w:ascii="宋体" w:hAnsi="宋体" w:cs="宋体" w:eastAsia="宋体" w:hint="default"/>
        </w:rPr>
        <w:t>1</w:t>
      </w:r>
      <w:r>
        <w:rPr>
          <w:spacing w:val="6"/>
        </w:rPr>
        <w:t>．</w:t>
      </w: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w:t>
      </w:r>
      <w:r>
        <w:rPr>
          <w:spacing w:val="-100"/>
        </w:rPr>
        <w:t>，</w:t>
      </w:r>
      <w:r>
        <w:rPr/>
        <w:t>公司未履行完毕的远期结售汇合约共计</w:t>
      </w:r>
      <w:r>
        <w:rPr>
          <w:spacing w:val="-52"/>
        </w:rPr>
        <w:t> </w:t>
      </w:r>
      <w:r>
        <w:rPr>
          <w:rFonts w:ascii="宋体" w:hAnsi="宋体" w:cs="宋体" w:eastAsia="宋体" w:hint="default"/>
        </w:rPr>
        <w:t>6,040.00</w:t>
      </w:r>
      <w:r>
        <w:rPr>
          <w:rFonts w:ascii="宋体" w:hAnsi="宋体" w:cs="宋体" w:eastAsia="宋体" w:hint="default"/>
          <w:spacing w:val="-53"/>
        </w:rPr>
        <w:t> </w:t>
      </w:r>
      <w:r>
        <w:rPr/>
        <w:t>万美元，</w:t>
      </w:r>
    </w:p>
    <w:p>
      <w:pPr>
        <w:pStyle w:val="BodyText"/>
        <w:spacing w:line="240" w:lineRule="auto" w:before="133"/>
        <w:ind w:left="237" w:right="1688"/>
        <w:jc w:val="left"/>
      </w:pPr>
      <w:r>
        <w:rPr/>
        <w:t>交割期限为</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日至</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6</w:t>
      </w:r>
      <w:r>
        <w:rPr>
          <w:rFonts w:ascii="宋体" w:hAnsi="宋体" w:cs="宋体" w:eastAsia="宋体" w:hint="default"/>
          <w:spacing w:val="-52"/>
        </w:rPr>
        <w:t> </w:t>
      </w:r>
      <w:r>
        <w:rPr/>
        <w:t>日</w:t>
      </w:r>
      <w:r>
        <w:rPr>
          <w:spacing w:val="-88"/>
        </w:rPr>
        <w:t>，</w:t>
      </w:r>
      <w:r>
        <w:rPr>
          <w:spacing w:val="-2"/>
        </w:rPr>
        <w:t>期</w:t>
      </w:r>
      <w:r>
        <w:rPr/>
        <w:t>末已按相应远期汇率确认以公允价值计</w:t>
      </w:r>
    </w:p>
    <w:p>
      <w:pPr>
        <w:pStyle w:val="BodyText"/>
        <w:spacing w:line="240" w:lineRule="auto" w:before="134"/>
        <w:ind w:left="238" w:right="1688"/>
        <w:jc w:val="left"/>
      </w:pPr>
      <w:r>
        <w:rPr/>
        <w:t>量且其变动计入当期损益的金融负债</w:t>
      </w:r>
      <w:r>
        <w:rPr>
          <w:spacing w:val="-52"/>
        </w:rPr>
        <w:t> </w:t>
      </w:r>
      <w:r>
        <w:rPr>
          <w:rFonts w:ascii="宋体" w:hAnsi="宋体" w:cs="宋体" w:eastAsia="宋体" w:hint="default"/>
        </w:rPr>
        <w:t>2,333,342.50</w:t>
      </w:r>
      <w:r>
        <w:rPr>
          <w:rFonts w:ascii="宋体" w:hAnsi="宋体" w:cs="宋体" w:eastAsia="宋体" w:hint="default"/>
          <w:spacing w:val="-53"/>
        </w:rPr>
        <w:t> </w:t>
      </w:r>
      <w:r>
        <w:rPr/>
        <w:t>元。</w:t>
      </w:r>
    </w:p>
    <w:p>
      <w:pPr>
        <w:pStyle w:val="BodyText"/>
        <w:spacing w:line="240" w:lineRule="auto" w:before="133"/>
        <w:ind w:left="657" w:right="1688"/>
        <w:jc w:val="left"/>
      </w:pPr>
      <w:r>
        <w:rPr>
          <w:rFonts w:ascii="宋体" w:hAnsi="宋体" w:cs="宋体" w:eastAsia="宋体" w:hint="default"/>
          <w:spacing w:val="-8"/>
        </w:rPr>
        <w:t>2</w:t>
      </w:r>
      <w:r>
        <w:rPr>
          <w:spacing w:val="-8"/>
        </w:rPr>
        <w:t>．截至</w:t>
      </w:r>
      <w:r>
        <w:rPr>
          <w:spacing w:val="-58"/>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日，公司尚有未到期的履约保函人民币</w:t>
      </w:r>
      <w:r>
        <w:rPr>
          <w:spacing w:val="-56"/>
        </w:rPr>
        <w:t> </w:t>
      </w:r>
      <w:r>
        <w:rPr>
          <w:rFonts w:ascii="宋体" w:hAnsi="宋体" w:cs="宋体" w:eastAsia="宋体" w:hint="default"/>
        </w:rPr>
        <w:t>59,670,030.61</w:t>
      </w:r>
      <w:r>
        <w:rPr>
          <w:rFonts w:ascii="宋体" w:hAnsi="宋体" w:cs="宋体" w:eastAsia="宋体" w:hint="default"/>
          <w:spacing w:val="-56"/>
        </w:rPr>
        <w:t> </w:t>
      </w:r>
      <w:r>
        <w:rPr>
          <w:spacing w:val="-11"/>
        </w:rPr>
        <w:t>元，美</w:t>
      </w:r>
    </w:p>
    <w:p>
      <w:pPr>
        <w:pStyle w:val="BodyText"/>
        <w:spacing w:line="240" w:lineRule="auto" w:before="134"/>
        <w:ind w:left="237" w:right="1688"/>
        <w:jc w:val="left"/>
      </w:pPr>
      <w:r>
        <w:rPr/>
        <w:t>元</w:t>
      </w:r>
      <w:r>
        <w:rPr>
          <w:spacing w:val="-54"/>
        </w:rPr>
        <w:t> </w:t>
      </w:r>
      <w:r>
        <w:rPr>
          <w:rFonts w:ascii="宋体" w:hAnsi="宋体" w:cs="宋体" w:eastAsia="宋体" w:hint="default"/>
        </w:rPr>
        <w:t>70,000.00</w:t>
      </w:r>
      <w:r>
        <w:rPr>
          <w:rFonts w:ascii="宋体" w:hAnsi="宋体" w:cs="宋体" w:eastAsia="宋体" w:hint="default"/>
          <w:spacing w:val="-53"/>
        </w:rPr>
        <w:t> </w:t>
      </w:r>
      <w:r>
        <w:rPr/>
        <w:t>元。</w:t>
      </w:r>
    </w:p>
    <w:p>
      <w:pPr>
        <w:pStyle w:val="BodyText"/>
        <w:spacing w:line="391" w:lineRule="auto" w:before="174"/>
        <w:ind w:left="658" w:right="5678"/>
        <w:jc w:val="left"/>
      </w:pPr>
      <w:bookmarkStart w:name="(二) 或有事项" w:id="267"/>
      <w:bookmarkEnd w:id="26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或有事项 未决诉讼仲裁形成的或有负债及其财务影响</w:t>
      </w:r>
    </w:p>
    <w:p>
      <w:pPr>
        <w:pStyle w:val="BodyText"/>
        <w:spacing w:line="357" w:lineRule="auto" w:before="2"/>
        <w:ind w:left="237" w:right="1795" w:firstLine="426"/>
        <w:jc w:val="both"/>
      </w:pPr>
      <w:r>
        <w:rPr/>
        <w:t>大连深蓝泵业有限公司</w:t>
      </w:r>
      <w:r>
        <w:rPr>
          <w:rFonts w:ascii="宋体" w:hAnsi="宋体" w:cs="宋体" w:eastAsia="宋体" w:hint="default"/>
        </w:rPr>
        <w:t>(</w:t>
      </w:r>
      <w:r>
        <w:rPr/>
        <w:t>以下简称深蓝泵业</w:t>
      </w:r>
      <w:r>
        <w:rPr>
          <w:rFonts w:ascii="宋体" w:hAnsi="宋体" w:cs="宋体" w:eastAsia="宋体" w:hint="default"/>
        </w:rPr>
        <w:t>)</w:t>
      </w:r>
      <w:r>
        <w:rPr/>
        <w:t>以商业秘密受到侵犯为由，于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 </w:t>
      </w:r>
      <w:r>
        <w:rPr>
          <w:spacing w:val="-3"/>
        </w:rPr>
        <w:t>向辽宁省大连市中级人民法院以本公司作为第一被告，技术中心作为第二被告，大连华能作</w:t>
      </w:r>
      <w:r>
        <w:rPr>
          <w:spacing w:val="-75"/>
        </w:rPr>
        <w:t> </w:t>
      </w:r>
      <w:r>
        <w:rPr>
          <w:spacing w:val="-75"/>
        </w:rPr>
      </w:r>
      <w:r>
        <w:rPr>
          <w:spacing w:val="-3"/>
        </w:rPr>
        <w:t>为第三被告提起诉讼，深蓝泵业要求三被告停止对其拥有的商业秘密的侵权行为，并由三被</w:t>
      </w:r>
      <w:r>
        <w:rPr>
          <w:spacing w:val="-75"/>
        </w:rPr>
        <w:t> </w:t>
      </w:r>
      <w:r>
        <w:rPr>
          <w:spacing w:val="-75"/>
        </w:rPr>
      </w:r>
      <w:r>
        <w:rPr/>
        <w:t>告连带支付损害赔偿款</w:t>
      </w:r>
      <w:r>
        <w:rPr>
          <w:spacing w:val="-54"/>
        </w:rPr>
        <w:t> </w:t>
      </w:r>
      <w:r>
        <w:rPr>
          <w:rFonts w:ascii="宋体" w:hAnsi="宋体" w:cs="宋体" w:eastAsia="宋体" w:hint="default"/>
        </w:rPr>
        <w:t>2,000</w:t>
      </w:r>
      <w:r>
        <w:rPr>
          <w:rFonts w:ascii="宋体" w:hAnsi="宋体" w:cs="宋体" w:eastAsia="宋体" w:hint="default"/>
          <w:spacing w:val="-53"/>
        </w:rPr>
        <w:t> </w:t>
      </w:r>
      <w:r>
        <w:rPr/>
        <w:t>万元及承担诉讼费用。</w:t>
      </w:r>
    </w:p>
    <w:p>
      <w:pPr>
        <w:pStyle w:val="BodyText"/>
        <w:spacing w:line="357" w:lineRule="auto"/>
        <w:ind w:left="237" w:right="1783" w:firstLine="426"/>
        <w:jc w:val="left"/>
      </w:pP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月，公司收到辽宁省大连市中级人民法院《民事判决书》</w:t>
      </w:r>
      <w:r>
        <w:rPr>
          <w:rFonts w:ascii="宋体" w:hAnsi="宋体" w:cs="宋体" w:eastAsia="宋体" w:hint="default"/>
        </w:rPr>
        <w:t>(</w:t>
      </w:r>
      <w:r>
        <w:rPr/>
        <w:t>〔</w:t>
      </w:r>
      <w:r>
        <w:rPr>
          <w:rFonts w:ascii="宋体" w:hAnsi="宋体" w:cs="宋体" w:eastAsia="宋体" w:hint="default"/>
        </w:rPr>
        <w:t>2013</w:t>
      </w:r>
      <w:r>
        <w:rPr/>
        <w:t>〕大民四 初字第</w:t>
      </w:r>
      <w:r>
        <w:rPr>
          <w:spacing w:val="-55"/>
        </w:rPr>
        <w:t> </w:t>
      </w:r>
      <w:r>
        <w:rPr>
          <w:rFonts w:ascii="宋体" w:hAnsi="宋体" w:cs="宋体" w:eastAsia="宋体" w:hint="default"/>
        </w:rPr>
        <w:t>51</w:t>
      </w:r>
      <w:r>
        <w:rPr>
          <w:rFonts w:ascii="宋体" w:hAnsi="宋体" w:cs="宋体" w:eastAsia="宋体" w:hint="default"/>
          <w:spacing w:val="-54"/>
        </w:rPr>
        <w:t> </w:t>
      </w:r>
      <w:r>
        <w:rPr/>
        <w:t>号</w:t>
      </w:r>
      <w:r>
        <w:rPr>
          <w:rFonts w:ascii="宋体" w:hAnsi="宋体" w:cs="宋体" w:eastAsia="宋体" w:hint="default"/>
        </w:rPr>
        <w:t>)</w:t>
      </w:r>
      <w:r>
        <w:rPr/>
        <w:t>。判决如下：</w:t>
      </w:r>
      <w:r>
        <w:rPr>
          <w:rFonts w:ascii="宋体" w:hAnsi="宋体" w:cs="宋体" w:eastAsia="宋体" w:hint="default"/>
        </w:rPr>
        <w:t>1.</w:t>
      </w:r>
      <w:r>
        <w:rPr>
          <w:rFonts w:ascii="宋体" w:hAnsi="宋体" w:cs="宋体" w:eastAsia="宋体" w:hint="default"/>
          <w:spacing w:val="-4"/>
        </w:rPr>
        <w:t> </w:t>
      </w:r>
      <w:r>
        <w:rPr/>
        <w:t>被告利欧</w:t>
      </w:r>
      <w:r>
        <w:rPr>
          <w:rFonts w:ascii="宋体" w:hAnsi="宋体" w:cs="宋体" w:eastAsia="宋体" w:hint="default"/>
        </w:rPr>
        <w:t>(</w:t>
      </w:r>
      <w:r>
        <w:rPr/>
        <w:t>大连</w:t>
      </w:r>
      <w:r>
        <w:rPr>
          <w:rFonts w:ascii="宋体" w:hAnsi="宋体" w:cs="宋体" w:eastAsia="宋体" w:hint="default"/>
        </w:rPr>
        <w:t>)</w:t>
      </w:r>
      <w:r>
        <w:rPr/>
        <w:t>工业泵技术中心有限公司、被告大连利欧华 能泵业有限公司于本判决发生法律效力之日起立即停止使用原告大连深蓝泵业有限公司所 拥有的</w:t>
      </w:r>
      <w:r>
        <w:rPr>
          <w:spacing w:val="-50"/>
        </w:rPr>
        <w:t> </w:t>
      </w:r>
      <w:r>
        <w:rPr>
          <w:rFonts w:ascii="宋体" w:hAnsi="宋体" w:cs="宋体" w:eastAsia="宋体" w:hint="default"/>
        </w:rPr>
        <w:t>265HDD125</w:t>
      </w:r>
      <w:r>
        <w:rPr>
          <w:rFonts w:ascii="宋体" w:hAnsi="宋体" w:cs="宋体" w:eastAsia="宋体" w:hint="default"/>
          <w:spacing w:val="-49"/>
        </w:rPr>
        <w:t> </w:t>
      </w:r>
      <w:r>
        <w:rPr>
          <w:spacing w:val="-3"/>
        </w:rPr>
        <w:t>总装配图及附图、</w:t>
      </w:r>
      <w:r>
        <w:rPr>
          <w:rFonts w:ascii="宋体" w:hAnsi="宋体" w:cs="宋体" w:eastAsia="宋体" w:hint="default"/>
          <w:spacing w:val="-3"/>
        </w:rPr>
        <w:t>1800HDD45</w:t>
      </w:r>
      <w:r>
        <w:rPr>
          <w:rFonts w:ascii="宋体" w:hAnsi="宋体" w:cs="宋体" w:eastAsia="宋体" w:hint="default"/>
          <w:spacing w:val="-49"/>
        </w:rPr>
        <w:t> </w:t>
      </w:r>
      <w:r>
        <w:rPr/>
        <w:t>装配图纸及附图所承载的工业泵的全部尺寸 与结构信息的商业秘密，停止使用的时间持续到前述商业秘密为公众知悉为止。</w:t>
      </w:r>
      <w:r>
        <w:rPr>
          <w:rFonts w:ascii="宋体" w:hAnsi="宋体" w:cs="宋体" w:eastAsia="宋体" w:hint="default"/>
        </w:rPr>
        <w:t>2. </w:t>
      </w:r>
      <w:r>
        <w:rPr/>
        <w:t>被告利 </w:t>
      </w:r>
      <w:r>
        <w:rPr>
          <w:spacing w:val="-3"/>
        </w:rPr>
        <w:t>欧</w:t>
      </w:r>
      <w:r>
        <w:rPr>
          <w:rFonts w:ascii="宋体" w:hAnsi="宋体" w:cs="宋体" w:eastAsia="宋体" w:hint="default"/>
          <w:spacing w:val="-3"/>
        </w:rPr>
        <w:t>(</w:t>
      </w:r>
      <w:r>
        <w:rPr>
          <w:spacing w:val="-3"/>
        </w:rPr>
        <w:t>大连</w:t>
      </w:r>
      <w:r>
        <w:rPr>
          <w:rFonts w:ascii="宋体" w:hAnsi="宋体" w:cs="宋体" w:eastAsia="宋体" w:hint="default"/>
          <w:spacing w:val="-3"/>
        </w:rPr>
        <w:t>)</w:t>
      </w:r>
      <w:r>
        <w:rPr>
          <w:spacing w:val="-3"/>
        </w:rPr>
        <w:t>工业泵技术中心有限公司、被告大连利欧华能泵业有限公司于本判决发生法律效力</w:t>
      </w:r>
      <w:r>
        <w:rPr>
          <w:spacing w:val="-72"/>
        </w:rPr>
        <w:t> </w:t>
      </w:r>
      <w:r>
        <w:rPr>
          <w:spacing w:val="-72"/>
        </w:rPr>
      </w:r>
      <w:r>
        <w:rPr/>
        <w:t>之日三十日内连带赔偿原告大连深蓝泵业有限公司人民币</w:t>
      </w:r>
      <w:r>
        <w:rPr>
          <w:spacing w:val="-54"/>
        </w:rPr>
        <w:t> </w:t>
      </w:r>
      <w:r>
        <w:rPr>
          <w:rFonts w:ascii="宋体" w:hAnsi="宋体" w:cs="宋体" w:eastAsia="宋体" w:hint="default"/>
        </w:rPr>
        <w:t>30</w:t>
      </w:r>
      <w:r>
        <w:rPr>
          <w:rFonts w:ascii="宋体" w:hAnsi="宋体" w:cs="宋体" w:eastAsia="宋体" w:hint="default"/>
          <w:spacing w:val="-54"/>
        </w:rPr>
        <w:t> </w:t>
      </w:r>
      <w:r>
        <w:rPr/>
        <w:t>万元。如果未按本判决指定的 期间履行给付金钱义务</w:t>
      </w:r>
      <w:r>
        <w:rPr>
          <w:rFonts w:ascii="宋体" w:hAnsi="宋体" w:cs="宋体" w:eastAsia="宋体" w:hint="default"/>
        </w:rPr>
        <w:t>,</w:t>
      </w:r>
      <w:r>
        <w:rPr/>
        <w:t>应当按照《中华人民共和国民事诉讼法》第二百五十三条之规定</w:t>
      </w:r>
      <w:r>
        <w:rPr>
          <w:rFonts w:ascii="宋体" w:hAnsi="宋体" w:cs="宋体" w:eastAsia="宋体" w:hint="default"/>
        </w:rPr>
        <w:t>, </w:t>
      </w:r>
      <w:r>
        <w:rPr/>
        <w:t>加倍支付延迟履行期间的债务利息。</w:t>
      </w:r>
      <w:r>
        <w:rPr>
          <w:rFonts w:ascii="宋体" w:hAnsi="宋体" w:cs="宋体" w:eastAsia="宋体" w:hint="default"/>
        </w:rPr>
        <w:t>3.</w:t>
      </w:r>
      <w:r>
        <w:rPr>
          <w:rFonts w:ascii="宋体" w:hAnsi="宋体" w:cs="宋体" w:eastAsia="宋体" w:hint="default"/>
          <w:spacing w:val="-2"/>
        </w:rPr>
        <w:t> </w:t>
      </w:r>
      <w:r>
        <w:rPr/>
        <w:t>驳回原告大连深蓝泵业有限公司对被告利欧集团股 份有限公司的诉讼请求。</w:t>
      </w:r>
      <w:r>
        <w:rPr>
          <w:rFonts w:ascii="宋体" w:hAnsi="宋体" w:cs="宋体" w:eastAsia="宋体" w:hint="default"/>
        </w:rPr>
        <w:t>4.</w:t>
      </w:r>
      <w:r>
        <w:rPr>
          <w:rFonts w:ascii="宋体" w:hAnsi="宋体" w:cs="宋体" w:eastAsia="宋体" w:hint="default"/>
          <w:spacing w:val="-2"/>
        </w:rPr>
        <w:t> </w:t>
      </w:r>
      <w:r>
        <w:rPr/>
        <w:t>驳回原告大连深蓝泵业有限公司的其他诉讼请求。</w:t>
      </w:r>
    </w:p>
    <w:p>
      <w:pPr>
        <w:pStyle w:val="BodyText"/>
        <w:spacing w:line="240" w:lineRule="auto" w:before="71"/>
        <w:ind w:left="657" w:right="0"/>
        <w:jc w:val="left"/>
      </w:pPr>
      <w:r>
        <w:rPr>
          <w:spacing w:val="-4"/>
        </w:rPr>
        <w:t>公司对于一审判决不服，将向辽宁省高级人民法院提起上诉。截止</w:t>
      </w:r>
      <w:r>
        <w:rPr>
          <w:spacing w:val="-48"/>
        </w:rPr>
        <w:t> </w:t>
      </w:r>
      <w:r>
        <w:rPr>
          <w:rFonts w:ascii="宋体" w:hAnsi="宋体" w:cs="宋体" w:eastAsia="宋体" w:hint="default"/>
        </w:rPr>
        <w:t>2014</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t>日，</w:t>
      </w:r>
    </w:p>
    <w:p>
      <w:pPr>
        <w:pStyle w:val="BodyText"/>
        <w:spacing w:line="240" w:lineRule="auto" w:before="133"/>
        <w:ind w:left="237" w:right="1688"/>
        <w:jc w:val="left"/>
      </w:pPr>
      <w:r>
        <w:rPr/>
        <w:t>诉讼事项尚在审理当中。大连华能已根据一审判决结果计提预计负债</w:t>
      </w:r>
      <w:r>
        <w:rPr>
          <w:spacing w:val="-53"/>
        </w:rPr>
        <w:t> </w:t>
      </w:r>
      <w:r>
        <w:rPr>
          <w:rFonts w:ascii="宋体" w:hAnsi="宋体" w:cs="宋体" w:eastAsia="宋体" w:hint="default"/>
        </w:rPr>
        <w:t>30</w:t>
      </w:r>
      <w:r>
        <w:rPr>
          <w:rFonts w:ascii="宋体" w:hAnsi="宋体" w:cs="宋体" w:eastAsia="宋体" w:hint="default"/>
          <w:spacing w:val="-53"/>
        </w:rPr>
        <w:t> </w:t>
      </w:r>
      <w:r>
        <w:rPr/>
        <w:t>万元。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ind w:left="658" w:right="1688"/>
        <w:jc w:val="left"/>
        <w:rPr>
          <w:rFonts w:ascii="黑体" w:hAnsi="黑体" w:cs="黑体" w:eastAsia="黑体" w:hint="default"/>
          <w:b w:val="0"/>
          <w:bCs w:val="0"/>
        </w:rPr>
      </w:pPr>
      <w:bookmarkStart w:name="十四、资产负债表日后事项" w:id="268"/>
      <w:bookmarkEnd w:id="268"/>
      <w:r>
        <w:rPr>
          <w:b w:val="0"/>
          <w:bCs w:val="0"/>
        </w:rPr>
      </w:r>
      <w:r>
        <w:rPr>
          <w:rFonts w:ascii="黑体" w:hAnsi="黑体" w:cs="黑体" w:eastAsia="黑体" w:hint="default"/>
        </w:rPr>
        <w:t>十四、资产负债表日后事项</w:t>
      </w:r>
      <w:r>
        <w:rPr>
          <w:rFonts w:ascii="黑体" w:hAnsi="黑体" w:cs="黑体" w:eastAsia="黑体" w:hint="default"/>
          <w:b w:val="0"/>
          <w:bCs w:val="0"/>
        </w:rPr>
      </w:r>
    </w:p>
    <w:p>
      <w:pPr>
        <w:pStyle w:val="BodyText"/>
        <w:tabs>
          <w:tab w:pos="1603" w:val="left" w:leader="none"/>
        </w:tabs>
        <w:spacing w:line="240" w:lineRule="auto" w:before="133"/>
        <w:ind w:left="658" w:right="1688"/>
        <w:jc w:val="left"/>
      </w:pPr>
      <w:bookmarkStart w:name="资产负债表日后利润分配情况" w:id="269"/>
      <w:bookmarkEnd w:id="269"/>
      <w:r>
        <w:rPr/>
      </w:r>
      <w:r>
        <w:rPr>
          <w:rFonts w:ascii="宋体" w:hAnsi="宋体" w:cs="宋体" w:eastAsia="宋体" w:hint="default"/>
        </w:rPr>
        <w:t>(</w:t>
      </w:r>
      <w:r>
        <w:rPr/>
        <w:t>一</w:t>
      </w:r>
      <w:r>
        <w:rPr>
          <w:rFonts w:ascii="宋体" w:hAnsi="宋体" w:cs="宋体" w:eastAsia="宋体" w:hint="default"/>
        </w:rPr>
        <w:t>)</w:t>
        <w:tab/>
      </w:r>
      <w:r>
        <w:rPr/>
        <w:t>资产负债表日后利润分配情况</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278"/>
        <w:gridCol w:w="4265"/>
      </w:tblGrid>
      <w:tr>
        <w:trPr>
          <w:trHeight w:val="440"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265" w:type="dxa"/>
            <w:tcBorders>
              <w:top w:val="single" w:sz="4" w:space="0" w:color="000000"/>
              <w:left w:val="single" w:sz="4" w:space="0" w:color="000000"/>
              <w:bottom w:val="single" w:sz="4" w:space="0" w:color="000000"/>
              <w:right w:val="nil" w:sz="6" w:space="0" w:color="auto"/>
            </w:tcBorders>
          </w:tcPr>
          <w:p>
            <w:pPr/>
          </w:p>
        </w:tc>
      </w:tr>
      <w:tr>
        <w:trPr>
          <w:trHeight w:val="102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265"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9"/>
              <w:ind w:left="10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日公司第四届董事会第七次会议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通过的</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年度利润分配预案，以</w:t>
            </w:r>
            <w:r>
              <w:rPr>
                <w:rFonts w:ascii="宋体" w:hAnsi="宋体" w:cs="宋体" w:eastAsia="宋体" w:hint="default"/>
                <w:spacing w:val="-47"/>
                <w:sz w:val="18"/>
                <w:szCs w:val="18"/>
              </w:rPr>
              <w:t> </w:t>
            </w:r>
            <w:r>
              <w:rPr>
                <w:rFonts w:ascii="宋体" w:hAnsi="宋体" w:cs="宋体" w:eastAsia="宋体" w:hint="default"/>
                <w:sz w:val="18"/>
                <w:szCs w:val="18"/>
              </w:rPr>
              <w:t>391,424,450</w:t>
            </w:r>
            <w:r>
              <w:rPr>
                <w:rFonts w:ascii="宋体" w:hAnsi="宋体" w:cs="宋体" w:eastAsia="宋体" w:hint="default"/>
                <w:spacing w:val="-47"/>
                <w:sz w:val="18"/>
                <w:szCs w:val="18"/>
              </w:rPr>
              <w:t> </w:t>
            </w:r>
            <w:r>
              <w:rPr>
                <w:rFonts w:ascii="宋体" w:hAnsi="宋体" w:cs="宋体" w:eastAsia="宋体" w:hint="default"/>
                <w:sz w:val="18"/>
                <w:szCs w:val="18"/>
              </w:rPr>
              <w:t>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为基数</w:t>
            </w:r>
            <w:r>
              <w:rPr>
                <w:rFonts w:ascii="宋体" w:hAnsi="宋体" w:cs="宋体" w:eastAsia="宋体" w:hint="default"/>
                <w:spacing w:val="-90"/>
                <w:sz w:val="18"/>
                <w:szCs w:val="18"/>
              </w:rPr>
              <w:t>，</w:t>
            </w:r>
            <w:r>
              <w:rPr>
                <w:rFonts w:ascii="宋体" w:hAnsi="宋体" w:cs="宋体" w:eastAsia="宋体" w:hint="default"/>
                <w:sz w:val="18"/>
                <w:szCs w:val="18"/>
              </w:rPr>
              <w:t>向股东每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送红股</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，不以公积金转增股本。</w:t>
            </w:r>
          </w:p>
        </w:tc>
      </w:tr>
    </w:tbl>
    <w:p>
      <w:pPr>
        <w:pStyle w:val="BodyText"/>
        <w:spacing w:line="391" w:lineRule="auto" w:before="6"/>
        <w:ind w:left="658" w:right="6489" w:hanging="60"/>
        <w:jc w:val="left"/>
      </w:pPr>
      <w:bookmarkStart w:name="(二) 其他资产负债表日后事项说明" w:id="270"/>
      <w:bookmarkEnd w:id="270"/>
      <w:r>
        <w:rPr/>
      </w:r>
      <w:r>
        <w:rPr>
          <w:rFonts w:ascii="宋体" w:hAnsi="宋体" w:cs="宋体" w:eastAsia="宋体" w:hint="default"/>
          <w:sz w:val="18"/>
          <w:szCs w:val="18"/>
        </w:rPr>
        <w:t>(</w:t>
      </w:r>
      <w:r>
        <w:rPr/>
        <w:t>二</w:t>
      </w:r>
      <w:r>
        <w:rPr>
          <w:rFonts w:ascii="宋体" w:hAnsi="宋体" w:cs="宋体" w:eastAsia="宋体" w:hint="default"/>
        </w:rPr>
        <w:t>)</w:t>
      </w:r>
      <w:r>
        <w:rPr>
          <w:rFonts w:ascii="宋体" w:hAnsi="宋体" w:cs="宋体" w:eastAsia="宋体" w:hint="default"/>
          <w:spacing w:val="-1"/>
        </w:rPr>
        <w:t> </w:t>
      </w:r>
      <w:r>
        <w:rPr/>
        <w:t>其他资产负债表日后事项说明 </w:t>
      </w:r>
      <w:bookmarkStart w:name="1. 大农实业股票挂牌事项" w:id="271"/>
      <w:bookmarkEnd w:id="271"/>
      <w:r>
        <w:rPr/>
      </w:r>
      <w:r>
        <w:rPr>
          <w:rFonts w:ascii="宋体" w:hAnsi="宋体" w:cs="宋体" w:eastAsia="宋体" w:hint="default"/>
        </w:rPr>
        <w:t>1.</w:t>
      </w:r>
      <w:r>
        <w:rPr>
          <w:rFonts w:ascii="宋体" w:hAnsi="宋体" w:cs="宋体" w:eastAsia="宋体" w:hint="default"/>
          <w:spacing w:val="-2"/>
        </w:rPr>
        <w:t> </w:t>
      </w:r>
      <w:r>
        <w:rPr/>
        <w:t>大农实业股票挂牌事项</w:t>
      </w:r>
    </w:p>
    <w:p>
      <w:pPr>
        <w:spacing w:after="0" w:line="391" w:lineRule="auto"/>
        <w:jc w:val="left"/>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357" w:lineRule="auto" w:before="35"/>
        <w:ind w:right="1678" w:firstLine="420"/>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日，根据全国中小企业股份转让系统有限责任公司《关于同意浙江大农 </w:t>
      </w:r>
      <w:r>
        <w:rPr>
          <w:spacing w:val="-6"/>
        </w:rPr>
        <w:t>实业股份有限公司股票在全国中小企业股份转让系统挂牌的函》</w:t>
      </w:r>
      <w:r>
        <w:rPr>
          <w:rFonts w:ascii="宋体" w:hAnsi="宋体" w:cs="宋体" w:eastAsia="宋体" w:hint="default"/>
          <w:spacing w:val="-6"/>
        </w:rPr>
        <w:t>(</w:t>
      </w:r>
      <w:r>
        <w:rPr>
          <w:spacing w:val="-6"/>
        </w:rPr>
        <w:t>股转系统函〔</w:t>
      </w:r>
      <w:r>
        <w:rPr>
          <w:rFonts w:ascii="宋体" w:hAnsi="宋体" w:cs="宋体" w:eastAsia="宋体" w:hint="default"/>
          <w:spacing w:val="-6"/>
        </w:rPr>
        <w:t>2015</w:t>
      </w:r>
      <w:r>
        <w:rPr>
          <w:spacing w:val="-6"/>
        </w:rPr>
        <w:t>〕</w:t>
      </w:r>
      <w:r>
        <w:rPr>
          <w:rFonts w:ascii="宋体" w:hAnsi="宋体" w:cs="宋体" w:eastAsia="宋体" w:hint="default"/>
          <w:spacing w:val="-6"/>
        </w:rPr>
        <w:t>81</w:t>
      </w:r>
      <w:r>
        <w:rPr>
          <w:rFonts w:ascii="宋体" w:hAnsi="宋体" w:cs="宋体" w:eastAsia="宋体" w:hint="default"/>
          <w:spacing w:val="-52"/>
        </w:rPr>
        <w:t> </w:t>
      </w:r>
      <w:r>
        <w:rPr/>
        <w:t>号</w:t>
      </w:r>
      <w:r>
        <w:rPr>
          <w:rFonts w:ascii="宋体" w:hAnsi="宋体" w:cs="宋体" w:eastAsia="宋体" w:hint="default"/>
        </w:rPr>
        <w:t>)</w:t>
      </w:r>
      <w:r>
        <w:rPr/>
        <w:t>， </w:t>
      </w:r>
      <w:r>
        <w:rPr>
          <w:spacing w:val="-3"/>
        </w:rPr>
        <w:t>同意大农实业股票在全国中小企业股份转让系统挂牌。因大农实业申请挂牌时股东人数未超</w:t>
      </w:r>
      <w:r>
        <w:rPr>
          <w:spacing w:val="-73"/>
        </w:rPr>
        <w:t> </w:t>
      </w:r>
      <w:r>
        <w:rPr>
          <w:spacing w:val="-73"/>
        </w:rPr>
      </w:r>
      <w:r>
        <w:rPr/>
        <w:t>过</w:t>
      </w:r>
      <w:r>
        <w:rPr>
          <w:spacing w:val="-49"/>
        </w:rPr>
        <w:t> </w:t>
      </w:r>
      <w:r>
        <w:rPr>
          <w:rFonts w:ascii="宋体" w:hAnsi="宋体" w:cs="宋体" w:eastAsia="宋体" w:hint="default"/>
        </w:rPr>
        <w:t>200</w:t>
      </w:r>
      <w:r>
        <w:rPr>
          <w:rFonts w:ascii="宋体" w:hAnsi="宋体" w:cs="宋体" w:eastAsia="宋体" w:hint="default"/>
          <w:spacing w:val="-48"/>
        </w:rPr>
        <w:t> </w:t>
      </w:r>
      <w:r>
        <w:rPr>
          <w:spacing w:val="-3"/>
        </w:rPr>
        <w:t>人，按规定中国证监会豁免核准其股票公开转让，并在挂牌后纳入非上市公众公司监</w:t>
      </w:r>
      <w:r>
        <w:rPr>
          <w:spacing w:val="-95"/>
        </w:rPr>
        <w:t> </w:t>
      </w:r>
      <w:r>
        <w:rPr>
          <w:spacing w:val="-95"/>
        </w:rPr>
      </w:r>
      <w:r>
        <w:rPr/>
        <w:t>管，大农实业将按照相关规定办理挂牌手续。</w:t>
      </w:r>
    </w:p>
    <w:p>
      <w:pPr>
        <w:pStyle w:val="BodyText"/>
        <w:spacing w:line="357" w:lineRule="auto"/>
        <w:ind w:right="2064" w:firstLine="420"/>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日，大农实业股票正式挂牌，证券简称为“浙江大农”，证券代码为 “</w:t>
      </w:r>
      <w:r>
        <w:rPr>
          <w:rFonts w:ascii="宋体" w:hAnsi="宋体" w:cs="宋体" w:eastAsia="宋体" w:hint="default"/>
        </w:rPr>
        <w:t>831855</w:t>
      </w:r>
      <w:r>
        <w:rPr/>
        <w:t>”。</w:t>
      </w:r>
    </w:p>
    <w:p>
      <w:pPr>
        <w:pStyle w:val="BodyText"/>
        <w:spacing w:line="240" w:lineRule="auto"/>
        <w:ind w:left="558" w:right="0"/>
        <w:jc w:val="left"/>
      </w:pPr>
      <w:bookmarkStart w:name="2. 收到搬迁奖励事项" w:id="272"/>
      <w:bookmarkEnd w:id="272"/>
      <w:r>
        <w:rPr/>
      </w:r>
      <w:r>
        <w:rPr>
          <w:rFonts w:ascii="宋体" w:hAnsi="宋体" w:cs="宋体" w:eastAsia="宋体" w:hint="default"/>
        </w:rPr>
        <w:t>2.</w:t>
      </w:r>
      <w:r>
        <w:rPr>
          <w:rFonts w:ascii="宋体" w:hAnsi="宋体" w:cs="宋体" w:eastAsia="宋体" w:hint="default"/>
          <w:spacing w:val="-2"/>
        </w:rPr>
        <w:t> </w:t>
      </w:r>
      <w:r>
        <w:rPr/>
        <w:t>收到搬迁奖励事项</w:t>
      </w:r>
    </w:p>
    <w:p>
      <w:pPr>
        <w:pStyle w:val="BodyText"/>
        <w:spacing w:line="240" w:lineRule="auto" w:before="133"/>
        <w:ind w:left="558" w:right="0"/>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日，根据公司与温岭市土地收购储备中心签订了《温岭市国有土地使</w:t>
      </w:r>
    </w:p>
    <w:p>
      <w:pPr>
        <w:pStyle w:val="BodyText"/>
        <w:spacing w:line="240" w:lineRule="auto" w:before="134"/>
        <w:ind w:left="138" w:right="0"/>
        <w:jc w:val="left"/>
        <w:rPr>
          <w:rFonts w:ascii="宋体" w:hAnsi="宋体" w:cs="宋体" w:eastAsia="宋体" w:hint="default"/>
        </w:rPr>
      </w:pPr>
      <w:r>
        <w:rPr>
          <w:spacing w:val="-3"/>
        </w:rPr>
        <w:t>用权收购合同》</w:t>
      </w:r>
      <w:r>
        <w:rPr>
          <w:rFonts w:ascii="宋体" w:hAnsi="宋体" w:cs="宋体" w:eastAsia="宋体" w:hint="default"/>
          <w:spacing w:val="-3"/>
        </w:rPr>
        <w:t>(</w:t>
      </w:r>
      <w:r>
        <w:rPr>
          <w:spacing w:val="-3"/>
        </w:rPr>
        <w:t>温土储合字第〔</w:t>
      </w:r>
      <w:r>
        <w:rPr>
          <w:rFonts w:ascii="宋体" w:hAnsi="宋体" w:cs="宋体" w:eastAsia="宋体" w:hint="default"/>
          <w:spacing w:val="-3"/>
        </w:rPr>
        <w:t>2013</w:t>
      </w:r>
      <w:r>
        <w:rPr>
          <w:spacing w:val="-3"/>
        </w:rPr>
        <w:t>〕</w:t>
      </w:r>
      <w:r>
        <w:rPr>
          <w:rFonts w:ascii="宋体" w:hAnsi="宋体" w:cs="宋体" w:eastAsia="宋体" w:hint="default"/>
          <w:spacing w:val="-3"/>
        </w:rPr>
        <w:t>7 </w:t>
      </w:r>
      <w:r>
        <w:rPr>
          <w:spacing w:val="-3"/>
        </w:rPr>
        <w:t>号</w:t>
      </w:r>
      <w:r>
        <w:rPr>
          <w:rFonts w:ascii="宋体" w:hAnsi="宋体" w:cs="宋体" w:eastAsia="宋体" w:hint="default"/>
          <w:spacing w:val="-3"/>
        </w:rPr>
        <w:t>)</w:t>
      </w:r>
      <w:r>
        <w:rPr>
          <w:spacing w:val="-3"/>
        </w:rPr>
        <w:t>，根据合同的约定：土地收购补偿费为</w:t>
      </w:r>
      <w:r>
        <w:rPr>
          <w:spacing w:val="-77"/>
        </w:rPr>
        <w:t> </w:t>
      </w:r>
      <w:r>
        <w:rPr>
          <w:rFonts w:ascii="宋体" w:hAnsi="宋体" w:cs="宋体" w:eastAsia="宋体" w:hint="default"/>
        </w:rPr>
        <w:t>27,500</w:t>
      </w:r>
    </w:p>
    <w:p>
      <w:pPr>
        <w:pStyle w:val="BodyText"/>
        <w:spacing w:line="240" w:lineRule="auto" w:before="133"/>
        <w:ind w:right="0"/>
        <w:jc w:val="left"/>
      </w:pPr>
      <w:r>
        <w:rPr/>
        <w:t>万元，搬迁奖励费为</w:t>
      </w:r>
      <w:r>
        <w:rPr>
          <w:spacing w:val="-54"/>
        </w:rPr>
        <w:t> </w:t>
      </w:r>
      <w:r>
        <w:rPr>
          <w:rFonts w:ascii="宋体" w:hAnsi="宋体" w:cs="宋体" w:eastAsia="宋体" w:hint="default"/>
        </w:rPr>
        <w:t>9,624</w:t>
      </w:r>
      <w:r>
        <w:rPr>
          <w:rFonts w:ascii="宋体" w:hAnsi="宋体" w:cs="宋体" w:eastAsia="宋体" w:hint="default"/>
          <w:spacing w:val="-53"/>
        </w:rPr>
        <w:t> </w:t>
      </w:r>
      <w:r>
        <w:rPr/>
        <w:t>万元，本合同项下宗地的土地收购价格合计为</w:t>
      </w:r>
      <w:r>
        <w:rPr>
          <w:spacing w:val="-53"/>
        </w:rPr>
        <w:t> </w:t>
      </w:r>
      <w:r>
        <w:rPr>
          <w:rFonts w:ascii="宋体" w:hAnsi="宋体" w:cs="宋体" w:eastAsia="宋体" w:hint="default"/>
        </w:rPr>
        <w:t>37,124</w:t>
      </w:r>
      <w:r>
        <w:rPr>
          <w:rFonts w:ascii="宋体" w:hAnsi="宋体" w:cs="宋体" w:eastAsia="宋体" w:hint="default"/>
          <w:spacing w:val="-54"/>
        </w:rPr>
        <w:t> </w:t>
      </w:r>
      <w:r>
        <w:rPr/>
        <w:t>万元。地</w:t>
      </w:r>
    </w:p>
    <w:p>
      <w:pPr>
        <w:pStyle w:val="BodyText"/>
        <w:spacing w:line="240" w:lineRule="auto" w:before="134"/>
        <w:ind w:right="0"/>
        <w:jc w:val="left"/>
      </w:pPr>
      <w:r>
        <w:rPr/>
        <w:t>上附着物</w:t>
      </w:r>
      <w:r>
        <w:rPr>
          <w:rFonts w:ascii="宋体" w:hAnsi="宋体" w:cs="宋体" w:eastAsia="宋体" w:hint="default"/>
        </w:rPr>
        <w:t>(</w:t>
      </w:r>
      <w:r>
        <w:rPr/>
        <w:t>包括隐蔽工程部分</w:t>
      </w:r>
      <w:r>
        <w:rPr>
          <w:rFonts w:ascii="宋体" w:hAnsi="宋体" w:cs="宋体" w:eastAsia="宋体" w:hint="default"/>
        </w:rPr>
        <w:t>)</w:t>
      </w:r>
      <w:r>
        <w:rPr/>
        <w:t>补偿费计为</w:t>
      </w:r>
      <w:r>
        <w:rPr>
          <w:spacing w:val="-54"/>
        </w:rPr>
        <w:t> </w:t>
      </w:r>
      <w:r>
        <w:rPr>
          <w:rFonts w:ascii="宋体" w:hAnsi="宋体" w:cs="宋体" w:eastAsia="宋体" w:hint="default"/>
        </w:rPr>
        <w:t>105,136,536</w:t>
      </w:r>
      <w:r>
        <w:rPr>
          <w:rFonts w:ascii="宋体" w:hAnsi="宋体" w:cs="宋体" w:eastAsia="宋体" w:hint="default"/>
          <w:spacing w:val="-54"/>
        </w:rPr>
        <w:t> </w:t>
      </w:r>
      <w:r>
        <w:rPr/>
        <w:t>元。</w:t>
      </w:r>
    </w:p>
    <w:p>
      <w:pPr>
        <w:pStyle w:val="BodyText"/>
        <w:spacing w:line="357" w:lineRule="auto" w:before="133"/>
        <w:ind w:right="1684" w:firstLine="420"/>
        <w:jc w:val="left"/>
      </w:pPr>
      <w:r>
        <w:rPr>
          <w:rFonts w:ascii="宋体" w:hAnsi="宋体" w:cs="宋体" w:eastAsia="宋体" w:hint="default"/>
        </w:rPr>
        <w:t>2015</w:t>
      </w:r>
      <w:r>
        <w:rPr>
          <w:rFonts w:ascii="宋体" w:hAnsi="宋体" w:cs="宋体" w:eastAsia="宋体" w:hint="default"/>
          <w:spacing w:val="-38"/>
        </w:rPr>
        <w:t> </w:t>
      </w:r>
      <w:r>
        <w:rPr/>
        <w:t>年</w:t>
      </w:r>
      <w:r>
        <w:rPr>
          <w:spacing w:val="-39"/>
        </w:rPr>
        <w:t> </w:t>
      </w:r>
      <w:r>
        <w:rPr>
          <w:rFonts w:ascii="宋体" w:hAnsi="宋体" w:cs="宋体" w:eastAsia="宋体" w:hint="default"/>
        </w:rPr>
        <w:t>2</w:t>
      </w:r>
      <w:r>
        <w:rPr>
          <w:rFonts w:ascii="宋体" w:hAnsi="宋体" w:cs="宋体" w:eastAsia="宋体" w:hint="default"/>
          <w:spacing w:val="-39"/>
        </w:rPr>
        <w:t> </w:t>
      </w:r>
      <w:r>
        <w:rPr/>
        <w:t>月</w:t>
      </w:r>
      <w:r>
        <w:rPr>
          <w:spacing w:val="-39"/>
        </w:rPr>
        <w:t> </w:t>
      </w:r>
      <w:r>
        <w:rPr>
          <w:rFonts w:ascii="宋体" w:hAnsi="宋体" w:cs="宋体" w:eastAsia="宋体" w:hint="default"/>
        </w:rPr>
        <w:t>2</w:t>
      </w:r>
      <w:r>
        <w:rPr>
          <w:rFonts w:ascii="宋体" w:hAnsi="宋体" w:cs="宋体" w:eastAsia="宋体" w:hint="default"/>
          <w:spacing w:val="-39"/>
        </w:rPr>
        <w:t> </w:t>
      </w:r>
      <w:r>
        <w:rPr/>
        <w:t>日，公司收到温岭市城市新区管理委员会下发的《关于利欧集团股份有 限公司搬迁奖励的通知》</w:t>
      </w:r>
      <w:r>
        <w:rPr>
          <w:rFonts w:ascii="宋体" w:hAnsi="宋体" w:cs="宋体" w:eastAsia="宋体" w:hint="default"/>
        </w:rPr>
        <w:t>(</w:t>
      </w:r>
      <w:r>
        <w:rPr/>
        <w:t>温新区〔</w:t>
      </w:r>
      <w:r>
        <w:rPr>
          <w:rFonts w:ascii="宋体" w:hAnsi="宋体" w:cs="宋体" w:eastAsia="宋体" w:hint="default"/>
        </w:rPr>
        <w:t>2015</w:t>
      </w:r>
      <w:r>
        <w:rPr/>
        <w:t>〕</w:t>
      </w:r>
      <w:r>
        <w:rPr>
          <w:rFonts w:ascii="宋体" w:hAnsi="宋体" w:cs="宋体" w:eastAsia="宋体" w:hint="default"/>
        </w:rPr>
        <w:t>5 </w:t>
      </w:r>
      <w:r>
        <w:rPr/>
        <w:t>号</w:t>
      </w:r>
      <w:r>
        <w:rPr>
          <w:rFonts w:ascii="宋体" w:hAnsi="宋体" w:cs="宋体" w:eastAsia="宋体" w:hint="default"/>
        </w:rPr>
        <w:t>) (</w:t>
      </w:r>
      <w:r>
        <w:rPr/>
        <w:t>以下简称搬迁奖励通知</w:t>
      </w:r>
      <w:r>
        <w:rPr>
          <w:rFonts w:ascii="宋体" w:hAnsi="宋体" w:cs="宋体" w:eastAsia="宋体" w:hint="default"/>
        </w:rPr>
        <w:t>)</w:t>
      </w:r>
      <w:r>
        <w:rPr/>
        <w:t>。搬迁奖励通知</w:t>
      </w:r>
      <w:r>
        <w:rPr>
          <w:spacing w:val="-94"/>
        </w:rPr>
        <w:t> </w:t>
      </w:r>
      <w:r>
        <w:rPr>
          <w:spacing w:val="-94"/>
        </w:rPr>
      </w:r>
      <w:r>
        <w:rPr>
          <w:spacing w:val="-5"/>
        </w:rPr>
        <w:t>确认，温岭市城市新区管理委员会结合利欧股份上述土地收储及搬迁实际进度，经与市财政、</w:t>
      </w:r>
      <w:r>
        <w:rPr>
          <w:spacing w:val="-92"/>
        </w:rPr>
        <w:t> </w:t>
      </w:r>
      <w:r>
        <w:rPr>
          <w:spacing w:val="-92"/>
        </w:rPr>
      </w:r>
      <w:r>
        <w:rPr>
          <w:spacing w:val="-5"/>
        </w:rPr>
        <w:t>市收储公司确认，于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日予以利欧股份搬迁奖励</w:t>
      </w:r>
      <w:r>
        <w:rPr>
          <w:spacing w:val="-53"/>
        </w:rPr>
        <w:t> </w:t>
      </w:r>
      <w:r>
        <w:rPr>
          <w:rFonts w:ascii="宋体" w:hAnsi="宋体" w:cs="宋体" w:eastAsia="宋体" w:hint="default"/>
        </w:rPr>
        <w:t>2,406</w:t>
      </w:r>
      <w:r>
        <w:rPr>
          <w:rFonts w:ascii="宋体" w:hAnsi="宋体" w:cs="宋体" w:eastAsia="宋体" w:hint="default"/>
          <w:spacing w:val="-52"/>
        </w:rPr>
        <w:t> </w:t>
      </w:r>
      <w:r>
        <w:rPr>
          <w:spacing w:val="-5"/>
        </w:rPr>
        <w:t>万元，剩余搬迁奖励款</w:t>
      </w:r>
    </w:p>
    <w:p>
      <w:pPr>
        <w:pStyle w:val="BodyText"/>
        <w:spacing w:line="240" w:lineRule="auto" w:before="31"/>
        <w:ind w:right="0"/>
        <w:jc w:val="left"/>
        <w:rPr>
          <w:rFonts w:ascii="宋体" w:hAnsi="宋体" w:cs="宋体" w:eastAsia="宋体" w:hint="default"/>
        </w:rPr>
      </w:pPr>
      <w:r>
        <w:rPr/>
        <w:t>根据合同要求和项目进度予以确认和支付。</w:t>
      </w:r>
      <w:r>
        <w:rPr>
          <w:rFonts w:ascii="宋体" w:hAnsi="宋体" w:cs="宋体" w:eastAsia="宋体" w:hint="default"/>
        </w:rPr>
        <w:t>2015</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0"/>
        </w:rPr>
        <w:t> </w:t>
      </w:r>
      <w:r>
        <w:rPr/>
        <w:t>月</w:t>
      </w:r>
      <w:r>
        <w:rPr>
          <w:spacing w:val="-50"/>
        </w:rPr>
        <w:t> </w:t>
      </w:r>
      <w:r>
        <w:rPr>
          <w:rFonts w:ascii="宋体" w:hAnsi="宋体" w:cs="宋体" w:eastAsia="宋体" w:hint="default"/>
        </w:rPr>
        <w:t>30</w:t>
      </w:r>
      <w:r>
        <w:rPr>
          <w:rFonts w:ascii="宋体" w:hAnsi="宋体" w:cs="宋体" w:eastAsia="宋体" w:hint="default"/>
          <w:spacing w:val="-51"/>
        </w:rPr>
        <w:t> </w:t>
      </w:r>
      <w:r>
        <w:rPr/>
        <w:t>日，公司收到土地收购款</w:t>
      </w:r>
      <w:r>
        <w:rPr>
          <w:spacing w:val="-50"/>
        </w:rPr>
        <w:t> </w:t>
      </w:r>
      <w:r>
        <w:rPr>
          <w:rFonts w:ascii="宋体" w:hAnsi="宋体" w:cs="宋体" w:eastAsia="宋体" w:hint="default"/>
        </w:rPr>
        <w:t>9,281</w:t>
      </w:r>
    </w:p>
    <w:p>
      <w:pPr>
        <w:pStyle w:val="BodyText"/>
        <w:spacing w:line="240" w:lineRule="auto" w:before="133"/>
        <w:ind w:right="0"/>
        <w:jc w:val="left"/>
      </w:pPr>
      <w:r>
        <w:rPr>
          <w:spacing w:val="-4"/>
        </w:rPr>
        <w:t>万元，根据上述收购合同约定和搬迁奖励通知，上述土地收购款 </w:t>
      </w:r>
      <w:r>
        <w:rPr>
          <w:rFonts w:ascii="宋体" w:hAnsi="宋体" w:cs="宋体" w:eastAsia="宋体" w:hint="default"/>
        </w:rPr>
        <w:t>9,281</w:t>
      </w:r>
      <w:r>
        <w:rPr>
          <w:rFonts w:ascii="宋体" w:hAnsi="宋体" w:cs="宋体" w:eastAsia="宋体" w:hint="default"/>
          <w:spacing w:val="-80"/>
        </w:rPr>
        <w:t> </w:t>
      </w:r>
      <w:r>
        <w:rPr/>
        <w:t>万元包含了搬迁奖励</w:t>
      </w:r>
    </w:p>
    <w:p>
      <w:pPr>
        <w:pStyle w:val="BodyText"/>
        <w:spacing w:line="240" w:lineRule="auto" w:before="134"/>
        <w:ind w:right="0"/>
        <w:jc w:val="left"/>
      </w:pPr>
      <w:r>
        <w:rPr/>
        <w:t>款</w:t>
      </w:r>
      <w:r>
        <w:rPr>
          <w:spacing w:val="-54"/>
        </w:rPr>
        <w:t> </w:t>
      </w:r>
      <w:r>
        <w:rPr>
          <w:rFonts w:ascii="宋体" w:hAnsi="宋体" w:cs="宋体" w:eastAsia="宋体" w:hint="default"/>
        </w:rPr>
        <w:t>2,406</w:t>
      </w:r>
      <w:r>
        <w:rPr>
          <w:rFonts w:ascii="宋体" w:hAnsi="宋体" w:cs="宋体" w:eastAsia="宋体" w:hint="default"/>
          <w:spacing w:val="-53"/>
        </w:rPr>
        <w:t> </w:t>
      </w:r>
      <w:r>
        <w:rPr/>
        <w:t>万元和土地收购补偿费</w:t>
      </w:r>
      <w:r>
        <w:rPr>
          <w:spacing w:val="-54"/>
        </w:rPr>
        <w:t> </w:t>
      </w:r>
      <w:r>
        <w:rPr>
          <w:rFonts w:ascii="宋体" w:hAnsi="宋体" w:cs="宋体" w:eastAsia="宋体" w:hint="default"/>
        </w:rPr>
        <w:t>6,875</w:t>
      </w:r>
      <w:r>
        <w:rPr>
          <w:rFonts w:ascii="宋体" w:hAnsi="宋体" w:cs="宋体" w:eastAsia="宋体" w:hint="default"/>
          <w:spacing w:val="-53"/>
        </w:rPr>
        <w:t> </w:t>
      </w:r>
      <w:r>
        <w:rPr>
          <w:spacing w:val="-4"/>
        </w:rPr>
        <w:t>万元。公司根据企业会计准则的相关规定，将上述款</w:t>
      </w:r>
    </w:p>
    <w:p>
      <w:pPr>
        <w:pStyle w:val="BodyText"/>
        <w:spacing w:line="240" w:lineRule="auto" w:before="133"/>
        <w:ind w:right="0"/>
        <w:jc w:val="left"/>
      </w:pPr>
      <w:r>
        <w:rPr/>
        <w:t>项中的</w:t>
      </w:r>
      <w:r>
        <w:rPr>
          <w:spacing w:val="-47"/>
        </w:rPr>
        <w:t> </w:t>
      </w:r>
      <w:r>
        <w:rPr>
          <w:rFonts w:ascii="宋体" w:hAnsi="宋体" w:cs="宋体" w:eastAsia="宋体" w:hint="default"/>
        </w:rPr>
        <w:t>6,875</w:t>
      </w:r>
      <w:r>
        <w:rPr>
          <w:rFonts w:ascii="宋体" w:hAnsi="宋体" w:cs="宋体" w:eastAsia="宋体" w:hint="default"/>
          <w:spacing w:val="-46"/>
        </w:rPr>
        <w:t> </w:t>
      </w:r>
      <w:r>
        <w:rPr>
          <w:spacing w:val="-4"/>
        </w:rPr>
        <w:t>万元土地收购补偿费应作为“专项应付款”处理；将上述资金中的</w:t>
      </w:r>
      <w:r>
        <w:rPr>
          <w:spacing w:val="-46"/>
        </w:rPr>
        <w:t> </w:t>
      </w:r>
      <w:r>
        <w:rPr>
          <w:rFonts w:ascii="宋体" w:hAnsi="宋体" w:cs="宋体" w:eastAsia="宋体" w:hint="default"/>
        </w:rPr>
        <w:t>2,406</w:t>
      </w:r>
      <w:r>
        <w:rPr>
          <w:rFonts w:ascii="宋体" w:hAnsi="宋体" w:cs="宋体" w:eastAsia="宋体" w:hint="default"/>
          <w:spacing w:val="-46"/>
        </w:rPr>
        <w:t> </w:t>
      </w:r>
      <w:r>
        <w:rPr/>
        <w:t>万元</w:t>
      </w:r>
    </w:p>
    <w:p>
      <w:pPr>
        <w:pStyle w:val="BodyText"/>
        <w:spacing w:line="240" w:lineRule="auto" w:before="134"/>
        <w:ind w:left="138" w:right="0"/>
        <w:jc w:val="left"/>
      </w:pPr>
      <w:r>
        <w:rPr/>
        <w:t>搬迁奖励款确认为营业外收入——政府补助，计入公司</w:t>
      </w:r>
      <w:r>
        <w:rPr>
          <w:spacing w:val="-53"/>
        </w:rPr>
        <w:t> </w:t>
      </w:r>
      <w:r>
        <w:rPr>
          <w:rFonts w:ascii="宋体" w:hAnsi="宋体" w:cs="宋体" w:eastAsia="宋体" w:hint="default"/>
        </w:rPr>
        <w:t>2015</w:t>
      </w:r>
      <w:r>
        <w:rPr>
          <w:rFonts w:ascii="宋体" w:hAnsi="宋体" w:cs="宋体" w:eastAsia="宋体" w:hint="default"/>
          <w:spacing w:val="-53"/>
        </w:rPr>
        <w:t> </w:t>
      </w:r>
      <w:r>
        <w:rPr/>
        <w:t>年度损益。</w:t>
      </w:r>
    </w:p>
    <w:p>
      <w:pPr>
        <w:pStyle w:val="BodyText"/>
        <w:spacing w:line="240" w:lineRule="auto" w:before="174"/>
        <w:ind w:left="557" w:right="0"/>
        <w:jc w:val="left"/>
      </w:pPr>
      <w:bookmarkStart w:name="3. 员工持股计划" w:id="273"/>
      <w:bookmarkEnd w:id="273"/>
      <w:r>
        <w:rPr/>
      </w:r>
      <w:r>
        <w:rPr>
          <w:rFonts w:ascii="宋体" w:hAnsi="宋体" w:cs="宋体" w:eastAsia="宋体" w:hint="default"/>
        </w:rPr>
        <w:t>3.</w:t>
      </w:r>
      <w:r>
        <w:rPr>
          <w:rFonts w:ascii="宋体" w:hAnsi="宋体" w:cs="宋体" w:eastAsia="宋体" w:hint="default"/>
          <w:spacing w:val="-2"/>
        </w:rPr>
        <w:t> </w:t>
      </w:r>
      <w:r>
        <w:rPr/>
        <w:t>员工持股计划</w:t>
      </w:r>
    </w:p>
    <w:p>
      <w:pPr>
        <w:pStyle w:val="BodyText"/>
        <w:spacing w:line="240" w:lineRule="auto" w:before="172"/>
        <w:ind w:left="557" w:right="0"/>
        <w:jc w:val="left"/>
      </w:pPr>
      <w:r>
        <w:rPr>
          <w:rFonts w:ascii="宋体" w:hAnsi="宋体" w:cs="宋体" w:eastAsia="宋体" w:hint="default"/>
        </w:rPr>
        <w:t>2014</w:t>
      </w:r>
      <w:r>
        <w:rPr>
          <w:rFonts w:ascii="宋体" w:hAnsi="宋体" w:cs="宋体" w:eastAsia="宋体" w:hint="default"/>
          <w:spacing w:val="-38"/>
        </w:rPr>
        <w:t> </w:t>
      </w:r>
      <w:r>
        <w:rPr/>
        <w:t>年</w:t>
      </w:r>
      <w:r>
        <w:rPr>
          <w:spacing w:val="-39"/>
        </w:rPr>
        <w:t> </w:t>
      </w:r>
      <w:r>
        <w:rPr>
          <w:rFonts w:ascii="宋体" w:hAnsi="宋体" w:cs="宋体" w:eastAsia="宋体" w:hint="default"/>
        </w:rPr>
        <w:t>12</w:t>
      </w:r>
      <w:r>
        <w:rPr>
          <w:rFonts w:ascii="宋体" w:hAnsi="宋体" w:cs="宋体" w:eastAsia="宋体" w:hint="default"/>
          <w:spacing w:val="-40"/>
        </w:rPr>
        <w:t> </w:t>
      </w:r>
      <w:r>
        <w:rPr/>
        <w:t>月</w:t>
      </w:r>
      <w:r>
        <w:rPr>
          <w:spacing w:val="-39"/>
        </w:rPr>
        <w:t> </w:t>
      </w:r>
      <w:r>
        <w:rPr>
          <w:rFonts w:ascii="宋体" w:hAnsi="宋体" w:cs="宋体" w:eastAsia="宋体" w:hint="default"/>
        </w:rPr>
        <w:t>30</w:t>
      </w:r>
      <w:r>
        <w:rPr>
          <w:rFonts w:ascii="宋体" w:hAnsi="宋体" w:cs="宋体" w:eastAsia="宋体" w:hint="default"/>
          <w:spacing w:val="-39"/>
        </w:rPr>
        <w:t> </w:t>
      </w:r>
      <w:r>
        <w:rPr/>
        <w:t>日，公司依据《中华人民共和国公司法</w:t>
      </w:r>
      <w:r>
        <w:rPr>
          <w:spacing w:val="-105"/>
        </w:rPr>
        <w:t>》</w:t>
      </w:r>
      <w:r>
        <w:rPr>
          <w:spacing w:val="-106"/>
        </w:rPr>
        <w:t>、</w:t>
      </w:r>
      <w:r>
        <w:rPr/>
        <w:t>《中华人民共和国证券法</w:t>
      </w:r>
      <w:r>
        <w:rPr>
          <w:spacing w:val="-105"/>
        </w:rPr>
        <w:t>》</w:t>
      </w:r>
      <w:r>
        <w:rPr/>
        <w:t>、</w:t>
      </w:r>
    </w:p>
    <w:p>
      <w:pPr>
        <w:pStyle w:val="BodyText"/>
        <w:spacing w:line="355" w:lineRule="auto" w:before="134"/>
        <w:ind w:left="138" w:right="1781"/>
        <w:jc w:val="left"/>
      </w:pPr>
      <w:r>
        <w:rPr>
          <w:spacing w:val="-3"/>
        </w:rPr>
        <w:t>《关于上市公司实施员工持股计划试点的指导意见》、《中小企业板信息披露业务备忘录第</w:t>
      </w:r>
      <w:r>
        <w:rPr>
          <w:spacing w:val="-94"/>
        </w:rPr>
        <w:t> </w:t>
      </w:r>
      <w:r>
        <w:rPr>
          <w:spacing w:val="-94"/>
        </w:rPr>
      </w:r>
      <w:r>
        <w:rPr>
          <w:rFonts w:ascii="宋体" w:hAnsi="宋体" w:cs="宋体" w:eastAsia="宋体" w:hint="default"/>
        </w:rPr>
        <w:t>34</w:t>
      </w:r>
      <w:r>
        <w:rPr>
          <w:rFonts w:ascii="宋体" w:hAnsi="宋体" w:cs="宋体" w:eastAsia="宋体" w:hint="default"/>
          <w:spacing w:val="12"/>
        </w:rPr>
        <w:t> </w:t>
      </w:r>
      <w:r>
        <w:rPr/>
        <w:t>号：员工持股计划》及其他有关法律、法规、规范性文件，以及公司章程的规定拟定了</w:t>
      </w:r>
    </w:p>
    <w:p>
      <w:pPr>
        <w:pStyle w:val="BodyText"/>
        <w:spacing w:line="357" w:lineRule="auto" w:before="32"/>
        <w:ind w:right="1683"/>
        <w:jc w:val="left"/>
      </w:pPr>
      <w:r>
        <w:rPr/>
        <w:t>《利欧集团股份有限公司第一期员工持股计划（草案）》</w:t>
      </w:r>
      <w:r>
        <w:rPr>
          <w:rFonts w:ascii="宋体" w:hAnsi="宋体" w:cs="宋体" w:eastAsia="宋体" w:hint="default"/>
        </w:rPr>
        <w:t>(</w:t>
      </w:r>
      <w:r>
        <w:rPr/>
        <w:t>以下简称公司第一期员工持股计</w:t>
      </w:r>
      <w:r>
        <w:rPr>
          <w:spacing w:val="-102"/>
        </w:rPr>
        <w:t> </w:t>
      </w:r>
      <w:r>
        <w:rPr>
          <w:spacing w:val="-102"/>
        </w:rPr>
      </w:r>
      <w:r>
        <w:rPr/>
        <w:t>划</w:t>
      </w:r>
      <w:r>
        <w:rPr>
          <w:rFonts w:ascii="宋体" w:hAnsi="宋体" w:cs="宋体" w:eastAsia="宋体" w:hint="default"/>
        </w:rPr>
        <w:t>)</w:t>
      </w:r>
      <w:r>
        <w:rPr/>
        <w:t>，并经</w:t>
      </w:r>
      <w:r>
        <w:rPr>
          <w:spacing w:val="-49"/>
        </w:rPr>
        <w:t> </w:t>
      </w: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30</w:t>
      </w:r>
      <w:r>
        <w:rPr>
          <w:rFonts w:ascii="宋体" w:hAnsi="宋体" w:cs="宋体" w:eastAsia="宋体" w:hint="default"/>
          <w:spacing w:val="-48"/>
        </w:rPr>
        <w:t> </w:t>
      </w:r>
      <w:r>
        <w:rPr/>
        <w:t>日召开第四届董事会第五次会议和</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8"/>
        </w:rPr>
        <w:t> </w:t>
      </w:r>
      <w:r>
        <w:rPr/>
        <w:t>月</w:t>
      </w:r>
      <w:r>
        <w:rPr>
          <w:spacing w:val="-50"/>
        </w:rPr>
        <w:t> </w:t>
      </w:r>
      <w:r>
        <w:rPr>
          <w:rFonts w:ascii="宋体" w:hAnsi="宋体" w:cs="宋体" w:eastAsia="宋体" w:hint="default"/>
        </w:rPr>
        <w:t>15</w:t>
      </w:r>
      <w:r>
        <w:rPr>
          <w:rFonts w:ascii="宋体" w:hAnsi="宋体" w:cs="宋体" w:eastAsia="宋体" w:hint="default"/>
          <w:spacing w:val="-48"/>
        </w:rPr>
        <w:t> </w:t>
      </w:r>
      <w:r>
        <w:rPr/>
        <w:t>日召开</w:t>
      </w:r>
      <w:r>
        <w:rPr>
          <w:spacing w:val="-49"/>
        </w:rPr>
        <w:t> </w:t>
      </w:r>
      <w:r>
        <w:rPr>
          <w:rFonts w:ascii="宋体" w:hAnsi="宋体" w:cs="宋体" w:eastAsia="宋体" w:hint="default"/>
        </w:rPr>
        <w:t>2015 </w:t>
      </w:r>
      <w:r>
        <w:rPr>
          <w:spacing w:val="-3"/>
        </w:rPr>
        <w:t>年第一次临时股东大会审议通过。本次员工持股计划系委托广发证券资产管理</w:t>
      </w:r>
      <w:r>
        <w:rPr>
          <w:rFonts w:ascii="宋体" w:hAnsi="宋体" w:cs="宋体" w:eastAsia="宋体" w:hint="default"/>
          <w:spacing w:val="-3"/>
        </w:rPr>
        <w:t>(</w:t>
      </w:r>
      <w:r>
        <w:rPr>
          <w:spacing w:val="-3"/>
        </w:rPr>
        <w:t>广东</w:t>
      </w:r>
      <w:r>
        <w:rPr>
          <w:rFonts w:ascii="宋体" w:hAnsi="宋体" w:cs="宋体" w:eastAsia="宋体" w:hint="default"/>
          <w:spacing w:val="-3"/>
        </w:rPr>
        <w:t>)</w:t>
      </w:r>
      <w:r>
        <w:rPr>
          <w:spacing w:val="-3"/>
        </w:rPr>
        <w:t>有限公</w:t>
      </w:r>
      <w:r>
        <w:rPr>
          <w:spacing w:val="-72"/>
        </w:rPr>
        <w:t> </w:t>
      </w:r>
      <w:r>
        <w:rPr>
          <w:spacing w:val="-3"/>
        </w:rPr>
        <w:t>司管理，并全额认购由广发证券资产管理</w:t>
      </w:r>
      <w:r>
        <w:rPr>
          <w:rFonts w:ascii="宋体" w:hAnsi="宋体" w:cs="宋体" w:eastAsia="宋体" w:hint="default"/>
          <w:spacing w:val="-3"/>
        </w:rPr>
        <w:t>(</w:t>
      </w:r>
      <w:r>
        <w:rPr>
          <w:spacing w:val="-3"/>
        </w:rPr>
        <w:t>广东</w:t>
      </w:r>
      <w:r>
        <w:rPr>
          <w:rFonts w:ascii="宋体" w:hAnsi="宋体" w:cs="宋体" w:eastAsia="宋体" w:hint="default"/>
          <w:spacing w:val="-3"/>
        </w:rPr>
        <w:t>)</w:t>
      </w:r>
      <w:r>
        <w:rPr>
          <w:spacing w:val="-3"/>
        </w:rPr>
        <w:t>有限公司设立的广发资管利欧投资</w:t>
      </w:r>
      <w:r>
        <w:rPr>
          <w:spacing w:val="-47"/>
        </w:rPr>
        <w:t> </w:t>
      </w:r>
      <w:r>
        <w:rPr>
          <w:rFonts w:ascii="宋体" w:hAnsi="宋体" w:cs="宋体" w:eastAsia="宋体" w:hint="default"/>
        </w:rPr>
        <w:t>1</w:t>
      </w:r>
      <w:r>
        <w:rPr>
          <w:rFonts w:ascii="宋体" w:hAnsi="宋体" w:cs="宋体" w:eastAsia="宋体" w:hint="default"/>
          <w:spacing w:val="-47"/>
        </w:rPr>
        <w:t> </w:t>
      </w:r>
      <w:r>
        <w:rPr/>
        <w:t>号集合</w:t>
      </w:r>
      <w:r>
        <w:rPr>
          <w:spacing w:val="-94"/>
        </w:rPr>
        <w:t> </w:t>
      </w:r>
      <w:r>
        <w:rPr>
          <w:spacing w:val="-1"/>
        </w:rPr>
        <w:t>资产管理计划</w:t>
      </w:r>
      <w:r>
        <w:rPr>
          <w:rFonts w:ascii="宋体" w:hAnsi="宋体" w:cs="宋体" w:eastAsia="宋体" w:hint="default"/>
          <w:spacing w:val="-1"/>
        </w:rPr>
        <w:t>(</w:t>
      </w:r>
      <w:r>
        <w:rPr>
          <w:spacing w:val="-1"/>
        </w:rPr>
        <w:t>以下简称利欧投资</w:t>
      </w:r>
      <w:r>
        <w:rPr>
          <w:spacing w:val="-63"/>
        </w:rPr>
        <w:t> </w:t>
      </w:r>
      <w:r>
        <w:rPr>
          <w:rFonts w:ascii="宋体" w:hAnsi="宋体" w:cs="宋体" w:eastAsia="宋体" w:hint="default"/>
        </w:rPr>
        <w:t>1</w:t>
      </w:r>
      <w:r>
        <w:rPr>
          <w:rFonts w:ascii="宋体" w:hAnsi="宋体" w:cs="宋体" w:eastAsia="宋体" w:hint="default"/>
          <w:spacing w:val="-64"/>
        </w:rPr>
        <w:t> </w:t>
      </w:r>
      <w:r>
        <w:rPr/>
        <w:t>号</w:t>
      </w:r>
      <w:r>
        <w:rPr>
          <w:rFonts w:ascii="宋体" w:hAnsi="宋体" w:cs="宋体" w:eastAsia="宋体" w:hint="default"/>
        </w:rPr>
        <w:t>)</w:t>
      </w:r>
      <w:r>
        <w:rPr/>
        <w:t>的次级</w:t>
      </w:r>
      <w:r>
        <w:rPr>
          <w:spacing w:val="-64"/>
        </w:rPr>
        <w:t> </w:t>
      </w:r>
      <w:r>
        <w:rPr>
          <w:rFonts w:ascii="宋体" w:hAnsi="宋体" w:cs="宋体" w:eastAsia="宋体" w:hint="default"/>
        </w:rPr>
        <w:t>B</w:t>
      </w:r>
      <w:r>
        <w:rPr>
          <w:rFonts w:ascii="宋体" w:hAnsi="宋体" w:cs="宋体" w:eastAsia="宋体" w:hint="default"/>
          <w:spacing w:val="-64"/>
        </w:rPr>
        <w:t> </w:t>
      </w:r>
      <w:r>
        <w:rPr>
          <w:spacing w:val="-16"/>
        </w:rPr>
        <w:t>份额，利欧投资</w:t>
      </w:r>
      <w:r>
        <w:rPr>
          <w:spacing w:val="-63"/>
        </w:rPr>
        <w:t> </w:t>
      </w:r>
      <w:r>
        <w:rPr>
          <w:rFonts w:ascii="宋体" w:hAnsi="宋体" w:cs="宋体" w:eastAsia="宋体" w:hint="default"/>
        </w:rPr>
        <w:t>1</w:t>
      </w:r>
      <w:r>
        <w:rPr>
          <w:rFonts w:ascii="宋体" w:hAnsi="宋体" w:cs="宋体" w:eastAsia="宋体" w:hint="default"/>
          <w:spacing w:val="-62"/>
        </w:rPr>
        <w:t> </w:t>
      </w:r>
      <w:r>
        <w:rPr>
          <w:spacing w:val="-1"/>
        </w:rPr>
        <w:t>号主要通过二级市场购买、</w:t>
      </w:r>
      <w:r>
        <w:rPr/>
        <w:t> 大宗交易等法律法规许可的方式取得并持有利欧股份股票。</w:t>
      </w:r>
    </w:p>
    <w:p>
      <w:pPr>
        <w:pStyle w:val="BodyText"/>
        <w:spacing w:line="357" w:lineRule="auto" w:before="70"/>
        <w:ind w:right="1792" w:firstLine="420"/>
        <w:jc w:val="both"/>
      </w:pPr>
      <w:r>
        <w:rPr/>
        <w:t>利欧投资</w:t>
      </w:r>
      <w:r>
        <w:rPr>
          <w:spacing w:val="-51"/>
        </w:rPr>
        <w:t> </w:t>
      </w:r>
      <w:r>
        <w:rPr>
          <w:rFonts w:ascii="宋体" w:hAnsi="宋体" w:cs="宋体" w:eastAsia="宋体" w:hint="default"/>
        </w:rPr>
        <w:t>1</w:t>
      </w:r>
      <w:r>
        <w:rPr>
          <w:rFonts w:ascii="宋体" w:hAnsi="宋体" w:cs="宋体" w:eastAsia="宋体" w:hint="default"/>
          <w:spacing w:val="-52"/>
        </w:rPr>
        <w:t> </w:t>
      </w:r>
      <w:r>
        <w:rPr/>
        <w:t>号份额上限为</w:t>
      </w:r>
      <w:r>
        <w:rPr>
          <w:spacing w:val="-51"/>
        </w:rPr>
        <w:t> </w:t>
      </w:r>
      <w:r>
        <w:rPr>
          <w:rFonts w:ascii="宋体" w:hAnsi="宋体" w:cs="宋体" w:eastAsia="宋体" w:hint="default"/>
        </w:rPr>
        <w:t>11,250</w:t>
      </w:r>
      <w:r>
        <w:rPr>
          <w:rFonts w:ascii="宋体" w:hAnsi="宋体" w:cs="宋体" w:eastAsia="宋体" w:hint="default"/>
          <w:spacing w:val="-51"/>
        </w:rPr>
        <w:t> </w:t>
      </w:r>
      <w:r>
        <w:rPr/>
        <w:t>万份，按照不超过</w:t>
      </w:r>
      <w:r>
        <w:rPr>
          <w:spacing w:val="-51"/>
        </w:rPr>
        <w:t> </w:t>
      </w:r>
      <w:r>
        <w:rPr>
          <w:rFonts w:ascii="宋体" w:hAnsi="宋体" w:cs="宋体" w:eastAsia="宋体" w:hint="default"/>
        </w:rPr>
        <w:t>2:1</w:t>
      </w:r>
      <w:r>
        <w:rPr>
          <w:rFonts w:ascii="宋体" w:hAnsi="宋体" w:cs="宋体" w:eastAsia="宋体" w:hint="default"/>
          <w:spacing w:val="-51"/>
        </w:rPr>
        <w:t> </w:t>
      </w:r>
      <w:r>
        <w:rPr/>
        <w:t>的比例设立优先级</w:t>
      </w:r>
      <w:r>
        <w:rPr>
          <w:spacing w:val="-51"/>
        </w:rPr>
        <w:t> </w:t>
      </w:r>
      <w:r>
        <w:rPr>
          <w:rFonts w:ascii="宋体" w:hAnsi="宋体" w:cs="宋体" w:eastAsia="宋体" w:hint="default"/>
        </w:rPr>
        <w:t>A</w:t>
      </w:r>
      <w:r>
        <w:rPr>
          <w:rFonts w:ascii="宋体" w:hAnsi="宋体" w:cs="宋体" w:eastAsia="宋体" w:hint="default"/>
          <w:spacing w:val="-51"/>
        </w:rPr>
        <w:t> </w:t>
      </w:r>
      <w:r>
        <w:rPr/>
        <w:t>份额和次 </w:t>
      </w:r>
      <w:r>
        <w:rPr>
          <w:spacing w:val="-4"/>
        </w:rPr>
        <w:t>级份额，次级份额又分为次级</w:t>
      </w:r>
      <w:r>
        <w:rPr>
          <w:spacing w:val="-51"/>
        </w:rPr>
        <w:t> </w:t>
      </w:r>
      <w:r>
        <w:rPr>
          <w:rFonts w:ascii="宋体" w:hAnsi="宋体" w:cs="宋体" w:eastAsia="宋体" w:hint="default"/>
        </w:rPr>
        <w:t>B</w:t>
      </w:r>
      <w:r>
        <w:rPr>
          <w:rFonts w:ascii="宋体" w:hAnsi="宋体" w:cs="宋体" w:eastAsia="宋体" w:hint="default"/>
          <w:spacing w:val="-50"/>
        </w:rPr>
        <w:t> </w:t>
      </w:r>
      <w:r>
        <w:rPr/>
        <w:t>份额和次级</w:t>
      </w:r>
      <w:r>
        <w:rPr>
          <w:spacing w:val="-50"/>
        </w:rPr>
        <w:t> </w:t>
      </w:r>
      <w:r>
        <w:rPr>
          <w:rFonts w:ascii="宋体" w:hAnsi="宋体" w:cs="宋体" w:eastAsia="宋体" w:hint="default"/>
        </w:rPr>
        <w:t>C</w:t>
      </w:r>
      <w:r>
        <w:rPr>
          <w:rFonts w:ascii="宋体" w:hAnsi="宋体" w:cs="宋体" w:eastAsia="宋体" w:hint="default"/>
          <w:spacing w:val="-50"/>
        </w:rPr>
        <w:t> </w:t>
      </w:r>
      <w:r>
        <w:rPr>
          <w:spacing w:val="-4"/>
        </w:rPr>
        <w:t>份额。公司实际控制人王相荣以</w:t>
      </w:r>
      <w:r>
        <w:rPr>
          <w:spacing w:val="-50"/>
        </w:rPr>
        <w:t> </w:t>
      </w:r>
      <w:r>
        <w:rPr>
          <w:rFonts w:ascii="宋体" w:hAnsi="宋体" w:cs="宋体" w:eastAsia="宋体" w:hint="default"/>
        </w:rPr>
        <w:t>2,500</w:t>
      </w:r>
      <w:r>
        <w:rPr>
          <w:rFonts w:ascii="宋体" w:hAnsi="宋体" w:cs="宋体" w:eastAsia="宋体" w:hint="default"/>
          <w:spacing w:val="-51"/>
        </w:rPr>
        <w:t> </w:t>
      </w:r>
      <w:r>
        <w:rPr/>
        <w:t>万元全 额认购利欧投资</w:t>
      </w:r>
      <w:r>
        <w:rPr>
          <w:spacing w:val="-52"/>
        </w:rPr>
        <w:t> </w:t>
      </w:r>
      <w:r>
        <w:rPr>
          <w:rFonts w:ascii="宋体" w:hAnsi="宋体" w:cs="宋体" w:eastAsia="宋体" w:hint="default"/>
        </w:rPr>
        <w:t>1</w:t>
      </w:r>
      <w:r>
        <w:rPr>
          <w:rFonts w:ascii="宋体" w:hAnsi="宋体" w:cs="宋体" w:eastAsia="宋体" w:hint="default"/>
          <w:spacing w:val="-51"/>
        </w:rPr>
        <w:t> </w:t>
      </w:r>
      <w:r>
        <w:rPr>
          <w:spacing w:val="-1"/>
        </w:rPr>
        <w:t>号次级</w:t>
      </w:r>
      <w:r>
        <w:rPr>
          <w:spacing w:val="-52"/>
        </w:rPr>
        <w:t> </w:t>
      </w:r>
      <w:r>
        <w:rPr>
          <w:rFonts w:ascii="宋体" w:hAnsi="宋体" w:cs="宋体" w:eastAsia="宋体" w:hint="default"/>
        </w:rPr>
        <w:t>C</w:t>
      </w:r>
      <w:r>
        <w:rPr>
          <w:rFonts w:ascii="宋体" w:hAnsi="宋体" w:cs="宋体" w:eastAsia="宋体" w:hint="default"/>
          <w:spacing w:val="-51"/>
        </w:rPr>
        <w:t> </w:t>
      </w:r>
      <w:r>
        <w:rPr>
          <w:spacing w:val="-15"/>
        </w:rPr>
        <w:t>份额，与次级</w:t>
      </w:r>
      <w:r>
        <w:rPr>
          <w:spacing w:val="-51"/>
        </w:rPr>
        <w:t> </w:t>
      </w:r>
      <w:r>
        <w:rPr>
          <w:rFonts w:ascii="宋体" w:hAnsi="宋体" w:cs="宋体" w:eastAsia="宋体" w:hint="default"/>
        </w:rPr>
        <w:t>B</w:t>
      </w:r>
      <w:r>
        <w:rPr>
          <w:rFonts w:ascii="宋体" w:hAnsi="宋体" w:cs="宋体" w:eastAsia="宋体" w:hint="default"/>
          <w:spacing w:val="-51"/>
        </w:rPr>
        <w:t> </w:t>
      </w:r>
      <w:r>
        <w:rPr>
          <w:spacing w:val="-1"/>
        </w:rPr>
        <w:t>份额投资者认购的</w:t>
      </w:r>
      <w:r>
        <w:rPr>
          <w:spacing w:val="-52"/>
        </w:rPr>
        <w:t> </w:t>
      </w:r>
      <w:r>
        <w:rPr>
          <w:rFonts w:ascii="宋体" w:hAnsi="宋体" w:cs="宋体" w:eastAsia="宋体" w:hint="default"/>
        </w:rPr>
        <w:t>1,250</w:t>
      </w:r>
      <w:r>
        <w:rPr>
          <w:rFonts w:ascii="宋体" w:hAnsi="宋体" w:cs="宋体" w:eastAsia="宋体" w:hint="default"/>
          <w:spacing w:val="-51"/>
        </w:rPr>
        <w:t> </w:t>
      </w:r>
      <w:r>
        <w:rPr>
          <w:spacing w:val="-1"/>
        </w:rPr>
        <w:t>万元共同以出资额为限</w:t>
      </w:r>
    </w:p>
    <w:p>
      <w:pPr>
        <w:spacing w:after="0" w:line="357"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238" w:right="1781"/>
        <w:jc w:val="left"/>
      </w:pPr>
      <w:r>
        <w:rPr/>
        <w:t>承担对优先级</w:t>
      </w:r>
      <w:r>
        <w:rPr>
          <w:spacing w:val="-50"/>
        </w:rPr>
        <w:t> </w:t>
      </w:r>
      <w:r>
        <w:rPr>
          <w:rFonts w:ascii="宋体" w:hAnsi="宋体" w:cs="宋体" w:eastAsia="宋体" w:hint="default"/>
        </w:rPr>
        <w:t>A</w:t>
      </w:r>
      <w:r>
        <w:rPr>
          <w:rFonts w:ascii="宋体" w:hAnsi="宋体" w:cs="宋体" w:eastAsia="宋体" w:hint="default"/>
          <w:spacing w:val="-49"/>
        </w:rPr>
        <w:t> </w:t>
      </w:r>
      <w:r>
        <w:rPr>
          <w:spacing w:val="-3"/>
        </w:rPr>
        <w:t>份额本金及预期年化收益的担保责任。同时，公司实际控制人王相荣承诺差</w:t>
      </w:r>
      <w:r>
        <w:rPr/>
        <w:t> 额补足，提供连带担保责任。</w:t>
      </w:r>
    </w:p>
    <w:p>
      <w:pPr>
        <w:pStyle w:val="BodyText"/>
        <w:spacing w:line="240" w:lineRule="auto" w:before="73"/>
        <w:ind w:left="658" w:right="1688"/>
        <w:jc w:val="left"/>
      </w:pPr>
      <w:r>
        <w:rPr/>
        <w:t>截至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2"/>
        </w:rPr>
        <w:t>日</w:t>
      </w:r>
      <w:r>
        <w:rPr>
          <w:spacing w:val="-88"/>
        </w:rPr>
        <w:t>，</w:t>
      </w:r>
      <w:r>
        <w:rPr>
          <w:spacing w:val="-2"/>
        </w:rPr>
        <w:t>公</w:t>
      </w:r>
      <w:r>
        <w:rPr/>
        <w:t>司第一期员工持股计划已通过深圳证券交易所证券交易系统</w:t>
      </w:r>
    </w:p>
    <w:p>
      <w:pPr>
        <w:pStyle w:val="BodyText"/>
        <w:spacing w:line="240" w:lineRule="auto" w:before="134"/>
        <w:ind w:left="238" w:right="1688"/>
        <w:jc w:val="left"/>
      </w:pPr>
      <w:r>
        <w:rPr>
          <w:spacing w:val="-4"/>
        </w:rPr>
        <w:t>完成股票购买，购买均价为</w:t>
      </w:r>
      <w:r>
        <w:rPr>
          <w:spacing w:val="-52"/>
        </w:rPr>
        <w:t> </w:t>
      </w:r>
      <w:r>
        <w:rPr>
          <w:rFonts w:ascii="宋体" w:hAnsi="宋体" w:cs="宋体" w:eastAsia="宋体" w:hint="default"/>
        </w:rPr>
        <w:t>25.57</w:t>
      </w:r>
      <w:r>
        <w:rPr>
          <w:rFonts w:ascii="宋体" w:hAnsi="宋体" w:cs="宋体" w:eastAsia="宋体" w:hint="default"/>
          <w:spacing w:val="-51"/>
        </w:rPr>
        <w:t> </w:t>
      </w:r>
      <w:r>
        <w:rPr>
          <w:spacing w:val="-6"/>
        </w:rPr>
        <w:t>元</w:t>
      </w:r>
      <w:r>
        <w:rPr>
          <w:rFonts w:ascii="宋体" w:hAnsi="宋体" w:cs="宋体" w:eastAsia="宋体" w:hint="default"/>
          <w:spacing w:val="-6"/>
        </w:rPr>
        <w:t>/</w:t>
      </w:r>
      <w:r>
        <w:rPr>
          <w:spacing w:val="-6"/>
        </w:rPr>
        <w:t>股，购买数量为</w:t>
      </w:r>
      <w:r>
        <w:rPr>
          <w:spacing w:val="-52"/>
        </w:rPr>
        <w:t> </w:t>
      </w:r>
      <w:r>
        <w:rPr>
          <w:rFonts w:ascii="宋体" w:hAnsi="宋体" w:cs="宋体" w:eastAsia="宋体" w:hint="default"/>
        </w:rPr>
        <w:t>4,351,500</w:t>
      </w:r>
      <w:r>
        <w:rPr>
          <w:rFonts w:ascii="宋体" w:hAnsi="宋体" w:cs="宋体" w:eastAsia="宋体" w:hint="default"/>
          <w:spacing w:val="-51"/>
        </w:rPr>
        <w:t> </w:t>
      </w:r>
      <w:r>
        <w:rPr/>
        <w:t>股</w:t>
      </w:r>
      <w:r>
        <w:rPr>
          <w:rFonts w:ascii="宋体" w:hAnsi="宋体" w:cs="宋体" w:eastAsia="宋体" w:hint="default"/>
        </w:rPr>
        <w:t>,</w:t>
      </w:r>
      <w:r>
        <w:rPr/>
        <w:t>占公司总股本的比例为</w:t>
      </w:r>
    </w:p>
    <w:p>
      <w:pPr>
        <w:pStyle w:val="BodyText"/>
        <w:spacing w:line="240" w:lineRule="auto" w:before="133"/>
        <w:ind w:left="237" w:right="1688"/>
        <w:jc w:val="left"/>
      </w:pPr>
      <w:r>
        <w:rPr>
          <w:rFonts w:ascii="宋体" w:hAnsi="宋体" w:cs="宋体" w:eastAsia="宋体" w:hint="default"/>
        </w:rPr>
        <w:t>1.11%</w:t>
      </w:r>
      <w:r>
        <w:rPr/>
        <w:t>。该持股计划所购买的股份锁定期自</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日起满</w:t>
      </w:r>
      <w:r>
        <w:rPr>
          <w:spacing w:val="-54"/>
        </w:rPr>
        <w:t> </w:t>
      </w:r>
      <w:r>
        <w:rPr>
          <w:rFonts w:ascii="宋体" w:hAnsi="宋体" w:cs="宋体" w:eastAsia="宋体" w:hint="default"/>
        </w:rPr>
        <w:t>12</w:t>
      </w:r>
      <w:r>
        <w:rPr>
          <w:rFonts w:ascii="宋体" w:hAnsi="宋体" w:cs="宋体" w:eastAsia="宋体" w:hint="default"/>
          <w:spacing w:val="-53"/>
        </w:rPr>
        <w:t> </w:t>
      </w:r>
      <w:r>
        <w:rPr/>
        <w:t>个月。</w:t>
      </w:r>
    </w:p>
    <w:p>
      <w:pPr>
        <w:pStyle w:val="BodyText"/>
        <w:spacing w:line="240" w:lineRule="auto" w:before="174"/>
        <w:ind w:left="657" w:right="1688"/>
        <w:jc w:val="left"/>
      </w:pPr>
      <w:bookmarkStart w:name="4. 利普诺股权转让事项" w:id="274"/>
      <w:bookmarkEnd w:id="274"/>
      <w:r>
        <w:rPr/>
      </w:r>
      <w:r>
        <w:rPr>
          <w:rFonts w:ascii="宋体" w:hAnsi="宋体" w:cs="宋体" w:eastAsia="宋体" w:hint="default"/>
        </w:rPr>
        <w:t>4.</w:t>
      </w:r>
      <w:r>
        <w:rPr>
          <w:rFonts w:ascii="宋体" w:hAnsi="宋体" w:cs="宋体" w:eastAsia="宋体" w:hint="default"/>
          <w:spacing w:val="-2"/>
        </w:rPr>
        <w:t> </w:t>
      </w:r>
      <w:r>
        <w:rPr/>
        <w:t>利普诺股权转让事项</w:t>
      </w:r>
    </w:p>
    <w:p>
      <w:pPr>
        <w:pStyle w:val="BodyText"/>
        <w:spacing w:line="240" w:lineRule="auto" w:before="174"/>
        <w:ind w:left="657" w:right="1688"/>
        <w:jc w:val="left"/>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9</w:t>
      </w:r>
      <w:r>
        <w:rPr>
          <w:rFonts w:ascii="宋体" w:hAnsi="宋体" w:cs="宋体" w:eastAsia="宋体" w:hint="default"/>
          <w:spacing w:val="-52"/>
        </w:rPr>
        <w:t> </w:t>
      </w:r>
      <w:r>
        <w:rPr/>
        <w:t>日</w:t>
      </w:r>
      <w:r>
        <w:rPr>
          <w:spacing w:val="-12"/>
        </w:rPr>
        <w:t>，</w:t>
      </w:r>
      <w:r>
        <w:rPr/>
        <w:t>根据本公司与上海持之实业有限公司签订</w:t>
      </w:r>
      <w:r>
        <w:rPr>
          <w:spacing w:val="-12"/>
        </w:rPr>
        <w:t>的</w:t>
      </w:r>
      <w:r>
        <w:rPr/>
        <w:t>《股权转让协议</w:t>
      </w:r>
      <w:r>
        <w:rPr>
          <w:spacing w:val="-106"/>
        </w:rPr>
        <w:t>》</w:t>
      </w:r>
      <w:r>
        <w:rPr>
          <w:spacing w:val="-12"/>
        </w:rPr>
        <w:t>，</w:t>
      </w:r>
      <w:r>
        <w:rPr/>
        <w:t>本</w:t>
      </w:r>
    </w:p>
    <w:p>
      <w:pPr>
        <w:pStyle w:val="BodyText"/>
        <w:spacing w:line="240" w:lineRule="auto" w:before="133"/>
        <w:ind w:left="237" w:right="1688"/>
        <w:jc w:val="left"/>
      </w:pPr>
      <w:r>
        <w:rPr/>
        <w:t>公司将持有的利普诺</w:t>
      </w:r>
      <w:r>
        <w:rPr>
          <w:spacing w:val="-59"/>
        </w:rPr>
        <w:t> </w:t>
      </w:r>
      <w:r>
        <w:rPr>
          <w:rFonts w:ascii="宋体" w:hAnsi="宋体" w:cs="宋体" w:eastAsia="宋体" w:hint="default"/>
        </w:rPr>
        <w:t>51%</w:t>
      </w:r>
      <w:r>
        <w:rPr/>
        <w:t>股权转让给上海持之实业有限公司。利普诺于</w:t>
      </w:r>
      <w:r>
        <w:rPr>
          <w:spacing w:val="-58"/>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2</w:t>
      </w:r>
      <w:r>
        <w:rPr>
          <w:rFonts w:ascii="宋体" w:hAnsi="宋体" w:cs="宋体" w:eastAsia="宋体" w:hint="default"/>
          <w:spacing w:val="-58"/>
        </w:rPr>
        <w:t> </w:t>
      </w:r>
      <w:r>
        <w:rPr/>
        <w:t>月</w:t>
      </w:r>
      <w:r>
        <w:rPr>
          <w:spacing w:val="-60"/>
        </w:rPr>
        <w:t> </w:t>
      </w:r>
      <w:r>
        <w:rPr>
          <w:rFonts w:ascii="宋体" w:hAnsi="宋体" w:cs="宋体" w:eastAsia="宋体" w:hint="default"/>
        </w:rPr>
        <w:t>13</w:t>
      </w:r>
      <w:r>
        <w:rPr>
          <w:rFonts w:ascii="宋体" w:hAnsi="宋体" w:cs="宋体" w:eastAsia="宋体" w:hint="default"/>
          <w:spacing w:val="-59"/>
        </w:rPr>
        <w:t> </w:t>
      </w:r>
      <w:r>
        <w:rPr/>
        <w:t>日在</w:t>
      </w:r>
    </w:p>
    <w:p>
      <w:pPr>
        <w:pStyle w:val="BodyText"/>
        <w:spacing w:line="357" w:lineRule="auto" w:before="133"/>
        <w:ind w:left="237" w:right="1786"/>
        <w:jc w:val="left"/>
      </w:pPr>
      <w:r>
        <w:rPr/>
        <w:t>上海市工商行政管理局青浦分局办妥工商变更登记手续，故自</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52"/>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日起不再纳入 本公司财务报表合并范围内。</w:t>
      </w:r>
    </w:p>
    <w:p>
      <w:pPr>
        <w:pStyle w:val="BodyText"/>
        <w:spacing w:line="391" w:lineRule="auto" w:before="71"/>
        <w:ind w:left="659" w:right="1687" w:hanging="2"/>
        <w:jc w:val="left"/>
      </w:pPr>
      <w:bookmarkStart w:name="5. 上海利泵注销事项" w:id="275"/>
      <w:bookmarkEnd w:id="275"/>
      <w:r>
        <w:rPr/>
      </w:r>
      <w:r>
        <w:rPr>
          <w:rFonts w:ascii="宋体" w:hAnsi="宋体" w:cs="宋体" w:eastAsia="宋体" w:hint="default"/>
        </w:rPr>
        <w:t>5.</w:t>
      </w:r>
      <w:r>
        <w:rPr>
          <w:rFonts w:ascii="宋体" w:hAnsi="宋体" w:cs="宋体" w:eastAsia="宋体" w:hint="default"/>
          <w:spacing w:val="-1"/>
        </w:rPr>
        <w:t> </w:t>
      </w:r>
      <w:r>
        <w:rPr/>
        <w:t>上海利泵注销事项 根据上海利泵自然人股东王凤通与本公司达成的和解协议，双方拟决定解散上海利泵。</w:t>
      </w:r>
    </w:p>
    <w:p>
      <w:pPr>
        <w:pStyle w:val="BodyText"/>
        <w:spacing w:line="355" w:lineRule="auto" w:before="2"/>
        <w:ind w:left="238" w:right="1787"/>
        <w:jc w:val="left"/>
      </w:pPr>
      <w:r>
        <w:rPr/>
        <w:t>上海利泵于</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2</w:t>
      </w:r>
      <w:r>
        <w:rPr>
          <w:rFonts w:ascii="宋体" w:hAnsi="宋体" w:cs="宋体" w:eastAsia="宋体" w:hint="default"/>
          <w:spacing w:val="-49"/>
        </w:rPr>
        <w:t> </w:t>
      </w:r>
      <w:r>
        <w:rPr/>
        <w:t>月</w:t>
      </w:r>
      <w:r>
        <w:rPr>
          <w:spacing w:val="-51"/>
        </w:rPr>
        <w:t> </w:t>
      </w:r>
      <w:r>
        <w:rPr>
          <w:rFonts w:ascii="宋体" w:hAnsi="宋体" w:cs="宋体" w:eastAsia="宋体" w:hint="default"/>
          <w:spacing w:val="-1"/>
        </w:rPr>
        <w:t>13</w:t>
      </w:r>
      <w:r>
        <w:rPr>
          <w:rFonts w:ascii="宋体" w:hAnsi="宋体" w:cs="宋体" w:eastAsia="宋体" w:hint="default"/>
          <w:spacing w:val="-49"/>
        </w:rPr>
        <w:t> </w:t>
      </w:r>
      <w:r>
        <w:rPr>
          <w:spacing w:val="-4"/>
        </w:rPr>
        <w:t>日在上海市工商行政管理局青浦分局办妥注销工商登记手续，故</w:t>
      </w:r>
      <w:r>
        <w:rPr/>
        <w:t> 自注销工商登记之日起不再纳入本公司财务报表合并范围内。</w:t>
      </w:r>
    </w:p>
    <w:p>
      <w:pPr>
        <w:spacing w:line="240" w:lineRule="auto" w:before="0"/>
        <w:rPr>
          <w:rFonts w:ascii="宋体" w:hAnsi="宋体" w:cs="宋体" w:eastAsia="宋体" w:hint="default"/>
          <w:sz w:val="20"/>
          <w:szCs w:val="20"/>
        </w:rPr>
      </w:pPr>
    </w:p>
    <w:p>
      <w:pPr>
        <w:pStyle w:val="Heading3"/>
        <w:spacing w:line="240" w:lineRule="auto" w:before="134"/>
        <w:ind w:left="660" w:right="1688"/>
        <w:jc w:val="left"/>
        <w:rPr>
          <w:rFonts w:ascii="黑体" w:hAnsi="黑体" w:cs="黑体" w:eastAsia="黑体" w:hint="default"/>
          <w:b w:val="0"/>
          <w:bCs w:val="0"/>
        </w:rPr>
      </w:pPr>
      <w:bookmarkStart w:name="十五、其他重要事项" w:id="276"/>
      <w:bookmarkEnd w:id="276"/>
      <w:r>
        <w:rPr>
          <w:b w:val="0"/>
          <w:bCs w:val="0"/>
        </w:rPr>
      </w:r>
      <w:r>
        <w:rPr>
          <w:rFonts w:ascii="黑体" w:hAnsi="黑体" w:cs="黑体" w:eastAsia="黑体" w:hint="default"/>
        </w:rPr>
        <w:t>十五、其他重要事项</w:t>
      </w:r>
      <w:r>
        <w:rPr>
          <w:rFonts w:ascii="黑体" w:hAnsi="黑体" w:cs="黑体" w:eastAsia="黑体" w:hint="default"/>
          <w:b w:val="0"/>
          <w:bCs w:val="0"/>
        </w:rPr>
      </w:r>
    </w:p>
    <w:p>
      <w:pPr>
        <w:pStyle w:val="BodyText"/>
        <w:spacing w:line="240" w:lineRule="auto" w:before="174"/>
        <w:ind w:left="657" w:right="1688"/>
        <w:jc w:val="left"/>
      </w:pPr>
      <w:bookmarkStart w:name="(一) 分部信息" w:id="277"/>
      <w:bookmarkEnd w:id="277"/>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分部信息</w:t>
      </w:r>
    </w:p>
    <w:p>
      <w:pPr>
        <w:pStyle w:val="BodyText"/>
        <w:spacing w:line="391" w:lineRule="auto" w:before="173"/>
        <w:ind w:left="657" w:right="1688"/>
        <w:jc w:val="left"/>
      </w:pPr>
      <w:bookmarkStart w:name="1. 报告分部的确定依据与会计政策" w:id="278"/>
      <w:bookmarkEnd w:id="278"/>
      <w:r>
        <w:rPr/>
      </w:r>
      <w:r>
        <w:rPr>
          <w:rFonts w:ascii="宋体" w:hAnsi="宋体" w:cs="宋体" w:eastAsia="宋体" w:hint="default"/>
        </w:rPr>
        <w:t>1.</w:t>
      </w:r>
      <w:r>
        <w:rPr>
          <w:rFonts w:ascii="宋体" w:hAnsi="宋体" w:cs="宋体" w:eastAsia="宋体" w:hint="default"/>
          <w:spacing w:val="-1"/>
        </w:rPr>
        <w:t> </w:t>
      </w:r>
      <w:r>
        <w:rPr/>
        <w:t>报告分部的确定依据与会计政策 </w:t>
      </w:r>
      <w:r>
        <w:rPr>
          <w:spacing w:val="-3"/>
        </w:rPr>
        <w:t>公司以内部组织结构、管理要求、内部报告制度等为依据确定经营分部。公司的经营分</w:t>
      </w:r>
    </w:p>
    <w:p>
      <w:pPr>
        <w:pStyle w:val="BodyText"/>
        <w:spacing w:line="240" w:lineRule="auto" w:before="1"/>
        <w:ind w:left="237" w:right="1688"/>
        <w:jc w:val="left"/>
      </w:pPr>
      <w:r>
        <w:rPr/>
        <w:t>部是指同时满足下列条件的组成部分：</w:t>
      </w:r>
    </w:p>
    <w:p>
      <w:pPr>
        <w:pStyle w:val="BodyText"/>
        <w:spacing w:line="240" w:lineRule="auto" w:before="134"/>
        <w:ind w:left="657" w:right="1688"/>
        <w:jc w:val="left"/>
      </w:pPr>
      <w:r>
        <w:rPr>
          <w:rFonts w:ascii="宋体" w:hAnsi="宋体" w:cs="宋体" w:eastAsia="宋体" w:hint="default"/>
        </w:rPr>
        <w:t>(1)</w:t>
      </w:r>
      <w:r>
        <w:rPr>
          <w:rFonts w:ascii="宋体" w:hAnsi="宋体" w:cs="宋体" w:eastAsia="宋体" w:hint="default"/>
          <w:spacing w:val="-1"/>
        </w:rPr>
        <w:t> </w:t>
      </w:r>
      <w:r>
        <w:rPr/>
        <w:t>该组成部分能够在日常活动中产生收入、发生费用；</w:t>
      </w:r>
    </w:p>
    <w:p>
      <w:pPr>
        <w:pStyle w:val="BodyText"/>
        <w:spacing w:line="240" w:lineRule="auto" w:before="133"/>
        <w:ind w:left="657" w:right="0"/>
        <w:jc w:val="left"/>
      </w:pPr>
      <w:r>
        <w:rPr>
          <w:rFonts w:ascii="宋体" w:hAnsi="宋体" w:cs="宋体" w:eastAsia="宋体" w:hint="default"/>
        </w:rPr>
        <w:t>(2)</w:t>
      </w:r>
      <w:r>
        <w:rPr>
          <w:rFonts w:ascii="宋体" w:hAnsi="宋体" w:cs="宋体" w:eastAsia="宋体" w:hint="default"/>
          <w:spacing w:val="-1"/>
        </w:rPr>
        <w:t> </w:t>
      </w:r>
      <w:r>
        <w:rPr/>
        <w:t>管理层能够定期评价该组成部分的经营成果，以决定向其配置资源、评价其业绩；</w:t>
      </w:r>
    </w:p>
    <w:p>
      <w:pPr>
        <w:pStyle w:val="BodyText"/>
        <w:spacing w:line="391" w:lineRule="auto" w:before="134"/>
        <w:ind w:left="657" w:right="1690"/>
        <w:jc w:val="left"/>
      </w:pPr>
      <w:r>
        <w:rPr>
          <w:rFonts w:ascii="宋体" w:hAnsi="宋体" w:cs="宋体" w:eastAsia="宋体" w:hint="default"/>
        </w:rPr>
        <w:t>(3)</w:t>
      </w:r>
      <w:r>
        <w:rPr>
          <w:rFonts w:ascii="宋体" w:hAnsi="宋体" w:cs="宋体" w:eastAsia="宋体" w:hint="default"/>
          <w:spacing w:val="-1"/>
        </w:rPr>
        <w:t> </w:t>
      </w:r>
      <w:r>
        <w:rPr/>
        <w:t>能够通过分析取得该组成部分的财务状况、经营成果和现金流量等有关会计信息。 </w:t>
      </w:r>
      <w:r>
        <w:rPr>
          <w:spacing w:val="-3"/>
        </w:rPr>
        <w:t>公司以产品分部为基础确定报告分部，与各分部共同使用的资产、负债按照规模比例在</w:t>
      </w:r>
    </w:p>
    <w:p>
      <w:pPr>
        <w:pStyle w:val="BodyText"/>
        <w:spacing w:line="240" w:lineRule="auto" w:before="2"/>
        <w:ind w:left="237" w:right="1688"/>
        <w:jc w:val="left"/>
      </w:pPr>
      <w:r>
        <w:rPr/>
        <w:t>不同的分部之间分配。</w:t>
      </w:r>
    </w:p>
    <w:p>
      <w:pPr>
        <w:pStyle w:val="BodyText"/>
        <w:spacing w:line="240" w:lineRule="auto" w:before="172"/>
        <w:ind w:left="658" w:right="1688"/>
        <w:jc w:val="left"/>
      </w:pPr>
      <w:bookmarkStart w:name="2. 报告分部的财务信息" w:id="279"/>
      <w:bookmarkEnd w:id="279"/>
      <w:r>
        <w:rPr/>
      </w:r>
      <w:r>
        <w:rPr>
          <w:rFonts w:ascii="宋体" w:hAnsi="宋体" w:cs="宋体" w:eastAsia="宋体" w:hint="default"/>
        </w:rPr>
        <w:t>2.</w:t>
      </w:r>
      <w:r>
        <w:rPr>
          <w:rFonts w:ascii="宋体" w:hAnsi="宋体" w:cs="宋体" w:eastAsia="宋体" w:hint="default"/>
          <w:spacing w:val="-2"/>
        </w:rPr>
        <w:t> </w:t>
      </w:r>
      <w:r>
        <w:rPr/>
        <w:t>报告分部的财务信息</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819"/>
        <w:gridCol w:w="1679"/>
        <w:gridCol w:w="1680"/>
        <w:gridCol w:w="1679"/>
        <w:gridCol w:w="1679"/>
      </w:tblGrid>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72" w:right="0"/>
              <w:jc w:val="left"/>
              <w:rPr>
                <w:rFonts w:ascii="宋体" w:hAnsi="宋体" w:cs="宋体" w:eastAsia="宋体" w:hint="default"/>
                <w:sz w:val="18"/>
                <w:szCs w:val="18"/>
              </w:rPr>
            </w:pPr>
            <w:r>
              <w:rPr>
                <w:rFonts w:ascii="宋体" w:hAnsi="宋体" w:cs="宋体" w:eastAsia="宋体" w:hint="default"/>
                <w:sz w:val="18"/>
                <w:szCs w:val="18"/>
              </w:rPr>
              <w:t>负债总额</w:t>
            </w:r>
          </w:p>
        </w:tc>
      </w:tr>
      <w:tr>
        <w:trPr>
          <w:trHeight w:val="718"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1"/>
              <w:jc w:val="left"/>
              <w:rPr>
                <w:rFonts w:ascii="宋体" w:hAnsi="宋体" w:cs="宋体" w:eastAsia="宋体" w:hint="default"/>
                <w:sz w:val="18"/>
                <w:szCs w:val="18"/>
              </w:rPr>
            </w:pPr>
            <w:r>
              <w:rPr>
                <w:rFonts w:ascii="宋体" w:hAnsi="宋体" w:cs="宋体" w:eastAsia="宋体" w:hint="default"/>
                <w:spacing w:val="6"/>
                <w:sz w:val="18"/>
                <w:szCs w:val="18"/>
              </w:rPr>
              <w:t>民用泵</w:t>
            </w:r>
            <w:r>
              <w:rPr>
                <w:rFonts w:ascii="宋体" w:hAnsi="宋体" w:cs="宋体" w:eastAsia="宋体" w:hint="default"/>
                <w:spacing w:val="6"/>
                <w:sz w:val="18"/>
                <w:szCs w:val="18"/>
              </w:rPr>
              <w:t>(</w:t>
            </w:r>
            <w:r>
              <w:rPr>
                <w:rFonts w:ascii="宋体" w:hAnsi="宋体" w:cs="宋体" w:eastAsia="宋体" w:hint="default"/>
                <w:spacing w:val="6"/>
                <w:sz w:val="18"/>
                <w:szCs w:val="18"/>
              </w:rPr>
              <w:t>微型小型水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泵</w:t>
            </w:r>
            <w:r>
              <w:rPr>
                <w:rFonts w:ascii="宋体" w:hAnsi="宋体" w:cs="宋体" w:eastAsia="宋体" w:hint="default"/>
                <w:sz w:val="18"/>
                <w:szCs w:val="18"/>
              </w:rPr>
              <w: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1,072,082,777.05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791,487,013.85</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1,463,595,491.98</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737,586,063.04</w:t>
            </w:r>
          </w:p>
        </w:tc>
      </w:tr>
      <w:tr>
        <w:trPr>
          <w:trHeight w:val="483"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工业泵</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521,664,729.28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428,954,579.55</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712,170,890.57</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358,901,982.32</w:t>
            </w: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园林机械</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105,141,821.92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87,639,338.84</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143,538,446.73</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72,336,898.00</w:t>
            </w: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清洗机械</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97,701,820.05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70,249,969.07</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133,381,438.86</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67,218,224.51</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819"/>
        <w:gridCol w:w="1679"/>
        <w:gridCol w:w="1680"/>
        <w:gridCol w:w="1679"/>
        <w:gridCol w:w="1679"/>
      </w:tblGrid>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植保机械</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14,001,871.73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10,222,519.36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19,115,199.67</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9,633,197.80</w:t>
            </w: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媒介代理服务</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956,565,942.03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799,696,280.14</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1,305,893,192.67</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658,111,222.68</w:t>
            </w: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配  件</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276,744,186.40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216,955,487.31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377,808,087.51</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190,398,222.31</w:t>
            </w:r>
          </w:p>
        </w:tc>
      </w:tr>
      <w:tr>
        <w:trPr>
          <w:trHeight w:val="482"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数字营销服务</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28,962,060.84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14,721,421.91</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39,538,683.57</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19,925,711.79</w:t>
            </w: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4,663,485.69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3,857,734.06</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6,366,538.83</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3,208,448.19</w:t>
            </w: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239,589,520.22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237,952,045.40</w:t>
            </w:r>
          </w:p>
        </w:tc>
        <w:tc>
          <w:tcPr>
            <w:tcW w:w="167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2,837,939,174.77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2,185,832,298.69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4,201,407,970.39</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2,117,319,970.64</w:t>
            </w:r>
          </w:p>
        </w:tc>
      </w:tr>
    </w:tbl>
    <w:p>
      <w:pPr>
        <w:pStyle w:val="BodyText"/>
        <w:spacing w:line="391" w:lineRule="auto" w:before="6"/>
        <w:ind w:left="658" w:right="5258"/>
        <w:jc w:val="left"/>
      </w:pPr>
      <w:bookmarkStart w:name="(二)其他对投资者决策有影响的重要交易和事项" w:id="280"/>
      <w:bookmarkEnd w:id="280"/>
      <w:r>
        <w:rPr/>
      </w:r>
      <w:r>
        <w:rPr>
          <w:rFonts w:ascii="宋体" w:hAnsi="宋体" w:cs="宋体" w:eastAsia="宋体" w:hint="default"/>
        </w:rPr>
        <w:t>(</w:t>
      </w:r>
      <w:r>
        <w:rPr/>
        <w:t>二</w:t>
      </w:r>
      <w:r>
        <w:rPr>
          <w:rFonts w:ascii="宋体" w:hAnsi="宋体" w:cs="宋体" w:eastAsia="宋体" w:hint="default"/>
        </w:rPr>
        <w:t>)</w:t>
      </w:r>
      <w:r>
        <w:rPr/>
        <w:t>其他对投资者决策有影响的重要交易和事项 </w:t>
      </w:r>
      <w:bookmarkStart w:name="1. 日立泵股权转让事项" w:id="281"/>
      <w:bookmarkEnd w:id="281"/>
      <w:r>
        <w:rPr/>
      </w:r>
      <w:r>
        <w:rPr>
          <w:rFonts w:ascii="宋体" w:hAnsi="宋体" w:cs="宋体" w:eastAsia="宋体" w:hint="default"/>
        </w:rPr>
        <w:t>1.</w:t>
      </w:r>
      <w:r>
        <w:rPr>
          <w:rFonts w:ascii="宋体" w:hAnsi="宋体" w:cs="宋体" w:eastAsia="宋体" w:hint="default"/>
          <w:spacing w:val="-2"/>
        </w:rPr>
        <w:t> </w:t>
      </w:r>
      <w:r>
        <w:rPr/>
        <w:t>日立泵股权转让事项</w:t>
      </w:r>
    </w:p>
    <w:p>
      <w:pPr>
        <w:pStyle w:val="BodyText"/>
        <w:spacing w:line="357" w:lineRule="auto" w:before="41"/>
        <w:ind w:left="238" w:right="1783" w:firstLine="420"/>
        <w:jc w:val="left"/>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1"/>
        </w:rPr>
        <w:t> </w:t>
      </w:r>
      <w:r>
        <w:rPr/>
        <w:t>月</w:t>
      </w:r>
      <w:r>
        <w:rPr>
          <w:spacing w:val="-62"/>
        </w:rPr>
        <w:t> </w:t>
      </w:r>
      <w:r>
        <w:rPr>
          <w:rFonts w:ascii="宋体" w:hAnsi="宋体" w:cs="宋体" w:eastAsia="宋体" w:hint="default"/>
        </w:rPr>
        <w:t>23</w:t>
      </w:r>
      <w:r>
        <w:rPr>
          <w:rFonts w:ascii="宋体" w:hAnsi="宋体" w:cs="宋体" w:eastAsia="宋体" w:hint="default"/>
          <w:spacing w:val="-60"/>
        </w:rPr>
        <w:t> </w:t>
      </w:r>
      <w:r>
        <w:rPr/>
        <w:t>日，无锡锡泵与株式会社日立制作所签署了《股权转让协议》，无锡锡 泵将所持有的日立泵</w:t>
      </w:r>
      <w:r>
        <w:rPr>
          <w:spacing w:val="-54"/>
        </w:rPr>
        <w:t> </w:t>
      </w:r>
      <w:r>
        <w:rPr>
          <w:rFonts w:ascii="宋体" w:hAnsi="宋体" w:cs="宋体" w:eastAsia="宋体" w:hint="default"/>
        </w:rPr>
        <w:t>30%</w:t>
      </w:r>
      <w:r>
        <w:rPr/>
        <w:t>股权以人民币</w:t>
      </w:r>
      <w:r>
        <w:rPr>
          <w:spacing w:val="-53"/>
        </w:rPr>
        <w:t> </w:t>
      </w:r>
      <w:r>
        <w:rPr>
          <w:rFonts w:ascii="宋体" w:hAnsi="宋体" w:cs="宋体" w:eastAsia="宋体" w:hint="default"/>
        </w:rPr>
        <w:t>1.3</w:t>
      </w:r>
      <w:r>
        <w:rPr>
          <w:rFonts w:ascii="宋体" w:hAnsi="宋体" w:cs="宋体" w:eastAsia="宋体" w:hint="default"/>
          <w:spacing w:val="-53"/>
        </w:rPr>
        <w:t> </w:t>
      </w:r>
      <w:r>
        <w:rPr/>
        <w:t>亿元的价格转让给株式会社日立制作所。</w:t>
      </w:r>
    </w:p>
    <w:p>
      <w:pPr>
        <w:pStyle w:val="BodyText"/>
        <w:spacing w:line="240" w:lineRule="auto" w:before="70"/>
        <w:ind w:left="658" w:right="1688"/>
        <w:jc w:val="left"/>
      </w:pPr>
      <w:r>
        <w:rPr>
          <w:rFonts w:ascii="宋体" w:hAnsi="宋体" w:cs="宋体" w:eastAsia="宋体" w:hint="default"/>
        </w:rPr>
        <w:t>2014</w:t>
      </w:r>
      <w:r>
        <w:rPr>
          <w:rFonts w:ascii="宋体" w:hAnsi="宋体" w:cs="宋体" w:eastAsia="宋体" w:hint="default"/>
          <w:spacing w:val="-39"/>
        </w:rPr>
        <w:t> </w:t>
      </w:r>
      <w:r>
        <w:rPr/>
        <w:t>年</w:t>
      </w:r>
      <w:r>
        <w:rPr>
          <w:spacing w:val="-40"/>
        </w:rPr>
        <w:t> </w:t>
      </w:r>
      <w:r>
        <w:rPr>
          <w:rFonts w:ascii="宋体" w:hAnsi="宋体" w:cs="宋体" w:eastAsia="宋体" w:hint="default"/>
        </w:rPr>
        <w:t>3</w:t>
      </w:r>
      <w:r>
        <w:rPr>
          <w:rFonts w:ascii="宋体" w:hAnsi="宋体" w:cs="宋体" w:eastAsia="宋体" w:hint="default"/>
          <w:spacing w:val="-40"/>
        </w:rPr>
        <w:t> </w:t>
      </w:r>
      <w:r>
        <w:rPr/>
        <w:t>月，无锡锡泵收到株式会社日立制作所股权转让款</w:t>
      </w:r>
      <w:r>
        <w:rPr>
          <w:spacing w:val="-40"/>
        </w:rPr>
        <w:t> </w:t>
      </w:r>
      <w:r>
        <w:rPr>
          <w:rFonts w:ascii="宋体" w:hAnsi="宋体" w:cs="宋体" w:eastAsia="宋体" w:hint="default"/>
        </w:rPr>
        <w:t>1.3</w:t>
      </w:r>
      <w:r>
        <w:rPr>
          <w:rFonts w:ascii="宋体" w:hAnsi="宋体" w:cs="宋体" w:eastAsia="宋体" w:hint="default"/>
          <w:spacing w:val="-39"/>
        </w:rPr>
        <w:t> </w:t>
      </w:r>
      <w:r>
        <w:rPr/>
        <w:t>亿元，并相应确认处</w:t>
      </w:r>
    </w:p>
    <w:p>
      <w:pPr>
        <w:pStyle w:val="BodyText"/>
        <w:spacing w:line="355" w:lineRule="auto" w:before="134"/>
        <w:ind w:left="238" w:right="1790"/>
        <w:jc w:val="left"/>
      </w:pPr>
      <w:r>
        <w:rPr/>
        <w:t>置日立泵股权投资净收益</w:t>
      </w:r>
      <w:r>
        <w:rPr>
          <w:spacing w:val="-52"/>
        </w:rPr>
        <w:t> </w:t>
      </w:r>
      <w:r>
        <w:rPr>
          <w:rFonts w:ascii="宋体" w:hAnsi="宋体" w:cs="宋体" w:eastAsia="宋体" w:hint="default"/>
        </w:rPr>
        <w:t>96,079,626.50</w:t>
      </w:r>
      <w:r>
        <w:rPr>
          <w:rFonts w:ascii="宋体" w:hAnsi="宋体" w:cs="宋体" w:eastAsia="宋体" w:hint="default"/>
          <w:spacing w:val="-51"/>
        </w:rPr>
        <w:t> </w:t>
      </w:r>
      <w:r>
        <w:rPr>
          <w:spacing w:val="-14"/>
        </w:rPr>
        <w:t>元。日立泵已于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1"/>
        </w:rPr>
        <w:t> </w:t>
      </w:r>
      <w:r>
        <w:rPr/>
        <w:t>月</w:t>
      </w:r>
      <w:r>
        <w:rPr>
          <w:spacing w:val="-52"/>
        </w:rPr>
        <w:t> </w:t>
      </w:r>
      <w:r>
        <w:rPr>
          <w:rFonts w:ascii="宋体" w:hAnsi="宋体" w:cs="宋体" w:eastAsia="宋体" w:hint="default"/>
          <w:spacing w:val="-1"/>
        </w:rPr>
        <w:t>24</w:t>
      </w:r>
      <w:r>
        <w:rPr>
          <w:rFonts w:ascii="宋体" w:hAnsi="宋体" w:cs="宋体" w:eastAsia="宋体" w:hint="default"/>
          <w:spacing w:val="-51"/>
        </w:rPr>
        <w:t> </w:t>
      </w:r>
      <w:r>
        <w:rPr>
          <w:spacing w:val="-1"/>
        </w:rPr>
        <w:t>日办妥工商变更登</w:t>
      </w:r>
      <w:r>
        <w:rPr/>
        <w:t> 记手续。</w:t>
      </w:r>
    </w:p>
    <w:p>
      <w:pPr>
        <w:pStyle w:val="BodyText"/>
        <w:spacing w:line="240" w:lineRule="auto" w:before="73"/>
        <w:ind w:left="658" w:right="1688"/>
        <w:jc w:val="left"/>
      </w:pPr>
      <w:bookmarkStart w:name="2. 土地收储和搬迁事项" w:id="282"/>
      <w:bookmarkEnd w:id="282"/>
      <w:r>
        <w:rPr/>
      </w:r>
      <w:r>
        <w:rPr>
          <w:rFonts w:ascii="宋体" w:hAnsi="宋体" w:cs="宋体" w:eastAsia="宋体" w:hint="default"/>
        </w:rPr>
        <w:t>2.</w:t>
      </w:r>
      <w:r>
        <w:rPr>
          <w:rFonts w:ascii="宋体" w:hAnsi="宋体" w:cs="宋体" w:eastAsia="宋体" w:hint="default"/>
          <w:spacing w:val="-2"/>
        </w:rPr>
        <w:t> </w:t>
      </w:r>
      <w:r>
        <w:rPr/>
        <w:t>土地收储和搬迁事项</w:t>
      </w:r>
    </w:p>
    <w:p>
      <w:pPr>
        <w:pStyle w:val="BodyText"/>
        <w:spacing w:line="240" w:lineRule="auto" w:before="174"/>
        <w:ind w:left="658" w:right="0"/>
        <w:jc w:val="left"/>
      </w:pPr>
      <w:r>
        <w:rPr>
          <w:rFonts w:ascii="宋体" w:hAnsi="宋体" w:cs="宋体" w:eastAsia="宋体" w:hint="default"/>
        </w:rPr>
        <w:t>2013</w:t>
      </w:r>
      <w:r>
        <w:rPr>
          <w:rFonts w:ascii="宋体" w:hAnsi="宋体" w:cs="宋体" w:eastAsia="宋体" w:hint="default"/>
          <w:spacing w:val="-67"/>
        </w:rPr>
        <w:t> </w:t>
      </w:r>
      <w:r>
        <w:rPr/>
        <w:t>年</w:t>
      </w:r>
      <w:r>
        <w:rPr>
          <w:spacing w:val="-67"/>
        </w:rPr>
        <w:t> </w:t>
      </w:r>
      <w:r>
        <w:rPr>
          <w:rFonts w:ascii="宋体" w:hAnsi="宋体" w:cs="宋体" w:eastAsia="宋体" w:hint="default"/>
        </w:rPr>
        <w:t>10</w:t>
      </w:r>
      <w:r>
        <w:rPr>
          <w:rFonts w:ascii="宋体" w:hAnsi="宋体" w:cs="宋体" w:eastAsia="宋体" w:hint="default"/>
          <w:spacing w:val="-66"/>
        </w:rPr>
        <w:t> </w:t>
      </w:r>
      <w:r>
        <w:rPr/>
        <w:t>月，根据温岭市委、市政府《温岭市党政联席会议纪要》</w:t>
      </w:r>
      <w:r>
        <w:rPr>
          <w:rFonts w:ascii="宋体" w:hAnsi="宋体" w:cs="宋体" w:eastAsia="宋体" w:hint="default"/>
        </w:rPr>
        <w:t>(</w:t>
      </w:r>
      <w:r>
        <w:rPr/>
        <w:t>温十三届〔</w:t>
      </w:r>
      <w:r>
        <w:rPr>
          <w:rFonts w:ascii="宋体" w:hAnsi="宋体" w:cs="宋体" w:eastAsia="宋体" w:hint="default"/>
        </w:rPr>
        <w:t>2013</w:t>
      </w:r>
      <w:r>
        <w:rPr/>
        <w:t>〕</w:t>
      </w:r>
    </w:p>
    <w:p>
      <w:pPr>
        <w:pStyle w:val="BodyText"/>
        <w:spacing w:line="357" w:lineRule="auto" w:before="133"/>
        <w:ind w:left="237" w:right="1792"/>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54"/>
        </w:rPr>
        <w:t> </w:t>
      </w:r>
      <w:r>
        <w:rPr>
          <w:spacing w:val="-3"/>
        </w:rPr>
        <w:t>号</w:t>
      </w:r>
      <w:r>
        <w:rPr>
          <w:rFonts w:ascii="宋体" w:hAnsi="宋体" w:cs="宋体" w:eastAsia="宋体" w:hint="default"/>
          <w:spacing w:val="-3"/>
        </w:rPr>
        <w:t>)</w:t>
      </w:r>
      <w:r>
        <w:rPr>
          <w:spacing w:val="-3"/>
        </w:rPr>
        <w:t>、温岭市人民政府办公室会议纪要</w:t>
      </w:r>
      <w:r>
        <w:rPr>
          <w:rFonts w:ascii="宋体" w:hAnsi="宋体" w:cs="宋体" w:eastAsia="宋体" w:hint="default"/>
          <w:spacing w:val="-3"/>
        </w:rPr>
        <w:t>(</w:t>
      </w:r>
      <w:r>
        <w:rPr>
          <w:spacing w:val="-3"/>
        </w:rPr>
        <w:t>温政办纪〔</w:t>
      </w:r>
      <w:r>
        <w:rPr>
          <w:rFonts w:ascii="宋体" w:hAnsi="宋体" w:cs="宋体" w:eastAsia="宋体" w:hint="default"/>
          <w:spacing w:val="-3"/>
        </w:rPr>
        <w:t>2013</w:t>
      </w:r>
      <w:r>
        <w:rPr>
          <w:spacing w:val="-3"/>
        </w:rPr>
        <w:t>〕</w:t>
      </w:r>
      <w:r>
        <w:rPr>
          <w:rFonts w:ascii="宋体" w:hAnsi="宋体" w:cs="宋体" w:eastAsia="宋体" w:hint="default"/>
          <w:spacing w:val="-3"/>
        </w:rPr>
        <w:t>161</w:t>
      </w:r>
      <w:r>
        <w:rPr>
          <w:rFonts w:ascii="宋体" w:hAnsi="宋体" w:cs="宋体" w:eastAsia="宋体" w:hint="default"/>
          <w:spacing w:val="-54"/>
        </w:rPr>
        <w:t> </w:t>
      </w:r>
      <w:r>
        <w:rPr/>
        <w:t>号</w:t>
      </w:r>
      <w:r>
        <w:rPr>
          <w:rFonts w:ascii="宋体" w:hAnsi="宋体" w:cs="宋体" w:eastAsia="宋体" w:hint="default"/>
        </w:rPr>
        <w:t>)</w:t>
      </w:r>
      <w:r>
        <w:rPr/>
        <w:t>的相关意见，原则同意对 公司位于城西街道一号路西侧、芷胜庄村及温峤镇莞渭童村</w:t>
      </w:r>
      <w:r>
        <w:rPr>
          <w:rFonts w:ascii="宋体" w:hAnsi="宋体" w:cs="宋体" w:eastAsia="宋体" w:hint="default"/>
        </w:rPr>
        <w:t>(</w:t>
      </w:r>
      <w:r>
        <w:rPr/>
        <w:t>均属于温岭市城市新区管委会</w:t>
      </w:r>
      <w:r>
        <w:rPr>
          <w:spacing w:val="-91"/>
        </w:rPr>
        <w:t> </w:t>
      </w:r>
      <w:r>
        <w:rPr>
          <w:spacing w:val="-91"/>
        </w:rPr>
      </w:r>
      <w:r>
        <w:rPr/>
        <w:t>管辖</w:t>
      </w:r>
      <w:r>
        <w:rPr>
          <w:rFonts w:ascii="宋体" w:hAnsi="宋体" w:cs="宋体" w:eastAsia="宋体" w:hint="default"/>
        </w:rPr>
        <w:t>)</w:t>
      </w:r>
      <w:r>
        <w:rPr/>
        <w:t>，以出让方式取得五处宗地的《国有土地使用权证》全部交由温岭市国土资源局收回</w:t>
      </w:r>
      <w:r>
        <w:rPr>
          <w:spacing w:val="-92"/>
        </w:rPr>
        <w:t> </w:t>
      </w:r>
      <w:r>
        <w:rPr>
          <w:spacing w:val="-92"/>
        </w:rPr>
      </w:r>
      <w:r>
        <w:rPr/>
        <w:t>并予以注销。另外，根据《温岭市国有土地使用权收购合同》</w:t>
      </w:r>
      <w:r>
        <w:rPr>
          <w:rFonts w:ascii="宋体" w:hAnsi="宋体" w:cs="宋体" w:eastAsia="宋体" w:hint="default"/>
        </w:rPr>
        <w:t>(</w:t>
      </w:r>
      <w:r>
        <w:rPr/>
        <w:t>温土储合字第〔</w:t>
      </w:r>
      <w:r>
        <w:rPr>
          <w:rFonts w:ascii="宋体" w:hAnsi="宋体" w:cs="宋体" w:eastAsia="宋体" w:hint="default"/>
        </w:rPr>
        <w:t>2013</w:t>
      </w:r>
      <w:r>
        <w:rPr/>
        <w:t>〕</w:t>
      </w:r>
      <w:r>
        <w:rPr>
          <w:rFonts w:ascii="宋体" w:hAnsi="宋体" w:cs="宋体" w:eastAsia="宋体" w:hint="default"/>
        </w:rPr>
        <w:t>7</w:t>
      </w:r>
      <w:r>
        <w:rPr>
          <w:rFonts w:ascii="宋体" w:hAnsi="宋体" w:cs="宋体" w:eastAsia="宋体" w:hint="default"/>
          <w:spacing w:val="-85"/>
        </w:rPr>
        <w:t> </w:t>
      </w:r>
      <w:r>
        <w:rPr/>
        <w:t>号</w:t>
      </w:r>
      <w:r>
        <w:rPr>
          <w:rFonts w:ascii="宋体" w:hAnsi="宋体" w:cs="宋体" w:eastAsia="宋体" w:hint="default"/>
        </w:rPr>
        <w:t>) </w:t>
      </w:r>
      <w:r>
        <w:rPr/>
        <w:t>的相关约定，上述土地收储补偿及奖励款合计 </w:t>
      </w:r>
      <w:r>
        <w:rPr>
          <w:rFonts w:ascii="宋体" w:hAnsi="宋体" w:cs="宋体" w:eastAsia="宋体" w:hint="default"/>
        </w:rPr>
        <w:t>37,124 </w:t>
      </w:r>
      <w:r>
        <w:rPr/>
        <w:t>万元，其中土地收储补偿款</w:t>
      </w:r>
      <w:r>
        <w:rPr>
          <w:spacing w:val="15"/>
        </w:rPr>
        <w:t> </w:t>
      </w:r>
      <w:r>
        <w:rPr>
          <w:rFonts w:ascii="宋体" w:hAnsi="宋体" w:cs="宋体" w:eastAsia="宋体" w:hint="default"/>
        </w:rPr>
        <w:t>27,500</w:t>
      </w:r>
    </w:p>
    <w:p>
      <w:pPr>
        <w:pStyle w:val="BodyText"/>
        <w:spacing w:line="240" w:lineRule="auto"/>
        <w:ind w:left="238" w:right="0"/>
        <w:jc w:val="both"/>
      </w:pPr>
      <w:r>
        <w:rPr/>
        <w:t>万元、搬迁奖励款</w:t>
      </w:r>
      <w:r>
        <w:rPr>
          <w:spacing w:val="-53"/>
        </w:rPr>
        <w:t> </w:t>
      </w:r>
      <w:r>
        <w:rPr>
          <w:rFonts w:ascii="宋体" w:hAnsi="宋体" w:cs="宋体" w:eastAsia="宋体" w:hint="default"/>
        </w:rPr>
        <w:t>9,624</w:t>
      </w:r>
      <w:r>
        <w:rPr>
          <w:rFonts w:ascii="宋体" w:hAnsi="宋体" w:cs="宋体" w:eastAsia="宋体" w:hint="default"/>
          <w:spacing w:val="-52"/>
        </w:rPr>
        <w:t> </w:t>
      </w:r>
      <w:r>
        <w:rPr/>
        <w:t>万元。</w:t>
      </w:r>
    </w:p>
    <w:p>
      <w:pPr>
        <w:pStyle w:val="BodyText"/>
        <w:spacing w:line="240" w:lineRule="auto" w:before="174"/>
        <w:ind w:left="658" w:right="1688"/>
        <w:jc w:val="left"/>
        <w:rPr>
          <w:rFonts w:ascii="宋体" w:hAnsi="宋体" w:cs="宋体" w:eastAsia="宋体" w:hint="default"/>
        </w:rPr>
      </w:pPr>
      <w:r>
        <w:rPr/>
        <w:t>截至</w:t>
      </w:r>
      <w:r>
        <w:rPr>
          <w:spacing w:val="-59"/>
        </w:rPr>
        <w:t> </w:t>
      </w:r>
      <w:r>
        <w:rPr>
          <w:rFonts w:ascii="宋体" w:hAnsi="宋体" w:cs="宋体" w:eastAsia="宋体" w:hint="default"/>
        </w:rPr>
        <w:t>2013</w:t>
      </w:r>
      <w:r>
        <w:rPr>
          <w:rFonts w:ascii="宋体" w:hAnsi="宋体" w:cs="宋体" w:eastAsia="宋体" w:hint="default"/>
          <w:spacing w:val="-58"/>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日，公司累计收到了上述五处宗地土地收储补偿及奖励款</w:t>
      </w:r>
      <w:r>
        <w:rPr>
          <w:spacing w:val="-58"/>
        </w:rPr>
        <w:t> </w:t>
      </w:r>
      <w:r>
        <w:rPr>
          <w:rFonts w:ascii="宋体" w:hAnsi="宋体" w:cs="宋体" w:eastAsia="宋体" w:hint="default"/>
        </w:rPr>
        <w:t>18,562</w:t>
      </w:r>
    </w:p>
    <w:p>
      <w:pPr>
        <w:pStyle w:val="BodyText"/>
        <w:spacing w:line="355" w:lineRule="auto" w:before="134"/>
        <w:ind w:left="237" w:right="1676"/>
        <w:jc w:val="left"/>
      </w:pPr>
      <w:r>
        <w:rPr>
          <w:spacing w:val="-5"/>
        </w:rPr>
        <w:t>万元，因款项汇入时，未有相关文件明确</w:t>
      </w:r>
      <w:r>
        <w:rPr>
          <w:spacing w:val="-53"/>
        </w:rPr>
        <w:t> </w:t>
      </w:r>
      <w:r>
        <w:rPr>
          <w:rFonts w:ascii="宋体" w:hAnsi="宋体" w:cs="宋体" w:eastAsia="宋体" w:hint="default"/>
        </w:rPr>
        <w:t>18,562</w:t>
      </w:r>
      <w:r>
        <w:rPr>
          <w:rFonts w:ascii="宋体" w:hAnsi="宋体" w:cs="宋体" w:eastAsia="宋体" w:hint="default"/>
          <w:spacing w:val="-54"/>
        </w:rPr>
        <w:t> </w:t>
      </w:r>
      <w:r>
        <w:rPr/>
        <w:t>万元款项是否包含搬迁奖励款及具体金额， 公司将其计入“专项应付款”项目核算。</w:t>
      </w:r>
    </w:p>
    <w:p>
      <w:pPr>
        <w:pStyle w:val="BodyText"/>
        <w:spacing w:line="357" w:lineRule="auto" w:before="73"/>
        <w:ind w:left="237" w:right="1793" w:firstLine="420"/>
        <w:jc w:val="both"/>
      </w:pPr>
      <w:r>
        <w:rPr>
          <w:rFonts w:ascii="宋体" w:hAnsi="宋体" w:cs="宋体" w:eastAsia="宋体" w:hint="default"/>
        </w:rPr>
        <w:t>2014</w:t>
      </w:r>
      <w:r>
        <w:rPr>
          <w:rFonts w:ascii="宋体" w:hAnsi="宋体" w:cs="宋体" w:eastAsia="宋体" w:hint="default"/>
          <w:spacing w:val="-38"/>
        </w:rPr>
        <w:t> </w:t>
      </w:r>
      <w:r>
        <w:rPr/>
        <w:t>年</w:t>
      </w:r>
      <w:r>
        <w:rPr>
          <w:spacing w:val="-39"/>
        </w:rPr>
        <w:t> </w:t>
      </w:r>
      <w:r>
        <w:rPr>
          <w:rFonts w:ascii="宋体" w:hAnsi="宋体" w:cs="宋体" w:eastAsia="宋体" w:hint="default"/>
        </w:rPr>
        <w:t>12</w:t>
      </w:r>
      <w:r>
        <w:rPr>
          <w:rFonts w:ascii="宋体" w:hAnsi="宋体" w:cs="宋体" w:eastAsia="宋体" w:hint="default"/>
          <w:spacing w:val="-40"/>
        </w:rPr>
        <w:t> </w:t>
      </w:r>
      <w:r>
        <w:rPr/>
        <w:t>月</w:t>
      </w:r>
      <w:r>
        <w:rPr>
          <w:spacing w:val="-39"/>
        </w:rPr>
        <w:t> </w:t>
      </w:r>
      <w:r>
        <w:rPr>
          <w:rFonts w:ascii="宋体" w:hAnsi="宋体" w:cs="宋体" w:eastAsia="宋体" w:hint="default"/>
        </w:rPr>
        <w:t>29</w:t>
      </w:r>
      <w:r>
        <w:rPr>
          <w:rFonts w:ascii="宋体" w:hAnsi="宋体" w:cs="宋体" w:eastAsia="宋体" w:hint="default"/>
          <w:spacing w:val="-39"/>
        </w:rPr>
        <w:t> </w:t>
      </w:r>
      <w:r>
        <w:rPr/>
        <w:t>日，公司收到温岭市城市新区管理委员会下发的《关于利欧集团股份 有限公司搬迁奖励的通知》</w:t>
      </w:r>
      <w:r>
        <w:rPr>
          <w:rFonts w:ascii="宋体" w:hAnsi="宋体" w:cs="宋体" w:eastAsia="宋体" w:hint="default"/>
        </w:rPr>
        <w:t>(</w:t>
      </w:r>
      <w:r>
        <w:rPr/>
        <w:t>温新区〔</w:t>
      </w:r>
      <w:r>
        <w:rPr>
          <w:rFonts w:ascii="宋体" w:hAnsi="宋体" w:cs="宋体" w:eastAsia="宋体" w:hint="default"/>
        </w:rPr>
        <w:t>2014</w:t>
      </w:r>
      <w:r>
        <w:rPr/>
        <w:t>〕</w:t>
      </w:r>
      <w:r>
        <w:rPr>
          <w:rFonts w:ascii="宋体" w:hAnsi="宋体" w:cs="宋体" w:eastAsia="宋体" w:hint="default"/>
        </w:rPr>
        <w:t>29</w:t>
      </w:r>
      <w:r>
        <w:rPr>
          <w:rFonts w:ascii="宋体" w:hAnsi="宋体" w:cs="宋体" w:eastAsia="宋体" w:hint="default"/>
          <w:spacing w:val="8"/>
        </w:rPr>
        <w:t> </w:t>
      </w:r>
      <w:r>
        <w:rPr/>
        <w:t>号</w:t>
      </w:r>
      <w:r>
        <w:rPr>
          <w:rFonts w:ascii="宋体" w:hAnsi="宋体" w:cs="宋体" w:eastAsia="宋体" w:hint="default"/>
        </w:rPr>
        <w:t>)(</w:t>
      </w:r>
      <w:r>
        <w:rPr/>
        <w:t>以下简称搬迁奖励通知</w:t>
      </w:r>
      <w:r>
        <w:rPr>
          <w:rFonts w:ascii="宋体" w:hAnsi="宋体" w:cs="宋体" w:eastAsia="宋体" w:hint="default"/>
        </w:rPr>
        <w:t>)</w:t>
      </w:r>
      <w:r>
        <w:rPr/>
        <w:t>。搬迁奖励通 </w:t>
      </w:r>
      <w:r>
        <w:rPr>
          <w:spacing w:val="-3"/>
        </w:rPr>
        <w:t>知确认，温岭市城市新区管理委员会结合利欧集团股份有限公司上述土地收储及搬迁实际进</w:t>
      </w:r>
      <w:r>
        <w:rPr>
          <w:spacing w:val="-73"/>
        </w:rPr>
        <w:t> </w:t>
      </w:r>
      <w:r>
        <w:rPr>
          <w:spacing w:val="-73"/>
        </w:rPr>
      </w:r>
      <w:r>
        <w:rPr/>
        <w:t>度，经与市财政、市收储公司确认，于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日予以确认利欧集团股份有限公司</w:t>
      </w:r>
    </w:p>
    <w:p>
      <w:pPr>
        <w:pStyle w:val="BodyText"/>
        <w:spacing w:line="240" w:lineRule="auto" w:before="32"/>
        <w:ind w:left="237" w:right="0"/>
        <w:jc w:val="both"/>
      </w:pPr>
      <w:r>
        <w:rPr/>
        <w:t>搬迁奖励</w:t>
      </w:r>
      <w:r>
        <w:rPr>
          <w:spacing w:val="-54"/>
        </w:rPr>
        <w:t> </w:t>
      </w:r>
      <w:r>
        <w:rPr>
          <w:rFonts w:ascii="宋体" w:hAnsi="宋体" w:cs="宋体" w:eastAsia="宋体" w:hint="default"/>
        </w:rPr>
        <w:t>4,812</w:t>
      </w:r>
      <w:r>
        <w:rPr>
          <w:rFonts w:ascii="宋体" w:hAnsi="宋体" w:cs="宋体" w:eastAsia="宋体" w:hint="default"/>
          <w:spacing w:val="-53"/>
        </w:rPr>
        <w:t> </w:t>
      </w:r>
      <w:r>
        <w:rPr/>
        <w:t>万元，剩余搬迁奖励款根据合同要求和项目进度予以确认和支付。</w:t>
      </w:r>
    </w:p>
    <w:p>
      <w:pPr>
        <w:pStyle w:val="BodyText"/>
        <w:spacing w:line="240" w:lineRule="auto" w:before="172"/>
        <w:ind w:left="657" w:right="1688"/>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9"/>
        </w:rPr>
        <w:t>，</w:t>
      </w:r>
      <w:r>
        <w:rPr>
          <w:spacing w:val="-2"/>
        </w:rPr>
        <w:t>公</w:t>
      </w:r>
      <w:r>
        <w:rPr/>
        <w:t>司收到温岭市土地收购收储中心出具</w:t>
      </w:r>
      <w:r>
        <w:rPr>
          <w:spacing w:val="-29"/>
        </w:rPr>
        <w:t>的</w:t>
      </w:r>
      <w:r>
        <w:rPr/>
        <w:t>《情况说明</w:t>
      </w:r>
      <w:r>
        <w:rPr>
          <w:spacing w:val="-105"/>
        </w:rPr>
        <w:t>》</w:t>
      </w:r>
      <w:r>
        <w:rPr>
          <w:spacing w:val="-29"/>
        </w:rPr>
        <w:t>，</w:t>
      </w:r>
      <w:r>
        <w:rPr/>
        <w:t>确认</w:t>
      </w:r>
      <w:r>
        <w:rPr>
          <w:spacing w:val="-53"/>
        </w:rPr>
        <w:t> </w:t>
      </w:r>
      <w:r>
        <w:rPr>
          <w:rFonts w:ascii="宋体" w:hAnsi="宋体" w:cs="宋体" w:eastAsia="宋体" w:hint="default"/>
        </w:rPr>
        <w:t>2013</w:t>
      </w:r>
    </w:p>
    <w:p>
      <w:pPr>
        <w:pStyle w:val="BodyText"/>
        <w:spacing w:line="240" w:lineRule="auto" w:before="134"/>
        <w:ind w:left="237" w:right="0"/>
        <w:jc w:val="both"/>
      </w:pPr>
      <w:r>
        <w:rPr/>
        <w:t>年拨入公司的土地收储补偿款</w:t>
      </w:r>
      <w:r>
        <w:rPr>
          <w:spacing w:val="-53"/>
        </w:rPr>
        <w:t> </w:t>
      </w:r>
      <w:r>
        <w:rPr>
          <w:rFonts w:ascii="宋体" w:hAnsi="宋体" w:cs="宋体" w:eastAsia="宋体" w:hint="default"/>
        </w:rPr>
        <w:t>18,562</w:t>
      </w:r>
      <w:r>
        <w:rPr>
          <w:rFonts w:ascii="宋体" w:hAnsi="宋体" w:cs="宋体" w:eastAsia="宋体" w:hint="default"/>
          <w:spacing w:val="-52"/>
        </w:rPr>
        <w:t> </w:t>
      </w:r>
      <w:r>
        <w:rPr/>
        <w:t>万元</w:t>
      </w:r>
      <w:r>
        <w:rPr>
          <w:spacing w:val="-88"/>
        </w:rPr>
        <w:t>，</w:t>
      </w:r>
      <w:r>
        <w:rPr/>
        <w:t>包</w:t>
      </w:r>
      <w:r>
        <w:rPr>
          <w:spacing w:val="-2"/>
        </w:rPr>
        <w:t>括</w:t>
      </w:r>
      <w:r>
        <w:rPr/>
        <w:t>了土地收购补偿款</w:t>
      </w:r>
      <w:r>
        <w:rPr>
          <w:spacing w:val="-53"/>
        </w:rPr>
        <w:t> </w:t>
      </w:r>
      <w:r>
        <w:rPr>
          <w:rFonts w:ascii="宋体" w:hAnsi="宋体" w:cs="宋体" w:eastAsia="宋体" w:hint="default"/>
        </w:rPr>
        <w:t>13,750</w:t>
      </w:r>
      <w:r>
        <w:rPr>
          <w:rFonts w:ascii="宋体" w:hAnsi="宋体" w:cs="宋体" w:eastAsia="宋体" w:hint="default"/>
          <w:spacing w:val="-52"/>
        </w:rPr>
        <w:t> </w:t>
      </w:r>
      <w:r>
        <w:rPr/>
        <w:t>万元和搬</w:t>
      </w:r>
      <w:r>
        <w:rPr>
          <w:spacing w:val="-2"/>
        </w:rPr>
        <w:t>迁</w:t>
      </w:r>
      <w:r>
        <w:rPr/>
        <w:t>奖励</w:t>
      </w:r>
    </w:p>
    <w:p>
      <w:pPr>
        <w:spacing w:after="0" w:line="240" w:lineRule="auto"/>
        <w:jc w:val="both"/>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240" w:lineRule="auto" w:before="35"/>
        <w:ind w:left="138" w:right="0"/>
        <w:jc w:val="left"/>
      </w:pPr>
      <w:r>
        <w:rPr>
          <w:rFonts w:ascii="宋体" w:hAnsi="宋体" w:cs="宋体" w:eastAsia="宋体" w:hint="default"/>
        </w:rPr>
        <w:t>4,812</w:t>
      </w:r>
      <w:r>
        <w:rPr>
          <w:rFonts w:ascii="宋体" w:hAnsi="宋体" w:cs="宋体" w:eastAsia="宋体" w:hint="default"/>
          <w:spacing w:val="-66"/>
        </w:rPr>
        <w:t> </w:t>
      </w:r>
      <w:r>
        <w:rPr/>
        <w:t>万元。公司账面已将搬迁奖励</w:t>
      </w:r>
      <w:r>
        <w:rPr>
          <w:spacing w:val="-66"/>
        </w:rPr>
        <w:t> </w:t>
      </w:r>
      <w:r>
        <w:rPr>
          <w:rFonts w:ascii="宋体" w:hAnsi="宋体" w:cs="宋体" w:eastAsia="宋体" w:hint="default"/>
        </w:rPr>
        <w:t>4,812</w:t>
      </w:r>
      <w:r>
        <w:rPr>
          <w:rFonts w:ascii="宋体" w:hAnsi="宋体" w:cs="宋体" w:eastAsia="宋体" w:hint="default"/>
          <w:spacing w:val="-66"/>
        </w:rPr>
        <w:t> </w:t>
      </w:r>
      <w:r>
        <w:rPr/>
        <w:t>万元确认为营业外收入——政府补助，并计入公</w:t>
      </w:r>
    </w:p>
    <w:p>
      <w:pPr>
        <w:pStyle w:val="BodyText"/>
        <w:spacing w:line="391" w:lineRule="auto" w:before="133"/>
        <w:ind w:left="557" w:right="1684" w:hanging="420"/>
        <w:jc w:val="left"/>
        <w:rPr>
          <w:rFonts w:ascii="宋体" w:hAnsi="宋体" w:cs="宋体" w:eastAsia="宋体" w:hint="default"/>
        </w:rPr>
      </w:pPr>
      <w:r>
        <w:rPr/>
        <w:t>司</w:t>
      </w:r>
      <w:r>
        <w:rPr>
          <w:spacing w:val="-53"/>
        </w:rPr>
        <w:t> </w:t>
      </w:r>
      <w:r>
        <w:rPr>
          <w:rFonts w:ascii="宋体" w:hAnsi="宋体" w:cs="宋体" w:eastAsia="宋体" w:hint="default"/>
        </w:rPr>
        <w:t>2014</w:t>
      </w:r>
      <w:r>
        <w:rPr>
          <w:rFonts w:ascii="宋体" w:hAnsi="宋体" w:cs="宋体" w:eastAsia="宋体" w:hint="default"/>
          <w:spacing w:val="-53"/>
        </w:rPr>
        <w:t> </w:t>
      </w:r>
      <w:r>
        <w:rPr/>
        <w:t>年度损益。 </w:t>
      </w:r>
      <w:r>
        <w:rPr>
          <w:spacing w:val="2"/>
        </w:rPr>
        <w:t>本期温岭市土地收购储备中心已按照合同约定将本公司持有的产权证为温国用</w:t>
      </w:r>
      <w:r>
        <w:rPr>
          <w:rFonts w:ascii="宋体" w:hAnsi="宋体" w:cs="宋体" w:eastAsia="宋体" w:hint="default"/>
          <w:spacing w:val="2"/>
        </w:rPr>
        <w:t>(2013)</w:t>
      </w:r>
    </w:p>
    <w:p>
      <w:pPr>
        <w:pStyle w:val="BodyText"/>
        <w:spacing w:line="355" w:lineRule="auto" w:before="2"/>
        <w:ind w:right="1787"/>
        <w:jc w:val="left"/>
      </w:pPr>
      <w:r>
        <w:rPr/>
        <w:t>第</w:t>
      </w:r>
      <w:r>
        <w:rPr>
          <w:spacing w:val="-45"/>
        </w:rPr>
        <w:t> </w:t>
      </w:r>
      <w:r>
        <w:rPr>
          <w:rFonts w:ascii="宋体" w:hAnsi="宋体" w:cs="宋体" w:eastAsia="宋体" w:hint="default"/>
          <w:spacing w:val="-4"/>
        </w:rPr>
        <w:t>29743</w:t>
      </w:r>
      <w:r>
        <w:rPr>
          <w:spacing w:val="-4"/>
        </w:rPr>
        <w:t>、</w:t>
      </w:r>
      <w:r>
        <w:rPr>
          <w:rFonts w:ascii="宋体" w:hAnsi="宋体" w:cs="宋体" w:eastAsia="宋体" w:hint="default"/>
          <w:spacing w:val="-4"/>
        </w:rPr>
        <w:t>29781</w:t>
      </w:r>
      <w:r>
        <w:rPr>
          <w:spacing w:val="-4"/>
        </w:rPr>
        <w:t>、</w:t>
      </w:r>
      <w:r>
        <w:rPr>
          <w:rFonts w:ascii="宋体" w:hAnsi="宋体" w:cs="宋体" w:eastAsia="宋体" w:hint="default"/>
          <w:spacing w:val="-4"/>
        </w:rPr>
        <w:t>29784</w:t>
      </w:r>
      <w:r>
        <w:rPr>
          <w:spacing w:val="-4"/>
        </w:rPr>
        <w:t>、</w:t>
      </w:r>
      <w:r>
        <w:rPr>
          <w:rFonts w:ascii="宋体" w:hAnsi="宋体" w:cs="宋体" w:eastAsia="宋体" w:hint="default"/>
          <w:spacing w:val="-4"/>
        </w:rPr>
        <w:t>29785</w:t>
      </w:r>
      <w:r>
        <w:rPr>
          <w:spacing w:val="-4"/>
        </w:rPr>
        <w:t>、</w:t>
      </w:r>
      <w:r>
        <w:rPr>
          <w:rFonts w:ascii="宋体" w:hAnsi="宋体" w:cs="宋体" w:eastAsia="宋体" w:hint="default"/>
          <w:spacing w:val="-4"/>
        </w:rPr>
        <w:t>29786</w:t>
      </w:r>
      <w:r>
        <w:rPr>
          <w:rFonts w:ascii="宋体" w:hAnsi="宋体" w:cs="宋体" w:eastAsia="宋体" w:hint="default"/>
          <w:spacing w:val="-44"/>
        </w:rPr>
        <w:t> </w:t>
      </w:r>
      <w:r>
        <w:rPr/>
        <w:t>号的国有土地使用权及其相应的房产进行了收储并</w:t>
      </w:r>
      <w:r>
        <w:rPr>
          <w:spacing w:val="-103"/>
        </w:rPr>
        <w:t> </w:t>
      </w:r>
      <w:r>
        <w:rPr>
          <w:spacing w:val="-103"/>
        </w:rPr>
      </w:r>
      <w:r>
        <w:rPr/>
        <w:t>办妥了相关权证的注销手续。截至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日，公司将上述国有土地使用权及其相</w:t>
      </w:r>
    </w:p>
    <w:p>
      <w:pPr>
        <w:pStyle w:val="BodyText"/>
        <w:spacing w:line="357" w:lineRule="auto" w:before="32"/>
        <w:ind w:right="1780"/>
        <w:jc w:val="left"/>
      </w:pPr>
      <w:r>
        <w:rPr/>
        <w:t>应的房产账面价值合计</w:t>
      </w:r>
      <w:r>
        <w:rPr>
          <w:spacing w:val="-46"/>
        </w:rPr>
        <w:t> </w:t>
      </w:r>
      <w:r>
        <w:rPr>
          <w:rFonts w:ascii="宋体" w:hAnsi="宋体" w:cs="宋体" w:eastAsia="宋体" w:hint="default"/>
        </w:rPr>
        <w:t>120,906,088.83</w:t>
      </w:r>
      <w:r>
        <w:rPr>
          <w:rFonts w:ascii="宋体" w:hAnsi="宋体" w:cs="宋体" w:eastAsia="宋体" w:hint="default"/>
          <w:spacing w:val="-45"/>
        </w:rPr>
        <w:t> </w:t>
      </w:r>
      <w:r>
        <w:rPr/>
        <w:t>元作为搬迁损失计入其他非流动资产科目，待完成 搬迁清算后一并处理。</w:t>
      </w:r>
    </w:p>
    <w:p>
      <w:pPr>
        <w:pStyle w:val="BodyText"/>
        <w:spacing w:line="240" w:lineRule="auto" w:before="71"/>
        <w:ind w:left="558" w:right="0"/>
        <w:jc w:val="left"/>
      </w:pPr>
      <w:bookmarkStart w:name="3. 上海漫酷股权收购事项" w:id="283"/>
      <w:bookmarkEnd w:id="283"/>
      <w:r>
        <w:rPr/>
      </w:r>
      <w:r>
        <w:rPr>
          <w:rFonts w:ascii="宋体" w:hAnsi="宋体" w:cs="宋体" w:eastAsia="宋体" w:hint="default"/>
        </w:rPr>
        <w:t>3.</w:t>
      </w:r>
      <w:r>
        <w:rPr>
          <w:rFonts w:ascii="宋体" w:hAnsi="宋体" w:cs="宋体" w:eastAsia="宋体" w:hint="default"/>
          <w:spacing w:val="-2"/>
        </w:rPr>
        <w:t> </w:t>
      </w:r>
      <w:r>
        <w:rPr/>
        <w:t>上海漫酷股权收购事项</w:t>
      </w:r>
    </w:p>
    <w:p>
      <w:pPr>
        <w:pStyle w:val="BodyText"/>
        <w:spacing w:line="240" w:lineRule="auto" w:before="172"/>
        <w:ind w:left="558" w:right="0"/>
        <w:jc w:val="left"/>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spacing w:val="-2"/>
        </w:rPr>
        <w:t>月</w:t>
      </w:r>
      <w:r>
        <w:rPr>
          <w:spacing w:val="-35"/>
        </w:rPr>
        <w:t>，</w:t>
      </w:r>
      <w:r>
        <w:rPr/>
        <w:t>根据本公司与自然人郑晓东</w:t>
      </w:r>
      <w:r>
        <w:rPr>
          <w:spacing w:val="-35"/>
        </w:rPr>
        <w:t>、</w:t>
      </w:r>
      <w:r>
        <w:rPr/>
        <w:t>段永玲</w:t>
      </w:r>
      <w:r>
        <w:rPr>
          <w:spacing w:val="-35"/>
        </w:rPr>
        <w:t>、</w:t>
      </w:r>
      <w:r>
        <w:rPr/>
        <w:t>郭海签订</w:t>
      </w:r>
      <w:r>
        <w:rPr>
          <w:spacing w:val="-35"/>
        </w:rPr>
        <w:t>的</w:t>
      </w:r>
      <w:r>
        <w:rPr/>
        <w:t>《漫酷股权转让合同</w:t>
      </w:r>
      <w:r>
        <w:rPr>
          <w:spacing w:val="-105"/>
        </w:rPr>
        <w:t>》</w:t>
      </w:r>
      <w:r>
        <w:rPr/>
        <w:t>，</w:t>
      </w:r>
    </w:p>
    <w:p>
      <w:pPr>
        <w:pStyle w:val="BodyText"/>
        <w:spacing w:line="240" w:lineRule="auto" w:before="134"/>
        <w:ind w:right="0"/>
        <w:jc w:val="left"/>
      </w:pPr>
      <w:r>
        <w:rPr/>
        <w:t>并经公司</w:t>
      </w:r>
      <w:r>
        <w:rPr>
          <w:spacing w:val="-51"/>
        </w:rPr>
        <w:t> </w:t>
      </w:r>
      <w:r>
        <w:rPr>
          <w:rFonts w:ascii="宋体" w:hAnsi="宋体" w:cs="宋体" w:eastAsia="宋体" w:hint="default"/>
        </w:rPr>
        <w:t>2014</w:t>
      </w:r>
      <w:r>
        <w:rPr>
          <w:rFonts w:ascii="宋体" w:hAnsi="宋体" w:cs="宋体" w:eastAsia="宋体" w:hint="default"/>
          <w:spacing w:val="-51"/>
        </w:rPr>
        <w:t> </w:t>
      </w:r>
      <w:r>
        <w:rPr>
          <w:spacing w:val="-3"/>
        </w:rPr>
        <w:t>年第三次临时股东大会审议通过，公司以</w:t>
      </w:r>
      <w:r>
        <w:rPr>
          <w:spacing w:val="-51"/>
        </w:rPr>
        <w:t> </w:t>
      </w:r>
      <w:r>
        <w:rPr>
          <w:rFonts w:ascii="宋体" w:hAnsi="宋体" w:cs="宋体" w:eastAsia="宋体" w:hint="default"/>
        </w:rPr>
        <w:t>34,445</w:t>
      </w:r>
      <w:r>
        <w:rPr>
          <w:rFonts w:ascii="宋体" w:hAnsi="宋体" w:cs="宋体" w:eastAsia="宋体" w:hint="default"/>
          <w:spacing w:val="-51"/>
        </w:rPr>
        <w:t> </w:t>
      </w:r>
      <w:r>
        <w:rPr>
          <w:spacing w:val="-4"/>
        </w:rPr>
        <w:t>万元价款收购郑晓东、段永</w:t>
      </w:r>
    </w:p>
    <w:p>
      <w:pPr>
        <w:pStyle w:val="BodyText"/>
        <w:spacing w:line="240" w:lineRule="auto" w:before="133"/>
        <w:ind w:left="138" w:right="0"/>
        <w:jc w:val="left"/>
        <w:rPr>
          <w:rFonts w:ascii="宋体" w:hAnsi="宋体" w:cs="宋体" w:eastAsia="宋体" w:hint="default"/>
        </w:rPr>
      </w:pPr>
      <w:r>
        <w:rPr/>
        <w:t>玲、郭海持有的上海漫酷</w:t>
      </w:r>
      <w:r>
        <w:rPr>
          <w:spacing w:val="-24"/>
        </w:rPr>
        <w:t> </w:t>
      </w:r>
      <w:r>
        <w:rPr>
          <w:rFonts w:ascii="宋体" w:hAnsi="宋体" w:cs="宋体" w:eastAsia="宋体" w:hint="default"/>
        </w:rPr>
        <w:t>85%</w:t>
      </w:r>
      <w:r>
        <w:rPr/>
        <w:t>股权。根据股权转让合同的相关约定，本公司已于</w:t>
      </w:r>
      <w:r>
        <w:rPr>
          <w:spacing w:val="-23"/>
        </w:rPr>
        <w:t> </w:t>
      </w:r>
      <w:r>
        <w:rPr>
          <w:rFonts w:ascii="宋体" w:hAnsi="宋体" w:cs="宋体" w:eastAsia="宋体" w:hint="default"/>
        </w:rPr>
        <w:t>2014</w:t>
      </w:r>
      <w:r>
        <w:rPr>
          <w:rFonts w:ascii="宋体" w:hAnsi="宋体" w:cs="宋体" w:eastAsia="宋体" w:hint="default"/>
          <w:spacing w:val="-22"/>
        </w:rPr>
        <w:t> </w:t>
      </w:r>
      <w:r>
        <w:rPr/>
        <w:t>年</w:t>
      </w:r>
      <w:r>
        <w:rPr>
          <w:spacing w:val="-24"/>
        </w:rPr>
        <w:t> </w:t>
      </w:r>
      <w:r>
        <w:rPr>
          <w:rFonts w:ascii="宋体" w:hAnsi="宋体" w:cs="宋体" w:eastAsia="宋体" w:hint="default"/>
        </w:rPr>
        <w:t>4</w:t>
      </w:r>
    </w:p>
    <w:p>
      <w:pPr>
        <w:pStyle w:val="BodyText"/>
        <w:spacing w:line="240" w:lineRule="auto" w:before="134"/>
        <w:ind w:right="0"/>
        <w:jc w:val="left"/>
      </w:pPr>
      <w:r>
        <w:rPr/>
        <w:t>月累计支付股权转让款</w:t>
      </w:r>
      <w:r>
        <w:rPr>
          <w:spacing w:val="-49"/>
        </w:rPr>
        <w:t> </w:t>
      </w:r>
      <w:r>
        <w:rPr>
          <w:rFonts w:ascii="宋体" w:hAnsi="宋体" w:cs="宋体" w:eastAsia="宋体" w:hint="default"/>
        </w:rPr>
        <w:t>1</w:t>
      </w:r>
      <w:r>
        <w:rPr>
          <w:rFonts w:ascii="宋体" w:hAnsi="宋体" w:cs="宋体" w:eastAsia="宋体" w:hint="default"/>
          <w:spacing w:val="1"/>
        </w:rPr>
        <w:t>2</w:t>
      </w:r>
      <w:r>
        <w:rPr>
          <w:rFonts w:ascii="宋体" w:hAnsi="宋体" w:cs="宋体" w:eastAsia="宋体" w:hint="default"/>
        </w:rPr>
        <w:t>,950</w:t>
      </w:r>
      <w:r>
        <w:rPr>
          <w:rFonts w:ascii="宋体" w:hAnsi="宋体" w:cs="宋体" w:eastAsia="宋体" w:hint="default"/>
          <w:spacing w:val="-48"/>
        </w:rPr>
        <w:t> </w:t>
      </w:r>
      <w:r>
        <w:rPr/>
        <w:t>万元</w:t>
      </w:r>
      <w:r>
        <w:rPr>
          <w:spacing w:val="-2"/>
        </w:rPr>
        <w:t>。</w:t>
      </w:r>
      <w:r>
        <w:rPr/>
        <w:t>剩余股权转让款</w:t>
      </w:r>
      <w:r>
        <w:rPr>
          <w:spacing w:val="-49"/>
        </w:rPr>
        <w:t> </w:t>
      </w:r>
      <w:r>
        <w:rPr>
          <w:rFonts w:ascii="宋体" w:hAnsi="宋体" w:cs="宋体" w:eastAsia="宋体" w:hint="default"/>
        </w:rPr>
        <w:t>2</w:t>
      </w:r>
      <w:r>
        <w:rPr>
          <w:rFonts w:ascii="宋体" w:hAnsi="宋体" w:cs="宋体" w:eastAsia="宋体" w:hint="default"/>
          <w:spacing w:val="1"/>
        </w:rPr>
        <w:t>1</w:t>
      </w:r>
      <w:r>
        <w:rPr>
          <w:rFonts w:ascii="宋体" w:hAnsi="宋体" w:cs="宋体" w:eastAsia="宋体" w:hint="default"/>
        </w:rPr>
        <w:t>,495</w:t>
      </w:r>
      <w:r>
        <w:rPr>
          <w:rFonts w:ascii="宋体" w:hAnsi="宋体" w:cs="宋体" w:eastAsia="宋体" w:hint="default"/>
          <w:spacing w:val="-49"/>
        </w:rPr>
        <w:t> </w:t>
      </w:r>
      <w:r>
        <w:rPr/>
        <w:t>万元列“其他应付款</w:t>
      </w:r>
      <w:r>
        <w:rPr>
          <w:spacing w:val="-105"/>
        </w:rPr>
        <w:t>”</w:t>
      </w:r>
      <w:r>
        <w:rPr>
          <w:spacing w:val="-2"/>
        </w:rPr>
        <w:t>，</w:t>
      </w:r>
      <w:r>
        <w:rPr/>
        <w:t>将按</w:t>
      </w:r>
    </w:p>
    <w:p>
      <w:pPr>
        <w:pStyle w:val="BodyText"/>
        <w:spacing w:line="240" w:lineRule="auto" w:before="133"/>
        <w:ind w:right="0"/>
        <w:jc w:val="left"/>
      </w:pPr>
      <w:r>
        <w:rPr/>
        <w:t>股权转让合同约定在未来</w:t>
      </w:r>
      <w:r>
        <w:rPr>
          <w:spacing w:val="-54"/>
        </w:rPr>
        <w:t> </w:t>
      </w:r>
      <w:r>
        <w:rPr>
          <w:rFonts w:ascii="宋体" w:hAnsi="宋体" w:cs="宋体" w:eastAsia="宋体" w:hint="default"/>
        </w:rPr>
        <w:t>5</w:t>
      </w:r>
      <w:r>
        <w:rPr>
          <w:rFonts w:ascii="宋体" w:hAnsi="宋体" w:cs="宋体" w:eastAsia="宋体" w:hint="default"/>
          <w:spacing w:val="-53"/>
        </w:rPr>
        <w:t> </w:t>
      </w:r>
      <w:r>
        <w:rPr/>
        <w:t>年内支付。</w:t>
      </w:r>
    </w:p>
    <w:p>
      <w:pPr>
        <w:pStyle w:val="BodyText"/>
        <w:spacing w:line="357" w:lineRule="auto" w:before="174"/>
        <w:ind w:right="1790" w:firstLine="420"/>
        <w:jc w:val="both"/>
      </w:pPr>
      <w:r>
        <w:rPr>
          <w:spacing w:val="-3"/>
        </w:rPr>
        <w:t>上海漫酷上述原股东承诺，于</w:t>
      </w:r>
      <w:r>
        <w:rPr>
          <w:spacing w:val="-48"/>
        </w:rPr>
        <w:t> </w:t>
      </w:r>
      <w:r>
        <w:rPr>
          <w:rFonts w:ascii="宋体" w:hAnsi="宋体" w:cs="宋体" w:eastAsia="宋体" w:hint="default"/>
        </w:rPr>
        <w:t>2014</w:t>
      </w:r>
      <w:r>
        <w:rPr>
          <w:rFonts w:ascii="宋体" w:hAnsi="宋体" w:cs="宋体" w:eastAsia="宋体" w:hint="default"/>
          <w:spacing w:val="-49"/>
        </w:rPr>
        <w:t> </w:t>
      </w:r>
      <w:r>
        <w:rPr>
          <w:spacing w:val="-5"/>
        </w:rPr>
        <w:t>年度、</w:t>
      </w:r>
      <w:r>
        <w:rPr>
          <w:rFonts w:ascii="宋体" w:hAnsi="宋体" w:cs="宋体" w:eastAsia="宋体" w:hint="default"/>
          <w:spacing w:val="-5"/>
        </w:rPr>
        <w:t>2015</w:t>
      </w:r>
      <w:r>
        <w:rPr>
          <w:rFonts w:ascii="宋体" w:hAnsi="宋体" w:cs="宋体" w:eastAsia="宋体" w:hint="default"/>
          <w:spacing w:val="-49"/>
        </w:rPr>
        <w:t> </w:t>
      </w:r>
      <w:r>
        <w:rPr>
          <w:spacing w:val="-5"/>
        </w:rPr>
        <w:t>年度、</w:t>
      </w:r>
      <w:r>
        <w:rPr>
          <w:rFonts w:ascii="宋体" w:hAnsi="宋体" w:cs="宋体" w:eastAsia="宋体" w:hint="default"/>
          <w:spacing w:val="-5"/>
        </w:rPr>
        <w:t>2016</w:t>
      </w:r>
      <w:r>
        <w:rPr>
          <w:rFonts w:ascii="宋体" w:hAnsi="宋体" w:cs="宋体" w:eastAsia="宋体" w:hint="default"/>
          <w:spacing w:val="-49"/>
        </w:rPr>
        <w:t> </w:t>
      </w:r>
      <w:r>
        <w:rPr/>
        <w:t>年度实现的年度审核扣除非 经常性损益后的净利润应分别不少于人民币</w:t>
      </w:r>
      <w:r>
        <w:rPr>
          <w:spacing w:val="-52"/>
        </w:rPr>
        <w:t> </w:t>
      </w:r>
      <w:r>
        <w:rPr>
          <w:rFonts w:ascii="宋体" w:hAnsi="宋体" w:cs="宋体" w:eastAsia="宋体" w:hint="default"/>
        </w:rPr>
        <w:t>4,700</w:t>
      </w:r>
      <w:r>
        <w:rPr>
          <w:rFonts w:ascii="宋体" w:hAnsi="宋体" w:cs="宋体" w:eastAsia="宋体" w:hint="default"/>
          <w:spacing w:val="-52"/>
        </w:rPr>
        <w:t> </w:t>
      </w:r>
      <w:r>
        <w:rPr>
          <w:spacing w:val="-6"/>
        </w:rPr>
        <w:t>万元、</w:t>
      </w:r>
      <w:r>
        <w:rPr>
          <w:rFonts w:ascii="宋体" w:hAnsi="宋体" w:cs="宋体" w:eastAsia="宋体" w:hint="default"/>
          <w:spacing w:val="-6"/>
        </w:rPr>
        <w:t>6,000</w:t>
      </w:r>
      <w:r>
        <w:rPr>
          <w:rFonts w:ascii="宋体" w:hAnsi="宋体" w:cs="宋体" w:eastAsia="宋体" w:hint="default"/>
          <w:spacing w:val="-52"/>
        </w:rPr>
        <w:t> </w:t>
      </w:r>
      <w:r>
        <w:rPr>
          <w:spacing w:val="-6"/>
        </w:rPr>
        <w:t>万元、</w:t>
      </w:r>
      <w:r>
        <w:rPr>
          <w:rFonts w:ascii="宋体" w:hAnsi="宋体" w:cs="宋体" w:eastAsia="宋体" w:hint="default"/>
          <w:spacing w:val="-6"/>
        </w:rPr>
        <w:t>7,300</w:t>
      </w:r>
      <w:r>
        <w:rPr>
          <w:rFonts w:ascii="宋体" w:hAnsi="宋体" w:cs="宋体" w:eastAsia="宋体" w:hint="default"/>
          <w:spacing w:val="-52"/>
        </w:rPr>
        <w:t> </w:t>
      </w:r>
      <w:r>
        <w:rPr/>
        <w:t>万元</w:t>
      </w:r>
      <w:r>
        <w:rPr>
          <w:rFonts w:ascii="宋体" w:hAnsi="宋体" w:cs="宋体" w:eastAsia="宋体" w:hint="default"/>
        </w:rPr>
        <w:t>(</w:t>
      </w:r>
      <w:r>
        <w:rPr/>
        <w:t>以下简称 业绩承诺指标</w:t>
      </w:r>
      <w:r>
        <w:rPr>
          <w:rFonts w:ascii="宋体" w:hAnsi="宋体" w:cs="宋体" w:eastAsia="宋体" w:hint="default"/>
        </w:rPr>
        <w:t>)</w:t>
      </w:r>
      <w:r>
        <w:rPr/>
        <w:t>。若在业绩承诺期间，上海漫酷未达到上述承诺业绩指标，上海漫酷原股东</w:t>
      </w:r>
      <w:r>
        <w:rPr>
          <w:spacing w:val="-92"/>
        </w:rPr>
        <w:t> </w:t>
      </w:r>
      <w:r>
        <w:rPr>
          <w:spacing w:val="-92"/>
        </w:rPr>
      </w:r>
      <w:r>
        <w:rPr>
          <w:spacing w:val="-3"/>
        </w:rPr>
        <w:t>将以支付现金方式向公司</w:t>
      </w:r>
      <w:r>
        <w:rPr>
          <w:rFonts w:ascii="宋体" w:hAnsi="宋体" w:cs="宋体" w:eastAsia="宋体" w:hint="default"/>
          <w:spacing w:val="-3"/>
        </w:rPr>
        <w:t>(</w:t>
      </w:r>
      <w:r>
        <w:rPr>
          <w:spacing w:val="-3"/>
        </w:rPr>
        <w:t>即受让方</w:t>
      </w:r>
      <w:r>
        <w:rPr>
          <w:rFonts w:ascii="宋体" w:hAnsi="宋体" w:cs="宋体" w:eastAsia="宋体" w:hint="default"/>
          <w:spacing w:val="-3"/>
        </w:rPr>
        <w:t>)</w:t>
      </w:r>
      <w:r>
        <w:rPr>
          <w:spacing w:val="-3"/>
        </w:rPr>
        <w:t>进行补偿，其中，现金补偿金额</w:t>
      </w:r>
      <w:r>
        <w:rPr>
          <w:rFonts w:ascii="宋体" w:hAnsi="宋体" w:cs="宋体" w:eastAsia="宋体" w:hint="default"/>
          <w:spacing w:val="-3"/>
        </w:rPr>
        <w:t>=(</w:t>
      </w:r>
      <w:r>
        <w:rPr>
          <w:spacing w:val="-3"/>
        </w:rPr>
        <w:t>截止当期末业绩承诺</w:t>
      </w:r>
      <w:r>
        <w:rPr>
          <w:spacing w:val="-71"/>
        </w:rPr>
        <w:t> </w:t>
      </w:r>
      <w:r>
        <w:rPr>
          <w:spacing w:val="-71"/>
        </w:rPr>
      </w:r>
      <w:r>
        <w:rPr>
          <w:spacing w:val="2"/>
        </w:rPr>
        <w:t>指标总和－截止当期末累计已实现的税后净利润</w:t>
      </w:r>
      <w:r>
        <w:rPr>
          <w:rFonts w:ascii="宋体" w:hAnsi="宋体" w:cs="宋体" w:eastAsia="宋体" w:hint="default"/>
          <w:spacing w:val="2"/>
        </w:rPr>
        <w:t>)/(1-</w:t>
      </w:r>
      <w:r>
        <w:rPr>
          <w:spacing w:val="2"/>
        </w:rPr>
        <w:t>实施补偿当年受让方所得税税率</w:t>
      </w:r>
      <w:r>
        <w:rPr>
          <w:rFonts w:ascii="宋体" w:hAnsi="宋体" w:cs="宋体" w:eastAsia="宋体" w:hint="default"/>
          <w:spacing w:val="2"/>
        </w:rPr>
        <w:t>)</w:t>
      </w:r>
      <w:r>
        <w:rPr>
          <w:spacing w:val="2"/>
        </w:rPr>
        <w:t>×</w:t>
      </w:r>
      <w:r>
        <w:rPr>
          <w:spacing w:val="-75"/>
        </w:rPr>
        <w:t> </w:t>
      </w:r>
      <w:r>
        <w:rPr>
          <w:rFonts w:ascii="宋体" w:hAnsi="宋体" w:cs="宋体" w:eastAsia="宋体" w:hint="default"/>
        </w:rPr>
        <w:t>85%</w:t>
      </w:r>
      <w:r>
        <w:rPr/>
        <w:t>－在业绩承诺期间各年度前期已累计补偿数。</w:t>
      </w:r>
    </w:p>
    <w:p>
      <w:pPr>
        <w:pStyle w:val="BodyText"/>
        <w:spacing w:line="357" w:lineRule="auto" w:before="71"/>
        <w:ind w:right="1758" w:firstLine="420"/>
        <w:jc w:val="both"/>
      </w:pPr>
      <w:r>
        <w:rPr>
          <w:spacing w:val="-5"/>
        </w:rPr>
        <w:t>在业绩承诺期间各年度，若上海漫酷的年度审计报告显示上海漫酷的税后净利润</w:t>
      </w:r>
      <w:r>
        <w:rPr>
          <w:rFonts w:ascii="宋体" w:hAnsi="宋体" w:cs="宋体" w:eastAsia="宋体" w:hint="default"/>
          <w:spacing w:val="-5"/>
        </w:rPr>
        <w:t>(</w:t>
      </w:r>
      <w:r>
        <w:rPr>
          <w:spacing w:val="-5"/>
        </w:rPr>
        <w:t>即“年</w:t>
      </w:r>
      <w:r>
        <w:rPr/>
        <w:t> </w:t>
      </w:r>
      <w:r>
        <w:rPr>
          <w:spacing w:val="-3"/>
        </w:rPr>
        <w:t>报税后净利润”，指本公司指定的合资格的会计师事务所根据中国会计准则等会计制度对上</w:t>
      </w:r>
      <w:r>
        <w:rPr>
          <w:spacing w:val="-77"/>
        </w:rPr>
        <w:t> </w:t>
      </w:r>
      <w:r>
        <w:rPr>
          <w:spacing w:val="-77"/>
        </w:rPr>
      </w:r>
      <w:r>
        <w:rPr/>
        <w:t>海漫酷进行审计后确认的上海漫酷扣除非经常性损益的归属于公司股东的净利润</w:t>
      </w:r>
      <w:r>
        <w:rPr>
          <w:rFonts w:ascii="宋体" w:hAnsi="宋体" w:cs="宋体" w:eastAsia="宋体" w:hint="default"/>
        </w:rPr>
        <w:t>)</w:t>
      </w:r>
      <w:r>
        <w:rPr/>
        <w:t>未达到业</w:t>
      </w:r>
      <w:r>
        <w:rPr>
          <w:spacing w:val="-90"/>
        </w:rPr>
        <w:t> </w:t>
      </w:r>
      <w:r>
        <w:rPr/>
        <w:t>绩承诺指标，则本公司在向上海漫酷原股东支付当年度应付股权转让款总额的</w:t>
      </w:r>
      <w:r>
        <w:rPr>
          <w:spacing w:val="-53"/>
        </w:rPr>
        <w:t> </w:t>
      </w:r>
      <w:r>
        <w:rPr>
          <w:rFonts w:ascii="宋体" w:hAnsi="宋体" w:cs="宋体" w:eastAsia="宋体" w:hint="default"/>
        </w:rPr>
        <w:t>90%</w:t>
      </w:r>
      <w:r>
        <w:rPr/>
        <w:t>款项时， 可先行扣除上海漫酷原股东应付的现金补偿金额，将余款付给上海漫酷原股东；</w:t>
      </w:r>
    </w:p>
    <w:p>
      <w:pPr>
        <w:pStyle w:val="BodyText"/>
        <w:spacing w:line="357" w:lineRule="auto" w:before="70"/>
        <w:ind w:left="138" w:right="1793" w:firstLine="420"/>
        <w:jc w:val="both"/>
      </w:pPr>
      <w:r>
        <w:rPr>
          <w:spacing w:val="-3"/>
        </w:rPr>
        <w:t>另外，本公司和上海漫酷原股东均一致同意在考核上海漫酷是否实现业绩承诺及计算现</w:t>
      </w:r>
      <w:r>
        <w:rPr/>
        <w:t> </w:t>
      </w:r>
      <w:r>
        <w:rPr>
          <w:spacing w:val="-3"/>
        </w:rPr>
        <w:t>金补偿金额时，以本公司指定的合资格的会计师事务所出具的专项审核报告确认的税后净利</w:t>
      </w:r>
      <w:r>
        <w:rPr>
          <w:spacing w:val="-73"/>
        </w:rPr>
        <w:t> </w:t>
      </w:r>
      <w:r>
        <w:rPr>
          <w:spacing w:val="-73"/>
        </w:rPr>
      </w:r>
      <w:r>
        <w:rPr/>
        <w:t>润数据</w:t>
      </w:r>
      <w:r>
        <w:rPr>
          <w:rFonts w:ascii="宋体" w:hAnsi="宋体" w:cs="宋体" w:eastAsia="宋体" w:hint="default"/>
        </w:rPr>
        <w:t>(</w:t>
      </w:r>
      <w:r>
        <w:rPr/>
        <w:t>即“审核税后净利润”</w:t>
      </w:r>
      <w:r>
        <w:rPr>
          <w:rFonts w:ascii="宋体" w:hAnsi="宋体" w:cs="宋体" w:eastAsia="宋体" w:hint="default"/>
        </w:rPr>
        <w:t>)</w:t>
      </w:r>
      <w:r>
        <w:rPr/>
        <w:t>为准。</w:t>
      </w:r>
    </w:p>
    <w:p>
      <w:pPr>
        <w:pStyle w:val="BodyText"/>
        <w:spacing w:line="355" w:lineRule="auto" w:before="71"/>
        <w:ind w:left="138" w:right="1793" w:firstLine="420"/>
        <w:jc w:val="both"/>
      </w:pPr>
      <w:r>
        <w:rPr>
          <w:spacing w:val="-3"/>
        </w:rPr>
        <w:t>专项审核报告指：会计师在出具业绩承诺期间各年度上海漫酷的年度审计报告时，对上</w:t>
      </w:r>
      <w:r>
        <w:rPr/>
        <w:t> 海漫酷收到的媒体返点金额按权责发生制原则先行确认，其后，在每年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t>日前，由会</w:t>
      </w:r>
    </w:p>
    <w:p>
      <w:pPr>
        <w:pStyle w:val="BodyText"/>
        <w:spacing w:line="357" w:lineRule="auto" w:before="33"/>
        <w:ind w:right="1778"/>
        <w:jc w:val="left"/>
      </w:pPr>
      <w:r>
        <w:rPr/>
        <w:t>计师根据截止该年度</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t>日前上海漫酷实际收到的归属于上一年度的媒体返点金额对年 报税后净利润进行复核、确认。会计师为此目的专门出具的审核报告即专项审核报告。</w:t>
      </w:r>
    </w:p>
    <w:p>
      <w:pPr>
        <w:pStyle w:val="BodyText"/>
        <w:spacing w:line="355" w:lineRule="auto" w:before="71"/>
        <w:ind w:left="138" w:right="1793" w:firstLine="420"/>
        <w:jc w:val="both"/>
      </w:pPr>
      <w:r>
        <w:rPr>
          <w:spacing w:val="-3"/>
        </w:rPr>
        <w:t>在会计师出具当年度的专项审核报告后，若计算结果显示年报税后净利润与审核税后净</w:t>
      </w:r>
      <w:r>
        <w:rPr/>
        <w:t> </w:t>
      </w:r>
      <w:r>
        <w:rPr>
          <w:spacing w:val="-3"/>
        </w:rPr>
        <w:t>利润之间存在差异，则按审核税后净利润数计算当年度最终现金补偿额，在本公司向上海漫</w:t>
      </w:r>
    </w:p>
    <w:p>
      <w:pPr>
        <w:spacing w:after="0" w:line="355"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7" w:lineRule="auto" w:before="35"/>
        <w:ind w:left="138" w:right="1794"/>
        <w:jc w:val="both"/>
      </w:pPr>
      <w:r>
        <w:rPr/>
        <w:t>酷原股东支付当年度应付股权转让款总额的</w:t>
      </w:r>
      <w:r>
        <w:rPr>
          <w:spacing w:val="-85"/>
        </w:rPr>
        <w:t> </w:t>
      </w:r>
      <w:r>
        <w:rPr>
          <w:rFonts w:ascii="宋体" w:hAnsi="宋体" w:cs="宋体" w:eastAsia="宋体" w:hint="default"/>
        </w:rPr>
        <w:t>10%</w:t>
      </w:r>
      <w:r>
        <w:rPr/>
        <w:t>款项时进行最终结算。若该最终现金补偿额 大于在支付当年度应付股权转让款总额</w:t>
      </w:r>
      <w:r>
        <w:rPr>
          <w:spacing w:val="-85"/>
        </w:rPr>
        <w:t> </w:t>
      </w:r>
      <w:r>
        <w:rPr>
          <w:rFonts w:ascii="宋体" w:hAnsi="宋体" w:cs="宋体" w:eastAsia="宋体" w:hint="default"/>
        </w:rPr>
        <w:t>90%</w:t>
      </w:r>
      <w:r>
        <w:rPr/>
        <w:t>部分时已扣除的现金补偿额，上海漫酷原股东应 予补足；若该最终现金补偿额小于在支付当年度应付股权转让款总额</w:t>
      </w:r>
      <w:r>
        <w:rPr>
          <w:spacing w:val="-85"/>
        </w:rPr>
        <w:t> </w:t>
      </w:r>
      <w:r>
        <w:rPr>
          <w:rFonts w:ascii="宋体" w:hAnsi="宋体" w:cs="宋体" w:eastAsia="宋体" w:hint="default"/>
        </w:rPr>
        <w:t>90%</w:t>
      </w:r>
      <w:r>
        <w:rPr/>
        <w:t>部分时已扣除的现 金补偿额，本公司应将差额返回予转让方。</w:t>
      </w:r>
    </w:p>
    <w:p>
      <w:pPr>
        <w:pStyle w:val="BodyText"/>
        <w:spacing w:line="355" w:lineRule="auto" w:before="71"/>
        <w:ind w:left="138" w:right="1780" w:firstLine="420"/>
        <w:jc w:val="left"/>
      </w:pPr>
      <w:r>
        <w:rPr>
          <w:rFonts w:ascii="宋体" w:hAnsi="宋体" w:cs="宋体" w:eastAsia="宋体" w:hint="default"/>
        </w:rPr>
        <w:t>2014</w:t>
      </w:r>
      <w:r>
        <w:rPr>
          <w:rFonts w:ascii="宋体" w:hAnsi="宋体" w:cs="宋体" w:eastAsia="宋体" w:hint="default"/>
          <w:spacing w:val="-31"/>
        </w:rPr>
        <w:t> </w:t>
      </w:r>
      <w:r>
        <w:rPr/>
        <w:t>年度，上海漫酷实现扣除非经常性损益后的净利润为</w:t>
      </w:r>
      <w:r>
        <w:rPr>
          <w:spacing w:val="-31"/>
        </w:rPr>
        <w:t> </w:t>
      </w:r>
      <w:r>
        <w:rPr>
          <w:rFonts w:ascii="宋体" w:hAnsi="宋体" w:cs="宋体" w:eastAsia="宋体" w:hint="default"/>
        </w:rPr>
        <w:t>4,975.07</w:t>
      </w:r>
      <w:r>
        <w:rPr>
          <w:rFonts w:ascii="宋体" w:hAnsi="宋体" w:cs="宋体" w:eastAsia="宋体" w:hint="default"/>
          <w:spacing w:val="-30"/>
        </w:rPr>
        <w:t> </w:t>
      </w:r>
      <w:r>
        <w:rPr/>
        <w:t>万元</w:t>
      </w:r>
      <w:r>
        <w:rPr>
          <w:rFonts w:ascii="宋体" w:hAnsi="宋体" w:cs="宋体" w:eastAsia="宋体" w:hint="default"/>
        </w:rPr>
        <w:t>(</w:t>
      </w:r>
      <w:r>
        <w:rPr/>
        <w:t>即年报税后 净利润</w:t>
      </w:r>
      <w:r>
        <w:rPr>
          <w:rFonts w:ascii="宋体" w:hAnsi="宋体" w:cs="宋体" w:eastAsia="宋体" w:hint="default"/>
        </w:rPr>
        <w:t>)</w:t>
      </w:r>
      <w:r>
        <w:rPr/>
        <w:t>。</w:t>
      </w:r>
    </w:p>
    <w:p>
      <w:pPr>
        <w:pStyle w:val="BodyText"/>
        <w:spacing w:line="240" w:lineRule="auto" w:before="73"/>
        <w:ind w:left="558" w:right="0"/>
        <w:jc w:val="left"/>
      </w:pPr>
      <w:bookmarkStart w:name="4. 发行股份及支付现金购买资产并募集配套资金事项" w:id="284"/>
      <w:bookmarkEnd w:id="284"/>
      <w:r>
        <w:rPr/>
      </w:r>
      <w:r>
        <w:rPr>
          <w:rFonts w:ascii="宋体" w:hAnsi="宋体" w:cs="宋体" w:eastAsia="宋体" w:hint="default"/>
        </w:rPr>
        <w:t>4.</w:t>
      </w:r>
      <w:r>
        <w:rPr>
          <w:rFonts w:ascii="宋体" w:hAnsi="宋体" w:cs="宋体" w:eastAsia="宋体" w:hint="default"/>
          <w:spacing w:val="-2"/>
        </w:rPr>
        <w:t> </w:t>
      </w:r>
      <w:r>
        <w:rPr/>
        <w:t>发行股份及支付现金购买资产并募集配套资金事项</w:t>
      </w:r>
    </w:p>
    <w:p>
      <w:pPr>
        <w:pStyle w:val="BodyText"/>
        <w:spacing w:line="355" w:lineRule="auto" w:before="174"/>
        <w:ind w:right="1784" w:firstLine="420"/>
        <w:jc w:val="left"/>
      </w:pPr>
      <w:r>
        <w:rPr>
          <w:rFonts w:ascii="宋体" w:hAnsi="宋体" w:cs="宋体" w:eastAsia="宋体" w:hint="default"/>
        </w:rPr>
        <w:t>2014</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2"/>
        </w:rPr>
        <w:t> </w:t>
      </w:r>
      <w:r>
        <w:rPr>
          <w:rFonts w:ascii="宋体" w:hAnsi="宋体" w:cs="宋体" w:eastAsia="宋体" w:hint="default"/>
        </w:rPr>
        <w:t>28</w:t>
      </w:r>
      <w:r>
        <w:rPr>
          <w:rFonts w:ascii="宋体" w:hAnsi="宋体" w:cs="宋体" w:eastAsia="宋体" w:hint="default"/>
          <w:spacing w:val="-60"/>
        </w:rPr>
        <w:t> </w:t>
      </w:r>
      <w:r>
        <w:rPr/>
        <w:t>日，公司第三届董事会第三十四次会议审议并通过了《关于筹划发行股 </w:t>
      </w:r>
      <w:r>
        <w:rPr>
          <w:spacing w:val="-4"/>
        </w:rPr>
        <w:t>份购买资产事项的议案》，同意公司筹划发行股份购买资产事项。</w:t>
      </w:r>
    </w:p>
    <w:p>
      <w:pPr>
        <w:pStyle w:val="BodyText"/>
        <w:spacing w:line="357" w:lineRule="auto" w:before="73"/>
        <w:ind w:right="1689" w:firstLine="420"/>
        <w:jc w:val="left"/>
      </w:pPr>
      <w:r>
        <w:rPr>
          <w:rFonts w:ascii="宋体" w:hAnsi="宋体" w:cs="宋体" w:eastAsia="宋体" w:hint="default"/>
        </w:rPr>
        <w:t>2014</w:t>
      </w:r>
      <w:r>
        <w:rPr>
          <w:rFonts w:ascii="宋体" w:hAnsi="宋体" w:cs="宋体" w:eastAsia="宋体" w:hint="default"/>
          <w:spacing w:val="-38"/>
        </w:rPr>
        <w:t> </w:t>
      </w:r>
      <w:r>
        <w:rPr/>
        <w:t>年</w:t>
      </w:r>
      <w:r>
        <w:rPr>
          <w:spacing w:val="-39"/>
        </w:rPr>
        <w:t> </w:t>
      </w:r>
      <w:r>
        <w:rPr>
          <w:rFonts w:ascii="宋体" w:hAnsi="宋体" w:cs="宋体" w:eastAsia="宋体" w:hint="default"/>
        </w:rPr>
        <w:t>7</w:t>
      </w:r>
      <w:r>
        <w:rPr>
          <w:rFonts w:ascii="宋体" w:hAnsi="宋体" w:cs="宋体" w:eastAsia="宋体" w:hint="default"/>
          <w:spacing w:val="-39"/>
        </w:rPr>
        <w:t> </w:t>
      </w:r>
      <w:r>
        <w:rPr/>
        <w:t>月</w:t>
      </w:r>
      <w:r>
        <w:rPr>
          <w:spacing w:val="-39"/>
        </w:rPr>
        <w:t> </w:t>
      </w:r>
      <w:r>
        <w:rPr>
          <w:rFonts w:ascii="宋体" w:hAnsi="宋体" w:cs="宋体" w:eastAsia="宋体" w:hint="default"/>
        </w:rPr>
        <w:t>1</w:t>
      </w:r>
      <w:r>
        <w:rPr>
          <w:rFonts w:ascii="宋体" w:hAnsi="宋体" w:cs="宋体" w:eastAsia="宋体" w:hint="default"/>
          <w:spacing w:val="-39"/>
        </w:rPr>
        <w:t> </w:t>
      </w:r>
      <w:r>
        <w:rPr/>
        <w:t>日，根据本公司分别与自然人詹嘉、李翔、张璐、李劼签订的《关于上 海氩氪广告有限公司之股权转让合同》</w:t>
      </w:r>
      <w:r>
        <w:rPr>
          <w:rFonts w:ascii="宋体" w:hAnsi="宋体" w:cs="宋体" w:eastAsia="宋体" w:hint="default"/>
        </w:rPr>
        <w:t>(</w:t>
      </w:r>
      <w:r>
        <w:rPr/>
        <w:t>以下简称氩氪股权转让合同</w:t>
      </w:r>
      <w:r>
        <w:rPr>
          <w:rFonts w:ascii="宋体" w:hAnsi="宋体" w:cs="宋体" w:eastAsia="宋体" w:hint="default"/>
        </w:rPr>
        <w:t>)</w:t>
      </w:r>
      <w:r>
        <w:rPr/>
        <w:t>以及与刘阳、王英杰、 孙唯一、田斌签订的《关于银色琥珀文化传播</w:t>
      </w:r>
      <w:r>
        <w:rPr>
          <w:rFonts w:ascii="宋体" w:hAnsi="宋体" w:cs="宋体" w:eastAsia="宋体" w:hint="default"/>
        </w:rPr>
        <w:t>(</w:t>
      </w:r>
      <w:r>
        <w:rPr/>
        <w:t>北京</w:t>
      </w:r>
      <w:r>
        <w:rPr>
          <w:rFonts w:ascii="宋体" w:hAnsi="宋体" w:cs="宋体" w:eastAsia="宋体" w:hint="default"/>
        </w:rPr>
        <w:t>)</w:t>
      </w:r>
      <w:r>
        <w:rPr/>
        <w:t>有限公司之股权转让合同》</w:t>
      </w:r>
      <w:r>
        <w:rPr>
          <w:rFonts w:ascii="宋体" w:hAnsi="宋体" w:cs="宋体" w:eastAsia="宋体" w:hint="default"/>
        </w:rPr>
        <w:t>(</w:t>
      </w:r>
      <w:r>
        <w:rPr/>
        <w:t>以下简称</w:t>
      </w:r>
      <w:r>
        <w:rPr>
          <w:spacing w:val="-92"/>
        </w:rPr>
        <w:t> </w:t>
      </w:r>
      <w:r>
        <w:rPr>
          <w:spacing w:val="-92"/>
        </w:rPr>
      </w:r>
      <w:r>
        <w:rPr>
          <w:spacing w:val="-4"/>
        </w:rPr>
        <w:t>琥珀股权转让合同</w:t>
      </w:r>
      <w:r>
        <w:rPr>
          <w:rFonts w:ascii="宋体" w:hAnsi="宋体" w:cs="宋体" w:eastAsia="宋体" w:hint="default"/>
          <w:spacing w:val="-4"/>
        </w:rPr>
        <w:t>)</w:t>
      </w:r>
      <w:r>
        <w:rPr>
          <w:spacing w:val="-4"/>
        </w:rPr>
        <w:t>，并经</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0"/>
        </w:rPr>
        <w:t> </w:t>
      </w:r>
      <w:r>
        <w:rPr>
          <w:spacing w:val="-3"/>
        </w:rPr>
        <w:t>日公司董事会第四届第二次会议审议通过，公司拟</w:t>
      </w:r>
      <w:r>
        <w:rPr>
          <w:spacing w:val="-100"/>
        </w:rPr>
        <w:t> </w:t>
      </w:r>
      <w:r>
        <w:rPr>
          <w:spacing w:val="-100"/>
        </w:rPr>
      </w:r>
      <w:r>
        <w:rPr>
          <w:spacing w:val="-3"/>
        </w:rPr>
        <w:t>向特定对象詹嘉、李翔、张璐、李劼和琥珀传播的股东刘阳、王英杰、孙唯一、田斌以支付</w:t>
      </w:r>
      <w:r>
        <w:rPr>
          <w:spacing w:val="-75"/>
        </w:rPr>
        <w:t> </w:t>
      </w:r>
      <w:r>
        <w:rPr>
          <w:spacing w:val="-75"/>
        </w:rPr>
      </w:r>
      <w:r>
        <w:rPr/>
        <w:t>现金及发行股份的方式分别购买其持有的上海氩氪、琥珀传播 </w:t>
      </w:r>
      <w:r>
        <w:rPr>
          <w:rFonts w:ascii="宋体" w:hAnsi="宋体" w:cs="宋体" w:eastAsia="宋体" w:hint="default"/>
        </w:rPr>
        <w:t>100%</w:t>
      </w:r>
      <w:r>
        <w:rPr/>
        <w:t>股权；同时，公司拟向</w:t>
      </w:r>
      <w:r>
        <w:rPr>
          <w:spacing w:val="-94"/>
        </w:rPr>
        <w:t> </w:t>
      </w:r>
      <w:r>
        <w:rPr>
          <w:spacing w:val="-94"/>
        </w:rPr>
      </w:r>
      <w:r>
        <w:rPr/>
        <w:t>郑晓东、段永玲、郭海</w:t>
      </w:r>
      <w:r>
        <w:rPr>
          <w:spacing w:val="-54"/>
        </w:rPr>
        <w:t> </w:t>
      </w:r>
      <w:r>
        <w:rPr>
          <w:rFonts w:ascii="宋体" w:hAnsi="宋体" w:cs="宋体" w:eastAsia="宋体" w:hint="default"/>
        </w:rPr>
        <w:t>3</w:t>
      </w:r>
      <w:r>
        <w:rPr>
          <w:rFonts w:ascii="宋体" w:hAnsi="宋体" w:cs="宋体" w:eastAsia="宋体" w:hint="default"/>
          <w:spacing w:val="-53"/>
        </w:rPr>
        <w:t> </w:t>
      </w:r>
      <w:r>
        <w:rPr/>
        <w:t>名其他特定投资者定向发行股份募集配套资金。</w:t>
      </w:r>
    </w:p>
    <w:p>
      <w:pPr>
        <w:pStyle w:val="BodyText"/>
        <w:spacing w:line="357" w:lineRule="auto" w:before="71"/>
        <w:ind w:right="1684" w:firstLine="420"/>
        <w:jc w:val="left"/>
      </w:pPr>
      <w:r>
        <w:rPr>
          <w:spacing w:val="-3"/>
        </w:rPr>
        <w:t>根据《氩氪股权转让合同》和《琥珀股权转让合同》的约定，公司需支付上述股权转让</w:t>
      </w:r>
      <w:r>
        <w:rPr/>
        <w:t> 对价分别为</w:t>
      </w:r>
      <w:r>
        <w:rPr>
          <w:spacing w:val="-54"/>
        </w:rPr>
        <w:t> </w:t>
      </w:r>
      <w:r>
        <w:rPr>
          <w:rFonts w:ascii="宋体" w:hAnsi="宋体" w:cs="宋体" w:eastAsia="宋体" w:hint="default"/>
        </w:rPr>
        <w:t>22,593.90</w:t>
      </w:r>
      <w:r>
        <w:rPr>
          <w:rFonts w:ascii="宋体" w:hAnsi="宋体" w:cs="宋体" w:eastAsia="宋体" w:hint="default"/>
          <w:spacing w:val="-53"/>
        </w:rPr>
        <w:t> </w:t>
      </w:r>
      <w:r>
        <w:rPr/>
        <w:t>万元和</w:t>
      </w:r>
      <w:r>
        <w:rPr>
          <w:spacing w:val="-54"/>
        </w:rPr>
        <w:t> </w:t>
      </w:r>
      <w:r>
        <w:rPr>
          <w:rFonts w:ascii="宋体" w:hAnsi="宋体" w:cs="宋体" w:eastAsia="宋体" w:hint="default"/>
        </w:rPr>
        <w:t>19,500</w:t>
      </w:r>
      <w:r>
        <w:rPr>
          <w:rFonts w:ascii="宋体" w:hAnsi="宋体" w:cs="宋体" w:eastAsia="宋体" w:hint="default"/>
          <w:spacing w:val="-54"/>
        </w:rPr>
        <w:t> </w:t>
      </w:r>
      <w:r>
        <w:rPr/>
        <w:t>万元。</w:t>
      </w:r>
    </w:p>
    <w:p>
      <w:pPr>
        <w:pStyle w:val="BodyText"/>
        <w:spacing w:line="357" w:lineRule="auto" w:before="71"/>
        <w:ind w:left="138" w:right="1697" w:firstLine="420"/>
        <w:jc w:val="left"/>
      </w:pPr>
      <w:r>
        <w:rPr>
          <w:rFonts w:ascii="宋体" w:hAnsi="宋体" w:cs="宋体" w:eastAsia="宋体" w:hint="default"/>
        </w:rPr>
        <w:t>2014</w:t>
      </w:r>
      <w:r>
        <w:rPr>
          <w:rFonts w:ascii="宋体" w:hAnsi="宋体" w:cs="宋体" w:eastAsia="宋体" w:hint="default"/>
          <w:spacing w:val="-38"/>
        </w:rPr>
        <w:t> </w:t>
      </w:r>
      <w:r>
        <w:rPr/>
        <w:t>年</w:t>
      </w:r>
      <w:r>
        <w:rPr>
          <w:spacing w:val="-39"/>
        </w:rPr>
        <w:t> </w:t>
      </w:r>
      <w:r>
        <w:rPr>
          <w:rFonts w:ascii="宋体" w:hAnsi="宋体" w:cs="宋体" w:eastAsia="宋体" w:hint="default"/>
        </w:rPr>
        <w:t>11</w:t>
      </w:r>
      <w:r>
        <w:rPr>
          <w:rFonts w:ascii="宋体" w:hAnsi="宋体" w:cs="宋体" w:eastAsia="宋体" w:hint="default"/>
          <w:spacing w:val="-40"/>
        </w:rPr>
        <w:t> </w:t>
      </w:r>
      <w:r>
        <w:rPr/>
        <w:t>月</w:t>
      </w:r>
      <w:r>
        <w:rPr>
          <w:spacing w:val="-39"/>
        </w:rPr>
        <w:t> </w:t>
      </w:r>
      <w:r>
        <w:rPr>
          <w:rFonts w:ascii="宋体" w:hAnsi="宋体" w:cs="宋体" w:eastAsia="宋体" w:hint="default"/>
        </w:rPr>
        <w:t>24</w:t>
      </w:r>
      <w:r>
        <w:rPr>
          <w:rFonts w:ascii="宋体" w:hAnsi="宋体" w:cs="宋体" w:eastAsia="宋体" w:hint="default"/>
          <w:spacing w:val="-39"/>
        </w:rPr>
        <w:t> </w:t>
      </w:r>
      <w:r>
        <w:rPr/>
        <w:t>日，根据中国证券监督管理委员会《关于核准利欧集团股份有限公司 向詹嘉等发行股份购买资产并募集配套资金的批复》</w:t>
      </w:r>
      <w:r>
        <w:rPr>
          <w:rFonts w:ascii="宋体" w:hAnsi="宋体" w:cs="宋体" w:eastAsia="宋体" w:hint="default"/>
        </w:rPr>
        <w:t>(</w:t>
      </w:r>
      <w:r>
        <w:rPr/>
        <w:t>证监许可〔</w:t>
      </w:r>
      <w:r>
        <w:rPr>
          <w:rFonts w:ascii="宋体" w:hAnsi="宋体" w:cs="宋体" w:eastAsia="宋体" w:hint="default"/>
        </w:rPr>
        <w:t>2014</w:t>
      </w:r>
      <w:r>
        <w:rPr/>
        <w:t>〕</w:t>
      </w:r>
      <w:r>
        <w:rPr>
          <w:rFonts w:ascii="宋体" w:hAnsi="宋体" w:cs="宋体" w:eastAsia="宋体" w:hint="default"/>
        </w:rPr>
        <w:t>1227 </w:t>
      </w:r>
      <w:r>
        <w:rPr/>
        <w:t>号</w:t>
      </w:r>
      <w:r>
        <w:rPr>
          <w:rFonts w:ascii="宋体" w:hAnsi="宋体" w:cs="宋体" w:eastAsia="宋体" w:hint="default"/>
        </w:rPr>
        <w:t>)</w:t>
      </w:r>
      <w:r>
        <w:rPr/>
        <w:t>，并经公</w:t>
      </w:r>
      <w:r>
        <w:rPr>
          <w:spacing w:val="-96"/>
        </w:rPr>
        <w:t> </w:t>
      </w:r>
      <w:r>
        <w:rPr/>
        <w:t>司</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日第六次临时股东大会决议，公司获准分别向上海氩氪股东詹嘉、李翔、 </w:t>
      </w:r>
      <w:r>
        <w:rPr>
          <w:spacing w:val="-3"/>
        </w:rPr>
        <w:t>张璐、李劼和琥珀传播股东刘阳、王英杰、孙唯一、田斌和向自然人郑晓东、段永玲、郭海</w:t>
      </w:r>
      <w:r>
        <w:rPr>
          <w:spacing w:val="-75"/>
        </w:rPr>
        <w:t> </w:t>
      </w:r>
      <w:r>
        <w:rPr>
          <w:spacing w:val="-75"/>
        </w:rPr>
      </w:r>
      <w:r>
        <w:rPr/>
        <w:t>三名特定投资者定向增发人民币普通股</w:t>
      </w:r>
      <w:r>
        <w:rPr>
          <w:rFonts w:ascii="宋体" w:hAnsi="宋体" w:cs="宋体" w:eastAsia="宋体" w:hint="default"/>
        </w:rPr>
        <w:t>(A</w:t>
      </w:r>
      <w:r>
        <w:rPr>
          <w:rFonts w:ascii="宋体" w:hAnsi="宋体" w:cs="宋体" w:eastAsia="宋体" w:hint="default"/>
          <w:spacing w:val="-40"/>
        </w:rPr>
        <w:t> </w:t>
      </w:r>
      <w:r>
        <w:rPr/>
        <w:t>股</w:t>
      </w:r>
      <w:r>
        <w:rPr>
          <w:rFonts w:ascii="宋体" w:hAnsi="宋体" w:cs="宋体" w:eastAsia="宋体" w:hint="default"/>
        </w:rPr>
        <w:t>)</w:t>
      </w:r>
      <w:r>
        <w:rPr/>
        <w:t>股票合计</w:t>
      </w:r>
      <w:r>
        <w:rPr>
          <w:spacing w:val="-40"/>
        </w:rPr>
        <w:t> </w:t>
      </w:r>
      <w:r>
        <w:rPr>
          <w:rFonts w:ascii="宋体" w:hAnsi="宋体" w:cs="宋体" w:eastAsia="宋体" w:hint="default"/>
        </w:rPr>
        <w:t>18,688,459</w:t>
      </w:r>
      <w:r>
        <w:rPr>
          <w:rFonts w:ascii="宋体" w:hAnsi="宋体" w:cs="宋体" w:eastAsia="宋体" w:hint="default"/>
          <w:spacing w:val="-39"/>
        </w:rPr>
        <w:t> </w:t>
      </w:r>
      <w:r>
        <w:rPr/>
        <w:t>股，每股面值</w:t>
      </w:r>
      <w:r>
        <w:rPr>
          <w:spacing w:val="-40"/>
        </w:rPr>
        <w:t> </w:t>
      </w:r>
      <w:r>
        <w:rPr>
          <w:rFonts w:ascii="宋体" w:hAnsi="宋体" w:cs="宋体" w:eastAsia="宋体" w:hint="default"/>
        </w:rPr>
        <w:t>1</w:t>
      </w:r>
      <w:r>
        <w:rPr>
          <w:rFonts w:ascii="宋体" w:hAnsi="宋体" w:cs="宋体" w:eastAsia="宋体" w:hint="default"/>
          <w:spacing w:val="-40"/>
        </w:rPr>
        <w:t> </w:t>
      </w:r>
      <w:r>
        <w:rPr/>
        <w:t>元，每</w:t>
      </w:r>
    </w:p>
    <w:p>
      <w:pPr>
        <w:pStyle w:val="BodyText"/>
        <w:spacing w:line="240" w:lineRule="auto" w:before="31"/>
        <w:ind w:right="0"/>
        <w:jc w:val="both"/>
      </w:pPr>
      <w:r>
        <w:rPr/>
        <w:t>股发行价格为人民币</w:t>
      </w:r>
      <w:r>
        <w:rPr>
          <w:spacing w:val="-53"/>
        </w:rPr>
        <w:t> </w:t>
      </w:r>
      <w:r>
        <w:rPr>
          <w:rFonts w:ascii="宋体" w:hAnsi="宋体" w:cs="宋体" w:eastAsia="宋体" w:hint="default"/>
        </w:rPr>
        <w:t>18.77</w:t>
      </w:r>
      <w:r>
        <w:rPr>
          <w:rFonts w:ascii="宋体" w:hAnsi="宋体" w:cs="宋体" w:eastAsia="宋体" w:hint="default"/>
          <w:spacing w:val="-52"/>
        </w:rPr>
        <w:t> </w:t>
      </w:r>
      <w:r>
        <w:rPr/>
        <w:t>元。</w:t>
      </w:r>
    </w:p>
    <w:p>
      <w:pPr>
        <w:pStyle w:val="BodyText"/>
        <w:spacing w:line="355" w:lineRule="auto" w:before="174"/>
        <w:ind w:right="1786" w:firstLine="420"/>
        <w:jc w:val="left"/>
      </w:pPr>
      <w:r>
        <w:rPr/>
        <w:t>截止</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日，公司以发行股份和支付现金相结合的方式完成了对上海氩氪 和琥珀传播</w:t>
      </w:r>
      <w:r>
        <w:rPr>
          <w:spacing w:val="-55"/>
        </w:rPr>
        <w:t> </w:t>
      </w:r>
      <w:r>
        <w:rPr>
          <w:rFonts w:ascii="宋体" w:hAnsi="宋体" w:cs="宋体" w:eastAsia="宋体" w:hint="default"/>
        </w:rPr>
        <w:t>100%</w:t>
      </w:r>
      <w:r>
        <w:rPr/>
        <w:t>股权收购的对价支付。</w:t>
      </w:r>
    </w:p>
    <w:p>
      <w:pPr>
        <w:pStyle w:val="BodyText"/>
        <w:spacing w:line="357" w:lineRule="auto" w:before="73"/>
        <w:ind w:right="1680" w:firstLine="420"/>
        <w:jc w:val="left"/>
      </w:pPr>
      <w:r>
        <w:rPr>
          <w:spacing w:val="-3"/>
        </w:rPr>
        <w:t>根据本公司与上海氩氪詹嘉等四名自然人和琥珀传播刘阳等四名自然人签署的《氩氪股</w:t>
      </w:r>
      <w:r>
        <w:rPr/>
        <w:t> </w:t>
      </w:r>
      <w:r>
        <w:rPr>
          <w:spacing w:val="-17"/>
        </w:rPr>
        <w:t>权转让合同》、《琥珀股权转让合同》、《氩氪业绩补偿协议》、《琥珀业绩补偿协议》及《股权</w:t>
      </w:r>
      <w:r>
        <w:rPr>
          <w:spacing w:val="-98"/>
        </w:rPr>
        <w:t> </w:t>
      </w:r>
      <w:r>
        <w:rPr>
          <w:spacing w:val="-98"/>
        </w:rPr>
      </w:r>
      <w:r>
        <w:rPr>
          <w:spacing w:val="-3"/>
        </w:rPr>
        <w:t>转让暨业绩补偿协议之补充协议》</w:t>
      </w:r>
      <w:r>
        <w:rPr>
          <w:rFonts w:ascii="宋体" w:hAnsi="宋体" w:cs="宋体" w:eastAsia="宋体" w:hint="default"/>
          <w:spacing w:val="-3"/>
        </w:rPr>
        <w:t>(</w:t>
      </w:r>
      <w:r>
        <w:rPr>
          <w:spacing w:val="-3"/>
        </w:rPr>
        <w:t>以下简称《补充协议》</w:t>
      </w:r>
      <w:r>
        <w:rPr>
          <w:rFonts w:ascii="宋体" w:hAnsi="宋体" w:cs="宋体" w:eastAsia="宋体" w:hint="default"/>
          <w:spacing w:val="-3"/>
        </w:rPr>
        <w:t>)</w:t>
      </w:r>
      <w:r>
        <w:rPr>
          <w:spacing w:val="-3"/>
        </w:rPr>
        <w:t>，上海氩氪原股东承诺上海氩氪</w:t>
      </w:r>
      <w:r>
        <w:rPr>
          <w:spacing w:val="-72"/>
        </w:rPr>
        <w:t> </w:t>
      </w:r>
      <w:r>
        <w:rPr>
          <w:spacing w:val="-72"/>
        </w:rPr>
      </w:r>
      <w:r>
        <w:rPr>
          <w:rFonts w:ascii="宋体" w:hAnsi="宋体" w:cs="宋体" w:eastAsia="宋体" w:hint="default"/>
        </w:rPr>
        <w:t>2014</w:t>
      </w:r>
      <w:r>
        <w:rPr>
          <w:rFonts w:ascii="宋体" w:hAnsi="宋体" w:cs="宋体" w:eastAsia="宋体" w:hint="default"/>
          <w:spacing w:val="-49"/>
        </w:rPr>
        <w:t> </w:t>
      </w:r>
      <w:r>
        <w:rPr/>
        <w:t>年、</w:t>
      </w:r>
      <w:r>
        <w:rPr>
          <w:rFonts w:ascii="宋体" w:hAnsi="宋体" w:cs="宋体" w:eastAsia="宋体" w:hint="default"/>
        </w:rPr>
        <w:t>2015</w:t>
      </w:r>
      <w:r>
        <w:rPr>
          <w:rFonts w:ascii="宋体" w:hAnsi="宋体" w:cs="宋体" w:eastAsia="宋体" w:hint="default"/>
          <w:spacing w:val="-50"/>
        </w:rPr>
        <w:t> </w:t>
      </w:r>
      <w:r>
        <w:rPr/>
        <w:t>年和</w:t>
      </w:r>
      <w:r>
        <w:rPr>
          <w:spacing w:val="-50"/>
        </w:rPr>
        <w:t> </w:t>
      </w:r>
      <w:r>
        <w:rPr>
          <w:rFonts w:ascii="宋体" w:hAnsi="宋体" w:cs="宋体" w:eastAsia="宋体" w:hint="default"/>
        </w:rPr>
        <w:t>2016</w:t>
      </w:r>
      <w:r>
        <w:rPr>
          <w:rFonts w:ascii="宋体" w:hAnsi="宋体" w:cs="宋体" w:eastAsia="宋体" w:hint="default"/>
          <w:spacing w:val="-51"/>
        </w:rPr>
        <w:t> </w:t>
      </w:r>
      <w:r>
        <w:rPr/>
        <w:t>年实现的经审计的净利润</w:t>
      </w:r>
      <w:r>
        <w:rPr>
          <w:rFonts w:ascii="宋体" w:hAnsi="宋体" w:cs="宋体" w:eastAsia="宋体" w:hint="default"/>
        </w:rPr>
        <w:t>(</w:t>
      </w:r>
      <w:r>
        <w:rPr/>
        <w:t>指经具有证券从业资格的会计师事务所 审计确认的扣除非经常性损益的净利润</w:t>
      </w:r>
      <w:r>
        <w:rPr>
          <w:rFonts w:ascii="宋体" w:hAnsi="宋体" w:cs="宋体" w:eastAsia="宋体" w:hint="default"/>
        </w:rPr>
        <w:t>)</w:t>
      </w:r>
      <w:r>
        <w:rPr/>
        <w:t>分别不少于人民币</w:t>
      </w:r>
      <w:r>
        <w:rPr>
          <w:spacing w:val="-52"/>
        </w:rPr>
        <w:t> </w:t>
      </w:r>
      <w:r>
        <w:rPr>
          <w:rFonts w:ascii="宋体" w:hAnsi="宋体" w:cs="宋体" w:eastAsia="宋体" w:hint="default"/>
        </w:rPr>
        <w:t>1,801.96</w:t>
      </w:r>
      <w:r>
        <w:rPr>
          <w:rFonts w:ascii="宋体" w:hAnsi="宋体" w:cs="宋体" w:eastAsia="宋体" w:hint="default"/>
          <w:spacing w:val="-52"/>
        </w:rPr>
        <w:t> </w:t>
      </w:r>
      <w:r>
        <w:rPr>
          <w:spacing w:val="-4"/>
        </w:rPr>
        <w:t>万元、</w:t>
      </w:r>
      <w:r>
        <w:rPr>
          <w:rFonts w:ascii="宋体" w:hAnsi="宋体" w:cs="宋体" w:eastAsia="宋体" w:hint="default"/>
          <w:spacing w:val="-4"/>
        </w:rPr>
        <w:t>2,378.75</w:t>
      </w:r>
      <w:r>
        <w:rPr>
          <w:rFonts w:ascii="宋体" w:hAnsi="宋体" w:cs="宋体" w:eastAsia="宋体" w:hint="default"/>
          <w:spacing w:val="-53"/>
        </w:rPr>
        <w:t> </w:t>
      </w:r>
      <w:r>
        <w:rPr/>
        <w:t>万元、 </w:t>
      </w:r>
      <w:r>
        <w:rPr>
          <w:rFonts w:ascii="宋体" w:hAnsi="宋体" w:cs="宋体" w:eastAsia="宋体" w:hint="default"/>
        </w:rPr>
        <w:t>3,004.98</w:t>
      </w:r>
      <w:r>
        <w:rPr>
          <w:rFonts w:ascii="宋体" w:hAnsi="宋体" w:cs="宋体" w:eastAsia="宋体" w:hint="default"/>
          <w:spacing w:val="-66"/>
        </w:rPr>
        <w:t> </w:t>
      </w:r>
      <w:r>
        <w:rPr/>
        <w:t>万元</w:t>
      </w:r>
      <w:r>
        <w:rPr>
          <w:rFonts w:ascii="宋体" w:hAnsi="宋体" w:cs="宋体" w:eastAsia="宋体" w:hint="default"/>
        </w:rPr>
        <w:t>(</w:t>
      </w:r>
      <w:r>
        <w:rPr/>
        <w:t>以下简称预测净利润</w:t>
      </w:r>
      <w:r>
        <w:rPr>
          <w:rFonts w:ascii="宋体" w:hAnsi="宋体" w:cs="宋体" w:eastAsia="宋体" w:hint="default"/>
        </w:rPr>
        <w:t>)</w:t>
      </w:r>
      <w:r>
        <w:rPr/>
        <w:t>，上述</w:t>
      </w:r>
      <w:r>
        <w:rPr>
          <w:spacing w:val="-68"/>
        </w:rPr>
        <w:t> </w:t>
      </w:r>
      <w:r>
        <w:rPr>
          <w:rFonts w:ascii="宋体" w:hAnsi="宋体" w:cs="宋体" w:eastAsia="宋体" w:hint="default"/>
        </w:rPr>
        <w:t>2014</w:t>
      </w:r>
      <w:r>
        <w:rPr>
          <w:rFonts w:ascii="宋体" w:hAnsi="宋体" w:cs="宋体" w:eastAsia="宋体" w:hint="default"/>
          <w:spacing w:val="-68"/>
        </w:rPr>
        <w:t> </w:t>
      </w:r>
      <w:r>
        <w:rPr/>
        <w:t>年度的预测净利润按备考口径确定，即假</w:t>
      </w:r>
    </w:p>
    <w:p>
      <w:pPr>
        <w:pStyle w:val="BodyText"/>
        <w:spacing w:line="240" w:lineRule="auto"/>
        <w:ind w:left="138" w:right="0"/>
        <w:jc w:val="both"/>
      </w:pPr>
      <w:r>
        <w:rPr/>
        <w:t>定自</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1"/>
        </w:rPr>
        <w:t> </w:t>
      </w:r>
      <w:r>
        <w:rPr/>
        <w:t>日起，上海沃动市场营销策划有限公司</w:t>
      </w:r>
      <w:r>
        <w:rPr>
          <w:rFonts w:ascii="宋体" w:hAnsi="宋体" w:cs="宋体" w:eastAsia="宋体" w:hint="default"/>
        </w:rPr>
        <w:t>(</w:t>
      </w:r>
      <w:r>
        <w:rPr/>
        <w:t>以下简称上海沃动</w:t>
      </w:r>
      <w:r>
        <w:rPr>
          <w:rFonts w:ascii="宋体" w:hAnsi="宋体" w:cs="宋体" w:eastAsia="宋体" w:hint="default"/>
        </w:rPr>
        <w:t>)</w:t>
      </w:r>
      <w:r>
        <w:rPr/>
        <w:t>已成为上海</w:t>
      </w:r>
    </w:p>
    <w:p>
      <w:pPr>
        <w:spacing w:after="0" w:line="240" w:lineRule="auto"/>
        <w:jc w:val="both"/>
        <w:sectPr>
          <w:pgSz w:w="11910" w:h="16840"/>
          <w:pgMar w:header="877" w:footer="938" w:top="1100" w:bottom="1120" w:left="1660" w:right="0"/>
        </w:sectPr>
      </w:pPr>
    </w:p>
    <w:p>
      <w:pPr>
        <w:spacing w:line="240" w:lineRule="auto" w:before="2"/>
        <w:rPr>
          <w:rFonts w:ascii="宋体" w:hAnsi="宋体" w:cs="宋体" w:eastAsia="宋体" w:hint="default"/>
          <w:sz w:val="19"/>
          <w:szCs w:val="19"/>
        </w:rPr>
      </w:pPr>
    </w:p>
    <w:p>
      <w:pPr>
        <w:pStyle w:val="BodyText"/>
        <w:spacing w:line="355" w:lineRule="auto" w:before="35"/>
        <w:ind w:left="218" w:right="1784"/>
        <w:jc w:val="left"/>
      </w:pPr>
      <w:r>
        <w:rPr>
          <w:spacing w:val="-3"/>
        </w:rPr>
        <w:t>氩氪的全资子公司，自该日起上海沃动纳入上海氩氪财务报表合并范围。琥珀传播原股东承</w:t>
      </w:r>
      <w:r>
        <w:rPr>
          <w:spacing w:val="-75"/>
        </w:rPr>
        <w:t> </w:t>
      </w:r>
      <w:r>
        <w:rPr>
          <w:spacing w:val="-75"/>
        </w:rPr>
      </w:r>
      <w:r>
        <w:rPr/>
        <w:t>诺琥珀传播</w:t>
      </w:r>
      <w:r>
        <w:rPr>
          <w:spacing w:val="-54"/>
        </w:rPr>
        <w:t> </w:t>
      </w:r>
      <w:r>
        <w:rPr>
          <w:rFonts w:ascii="宋体" w:hAnsi="宋体" w:cs="宋体" w:eastAsia="宋体" w:hint="default"/>
        </w:rPr>
        <w:t>2014</w:t>
      </w:r>
      <w:r>
        <w:rPr>
          <w:rFonts w:ascii="宋体" w:hAnsi="宋体" w:cs="宋体" w:eastAsia="宋体" w:hint="default"/>
          <w:spacing w:val="-54"/>
        </w:rPr>
        <w:t> </w:t>
      </w:r>
      <w:r>
        <w:rPr>
          <w:spacing w:val="-6"/>
        </w:rPr>
        <w:t>年、</w:t>
      </w:r>
      <w:r>
        <w:rPr>
          <w:rFonts w:ascii="宋体" w:hAnsi="宋体" w:cs="宋体" w:eastAsia="宋体" w:hint="default"/>
          <w:spacing w:val="-6"/>
        </w:rPr>
        <w:t>2015</w:t>
      </w:r>
      <w:r>
        <w:rPr>
          <w:rFonts w:ascii="宋体" w:hAnsi="宋体" w:cs="宋体" w:eastAsia="宋体" w:hint="default"/>
          <w:spacing w:val="-55"/>
        </w:rPr>
        <w:t> </w:t>
      </w:r>
      <w:r>
        <w:rPr/>
        <w:t>年和</w:t>
      </w:r>
      <w:r>
        <w:rPr>
          <w:spacing w:val="-54"/>
        </w:rPr>
        <w:t> </w:t>
      </w:r>
      <w:r>
        <w:rPr>
          <w:rFonts w:ascii="宋体" w:hAnsi="宋体" w:cs="宋体" w:eastAsia="宋体" w:hint="default"/>
        </w:rPr>
        <w:t>2016</w:t>
      </w:r>
      <w:r>
        <w:rPr>
          <w:rFonts w:ascii="宋体" w:hAnsi="宋体" w:cs="宋体" w:eastAsia="宋体" w:hint="default"/>
          <w:spacing w:val="-53"/>
        </w:rPr>
        <w:t> </w:t>
      </w:r>
      <w:r>
        <w:rPr/>
        <w:t>年实现的经审计的净利润</w:t>
      </w:r>
      <w:r>
        <w:rPr>
          <w:rFonts w:ascii="宋体" w:hAnsi="宋体" w:cs="宋体" w:eastAsia="宋体" w:hint="default"/>
        </w:rPr>
        <w:t>(</w:t>
      </w:r>
      <w:r>
        <w:rPr/>
        <w:t>指经具有证券从业资格的会</w:t>
      </w:r>
    </w:p>
    <w:p>
      <w:pPr>
        <w:pStyle w:val="BodyText"/>
        <w:spacing w:line="240" w:lineRule="auto" w:before="33"/>
        <w:ind w:left="217" w:right="1683"/>
        <w:jc w:val="left"/>
      </w:pPr>
      <w:r>
        <w:rPr>
          <w:spacing w:val="5"/>
        </w:rPr>
        <w:t>计师事务所审计确认的扣除非经常性损益的净利润</w:t>
      </w:r>
      <w:r>
        <w:rPr>
          <w:rFonts w:ascii="宋体" w:hAnsi="宋体" w:cs="宋体" w:eastAsia="宋体" w:hint="default"/>
          <w:spacing w:val="5"/>
        </w:rPr>
        <w:t>)</w:t>
      </w:r>
      <w:r>
        <w:rPr>
          <w:spacing w:val="5"/>
        </w:rPr>
        <w:t>分别不少于人民币 </w:t>
      </w:r>
      <w:r>
        <w:rPr>
          <w:rFonts w:ascii="宋体" w:hAnsi="宋体" w:cs="宋体" w:eastAsia="宋体" w:hint="default"/>
        </w:rPr>
        <w:t>1,501.47</w:t>
      </w:r>
      <w:r>
        <w:rPr>
          <w:rFonts w:ascii="宋体" w:hAnsi="宋体" w:cs="宋体" w:eastAsia="宋体" w:hint="default"/>
          <w:spacing w:val="29"/>
        </w:rPr>
        <w:t> </w:t>
      </w:r>
      <w:r>
        <w:rPr>
          <w:spacing w:val="3"/>
        </w:rPr>
        <w:t>万元、</w:t>
      </w:r>
    </w:p>
    <w:p>
      <w:pPr>
        <w:pStyle w:val="BodyText"/>
        <w:spacing w:line="357" w:lineRule="auto" w:before="133"/>
        <w:ind w:left="217" w:right="1689"/>
        <w:jc w:val="left"/>
      </w:pPr>
      <w:r>
        <w:rPr>
          <w:rFonts w:ascii="宋体" w:hAnsi="宋体" w:cs="宋体" w:eastAsia="宋体" w:hint="default"/>
        </w:rPr>
        <w:t>1,950.13</w:t>
      </w:r>
      <w:r>
        <w:rPr>
          <w:rFonts w:ascii="宋体" w:hAnsi="宋体" w:cs="宋体" w:eastAsia="宋体" w:hint="default"/>
          <w:spacing w:val="-45"/>
        </w:rPr>
        <w:t> </w:t>
      </w:r>
      <w:r>
        <w:rPr/>
        <w:t>万元、</w:t>
      </w:r>
      <w:r>
        <w:rPr>
          <w:rFonts w:ascii="宋体" w:hAnsi="宋体" w:cs="宋体" w:eastAsia="宋体" w:hint="default"/>
        </w:rPr>
        <w:t>2,550.02</w:t>
      </w:r>
      <w:r>
        <w:rPr>
          <w:rFonts w:ascii="宋体" w:hAnsi="宋体" w:cs="宋体" w:eastAsia="宋体" w:hint="default"/>
          <w:spacing w:val="-46"/>
        </w:rPr>
        <w:t> </w:t>
      </w:r>
      <w:r>
        <w:rPr/>
        <w:t>万元</w:t>
      </w:r>
      <w:r>
        <w:rPr>
          <w:rFonts w:ascii="宋体" w:hAnsi="宋体" w:cs="宋体" w:eastAsia="宋体" w:hint="default"/>
        </w:rPr>
        <w:t>(</w:t>
      </w:r>
      <w:r>
        <w:rPr/>
        <w:t>以下简称预测净利润</w:t>
      </w:r>
      <w:r>
        <w:rPr>
          <w:rFonts w:ascii="宋体" w:hAnsi="宋体" w:cs="宋体" w:eastAsia="宋体" w:hint="default"/>
        </w:rPr>
        <w:t>)</w:t>
      </w:r>
      <w:r>
        <w:rPr/>
        <w:t>。如果上海氩氪、琥珀传播在利润补 偿期间内任一会计年度的当年期末实际净利润累计数未能达到当年期末预测净利润累计数， 则本公司应在该年度的年度报告披露之日起十日内，以书面方式通知原股东关于上海氩氪、 </w:t>
      </w:r>
      <w:r>
        <w:rPr>
          <w:spacing w:val="-3"/>
        </w:rPr>
        <w:t>琥珀传播在该年度实际净利润累计数小于预测净利润累计数的事实，并要求原股东优先以股</w:t>
      </w:r>
      <w:r>
        <w:rPr>
          <w:spacing w:val="-73"/>
        </w:rPr>
        <w:t> </w:t>
      </w:r>
      <w:r>
        <w:rPr>
          <w:spacing w:val="-73"/>
        </w:rPr>
      </w:r>
      <w:r>
        <w:rPr/>
        <w:t>份补偿的方式进行利润补偿，不足部分以现金补偿的方式进行利润补偿。</w:t>
      </w:r>
    </w:p>
    <w:p>
      <w:pPr>
        <w:pStyle w:val="BodyText"/>
        <w:spacing w:line="391" w:lineRule="auto" w:before="71"/>
        <w:ind w:left="637" w:right="1683"/>
        <w:jc w:val="left"/>
      </w:pPr>
      <w:r>
        <w:rPr/>
        <w:t>具体股份补偿数额和现金补偿金额的计算方式如下： </w:t>
      </w:r>
      <w:r>
        <w:rPr>
          <w:spacing w:val="-3"/>
        </w:rPr>
        <w:t>当年应补偿股份数＝（标的公司截至当期期末预测净利润累计数－标的公司截至当期期</w:t>
      </w:r>
    </w:p>
    <w:p>
      <w:pPr>
        <w:pStyle w:val="BodyText"/>
        <w:spacing w:line="355" w:lineRule="auto" w:before="1"/>
        <w:ind w:left="217" w:right="1683"/>
        <w:jc w:val="left"/>
      </w:pPr>
      <w:r>
        <w:rPr>
          <w:spacing w:val="-3"/>
        </w:rPr>
        <w:t>末实际净利润累计数）÷标的公司业绩承诺期间内各年度的预测净利润数总和×标的资产交</w:t>
      </w:r>
      <w:r>
        <w:rPr>
          <w:spacing w:val="-73"/>
        </w:rPr>
        <w:t> </w:t>
      </w:r>
      <w:r>
        <w:rPr>
          <w:spacing w:val="-73"/>
        </w:rPr>
      </w:r>
      <w:r>
        <w:rPr/>
        <w:t>易价格÷发行价格－已补偿股份数量</w:t>
      </w:r>
    </w:p>
    <w:p>
      <w:pPr>
        <w:pStyle w:val="BodyText"/>
        <w:spacing w:line="357" w:lineRule="auto" w:before="73"/>
        <w:ind w:left="217" w:right="1683" w:firstLine="420"/>
        <w:jc w:val="left"/>
      </w:pPr>
      <w:r>
        <w:rPr>
          <w:spacing w:val="-3"/>
        </w:rPr>
        <w:t>若原股东持股数量不足以补偿时，差额部分由原股东以现金补偿，具体补偿金额计算方</w:t>
      </w:r>
      <w:r>
        <w:rPr/>
        <w:t> 式如下：</w:t>
      </w:r>
    </w:p>
    <w:p>
      <w:pPr>
        <w:pStyle w:val="BodyText"/>
        <w:spacing w:line="357" w:lineRule="auto" w:before="70"/>
        <w:ind w:left="218" w:right="1683" w:firstLine="420"/>
        <w:jc w:val="left"/>
      </w:pPr>
      <w:r>
        <w:rPr>
          <w:spacing w:val="-3"/>
        </w:rPr>
        <w:t>当年应补偿现金金额＝（每一测算期间应补偿股份数－每一测算期间已补偿股份数）×</w:t>
      </w:r>
      <w:r>
        <w:rPr/>
        <w:t> 发行价格－已补偿现金金额</w:t>
      </w:r>
    </w:p>
    <w:p>
      <w:pPr>
        <w:pStyle w:val="BodyText"/>
        <w:spacing w:line="357" w:lineRule="auto" w:before="71"/>
        <w:ind w:left="218" w:right="1683" w:firstLine="420"/>
        <w:jc w:val="left"/>
      </w:pPr>
      <w:r>
        <w:rPr>
          <w:spacing w:val="-3"/>
        </w:rPr>
        <w:t>在计算任一会计年度的当年应补偿股份数或应补偿金额时，若当年应补偿股份数或应补</w:t>
      </w:r>
      <w:r>
        <w:rPr/>
        <w:t> 偿金额小于零，则按零取值，已经补偿的股份及金额不冲回。</w:t>
      </w:r>
    </w:p>
    <w:p>
      <w:pPr>
        <w:pStyle w:val="BodyText"/>
        <w:spacing w:line="355" w:lineRule="auto" w:before="71"/>
        <w:ind w:left="217" w:right="1779" w:firstLine="420"/>
        <w:jc w:val="left"/>
      </w:pPr>
      <w:r>
        <w:rPr>
          <w:spacing w:val="-4"/>
        </w:rPr>
        <w:t>上海氩氪、琥珀传播</w:t>
      </w:r>
      <w:r>
        <w:rPr>
          <w:spacing w:val="-53"/>
        </w:rPr>
        <w:t> </w:t>
      </w:r>
      <w:r>
        <w:rPr>
          <w:rFonts w:ascii="宋体" w:hAnsi="宋体" w:cs="宋体" w:eastAsia="宋体" w:hint="default"/>
        </w:rPr>
        <w:t>2014</w:t>
      </w:r>
      <w:r>
        <w:rPr>
          <w:rFonts w:ascii="宋体" w:hAnsi="宋体" w:cs="宋体" w:eastAsia="宋体" w:hint="default"/>
          <w:spacing w:val="-54"/>
        </w:rPr>
        <w:t> </w:t>
      </w:r>
      <w:r>
        <w:rPr/>
        <w:t>年度经审计的扣除非经常性损益后的净利润分别为</w:t>
      </w:r>
      <w:r>
        <w:rPr>
          <w:spacing w:val="-52"/>
        </w:rPr>
        <w:t> </w:t>
      </w:r>
      <w:r>
        <w:rPr>
          <w:rFonts w:ascii="宋体" w:hAnsi="宋体" w:cs="宋体" w:eastAsia="宋体" w:hint="default"/>
        </w:rPr>
        <w:t>1,874.75 </w:t>
      </w:r>
      <w:r>
        <w:rPr/>
        <w:t>万元、</w:t>
      </w:r>
      <w:r>
        <w:rPr>
          <w:rFonts w:ascii="宋体" w:hAnsi="宋体" w:cs="宋体" w:eastAsia="宋体" w:hint="default"/>
        </w:rPr>
        <w:t>1,568.14</w:t>
      </w:r>
      <w:r>
        <w:rPr>
          <w:rFonts w:ascii="宋体" w:hAnsi="宋体" w:cs="宋体" w:eastAsia="宋体" w:hint="default"/>
          <w:spacing w:val="-55"/>
        </w:rPr>
        <w:t> </w:t>
      </w:r>
      <w:r>
        <w:rPr/>
        <w:t>万元，均已完成盈利预测的业绩承诺。</w:t>
      </w:r>
    </w:p>
    <w:p>
      <w:pPr>
        <w:pStyle w:val="BodyText"/>
        <w:spacing w:line="240" w:lineRule="auto" w:before="73"/>
        <w:ind w:left="638" w:right="1683"/>
        <w:jc w:val="left"/>
      </w:pPr>
      <w:bookmarkStart w:name="5. 截至2014年12月31日，公司实际控制人王相荣累计质押其持有的本公司股份" w:id="285"/>
      <w:bookmarkEnd w:id="285"/>
      <w:r>
        <w:rPr/>
      </w:r>
      <w:r>
        <w:rPr>
          <w:rFonts w:ascii="宋体" w:hAnsi="宋体" w:cs="宋体" w:eastAsia="宋体" w:hint="default"/>
        </w:rPr>
        <w:t>5. </w:t>
      </w:r>
      <w:r>
        <w:rPr/>
        <w:t>截至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9"/>
        </w:rPr>
        <w:t> </w:t>
      </w:r>
      <w:r>
        <w:rPr/>
        <w:t>日，公司实际控制人王相荣累计质押其持有的本公司股份</w:t>
      </w:r>
    </w:p>
    <w:p>
      <w:pPr>
        <w:pStyle w:val="BodyText"/>
        <w:spacing w:line="357" w:lineRule="auto" w:before="133"/>
        <w:ind w:left="218" w:right="1778"/>
        <w:jc w:val="left"/>
      </w:pPr>
      <w:r>
        <w:rPr>
          <w:rFonts w:ascii="宋体" w:hAnsi="宋体" w:cs="宋体" w:eastAsia="宋体" w:hint="default"/>
        </w:rPr>
        <w:t>75,932,813</w:t>
      </w:r>
      <w:r>
        <w:rPr>
          <w:rFonts w:ascii="宋体" w:hAnsi="宋体" w:cs="宋体" w:eastAsia="宋体" w:hint="default"/>
          <w:spacing w:val="-45"/>
        </w:rPr>
        <w:t> </w:t>
      </w:r>
      <w:r>
        <w:rPr/>
        <w:t>股，占本公司股份总数的</w:t>
      </w:r>
      <w:r>
        <w:rPr>
          <w:spacing w:val="-45"/>
        </w:rPr>
        <w:t> </w:t>
      </w:r>
      <w:r>
        <w:rPr>
          <w:rFonts w:ascii="宋体" w:hAnsi="宋体" w:cs="宋体" w:eastAsia="宋体" w:hint="default"/>
        </w:rPr>
        <w:t>19.40%</w:t>
      </w:r>
      <w:r>
        <w:rPr/>
        <w:t>；截至本财务报表批准报出日，实际控制人王 相荣累计质押其持有的本公司股份</w:t>
      </w:r>
      <w:r>
        <w:rPr>
          <w:spacing w:val="-53"/>
        </w:rPr>
        <w:t> </w:t>
      </w:r>
      <w:r>
        <w:rPr>
          <w:rFonts w:ascii="宋体" w:hAnsi="宋体" w:cs="宋体" w:eastAsia="宋体" w:hint="default"/>
        </w:rPr>
        <w:t>51,632,813</w:t>
      </w:r>
      <w:r>
        <w:rPr>
          <w:rFonts w:ascii="宋体" w:hAnsi="宋体" w:cs="宋体" w:eastAsia="宋体" w:hint="default"/>
          <w:spacing w:val="-54"/>
        </w:rPr>
        <w:t> </w:t>
      </w:r>
      <w:r>
        <w:rPr/>
        <w:t>股，占本公司股份总数的</w:t>
      </w:r>
      <w:r>
        <w:rPr>
          <w:spacing w:val="-53"/>
        </w:rPr>
        <w:t> </w:t>
      </w:r>
      <w:r>
        <w:rPr>
          <w:rFonts w:ascii="宋体" w:hAnsi="宋体" w:cs="宋体" w:eastAsia="宋体" w:hint="default"/>
        </w:rPr>
        <w:t>13.19%</w:t>
      </w:r>
      <w:r>
        <w:rPr/>
        <w:t>。</w:t>
      </w:r>
    </w:p>
    <w:p>
      <w:pPr>
        <w:pStyle w:val="BodyText"/>
        <w:spacing w:line="355" w:lineRule="auto" w:before="71"/>
        <w:ind w:left="218" w:right="1782" w:firstLine="420"/>
        <w:jc w:val="left"/>
      </w:pPr>
      <w:bookmarkStart w:name="6. 截至本财务报表批准报出日，公司及子公司均尚未办妥2014年度所得税汇算清缴" w:id="286"/>
      <w:bookmarkEnd w:id="286"/>
      <w:r>
        <w:rPr/>
      </w:r>
      <w:r>
        <w:rPr>
          <w:rFonts w:ascii="宋体" w:hAnsi="宋体" w:cs="宋体" w:eastAsia="宋体" w:hint="default"/>
        </w:rPr>
        <w:t>6.</w:t>
      </w:r>
      <w:r>
        <w:rPr>
          <w:rFonts w:ascii="宋体" w:hAnsi="宋体" w:cs="宋体" w:eastAsia="宋体" w:hint="default"/>
          <w:spacing w:val="6"/>
        </w:rPr>
        <w:t> </w:t>
      </w:r>
      <w:r>
        <w:rPr>
          <w:spacing w:val="-4"/>
        </w:rPr>
        <w:t>截至本财务报表批准报出日，公司及子公司均尚未办妥</w:t>
      </w:r>
      <w:r>
        <w:rPr>
          <w:spacing w:val="-49"/>
        </w:rPr>
        <w:t> </w:t>
      </w:r>
      <w:r>
        <w:rPr>
          <w:rFonts w:ascii="宋体" w:hAnsi="宋体" w:cs="宋体" w:eastAsia="宋体" w:hint="default"/>
        </w:rPr>
        <w:t>2014</w:t>
      </w:r>
      <w:r>
        <w:rPr>
          <w:rFonts w:ascii="宋体" w:hAnsi="宋体" w:cs="宋体" w:eastAsia="宋体" w:hint="default"/>
          <w:spacing w:val="-50"/>
        </w:rPr>
        <w:t> </w:t>
      </w:r>
      <w:r>
        <w:rPr>
          <w:spacing w:val="-1"/>
        </w:rPr>
        <w:t>年度所得税汇算清缴手</w:t>
      </w:r>
      <w:r>
        <w:rPr/>
        <w:t> 续。</w:t>
      </w:r>
    </w:p>
    <w:p>
      <w:pPr>
        <w:spacing w:line="240" w:lineRule="auto" w:before="0"/>
        <w:rPr>
          <w:rFonts w:ascii="宋体" w:hAnsi="宋体" w:cs="宋体" w:eastAsia="宋体" w:hint="default"/>
          <w:sz w:val="20"/>
          <w:szCs w:val="20"/>
        </w:rPr>
      </w:pPr>
    </w:p>
    <w:p>
      <w:pPr>
        <w:spacing w:line="391" w:lineRule="auto" w:before="162"/>
        <w:ind w:left="637" w:right="6626" w:firstLine="0"/>
        <w:jc w:val="left"/>
        <w:rPr>
          <w:rFonts w:ascii="宋体" w:hAnsi="宋体" w:cs="宋体" w:eastAsia="宋体" w:hint="default"/>
          <w:sz w:val="21"/>
          <w:szCs w:val="21"/>
        </w:rPr>
      </w:pPr>
      <w:bookmarkStart w:name="十六、母公司财务报表项目注释" w:id="287"/>
      <w:bookmarkEnd w:id="287"/>
      <w:r>
        <w:rPr/>
      </w:r>
      <w:r>
        <w:rPr>
          <w:rFonts w:ascii="黑体" w:hAnsi="黑体" w:cs="黑体" w:eastAsia="黑体" w:hint="default"/>
          <w:b/>
          <w:bCs/>
          <w:sz w:val="21"/>
          <w:szCs w:val="21"/>
        </w:rPr>
        <w:t>十六、母公司财务报表项目注释</w:t>
      </w:r>
      <w:r>
        <w:rPr>
          <w:rFonts w:ascii="黑体" w:hAnsi="黑体" w:cs="黑体" w:eastAsia="黑体" w:hint="default"/>
          <w:b/>
          <w:bCs/>
          <w:w w:val="99"/>
          <w:sz w:val="21"/>
          <w:szCs w:val="21"/>
        </w:rPr>
        <w:t> </w:t>
      </w:r>
      <w:bookmarkStart w:name="(一) 母公司资产负债表项目注释" w:id="288"/>
      <w:bookmarkEnd w:id="288"/>
      <w:r>
        <w:rPr>
          <w:rFonts w:ascii="黑体" w:hAnsi="黑体" w:cs="黑体" w:eastAsia="黑体" w:hint="default"/>
          <w:b/>
          <w:bCs/>
          <w:w w:val="99"/>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 </w:t>
      </w:r>
      <w:bookmarkStart w:name="1. 应收账款" w:id="289"/>
      <w:bookmarkEnd w:id="289"/>
      <w:r>
        <w:rPr>
          <w:rFonts w:ascii="宋体" w:hAnsi="宋体" w:cs="宋体" w:eastAsia="宋体" w:hint="default"/>
          <w:sz w:val="21"/>
          <w:szCs w:val="21"/>
        </w:rPr>
      </w:r>
      <w:r>
        <w:rPr>
          <w:rFonts w:ascii="宋体" w:hAnsi="宋体" w:cs="宋体" w:eastAsia="宋体" w:hint="default"/>
          <w:sz w:val="21"/>
          <w:szCs w:val="21"/>
        </w:rPr>
        <w:t>1. </w:t>
      </w:r>
      <w:r>
        <w:rPr>
          <w:rFonts w:ascii="宋体" w:hAnsi="宋体" w:cs="宋体" w:eastAsia="宋体" w:hint="default"/>
          <w:sz w:val="21"/>
          <w:szCs w:val="21"/>
        </w:rPr>
        <w:t>应收账款</w:t>
      </w:r>
    </w:p>
    <w:p>
      <w:pPr>
        <w:pStyle w:val="BodyText"/>
        <w:spacing w:line="240" w:lineRule="auto" w:before="41"/>
        <w:ind w:left="637" w:right="1683"/>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75"/>
        <w:ind w:left="637" w:right="1683"/>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950"/>
        <w:gridCol w:w="6579"/>
      </w:tblGrid>
      <w:tr>
        <w:trPr>
          <w:trHeight w:val="484" w:hRule="exact"/>
        </w:trPr>
        <w:tc>
          <w:tcPr>
            <w:tcW w:w="19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288"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center"/>
        <w:rPr>
          <w:rFonts w:ascii="宋体" w:hAnsi="宋体" w:cs="宋体" w:eastAsia="宋体" w:hint="default"/>
          <w:sz w:val="18"/>
          <w:szCs w:val="18"/>
        </w:rPr>
        <w:sectPr>
          <w:pgSz w:w="11910" w:h="16840"/>
          <w:pgMar w:header="877" w:footer="938" w:top="1100" w:bottom="1120" w:left="158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964"/>
        <w:gridCol w:w="1558"/>
        <w:gridCol w:w="994"/>
        <w:gridCol w:w="1416"/>
        <w:gridCol w:w="1134"/>
        <w:gridCol w:w="1477"/>
      </w:tblGrid>
      <w:tr>
        <w:trPr>
          <w:trHeight w:val="484" w:hRule="exact"/>
        </w:trPr>
        <w:tc>
          <w:tcPr>
            <w:tcW w:w="1964" w:type="dxa"/>
            <w:vMerge w:val="restart"/>
            <w:tcBorders>
              <w:top w:val="single" w:sz="4" w:space="0" w:color="000000"/>
              <w:left w:val="nil" w:sz="6" w:space="0" w:color="auto"/>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4" w:hRule="exact"/>
        </w:trPr>
        <w:tc>
          <w:tcPr>
            <w:tcW w:w="1964"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77" w:type="dxa"/>
            <w:vMerge/>
            <w:tcBorders>
              <w:left w:val="single" w:sz="4" w:space="0" w:color="000000"/>
              <w:bottom w:val="single" w:sz="4" w:space="0" w:color="000000"/>
              <w:right w:val="nil" w:sz="6" w:space="0" w:color="auto"/>
            </w:tcBorders>
          </w:tcPr>
          <w:p>
            <w:pPr/>
          </w:p>
        </w:tc>
      </w:tr>
      <w:tr>
        <w:trPr>
          <w:trHeight w:val="717"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216"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718"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216"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301,582,409.32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85.33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8"/>
                <w:szCs w:val="18"/>
              </w:rPr>
            </w:pPr>
            <w:r>
              <w:rPr>
                <w:rFonts w:ascii="宋体"/>
                <w:sz w:val="18"/>
              </w:rPr>
              <w:t>22,020,428.64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7.30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sz w:val="18"/>
              </w:rPr>
              <w:t>279,561,980.68</w:t>
            </w:r>
          </w:p>
        </w:tc>
      </w:tr>
      <w:tr>
        <w:trPr>
          <w:trHeight w:val="716"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0" w:right="216"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5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36" w:firstLine="1"/>
              <w:jc w:val="left"/>
              <w:rPr>
                <w:rFonts w:ascii="宋体" w:hAnsi="宋体" w:cs="宋体" w:eastAsia="宋体" w:hint="default"/>
                <w:sz w:val="18"/>
                <w:szCs w:val="18"/>
              </w:rPr>
            </w:pPr>
            <w:r>
              <w:rPr>
                <w:rFonts w:ascii="宋体" w:hAnsi="宋体" w:cs="宋体" w:eastAsia="宋体" w:hint="default"/>
                <w:sz w:val="18"/>
                <w:szCs w:val="18"/>
              </w:rPr>
              <w:t>应收合并财务报表范围 内关联方的款项组合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51,861,339.92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14.67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center"/>
              <w:rPr>
                <w:rFonts w:ascii="宋体" w:hAnsi="宋体" w:cs="宋体" w:eastAsia="宋体" w:hint="default"/>
                <w:sz w:val="18"/>
                <w:szCs w:val="18"/>
              </w:rPr>
            </w:pPr>
            <w:r>
              <w:rPr>
                <w:rFonts w:ascii="宋体"/>
                <w:sz w:val="18"/>
              </w:rPr>
              <w:t>51,861,339.92</w:t>
            </w:r>
          </w:p>
        </w:tc>
      </w:tr>
      <w:tr>
        <w:trPr>
          <w:trHeight w:val="485" w:hRule="exact"/>
        </w:trPr>
        <w:tc>
          <w:tcPr>
            <w:tcW w:w="19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353,443,749.24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宋体" w:hAnsi="宋体" w:cs="宋体" w:eastAsia="宋体" w:hint="default"/>
                <w:sz w:val="18"/>
                <w:szCs w:val="18"/>
              </w:rPr>
            </w:pPr>
            <w:r>
              <w:rPr>
                <w:rFonts w:ascii="宋体"/>
                <w:sz w:val="18"/>
              </w:rPr>
              <w:t>22,020,428.64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6.23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5"/>
              <w:jc w:val="center"/>
              <w:rPr>
                <w:rFonts w:ascii="宋体" w:hAnsi="宋体" w:cs="宋体" w:eastAsia="宋体" w:hint="default"/>
                <w:sz w:val="18"/>
                <w:szCs w:val="18"/>
              </w:rPr>
            </w:pPr>
            <w:r>
              <w:rPr>
                <w:rFonts w:ascii="宋体"/>
                <w:sz w:val="18"/>
              </w:rPr>
              <w:t>331,423,320.60</w:t>
            </w:r>
          </w:p>
        </w:tc>
      </w:tr>
    </w:tbl>
    <w:p>
      <w:pPr>
        <w:spacing w:before="89"/>
        <w:ind w:left="59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967"/>
        <w:gridCol w:w="1562"/>
        <w:gridCol w:w="995"/>
        <w:gridCol w:w="1417"/>
        <w:gridCol w:w="1134"/>
        <w:gridCol w:w="1469"/>
      </w:tblGrid>
      <w:tr>
        <w:trPr>
          <w:trHeight w:val="484" w:hRule="exact"/>
        </w:trPr>
        <w:tc>
          <w:tcPr>
            <w:tcW w:w="196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7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1967" w:type="dxa"/>
            <w:vMerge/>
            <w:tcBorders>
              <w:left w:val="nil" w:sz="6" w:space="0" w:color="auto"/>
              <w:right w:val="single" w:sz="4" w:space="0" w:color="000000"/>
            </w:tcBorders>
          </w:tcPr>
          <w:p>
            <w:pP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9"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4" w:hRule="exact"/>
        </w:trPr>
        <w:tc>
          <w:tcPr>
            <w:tcW w:w="1967" w:type="dxa"/>
            <w:vMerge/>
            <w:tcBorders>
              <w:left w:val="nil" w:sz="6" w:space="0" w:color="auto"/>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31"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69" w:type="dxa"/>
            <w:vMerge/>
            <w:tcBorders>
              <w:left w:val="single" w:sz="4" w:space="0" w:color="000000"/>
              <w:bottom w:val="single" w:sz="4" w:space="0" w:color="000000"/>
              <w:right w:val="nil" w:sz="6" w:space="0" w:color="auto"/>
            </w:tcBorders>
          </w:tcPr>
          <w:p>
            <w:pPr/>
          </w:p>
        </w:tc>
      </w:tr>
      <w:tr>
        <w:trPr>
          <w:trHeight w:val="71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218"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5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717"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218"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297,661,366.60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95.14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18,994,542.05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6.38</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sz w:val="18"/>
              </w:rPr>
              <w:t>278,666,824.55</w:t>
            </w:r>
          </w:p>
        </w:tc>
      </w:tr>
      <w:tr>
        <w:trPr>
          <w:trHeight w:val="718"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120" w:right="218"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56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0" w:right="38" w:firstLine="1"/>
              <w:jc w:val="left"/>
              <w:rPr>
                <w:rFonts w:ascii="宋体" w:hAnsi="宋体" w:cs="宋体" w:eastAsia="宋体" w:hint="default"/>
                <w:sz w:val="18"/>
                <w:szCs w:val="18"/>
              </w:rPr>
            </w:pPr>
            <w:r>
              <w:rPr>
                <w:rFonts w:ascii="宋体" w:hAnsi="宋体" w:cs="宋体" w:eastAsia="宋体" w:hint="default"/>
                <w:sz w:val="18"/>
                <w:szCs w:val="18"/>
              </w:rPr>
              <w:t>应收合并财务报表范围 内关联方的款项组合</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15,199,334.85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4.86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5" w:right="0"/>
              <w:jc w:val="center"/>
              <w:rPr>
                <w:rFonts w:ascii="宋体" w:hAnsi="宋体" w:cs="宋体" w:eastAsia="宋体" w:hint="default"/>
                <w:sz w:val="18"/>
                <w:szCs w:val="18"/>
              </w:rPr>
            </w:pPr>
            <w:r>
              <w:rPr>
                <w:rFonts w:ascii="宋体"/>
                <w:sz w:val="18"/>
              </w:rPr>
              <w:t>15,199,334.85</w:t>
            </w:r>
          </w:p>
        </w:tc>
      </w:tr>
      <w:tr>
        <w:trPr>
          <w:trHeight w:val="484"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312,860,701.45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18,994,542.05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宋体" w:hAnsi="宋体" w:cs="宋体" w:eastAsia="宋体" w:hint="default"/>
                <w:sz w:val="18"/>
                <w:szCs w:val="18"/>
              </w:rPr>
            </w:pPr>
            <w:r>
              <w:rPr>
                <w:rFonts w:ascii="宋体"/>
                <w:sz w:val="18"/>
              </w:rPr>
              <w:t>6.07</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
              <w:jc w:val="center"/>
              <w:rPr>
                <w:rFonts w:ascii="宋体" w:hAnsi="宋体" w:cs="宋体" w:eastAsia="宋体" w:hint="default"/>
                <w:sz w:val="18"/>
                <w:szCs w:val="18"/>
              </w:rPr>
            </w:pPr>
            <w:r>
              <w:rPr>
                <w:rFonts w:ascii="宋体"/>
                <w:sz w:val="18"/>
              </w:rPr>
              <w:t>293,866,159.40</w:t>
            </w:r>
          </w:p>
        </w:tc>
      </w:tr>
    </w:tbl>
    <w:p>
      <w:pPr>
        <w:pStyle w:val="BodyText"/>
        <w:spacing w:line="240" w:lineRule="auto" w:before="84"/>
        <w:ind w:left="658" w:right="1688"/>
        <w:jc w:val="left"/>
      </w:pPr>
      <w:r>
        <w:rPr>
          <w:rFonts w:ascii="宋体" w:hAnsi="宋体" w:cs="宋体" w:eastAsia="宋体" w:hint="default"/>
        </w:rPr>
        <w:t>2)</w:t>
      </w:r>
      <w:r>
        <w:rPr>
          <w:rFonts w:ascii="宋体" w:hAnsi="宋体" w:cs="宋体" w:eastAsia="宋体" w:hint="default"/>
          <w:spacing w:val="-2"/>
        </w:rPr>
        <w:t> </w:t>
      </w:r>
      <w:r>
        <w:rPr/>
        <w:t>组合中，采用账龄分析法计提坏账准备的应收账款</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966"/>
        <w:gridCol w:w="2409"/>
        <w:gridCol w:w="2127"/>
        <w:gridCol w:w="2042"/>
      </w:tblGrid>
      <w:tr>
        <w:trPr>
          <w:trHeight w:val="484" w:hRule="exact"/>
        </w:trPr>
        <w:tc>
          <w:tcPr>
            <w:tcW w:w="196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65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1966" w:type="dxa"/>
            <w:vMerge/>
            <w:tcBorders>
              <w:left w:val="nil" w:sz="6" w:space="0" w:color="auto"/>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2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274,502,805.98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13,725,140.30</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16,724,994.53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1,672,499.45</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5,331,171.31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1,599,351.39</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5,023,437.50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5,023,437.50</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100.00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301,582,409.32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22,020,428.64</w:t>
            </w:r>
          </w:p>
        </w:tc>
        <w:tc>
          <w:tcPr>
            <w:tcW w:w="20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7.30</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spacing w:after="0" w:line="240" w:lineRule="auto"/>
        <w:jc w:val="left"/>
        <w:sectPr>
          <w:pgSz w:w="11910" w:h="16840"/>
          <w:pgMar w:header="877" w:footer="938" w:top="1100" w:bottom="1120" w:left="1560" w:right="0"/>
        </w:sectPr>
      </w:pPr>
    </w:p>
    <w:p>
      <w:pPr>
        <w:spacing w:line="240" w:lineRule="auto" w:before="2"/>
        <w:rPr>
          <w:rFonts w:ascii="宋体" w:hAnsi="宋体" w:cs="宋体" w:eastAsia="宋体" w:hint="default"/>
          <w:sz w:val="19"/>
          <w:szCs w:val="19"/>
        </w:rPr>
      </w:pPr>
    </w:p>
    <w:p>
      <w:pPr>
        <w:pStyle w:val="BodyText"/>
        <w:spacing w:line="240" w:lineRule="auto" w:before="35"/>
        <w:ind w:left="763" w:right="1688"/>
        <w:jc w:val="left"/>
      </w:pPr>
      <w:r>
        <w:rPr/>
        <w:t>本期计提坏账准备金额</w:t>
      </w:r>
      <w:r>
        <w:rPr>
          <w:spacing w:val="-53"/>
        </w:rPr>
        <w:t> </w:t>
      </w:r>
      <w:r>
        <w:rPr>
          <w:rFonts w:ascii="宋体" w:hAnsi="宋体" w:cs="宋体" w:eastAsia="宋体" w:hint="default"/>
        </w:rPr>
        <w:t>3,026,317.00</w:t>
      </w:r>
      <w:r>
        <w:rPr>
          <w:rFonts w:ascii="宋体" w:hAnsi="宋体" w:cs="宋体" w:eastAsia="宋体" w:hint="default"/>
          <w:spacing w:val="-53"/>
        </w:rPr>
        <w:t> </w:t>
      </w:r>
      <w:r>
        <w:rPr/>
        <w:t>元；本期无收回或转回坏账准备情况。</w:t>
      </w:r>
    </w:p>
    <w:p>
      <w:pPr>
        <w:pStyle w:val="BodyText"/>
        <w:spacing w:line="240" w:lineRule="auto" w:before="174"/>
        <w:ind w:left="657" w:right="1688"/>
        <w:jc w:val="left"/>
      </w:pPr>
      <w:r>
        <w:rPr>
          <w:rFonts w:ascii="宋体" w:hAnsi="宋体" w:cs="宋体" w:eastAsia="宋体" w:hint="default"/>
        </w:rPr>
        <w:t>(3)</w:t>
      </w:r>
      <w:r>
        <w:rPr>
          <w:rFonts w:ascii="宋体" w:hAnsi="宋体" w:cs="宋体" w:eastAsia="宋体" w:hint="default"/>
          <w:spacing w:val="-1"/>
        </w:rPr>
        <w:t> </w:t>
      </w:r>
      <w:r>
        <w:rPr/>
        <w:t>本期实际核销的应收账款情况</w:t>
      </w:r>
    </w:p>
    <w:p>
      <w:pPr>
        <w:pStyle w:val="BodyText"/>
        <w:spacing w:line="240" w:lineRule="auto" w:before="174"/>
        <w:ind w:left="763" w:right="1688"/>
        <w:jc w:val="left"/>
      </w:pPr>
      <w:r>
        <w:rPr/>
        <w:t>本期实际核销应收账款金额</w:t>
      </w:r>
      <w:r>
        <w:rPr>
          <w:spacing w:val="-52"/>
        </w:rPr>
        <w:t> </w:t>
      </w:r>
      <w:r>
        <w:rPr>
          <w:rFonts w:ascii="宋体" w:hAnsi="宋体" w:cs="宋体" w:eastAsia="宋体" w:hint="default"/>
        </w:rPr>
        <w:t>430.41</w:t>
      </w:r>
      <w:r>
        <w:rPr>
          <w:rFonts w:ascii="宋体" w:hAnsi="宋体" w:cs="宋体" w:eastAsia="宋体" w:hint="default"/>
          <w:spacing w:val="-54"/>
        </w:rPr>
        <w:t> </w:t>
      </w:r>
      <w:r>
        <w:rPr/>
        <w:t>元。</w:t>
      </w:r>
    </w:p>
    <w:p>
      <w:pPr>
        <w:pStyle w:val="BodyText"/>
        <w:spacing w:line="240" w:lineRule="auto" w:before="173"/>
        <w:ind w:left="658" w:right="1688"/>
        <w:jc w:val="left"/>
      </w:pPr>
      <w:r>
        <w:rPr>
          <w:rFonts w:ascii="宋体" w:hAnsi="宋体" w:cs="宋体" w:eastAsia="宋体" w:hint="default"/>
        </w:rPr>
        <w:t>(4) </w:t>
      </w:r>
      <w:r>
        <w:rPr/>
        <w:t>应收账款金额前</w:t>
      </w:r>
      <w:r>
        <w:rPr>
          <w:spacing w:val="-54"/>
        </w:rPr>
        <w:t> </w:t>
      </w:r>
      <w:r>
        <w:rPr>
          <w:rFonts w:ascii="宋体" w:hAnsi="宋体" w:cs="宋体" w:eastAsia="宋体" w:hint="default"/>
        </w:rPr>
        <w:t>5</w:t>
      </w:r>
      <w:r>
        <w:rPr>
          <w:rFonts w:ascii="宋体" w:hAnsi="宋体" w:cs="宋体" w:eastAsia="宋体" w:hint="default"/>
          <w:spacing w:val="-54"/>
        </w:rPr>
        <w:t> </w:t>
      </w:r>
      <w:r>
        <w:rPr/>
        <w:t>名情况</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3365"/>
        <w:gridCol w:w="1801"/>
        <w:gridCol w:w="1803"/>
        <w:gridCol w:w="1574"/>
      </w:tblGrid>
      <w:tr>
        <w:trPr>
          <w:trHeight w:val="836"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489" w:right="267" w:hanging="226"/>
              <w:jc w:val="left"/>
              <w:rPr>
                <w:rFonts w:ascii="宋体" w:hAnsi="宋体" w:cs="宋体" w:eastAsia="宋体" w:hint="default"/>
                <w:sz w:val="18"/>
                <w:szCs w:val="18"/>
              </w:rPr>
            </w:pPr>
            <w:r>
              <w:rPr>
                <w:rFonts w:ascii="宋体" w:hAnsi="宋体" w:cs="宋体" w:eastAsia="宋体" w:hint="default"/>
                <w:sz w:val="18"/>
                <w:szCs w:val="18"/>
              </w:rPr>
              <w:t>占应收账款余额 的比例</w:t>
            </w:r>
            <w:r>
              <w:rPr>
                <w:rFonts w:ascii="宋体" w:hAnsi="宋体" w:cs="宋体" w:eastAsia="宋体" w:hint="default"/>
                <w:sz w:val="18"/>
                <w:szCs w:val="18"/>
              </w:rPr>
              <w:t>(%)</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4"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54,618,120.74</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15.45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2,730,906.04</w:t>
            </w:r>
          </w:p>
        </w:tc>
      </w:tr>
      <w:tr>
        <w:trPr>
          <w:trHeight w:val="484"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19,476,166.68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5.51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973,808.33</w:t>
            </w:r>
          </w:p>
        </w:tc>
      </w:tr>
      <w:tr>
        <w:trPr>
          <w:trHeight w:val="484"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19,325,181.87</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5.47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966,259.09</w:t>
            </w:r>
          </w:p>
        </w:tc>
      </w:tr>
      <w:tr>
        <w:trPr>
          <w:trHeight w:val="484"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16,363,546.62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4.63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818,177.33</w:t>
            </w:r>
          </w:p>
        </w:tc>
      </w:tr>
      <w:tr>
        <w:trPr>
          <w:trHeight w:val="484"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15,473,334.41</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4.38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773,666.72</w:t>
            </w:r>
          </w:p>
        </w:tc>
      </w:tr>
      <w:tr>
        <w:trPr>
          <w:trHeight w:val="484" w:hRule="exact"/>
        </w:trPr>
        <w:tc>
          <w:tcPr>
            <w:tcW w:w="3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125,256,350.32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35.44</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6,262,817.51</w:t>
            </w:r>
          </w:p>
        </w:tc>
      </w:tr>
    </w:tbl>
    <w:p>
      <w:pPr>
        <w:spacing w:line="240" w:lineRule="auto" w:before="0"/>
        <w:rPr>
          <w:rFonts w:ascii="宋体" w:hAnsi="宋体" w:cs="宋体" w:eastAsia="宋体" w:hint="default"/>
          <w:sz w:val="20"/>
          <w:szCs w:val="20"/>
        </w:rPr>
      </w:pPr>
    </w:p>
    <w:p>
      <w:pPr>
        <w:pStyle w:val="BodyText"/>
        <w:spacing w:line="240" w:lineRule="auto" w:before="178"/>
        <w:ind w:left="658" w:right="1688"/>
        <w:jc w:val="left"/>
      </w:pPr>
      <w:bookmarkStart w:name="2. 其他应收款" w:id="290"/>
      <w:bookmarkEnd w:id="290"/>
      <w:r>
        <w:rPr/>
      </w:r>
      <w:r>
        <w:rPr>
          <w:rFonts w:ascii="宋体" w:hAnsi="宋体" w:cs="宋体" w:eastAsia="宋体" w:hint="default"/>
        </w:rPr>
        <w:t>2.</w:t>
      </w:r>
      <w:r>
        <w:rPr>
          <w:rFonts w:ascii="宋体" w:hAnsi="宋体" w:cs="宋体" w:eastAsia="宋体" w:hint="default"/>
          <w:spacing w:val="-2"/>
        </w:rPr>
        <w:t> </w:t>
      </w:r>
      <w:r>
        <w:rPr/>
        <w:t>其他应收款</w:t>
      </w:r>
    </w:p>
    <w:p>
      <w:pPr>
        <w:pStyle w:val="BodyText"/>
        <w:spacing w:line="240" w:lineRule="auto" w:before="133"/>
        <w:ind w:left="658" w:right="1688"/>
        <w:jc w:val="left"/>
      </w:pPr>
      <w:r>
        <w:rPr>
          <w:rFonts w:ascii="宋体" w:hAnsi="宋体" w:cs="宋体" w:eastAsia="宋体" w:hint="default"/>
        </w:rPr>
        <w:t>(1)</w:t>
      </w:r>
      <w:r>
        <w:rPr>
          <w:rFonts w:ascii="宋体" w:hAnsi="宋体" w:cs="宋体" w:eastAsia="宋体" w:hint="default"/>
          <w:spacing w:val="-1"/>
        </w:rPr>
        <w:t> </w:t>
      </w:r>
      <w:r>
        <w:rPr/>
        <w:t>明细情况</w:t>
      </w:r>
    </w:p>
    <w:p>
      <w:pPr>
        <w:pStyle w:val="BodyText"/>
        <w:spacing w:line="240" w:lineRule="auto" w:before="174"/>
        <w:ind w:left="658" w:right="1688"/>
        <w:jc w:val="left"/>
      </w:pPr>
      <w:r>
        <w:rPr>
          <w:rFonts w:ascii="宋体" w:hAnsi="宋体" w:cs="宋体" w:eastAsia="宋体" w:hint="default"/>
        </w:rPr>
        <w:t>1)</w:t>
      </w:r>
      <w:r>
        <w:rPr>
          <w:rFonts w:ascii="宋体" w:hAnsi="宋体" w:cs="宋体" w:eastAsia="宋体" w:hint="default"/>
          <w:spacing w:val="-2"/>
        </w:rPr>
        <w:t> </w:t>
      </w:r>
      <w:r>
        <w:rPr/>
        <w:t>类别明细情况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963"/>
        <w:gridCol w:w="1559"/>
        <w:gridCol w:w="994"/>
        <w:gridCol w:w="1418"/>
        <w:gridCol w:w="1134"/>
        <w:gridCol w:w="1475"/>
      </w:tblGrid>
      <w:tr>
        <w:trPr>
          <w:trHeight w:val="350" w:hRule="exact"/>
        </w:trPr>
        <w:tc>
          <w:tcPr>
            <w:tcW w:w="19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8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963" w:type="dxa"/>
            <w:vMerge/>
            <w:tcBorders>
              <w:left w:val="nil" w:sz="6" w:space="0" w:color="auto"/>
              <w:right w:val="single" w:sz="4" w:space="0" w:color="000000"/>
            </w:tcBorders>
          </w:tcPr>
          <w:p>
            <w:pP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5"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9" w:hRule="exact"/>
        </w:trPr>
        <w:tc>
          <w:tcPr>
            <w:tcW w:w="1963" w:type="dxa"/>
            <w:vMerge/>
            <w:tcBorders>
              <w:left w:val="nil" w:sz="6" w:space="0" w:color="auto"/>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12"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3"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75" w:type="dxa"/>
            <w:vMerge/>
            <w:tcBorders>
              <w:left w:val="single" w:sz="4" w:space="0" w:color="000000"/>
              <w:bottom w:val="single" w:sz="4" w:space="0" w:color="000000"/>
              <w:right w:val="nil" w:sz="6" w:space="0" w:color="auto"/>
            </w:tcBorders>
          </w:tcPr>
          <w:p>
            <w:pPr/>
          </w:p>
        </w:tc>
      </w:tr>
      <w:tr>
        <w:trPr>
          <w:trHeight w:val="558" w:hRule="exact"/>
        </w:trPr>
        <w:tc>
          <w:tcPr>
            <w:tcW w:w="1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0" w:right="215"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1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215"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11,909,245.96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1,559,768.37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13.10</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81" w:right="0"/>
              <w:jc w:val="center"/>
              <w:rPr>
                <w:rFonts w:ascii="宋体" w:hAnsi="宋体" w:cs="宋体" w:eastAsia="宋体" w:hint="default"/>
                <w:sz w:val="18"/>
                <w:szCs w:val="18"/>
              </w:rPr>
            </w:pPr>
            <w:r>
              <w:rPr>
                <w:rFonts w:ascii="宋体"/>
                <w:sz w:val="18"/>
              </w:rPr>
              <w:t>10,349,477.59</w:t>
            </w:r>
          </w:p>
        </w:tc>
      </w:tr>
      <w:tr>
        <w:trPr>
          <w:trHeight w:val="557" w:hRule="exact"/>
        </w:trPr>
        <w:tc>
          <w:tcPr>
            <w:tcW w:w="1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215"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15,115,242.39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4,452,000.00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29.45</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81" w:right="0"/>
              <w:jc w:val="center"/>
              <w:rPr>
                <w:rFonts w:ascii="宋体" w:hAnsi="宋体" w:cs="宋体" w:eastAsia="宋体" w:hint="default"/>
                <w:sz w:val="18"/>
                <w:szCs w:val="18"/>
              </w:rPr>
            </w:pPr>
            <w:r>
              <w:rPr>
                <w:rFonts w:ascii="宋体"/>
                <w:sz w:val="18"/>
              </w:rPr>
              <w:t>10,663,242.39</w:t>
            </w:r>
          </w:p>
        </w:tc>
      </w:tr>
      <w:tr>
        <w:trPr>
          <w:trHeight w:val="557" w:hRule="exact"/>
        </w:trPr>
        <w:tc>
          <w:tcPr>
            <w:tcW w:w="1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35" w:firstLine="1"/>
              <w:jc w:val="left"/>
              <w:rPr>
                <w:rFonts w:ascii="宋体" w:hAnsi="宋体" w:cs="宋体" w:eastAsia="宋体" w:hint="default"/>
                <w:sz w:val="18"/>
                <w:szCs w:val="18"/>
              </w:rPr>
            </w:pPr>
            <w:r>
              <w:rPr>
                <w:rFonts w:ascii="宋体" w:hAnsi="宋体" w:cs="宋体" w:eastAsia="宋体" w:hint="default"/>
                <w:sz w:val="18"/>
                <w:szCs w:val="18"/>
              </w:rPr>
              <w:t>应收合并财务报表范围 内关联方的款项组合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371,315,592.96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93.22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6"/>
              <w:jc w:val="center"/>
              <w:rPr>
                <w:rFonts w:ascii="宋体" w:hAnsi="宋体" w:cs="宋体" w:eastAsia="宋体" w:hint="default"/>
                <w:sz w:val="18"/>
                <w:szCs w:val="18"/>
              </w:rPr>
            </w:pPr>
            <w:r>
              <w:rPr>
                <w:rFonts w:ascii="宋体"/>
                <w:sz w:val="18"/>
              </w:rPr>
              <w:t>371,315,592.96</w:t>
            </w:r>
          </w:p>
        </w:tc>
      </w:tr>
      <w:tr>
        <w:trPr>
          <w:trHeight w:val="464" w:hRule="exact"/>
        </w:trPr>
        <w:tc>
          <w:tcPr>
            <w:tcW w:w="19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398,340,081.31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6,011,768.37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1.51</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6"/>
              <w:jc w:val="center"/>
              <w:rPr>
                <w:rFonts w:ascii="宋体" w:hAnsi="宋体" w:cs="宋体" w:eastAsia="宋体" w:hint="default"/>
                <w:sz w:val="18"/>
                <w:szCs w:val="18"/>
              </w:rPr>
            </w:pPr>
            <w:r>
              <w:rPr>
                <w:rFonts w:ascii="宋体"/>
                <w:sz w:val="18"/>
              </w:rPr>
              <w:t>392,328,312.94</w:t>
            </w:r>
          </w:p>
        </w:tc>
      </w:tr>
    </w:tbl>
    <w:p>
      <w:pPr>
        <w:spacing w:before="10"/>
        <w:ind w:left="598" w:right="1688"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0"/>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948"/>
        <w:gridCol w:w="1580"/>
        <w:gridCol w:w="992"/>
        <w:gridCol w:w="1417"/>
        <w:gridCol w:w="1130"/>
        <w:gridCol w:w="1477"/>
      </w:tblGrid>
      <w:tr>
        <w:trPr>
          <w:trHeight w:val="350" w:hRule="exact"/>
        </w:trPr>
        <w:tc>
          <w:tcPr>
            <w:tcW w:w="194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9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948" w:type="dxa"/>
            <w:vMerge/>
            <w:tcBorders>
              <w:left w:val="nil" w:sz="6" w:space="0" w:color="auto"/>
              <w:right w:val="single" w:sz="4" w:space="0" w:color="000000"/>
            </w:tcBorders>
          </w:tcPr>
          <w:p>
            <w:pP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9" w:hRule="exact"/>
        </w:trPr>
        <w:tc>
          <w:tcPr>
            <w:tcW w:w="1948" w:type="dxa"/>
            <w:vMerge/>
            <w:tcBorders>
              <w:left w:val="nil" w:sz="6" w:space="0" w:color="auto"/>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2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33"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6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77" w:type="dxa"/>
            <w:vMerge/>
            <w:tcBorders>
              <w:left w:val="single" w:sz="4" w:space="0" w:color="000000"/>
              <w:bottom w:val="single" w:sz="4" w:space="0" w:color="000000"/>
              <w:right w:val="nil" w:sz="6" w:space="0" w:color="auto"/>
            </w:tcBorders>
          </w:tcPr>
          <w:p>
            <w:pPr/>
          </w:p>
        </w:tc>
      </w:tr>
      <w:tr>
        <w:trPr>
          <w:trHeight w:val="557"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0" w:right="199"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120" w:right="199"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38" w:right="0"/>
              <w:jc w:val="left"/>
              <w:rPr>
                <w:rFonts w:ascii="宋体" w:hAnsi="宋体" w:cs="宋体" w:eastAsia="宋体" w:hint="default"/>
                <w:sz w:val="18"/>
                <w:szCs w:val="18"/>
              </w:rPr>
            </w:pPr>
            <w:r>
              <w:rPr>
                <w:rFonts w:ascii="宋体"/>
                <w:sz w:val="18"/>
              </w:rPr>
              <w:t>39,264,351.97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1" w:right="0"/>
              <w:jc w:val="left"/>
              <w:rPr>
                <w:rFonts w:ascii="宋体" w:hAnsi="宋体" w:cs="宋体" w:eastAsia="宋体" w:hint="default"/>
                <w:sz w:val="18"/>
                <w:szCs w:val="18"/>
              </w:rPr>
            </w:pPr>
            <w:r>
              <w:rPr>
                <w:rFonts w:ascii="宋体"/>
                <w:sz w:val="18"/>
              </w:rPr>
              <w:t>12.43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7" w:right="0"/>
              <w:jc w:val="left"/>
              <w:rPr>
                <w:rFonts w:ascii="宋体" w:hAnsi="宋体" w:cs="宋体" w:eastAsia="宋体" w:hint="default"/>
                <w:sz w:val="18"/>
                <w:szCs w:val="18"/>
              </w:rPr>
            </w:pPr>
            <w:r>
              <w:rPr>
                <w:rFonts w:ascii="宋体"/>
                <w:sz w:val="18"/>
              </w:rPr>
              <w:t>7,355,224.15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18.73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36" w:right="0"/>
              <w:jc w:val="left"/>
              <w:rPr>
                <w:rFonts w:ascii="宋体" w:hAnsi="宋体" w:cs="宋体" w:eastAsia="宋体" w:hint="default"/>
                <w:sz w:val="18"/>
                <w:szCs w:val="18"/>
              </w:rPr>
            </w:pPr>
            <w:r>
              <w:rPr>
                <w:rFonts w:ascii="宋体"/>
                <w:sz w:val="18"/>
              </w:rPr>
              <w:t>31,909,127.82</w:t>
            </w:r>
          </w:p>
        </w:tc>
      </w:tr>
    </w:tbl>
    <w:p>
      <w:pPr>
        <w:spacing w:after="0" w:line="240" w:lineRule="auto"/>
        <w:jc w:val="lef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948"/>
        <w:gridCol w:w="1580"/>
        <w:gridCol w:w="992"/>
        <w:gridCol w:w="1417"/>
        <w:gridCol w:w="1130"/>
        <w:gridCol w:w="1477"/>
      </w:tblGrid>
      <w:tr>
        <w:trPr>
          <w:trHeight w:val="557"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99"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7,453,526.58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2.36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700,000.00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9.39</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5"/>
              <w:jc w:val="right"/>
              <w:rPr>
                <w:rFonts w:ascii="宋体" w:hAnsi="宋体" w:cs="宋体" w:eastAsia="宋体" w:hint="default"/>
                <w:sz w:val="18"/>
                <w:szCs w:val="18"/>
              </w:rPr>
            </w:pPr>
            <w:r>
              <w:rPr>
                <w:rFonts w:ascii="宋体"/>
                <w:sz w:val="18"/>
              </w:rPr>
              <w:t>6,753,526.58</w:t>
            </w:r>
          </w:p>
        </w:tc>
      </w:tr>
      <w:tr>
        <w:trPr>
          <w:trHeight w:val="557"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0" w:right="19" w:firstLine="1"/>
              <w:jc w:val="left"/>
              <w:rPr>
                <w:rFonts w:ascii="宋体" w:hAnsi="宋体" w:cs="宋体" w:eastAsia="宋体" w:hint="default"/>
                <w:sz w:val="18"/>
                <w:szCs w:val="18"/>
              </w:rPr>
            </w:pPr>
            <w:r>
              <w:rPr>
                <w:rFonts w:ascii="宋体" w:hAnsi="宋体" w:cs="宋体" w:eastAsia="宋体" w:hint="default"/>
                <w:sz w:val="18"/>
                <w:szCs w:val="18"/>
              </w:rPr>
              <w:t>应收合并财务报表范围 内关联方的款项组合</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269,259,357.64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59"/>
              <w:jc w:val="right"/>
              <w:rPr>
                <w:rFonts w:ascii="宋体" w:hAnsi="宋体" w:cs="宋体" w:eastAsia="宋体" w:hint="default"/>
                <w:sz w:val="18"/>
                <w:szCs w:val="18"/>
              </w:rPr>
            </w:pPr>
            <w:r>
              <w:rPr>
                <w:rFonts w:ascii="宋体"/>
                <w:sz w:val="18"/>
              </w:rPr>
              <w:t>85.21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65"/>
              <w:jc w:val="right"/>
              <w:rPr>
                <w:rFonts w:ascii="宋体" w:hAnsi="宋体" w:cs="宋体" w:eastAsia="宋体" w:hint="default"/>
                <w:sz w:val="18"/>
                <w:szCs w:val="18"/>
              </w:rPr>
            </w:pPr>
            <w:r>
              <w:rPr>
                <w:rFonts w:ascii="宋体"/>
                <w:sz w:val="18"/>
              </w:rPr>
              <w:t>269,259,357.64</w:t>
            </w:r>
          </w:p>
        </w:tc>
      </w:tr>
      <w:tr>
        <w:trPr>
          <w:trHeight w:val="465"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315,977,236.19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8,055,224.15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9"/>
              <w:jc w:val="right"/>
              <w:rPr>
                <w:rFonts w:ascii="宋体" w:hAnsi="宋体" w:cs="宋体" w:eastAsia="宋体" w:hint="default"/>
                <w:sz w:val="18"/>
                <w:szCs w:val="18"/>
              </w:rPr>
            </w:pPr>
            <w:r>
              <w:rPr>
                <w:rFonts w:ascii="宋体"/>
                <w:sz w:val="18"/>
              </w:rPr>
              <w:t>2.55</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65"/>
              <w:jc w:val="right"/>
              <w:rPr>
                <w:rFonts w:ascii="宋体" w:hAnsi="宋体" w:cs="宋体" w:eastAsia="宋体" w:hint="default"/>
                <w:sz w:val="18"/>
                <w:szCs w:val="18"/>
              </w:rPr>
            </w:pPr>
            <w:r>
              <w:rPr>
                <w:rFonts w:ascii="宋体"/>
                <w:sz w:val="18"/>
              </w:rPr>
              <w:t>307,922,012.04</w:t>
            </w:r>
          </w:p>
        </w:tc>
      </w:tr>
    </w:tbl>
    <w:p>
      <w:pPr>
        <w:pStyle w:val="BodyText"/>
        <w:spacing w:line="240" w:lineRule="auto" w:before="6"/>
        <w:ind w:left="658" w:right="1688"/>
        <w:jc w:val="left"/>
      </w:pPr>
      <w:r>
        <w:rPr>
          <w:rFonts w:ascii="宋体" w:hAnsi="宋体" w:cs="宋体" w:eastAsia="宋体" w:hint="default"/>
        </w:rPr>
        <w:t>2)</w:t>
      </w:r>
      <w:r>
        <w:rPr>
          <w:rFonts w:ascii="宋体" w:hAnsi="宋体" w:cs="宋体" w:eastAsia="宋体" w:hint="default"/>
          <w:spacing w:val="-2"/>
        </w:rPr>
        <w:t> </w:t>
      </w:r>
      <w:r>
        <w:rPr/>
        <w:t>无期末单项金额重大并单项计提坏账准备的其他应收款。</w:t>
      </w:r>
    </w:p>
    <w:p>
      <w:pPr>
        <w:pStyle w:val="BodyText"/>
        <w:spacing w:line="240" w:lineRule="auto" w:before="172"/>
        <w:ind w:left="657" w:right="1688"/>
        <w:jc w:val="left"/>
      </w:pPr>
      <w:r>
        <w:rPr>
          <w:rFonts w:ascii="宋体" w:hAnsi="宋体" w:cs="宋体" w:eastAsia="宋体" w:hint="default"/>
        </w:rPr>
        <w:t>3)</w:t>
      </w:r>
      <w:r>
        <w:rPr>
          <w:rFonts w:ascii="宋体" w:hAnsi="宋体" w:cs="宋体" w:eastAsia="宋体" w:hint="default"/>
          <w:spacing w:val="-2"/>
        </w:rPr>
        <w:t> </w:t>
      </w:r>
      <w:r>
        <w:rPr/>
        <w:t>组合中，采用账龄分析法计提坏账准备的其他应收款</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1966"/>
        <w:gridCol w:w="2267"/>
        <w:gridCol w:w="2409"/>
        <w:gridCol w:w="1902"/>
      </w:tblGrid>
      <w:tr>
        <w:trPr>
          <w:trHeight w:val="484" w:hRule="exact"/>
        </w:trPr>
        <w:tc>
          <w:tcPr>
            <w:tcW w:w="1966"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65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1966" w:type="dxa"/>
            <w:vMerge/>
            <w:tcBorders>
              <w:left w:val="nil" w:sz="6" w:space="0" w:color="auto"/>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45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9,729,020.52</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486,451.03</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5.00</w:t>
            </w:r>
          </w:p>
        </w:tc>
      </w:tr>
      <w:tr>
        <w:trPr>
          <w:trHeight w:val="482"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819,514.43</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81,951.44</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527,635.87</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158,290.76</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507,920.54</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507,920.54</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55,431.80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55,431.80</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269,722.80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269,722.80</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100.00</w:t>
            </w:r>
          </w:p>
        </w:tc>
      </w:tr>
      <w:tr>
        <w:trPr>
          <w:trHeight w:val="484"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11,909,245.96</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1,559,768.37</w:t>
            </w:r>
          </w:p>
        </w:tc>
        <w:tc>
          <w:tcPr>
            <w:tcW w:w="19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13.10</w:t>
            </w:r>
          </w:p>
        </w:tc>
      </w:tr>
    </w:tbl>
    <w:p>
      <w:pPr>
        <w:pStyle w:val="BodyText"/>
        <w:spacing w:line="240" w:lineRule="auto" w:before="85"/>
        <w:ind w:left="658" w:right="1688"/>
        <w:jc w:val="left"/>
      </w:pPr>
      <w:r>
        <w:rPr>
          <w:rFonts w:ascii="宋体" w:hAnsi="宋体" w:cs="宋体" w:eastAsia="宋体" w:hint="default"/>
        </w:rPr>
        <w:t>(2)</w:t>
      </w:r>
      <w:r>
        <w:rPr>
          <w:rFonts w:ascii="宋体" w:hAnsi="宋体" w:cs="宋体" w:eastAsia="宋体" w:hint="default"/>
          <w:spacing w:val="-1"/>
        </w:rPr>
        <w:t> </w:t>
      </w:r>
      <w:r>
        <w:rPr/>
        <w:t>本期计提、收回或转回的坏账准备情况</w:t>
      </w:r>
    </w:p>
    <w:p>
      <w:pPr>
        <w:pStyle w:val="BodyText"/>
        <w:spacing w:line="391" w:lineRule="auto" w:before="118"/>
        <w:ind w:left="657" w:right="2479" w:firstLine="105"/>
        <w:jc w:val="left"/>
      </w:pPr>
      <w:r>
        <w:rPr/>
        <w:t>本期计提坏账准备金额</w:t>
      </w:r>
      <w:r>
        <w:rPr>
          <w:rFonts w:ascii="宋体" w:hAnsi="宋体" w:cs="宋体" w:eastAsia="宋体" w:hint="default"/>
        </w:rPr>
        <w:t>-2,043,455.78</w:t>
      </w:r>
      <w:r>
        <w:rPr>
          <w:rFonts w:ascii="宋体" w:hAnsi="宋体" w:cs="宋体" w:eastAsia="宋体" w:hint="default"/>
          <w:spacing w:val="-55"/>
        </w:rPr>
        <w:t> </w:t>
      </w:r>
      <w:r>
        <w:rPr/>
        <w:t>元；本期无收回或转回坏账准备情况。 </w:t>
      </w:r>
      <w:r>
        <w:rPr>
          <w:rFonts w:ascii="宋体" w:hAnsi="宋体" w:cs="宋体" w:eastAsia="宋体" w:hint="default"/>
        </w:rPr>
        <w:t>(3)</w:t>
      </w:r>
      <w:r>
        <w:rPr>
          <w:rFonts w:ascii="宋体" w:hAnsi="宋体" w:cs="宋体" w:eastAsia="宋体" w:hint="default"/>
          <w:spacing w:val="-1"/>
        </w:rPr>
        <w:t> </w:t>
      </w:r>
      <w:r>
        <w:rPr/>
        <w:t>其他应收款款项性质分类情况</w:t>
      </w: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10,663,242.39</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6,753,526.58</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3,814,738.22</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29,735,719.09</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371,315,592.96</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269,259,357.64</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11,374,175.83</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8,594,086.80</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1,172,331.91</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1,634,546.08</w:t>
            </w:r>
          </w:p>
        </w:tc>
      </w:tr>
      <w:tr>
        <w:trPr>
          <w:trHeight w:val="48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398,340,081.31</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315,977,236.19</w:t>
            </w:r>
          </w:p>
        </w:tc>
      </w:tr>
    </w:tbl>
    <w:p>
      <w:pPr>
        <w:pStyle w:val="BodyText"/>
        <w:spacing w:line="240" w:lineRule="auto" w:before="6"/>
        <w:ind w:left="658" w:right="1688"/>
        <w:jc w:val="left"/>
      </w:pPr>
      <w:r>
        <w:rPr>
          <w:rFonts w:ascii="宋体" w:hAnsi="宋体" w:cs="宋体" w:eastAsia="宋体" w:hint="default"/>
        </w:rPr>
        <w:t>(4) </w:t>
      </w:r>
      <w:r>
        <w:rPr/>
        <w:t>其他应收款金额前</w:t>
      </w:r>
      <w:r>
        <w:rPr>
          <w:spacing w:val="-54"/>
        </w:rPr>
        <w:t> </w:t>
      </w:r>
      <w:r>
        <w:rPr>
          <w:rFonts w:ascii="宋体" w:hAnsi="宋体" w:cs="宋体" w:eastAsia="宋体" w:hint="default"/>
        </w:rPr>
        <w:t>5</w:t>
      </w:r>
      <w:r>
        <w:rPr>
          <w:rFonts w:ascii="宋体" w:hAnsi="宋体" w:cs="宋体" w:eastAsia="宋体" w:hint="default"/>
          <w:spacing w:val="-53"/>
        </w:rPr>
        <w:t> </w:t>
      </w:r>
      <w:r>
        <w:rPr/>
        <w:t>名情况</w:t>
      </w:r>
    </w:p>
    <w:p>
      <w:pPr>
        <w:spacing w:line="240" w:lineRule="auto" w:before="11"/>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2536"/>
        <w:gridCol w:w="1080"/>
        <w:gridCol w:w="1478"/>
        <w:gridCol w:w="991"/>
        <w:gridCol w:w="1276"/>
        <w:gridCol w:w="1180"/>
      </w:tblGrid>
      <w:tr>
        <w:trPr>
          <w:trHeight w:val="837"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账龄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45" w:right="48" w:firstLine="45"/>
              <w:jc w:val="left"/>
              <w:rPr>
                <w:rFonts w:ascii="宋体" w:hAnsi="宋体" w:cs="宋体" w:eastAsia="宋体" w:hint="default"/>
                <w:sz w:val="18"/>
                <w:szCs w:val="18"/>
              </w:rPr>
            </w:pPr>
            <w:r>
              <w:rPr>
                <w:rFonts w:ascii="宋体" w:hAnsi="宋体" w:cs="宋体" w:eastAsia="宋体" w:hint="default"/>
                <w:sz w:val="18"/>
                <w:szCs w:val="18"/>
              </w:rPr>
              <w:t>占其他应收款 余额的比例</w:t>
            </w:r>
            <w:r>
              <w:rPr>
                <w:rFonts w:ascii="宋体" w:hAnsi="宋体" w:cs="宋体" w:eastAsia="宋体" w:hint="default"/>
                <w:sz w:val="18"/>
                <w:szCs w:val="18"/>
              </w:rPr>
              <w:t>(%)</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5"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t>248,310,000.00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1" w:right="0"/>
              <w:jc w:val="left"/>
              <w:rPr>
                <w:rFonts w:ascii="宋体" w:hAnsi="宋体" w:cs="宋体" w:eastAsia="宋体" w:hint="default"/>
                <w:sz w:val="18"/>
                <w:szCs w:val="18"/>
              </w:rPr>
            </w:pPr>
            <w:r>
              <w:rPr>
                <w:rFonts w:ascii="宋体"/>
                <w:sz w:val="18"/>
              </w:rPr>
              <w:t>62.34</w:t>
            </w:r>
          </w:p>
        </w:tc>
        <w:tc>
          <w:tcPr>
            <w:tcW w:w="11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610" w:type="dxa"/>
        <w:tblLayout w:type="fixed"/>
        <w:tblCellMar>
          <w:top w:w="0" w:type="dxa"/>
          <w:left w:w="0" w:type="dxa"/>
          <w:bottom w:w="0" w:type="dxa"/>
          <w:right w:w="0" w:type="dxa"/>
        </w:tblCellMar>
        <w:tblLook w:val="01E0"/>
      </w:tblPr>
      <w:tblGrid>
        <w:gridCol w:w="2536"/>
        <w:gridCol w:w="1080"/>
        <w:gridCol w:w="1478"/>
        <w:gridCol w:w="991"/>
        <w:gridCol w:w="1276"/>
        <w:gridCol w:w="1180"/>
      </w:tblGrid>
      <w:tr>
        <w:trPr>
          <w:trHeight w:val="484"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104,150,000.00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3"/>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26.15</w:t>
            </w:r>
          </w:p>
        </w:tc>
        <w:tc>
          <w:tcPr>
            <w:tcW w:w="118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泵业有限公司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10,830,000.00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3"/>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2.72</w:t>
            </w:r>
          </w:p>
        </w:tc>
        <w:tc>
          <w:tcPr>
            <w:tcW w:w="118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浙江省温岭市国家税务局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10,663,242.39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3"/>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2.68</w:t>
            </w:r>
          </w:p>
        </w:tc>
        <w:tc>
          <w:tcPr>
            <w:tcW w:w="118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sz w:val="18"/>
              </w:rPr>
              <w:t>ATEGE ALLGEMEINE TRANSPOR</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代垫关税</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4,542,135.66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83"/>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1.14</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56" w:right="0"/>
              <w:jc w:val="center"/>
              <w:rPr>
                <w:rFonts w:ascii="宋体" w:hAnsi="宋体" w:cs="宋体" w:eastAsia="宋体" w:hint="default"/>
                <w:sz w:val="18"/>
                <w:szCs w:val="18"/>
              </w:rPr>
            </w:pPr>
            <w:r>
              <w:rPr>
                <w:rFonts w:ascii="宋体"/>
                <w:sz w:val="18"/>
              </w:rPr>
              <w:t>227,106.78</w:t>
            </w:r>
          </w:p>
        </w:tc>
      </w:tr>
      <w:tr>
        <w:trPr>
          <w:trHeight w:val="485" w:hRule="exact"/>
        </w:trPr>
        <w:tc>
          <w:tcPr>
            <w:tcW w:w="2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378,495,378.05</w:t>
            </w:r>
          </w:p>
        </w:tc>
        <w:tc>
          <w:tcPr>
            <w:tcW w:w="99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95.03</w:t>
            </w:r>
          </w:p>
        </w:tc>
        <w:tc>
          <w:tcPr>
            <w:tcW w:w="11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6" w:right="0"/>
              <w:jc w:val="center"/>
              <w:rPr>
                <w:rFonts w:ascii="宋体" w:hAnsi="宋体" w:cs="宋体" w:eastAsia="宋体" w:hint="default"/>
                <w:sz w:val="18"/>
                <w:szCs w:val="18"/>
              </w:rPr>
            </w:pPr>
            <w:r>
              <w:rPr>
                <w:rFonts w:ascii="宋体"/>
                <w:sz w:val="18"/>
              </w:rPr>
              <w:t>227,106.78</w:t>
            </w:r>
          </w:p>
        </w:tc>
      </w:tr>
    </w:tbl>
    <w:p>
      <w:pPr>
        <w:pStyle w:val="BodyText"/>
        <w:spacing w:line="240" w:lineRule="auto" w:before="6"/>
        <w:ind w:left="1578" w:right="1689"/>
        <w:jc w:val="left"/>
      </w:pPr>
      <w:r>
        <w:rPr>
          <w:rFonts w:ascii="宋体" w:hAnsi="宋体" w:cs="宋体" w:eastAsia="宋体" w:hint="default"/>
        </w:rPr>
        <w:t>[</w:t>
      </w:r>
      <w:r>
        <w:rPr/>
        <w:t>注</w:t>
      </w:r>
      <w:r>
        <w:rPr>
          <w:spacing w:val="-55"/>
        </w:rPr>
        <w:t> </w:t>
      </w:r>
      <w:r>
        <w:rPr>
          <w:rFonts w:ascii="宋体" w:hAnsi="宋体" w:cs="宋体" w:eastAsia="宋体" w:hint="default"/>
        </w:rPr>
        <w:t>1]</w:t>
      </w:r>
      <w:r>
        <w:rPr/>
        <w:t>：其中账龄</w:t>
      </w:r>
      <w:r>
        <w:rPr>
          <w:spacing w:val="-55"/>
        </w:rPr>
        <w:t> </w:t>
      </w:r>
      <w:r>
        <w:rPr>
          <w:rFonts w:ascii="宋体" w:hAnsi="宋体" w:cs="宋体" w:eastAsia="宋体" w:hint="default"/>
        </w:rPr>
        <w:t>1</w:t>
      </w:r>
      <w:r>
        <w:rPr>
          <w:rFonts w:ascii="宋体" w:hAnsi="宋体" w:cs="宋体" w:eastAsia="宋体" w:hint="default"/>
          <w:spacing w:val="-54"/>
        </w:rPr>
        <w:t> </w:t>
      </w:r>
      <w:r>
        <w:rPr/>
        <w:t>年以内</w:t>
      </w:r>
      <w:r>
        <w:rPr>
          <w:spacing w:val="-54"/>
        </w:rPr>
        <w:t> </w:t>
      </w:r>
      <w:r>
        <w:rPr>
          <w:rFonts w:ascii="宋体" w:hAnsi="宋体" w:cs="宋体" w:eastAsia="宋体" w:hint="default"/>
        </w:rPr>
        <w:t>158,211,224.52</w:t>
      </w:r>
      <w:r>
        <w:rPr>
          <w:rFonts w:ascii="宋体" w:hAnsi="宋体" w:cs="宋体" w:eastAsia="宋体" w:hint="default"/>
          <w:spacing w:val="-55"/>
        </w:rPr>
        <w:t> </w:t>
      </w:r>
      <w:r>
        <w:rPr/>
        <w:t>元，</w:t>
      </w:r>
      <w:r>
        <w:rPr>
          <w:rFonts w:ascii="宋体" w:hAnsi="宋体" w:cs="宋体" w:eastAsia="宋体" w:hint="default"/>
        </w:rPr>
        <w:t>1-2</w:t>
      </w:r>
      <w:r>
        <w:rPr>
          <w:rFonts w:ascii="宋体" w:hAnsi="宋体" w:cs="宋体" w:eastAsia="宋体" w:hint="default"/>
          <w:spacing w:val="-54"/>
        </w:rPr>
        <w:t> </w:t>
      </w:r>
      <w:r>
        <w:rPr/>
        <w:t>年</w:t>
      </w:r>
      <w:r>
        <w:rPr>
          <w:spacing w:val="-56"/>
        </w:rPr>
        <w:t> </w:t>
      </w:r>
      <w:r>
        <w:rPr>
          <w:rFonts w:ascii="宋体" w:hAnsi="宋体" w:cs="宋体" w:eastAsia="宋体" w:hint="default"/>
        </w:rPr>
        <w:t>90,098,775.48</w:t>
      </w:r>
      <w:r>
        <w:rPr>
          <w:rFonts w:ascii="宋体" w:hAnsi="宋体" w:cs="宋体" w:eastAsia="宋体" w:hint="default"/>
          <w:spacing w:val="-53"/>
        </w:rPr>
        <w:t> </w:t>
      </w:r>
      <w:r>
        <w:rPr/>
        <w:t>元；</w:t>
      </w:r>
    </w:p>
    <w:p>
      <w:pPr>
        <w:pStyle w:val="BodyText"/>
        <w:spacing w:line="240" w:lineRule="auto" w:before="172"/>
        <w:ind w:left="1578" w:right="1689"/>
        <w:jc w:val="left"/>
      </w:pPr>
      <w:r>
        <w:rPr>
          <w:rFonts w:ascii="宋体" w:hAnsi="宋体" w:cs="宋体" w:eastAsia="宋体" w:hint="default"/>
        </w:rPr>
        <w:t>[</w:t>
      </w:r>
      <w:r>
        <w:rPr/>
        <w:t>注</w:t>
      </w:r>
      <w:r>
        <w:rPr>
          <w:spacing w:val="-54"/>
        </w:rPr>
        <w:t> </w:t>
      </w:r>
      <w:r>
        <w:rPr>
          <w:rFonts w:ascii="宋体" w:hAnsi="宋体" w:cs="宋体" w:eastAsia="宋体" w:hint="default"/>
        </w:rPr>
        <w:t>2]</w:t>
      </w:r>
      <w:r>
        <w:rPr/>
        <w:t>：其中账龄</w:t>
      </w:r>
      <w:r>
        <w:rPr>
          <w:spacing w:val="-54"/>
        </w:rPr>
        <w:t> </w:t>
      </w:r>
      <w:r>
        <w:rPr>
          <w:rFonts w:ascii="宋体" w:hAnsi="宋体" w:cs="宋体" w:eastAsia="宋体" w:hint="default"/>
        </w:rPr>
        <w:t>1</w:t>
      </w:r>
      <w:r>
        <w:rPr>
          <w:rFonts w:ascii="宋体" w:hAnsi="宋体" w:cs="宋体" w:eastAsia="宋体" w:hint="default"/>
          <w:spacing w:val="-53"/>
        </w:rPr>
        <w:t> </w:t>
      </w:r>
      <w:r>
        <w:rPr/>
        <w:t>年以内</w:t>
      </w:r>
      <w:r>
        <w:rPr>
          <w:spacing w:val="-53"/>
        </w:rPr>
        <w:t> </w:t>
      </w:r>
      <w:r>
        <w:rPr>
          <w:rFonts w:ascii="宋体" w:hAnsi="宋体" w:cs="宋体" w:eastAsia="宋体" w:hint="default"/>
        </w:rPr>
        <w:t>74,636,148.24</w:t>
      </w:r>
      <w:r>
        <w:rPr>
          <w:rFonts w:ascii="宋体" w:hAnsi="宋体" w:cs="宋体" w:eastAsia="宋体" w:hint="default"/>
          <w:spacing w:val="-53"/>
        </w:rPr>
        <w:t> </w:t>
      </w:r>
      <w:r>
        <w:rPr/>
        <w:t>元，</w:t>
      </w:r>
      <w:r>
        <w:rPr>
          <w:rFonts w:ascii="宋体" w:hAnsi="宋体" w:cs="宋体" w:eastAsia="宋体" w:hint="default"/>
        </w:rPr>
        <w:t>1-2</w:t>
      </w:r>
      <w:r>
        <w:rPr>
          <w:rFonts w:ascii="宋体" w:hAnsi="宋体" w:cs="宋体" w:eastAsia="宋体" w:hint="default"/>
          <w:spacing w:val="-53"/>
        </w:rPr>
        <w:t> </w:t>
      </w:r>
      <w:r>
        <w:rPr/>
        <w:t>年</w:t>
      </w:r>
      <w:r>
        <w:rPr>
          <w:spacing w:val="-55"/>
        </w:rPr>
        <w:t> </w:t>
      </w:r>
      <w:r>
        <w:rPr>
          <w:rFonts w:ascii="宋体" w:hAnsi="宋体" w:cs="宋体" w:eastAsia="宋体" w:hint="default"/>
        </w:rPr>
        <w:t>29,513,851.76</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0"/>
        <w:ind w:left="1158" w:right="1689"/>
        <w:jc w:val="left"/>
      </w:pPr>
      <w:bookmarkStart w:name="3. 长期股权投资" w:id="291"/>
      <w:bookmarkEnd w:id="291"/>
      <w:r>
        <w:rPr/>
      </w:r>
      <w:r>
        <w:rPr>
          <w:rFonts w:ascii="宋体" w:hAnsi="宋体" w:cs="宋体" w:eastAsia="宋体" w:hint="default"/>
        </w:rPr>
        <w:t>3.</w:t>
      </w:r>
      <w:r>
        <w:rPr>
          <w:rFonts w:ascii="宋体" w:hAnsi="宋体" w:cs="宋体" w:eastAsia="宋体" w:hint="default"/>
          <w:spacing w:val="-2"/>
        </w:rPr>
        <w:t> </w:t>
      </w:r>
      <w:r>
        <w:rPr/>
        <w:t>长期股权投资</w:t>
      </w:r>
    </w:p>
    <w:p>
      <w:pPr>
        <w:spacing w:line="240" w:lineRule="auto" w:before="3"/>
        <w:rPr>
          <w:rFonts w:ascii="宋体" w:hAnsi="宋体" w:cs="宋体" w:eastAsia="宋体" w:hint="default"/>
          <w:sz w:val="19"/>
          <w:szCs w:val="19"/>
        </w:rPr>
      </w:pPr>
    </w:p>
    <w:p>
      <w:pPr>
        <w:pStyle w:val="BodyText"/>
        <w:spacing w:line="240" w:lineRule="auto" w:before="0"/>
        <w:ind w:left="1158" w:right="1689"/>
        <w:jc w:val="left"/>
      </w:pPr>
      <w:r>
        <w:rPr>
          <w:rFonts w:ascii="宋体" w:hAnsi="宋体" w:cs="宋体" w:eastAsia="宋体" w:hint="default"/>
        </w:rPr>
        <w:t>(1)</w:t>
      </w:r>
      <w:r>
        <w:rPr>
          <w:rFonts w:ascii="宋体" w:hAnsi="宋体" w:cs="宋体" w:eastAsia="宋体" w:hint="default"/>
          <w:spacing w:val="-1"/>
        </w:rPr>
        <w:t> </w:t>
      </w:r>
      <w:r>
        <w:rPr/>
        <w:t>明细情况</w:t>
      </w:r>
    </w:p>
    <w:p>
      <w:pPr>
        <w:spacing w:line="240" w:lineRule="auto" w:before="9"/>
        <w:rPr>
          <w:rFonts w:ascii="宋体" w:hAnsi="宋体" w:cs="宋体" w:eastAsia="宋体" w:hint="default"/>
          <w:sz w:val="11"/>
          <w:szCs w:val="11"/>
        </w:rPr>
      </w:pPr>
    </w:p>
    <w:tbl>
      <w:tblPr>
        <w:tblW w:w="0" w:type="auto"/>
        <w:jc w:val="left"/>
        <w:tblInd w:w="610" w:type="dxa"/>
        <w:tblLayout w:type="fixed"/>
        <w:tblCellMar>
          <w:top w:w="0" w:type="dxa"/>
          <w:left w:w="0" w:type="dxa"/>
          <w:bottom w:w="0" w:type="dxa"/>
          <w:right w:w="0" w:type="dxa"/>
        </w:tblCellMar>
        <w:tblLook w:val="01E0"/>
      </w:tblPr>
      <w:tblGrid>
        <w:gridCol w:w="1606"/>
        <w:gridCol w:w="1457"/>
        <w:gridCol w:w="732"/>
        <w:gridCol w:w="1484"/>
        <w:gridCol w:w="1372"/>
        <w:gridCol w:w="670"/>
        <w:gridCol w:w="1364"/>
      </w:tblGrid>
      <w:tr>
        <w:trPr>
          <w:trHeight w:val="484" w:hRule="exact"/>
        </w:trPr>
        <w:tc>
          <w:tcPr>
            <w:tcW w:w="160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40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8"/>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836" w:hRule="exact"/>
        </w:trPr>
        <w:tc>
          <w:tcPr>
            <w:tcW w:w="1606" w:type="dxa"/>
            <w:vMerge/>
            <w:tcBorders>
              <w:left w:val="nil" w:sz="6" w:space="0" w:color="auto"/>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63" w:right="107"/>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6" w:right="0"/>
              <w:jc w:val="center"/>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30" w:right="77"/>
              <w:jc w:val="left"/>
              <w:rPr>
                <w:rFonts w:ascii="宋体" w:hAnsi="宋体" w:cs="宋体" w:eastAsia="宋体" w:hint="default"/>
                <w:sz w:val="18"/>
                <w:szCs w:val="18"/>
              </w:rPr>
            </w:pPr>
            <w:r>
              <w:rPr>
                <w:rFonts w:ascii="宋体" w:hAnsi="宋体" w:cs="宋体" w:eastAsia="宋体" w:hint="default"/>
                <w:spacing w:val="-5"/>
                <w:sz w:val="18"/>
                <w:szCs w:val="18"/>
              </w:rPr>
              <w:t>减值 准备</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52" w:right="0"/>
              <w:jc w:val="center"/>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84"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宋体" w:hAnsi="宋体" w:cs="宋体" w:eastAsia="宋体" w:hint="default"/>
                <w:sz w:val="15"/>
                <w:szCs w:val="15"/>
              </w:rPr>
            </w:pPr>
            <w:r>
              <w:rPr>
                <w:rFonts w:ascii="宋体"/>
                <w:spacing w:val="-1"/>
                <w:sz w:val="15"/>
              </w:rPr>
              <w:t>1,415,379,415.54</w:t>
            </w:r>
          </w:p>
        </w:tc>
        <w:tc>
          <w:tcPr>
            <w:tcW w:w="73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1,415,379,415.54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center"/>
              <w:rPr>
                <w:rFonts w:ascii="宋体" w:hAnsi="宋体" w:cs="宋体" w:eastAsia="宋体" w:hint="default"/>
                <w:sz w:val="15"/>
                <w:szCs w:val="15"/>
              </w:rPr>
            </w:pPr>
            <w:r>
              <w:rPr>
                <w:rFonts w:ascii="宋体"/>
                <w:sz w:val="15"/>
              </w:rPr>
              <w:t>649,375,885.54</w:t>
            </w:r>
          </w:p>
        </w:tc>
        <w:tc>
          <w:tcPr>
            <w:tcW w:w="6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90" w:right="0"/>
              <w:jc w:val="center"/>
              <w:rPr>
                <w:rFonts w:ascii="宋体" w:hAnsi="宋体" w:cs="宋体" w:eastAsia="宋体" w:hint="default"/>
                <w:sz w:val="15"/>
                <w:szCs w:val="15"/>
              </w:rPr>
            </w:pPr>
            <w:r>
              <w:rPr>
                <w:rFonts w:ascii="宋体"/>
                <w:sz w:val="15"/>
              </w:rPr>
              <w:t>649,375,885.54</w:t>
            </w:r>
          </w:p>
        </w:tc>
      </w:tr>
      <w:tr>
        <w:trPr>
          <w:trHeight w:val="484"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15"/>
                <w:szCs w:val="15"/>
              </w:rPr>
            </w:pPr>
            <w:r>
              <w:rPr>
                <w:rFonts w:ascii="宋体"/>
                <w:spacing w:val="-1"/>
                <w:sz w:val="15"/>
              </w:rPr>
              <w:t>96,745,428.04</w:t>
            </w:r>
          </w:p>
        </w:tc>
        <w:tc>
          <w:tcPr>
            <w:tcW w:w="73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宋体" w:hAnsi="宋体" w:cs="宋体" w:eastAsia="宋体" w:hint="default"/>
                <w:sz w:val="15"/>
                <w:szCs w:val="15"/>
              </w:rPr>
            </w:pPr>
            <w:r>
              <w:rPr>
                <w:rFonts w:ascii="宋体"/>
                <w:spacing w:val="-1"/>
                <w:sz w:val="15"/>
              </w:rPr>
              <w:t>96,745,428.04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center"/>
              <w:rPr>
                <w:rFonts w:ascii="宋体" w:hAnsi="宋体" w:cs="宋体" w:eastAsia="宋体" w:hint="default"/>
                <w:sz w:val="15"/>
                <w:szCs w:val="15"/>
              </w:rPr>
            </w:pPr>
            <w:r>
              <w:rPr>
                <w:rFonts w:ascii="宋体"/>
                <w:sz w:val="15"/>
              </w:rPr>
              <w:t>100,882,511.15</w:t>
            </w:r>
          </w:p>
        </w:tc>
        <w:tc>
          <w:tcPr>
            <w:tcW w:w="6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90" w:right="0"/>
              <w:jc w:val="center"/>
              <w:rPr>
                <w:rFonts w:ascii="宋体" w:hAnsi="宋体" w:cs="宋体" w:eastAsia="宋体" w:hint="default"/>
                <w:sz w:val="15"/>
                <w:szCs w:val="15"/>
              </w:rPr>
            </w:pPr>
            <w:r>
              <w:rPr>
                <w:rFonts w:ascii="宋体"/>
                <w:sz w:val="15"/>
              </w:rPr>
              <w:t>100,882,511.15</w:t>
            </w:r>
          </w:p>
        </w:tc>
      </w:tr>
      <w:tr>
        <w:trPr>
          <w:trHeight w:val="484" w:hRule="exact"/>
        </w:trPr>
        <w:tc>
          <w:tcPr>
            <w:tcW w:w="16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4"/>
              <w:jc w:val="right"/>
              <w:rPr>
                <w:rFonts w:ascii="宋体" w:hAnsi="宋体" w:cs="宋体" w:eastAsia="宋体" w:hint="default"/>
                <w:sz w:val="15"/>
                <w:szCs w:val="15"/>
              </w:rPr>
            </w:pPr>
            <w:r>
              <w:rPr>
                <w:rFonts w:ascii="宋体"/>
                <w:spacing w:val="-1"/>
                <w:sz w:val="15"/>
              </w:rPr>
              <w:t>1,512,124,843.58</w:t>
            </w:r>
          </w:p>
        </w:tc>
        <w:tc>
          <w:tcPr>
            <w:tcW w:w="732"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5"/>
                <w:szCs w:val="15"/>
              </w:rPr>
            </w:pPr>
            <w:r>
              <w:rPr>
                <w:rFonts w:ascii="宋体"/>
                <w:spacing w:val="-1"/>
                <w:sz w:val="15"/>
              </w:rPr>
              <w:t>1,512,124,843.58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center"/>
              <w:rPr>
                <w:rFonts w:ascii="宋体" w:hAnsi="宋体" w:cs="宋体" w:eastAsia="宋体" w:hint="default"/>
                <w:sz w:val="15"/>
                <w:szCs w:val="15"/>
              </w:rPr>
            </w:pPr>
            <w:r>
              <w:rPr>
                <w:rFonts w:ascii="宋体"/>
                <w:sz w:val="15"/>
              </w:rPr>
              <w:t>750,258,396.69</w:t>
            </w:r>
          </w:p>
        </w:tc>
        <w:tc>
          <w:tcPr>
            <w:tcW w:w="67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90" w:right="0"/>
              <w:jc w:val="center"/>
              <w:rPr>
                <w:rFonts w:ascii="宋体" w:hAnsi="宋体" w:cs="宋体" w:eastAsia="宋体" w:hint="default"/>
                <w:sz w:val="15"/>
                <w:szCs w:val="15"/>
              </w:rPr>
            </w:pPr>
            <w:r>
              <w:rPr>
                <w:rFonts w:ascii="宋体"/>
                <w:sz w:val="15"/>
              </w:rPr>
              <w:t>750,258,396.69</w:t>
            </w:r>
          </w:p>
        </w:tc>
      </w:tr>
    </w:tbl>
    <w:p>
      <w:pPr>
        <w:pStyle w:val="BodyText"/>
        <w:spacing w:line="240" w:lineRule="auto" w:before="84"/>
        <w:ind w:left="1158" w:right="1689"/>
        <w:jc w:val="left"/>
      </w:pPr>
      <w:r>
        <w:rPr>
          <w:rFonts w:ascii="宋体" w:hAnsi="宋体" w:cs="宋体" w:eastAsia="宋体" w:hint="default"/>
        </w:rPr>
        <w:t>(2)</w:t>
      </w:r>
      <w:r>
        <w:rPr>
          <w:rFonts w:ascii="宋体" w:hAnsi="宋体" w:cs="宋体" w:eastAsia="宋体" w:hint="default"/>
          <w:spacing w:val="-1"/>
        </w:rPr>
        <w:t> </w:t>
      </w:r>
      <w:r>
        <w:rPr/>
        <w:t>对子公司投资</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136"/>
        <w:gridCol w:w="1331"/>
        <w:gridCol w:w="1328"/>
        <w:gridCol w:w="758"/>
        <w:gridCol w:w="1496"/>
        <w:gridCol w:w="770"/>
        <w:gridCol w:w="742"/>
      </w:tblGrid>
      <w:tr>
        <w:trPr>
          <w:trHeight w:val="1070"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0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9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0" w:lineRule="auto"/>
              <w:ind w:left="201" w:right="185"/>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8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0" w:lineRule="auto"/>
              <w:ind w:left="27" w:right="11"/>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42"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5"/>
              <w:ind w:left="103" w:right="91"/>
              <w:jc w:val="center"/>
              <w:rPr>
                <w:rFonts w:ascii="宋体" w:hAnsi="宋体" w:cs="宋体" w:eastAsia="宋体" w:hint="default"/>
                <w:sz w:val="18"/>
                <w:szCs w:val="18"/>
              </w:rPr>
            </w:pPr>
            <w:r>
              <w:rPr>
                <w:rFonts w:ascii="宋体" w:hAnsi="宋体" w:cs="宋体" w:eastAsia="宋体" w:hint="default"/>
                <w:sz w:val="18"/>
                <w:szCs w:val="18"/>
              </w:rPr>
              <w:t>减值准 备</w:t>
            </w:r>
          </w:p>
          <w:p>
            <w:pPr>
              <w:pStyle w:val="TableParagraph"/>
              <w:spacing w:line="240" w:lineRule="auto" w:before="97"/>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浙江大农实业股份有限公司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37,583,000.00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37,583,000.00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浙江利欧</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18,542,818.80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18,542,818.80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湖南利欧泵业有限公司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120,000,000.00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120,000,000.00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浙江利欧友林供水系统有限公司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7,000,000.00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温岭利欧园林机械有限公司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13,690,000.00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13,690,000.00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长沙利欧天鹅工业泵有限公司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291,645,066.74</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291,645,066.74</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大连利欧华能泵业有限公司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59,300,000.00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59,300,000.00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1" w:right="0"/>
              <w:jc w:val="left"/>
              <w:rPr>
                <w:rFonts w:ascii="宋体" w:hAnsi="宋体" w:cs="宋体" w:eastAsia="宋体" w:hint="default"/>
                <w:sz w:val="18"/>
                <w:szCs w:val="18"/>
              </w:rPr>
            </w:pPr>
            <w:r>
              <w:rPr>
                <w:rFonts w:ascii="宋体" w:hAnsi="宋体" w:cs="宋体" w:eastAsia="宋体" w:hint="default"/>
                <w:sz w:val="18"/>
                <w:szCs w:val="18"/>
              </w:rPr>
              <w:t>无锡利欧锡泵制造有限公司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81,000,000.00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81,000,000.00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上海利泵流体科技发展有限公司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6,375,000.00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6,375,000.00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利欧</w:t>
            </w:r>
            <w:r>
              <w:rPr>
                <w:rFonts w:ascii="宋体" w:hAnsi="宋体" w:cs="宋体" w:eastAsia="宋体" w:hint="default"/>
                <w:sz w:val="18"/>
                <w:szCs w:val="18"/>
              </w:rPr>
              <w:t>(</w:t>
            </w:r>
            <w:r>
              <w:rPr>
                <w:rFonts w:ascii="宋体" w:hAnsi="宋体" w:cs="宋体" w:eastAsia="宋体" w:hint="default"/>
                <w:sz w:val="18"/>
                <w:szCs w:val="18"/>
              </w:rPr>
              <w:t>大连</w:t>
            </w:r>
            <w:r>
              <w:rPr>
                <w:rFonts w:ascii="宋体" w:hAnsi="宋体" w:cs="宋体" w:eastAsia="宋体" w:hint="default"/>
                <w:sz w:val="18"/>
                <w:szCs w:val="18"/>
              </w:rPr>
              <w:t>)</w:t>
            </w:r>
            <w:r>
              <w:rPr>
                <w:rFonts w:ascii="宋体" w:hAnsi="宋体" w:cs="宋体" w:eastAsia="宋体" w:hint="default"/>
                <w:sz w:val="18"/>
                <w:szCs w:val="18"/>
              </w:rPr>
              <w:t>工业泵技术中心有限公司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10,180,000.00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10,180,000.00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136"/>
        <w:gridCol w:w="1331"/>
        <w:gridCol w:w="1328"/>
        <w:gridCol w:w="758"/>
        <w:gridCol w:w="1496"/>
        <w:gridCol w:w="770"/>
        <w:gridCol w:w="742"/>
      </w:tblGrid>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云南利欧水泵销售有限公司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1,000,000.00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利普诺持之水泵系统</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3,060,000.00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3,060,000.00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上海漫酷广告有限公司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344,450,000.00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344,450,000.00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上海氩氪广告有限公司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225,939,000.00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225,939,000.00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银色琥珀文化传播</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195,000,000.00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195,000,000.00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利欧中东公司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614,530.00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614,530.00</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1" w:right="0"/>
              <w:jc w:val="left"/>
              <w:rPr>
                <w:rFonts w:ascii="宋体" w:hAnsi="宋体" w:cs="宋体" w:eastAsia="宋体" w:hint="default"/>
                <w:sz w:val="18"/>
                <w:szCs w:val="18"/>
              </w:rPr>
            </w:pPr>
            <w:r>
              <w:rPr>
                <w:rFonts w:ascii="宋体" w:hAnsi="宋体" w:cs="宋体" w:eastAsia="宋体" w:hint="default"/>
                <w:sz w:val="18"/>
                <w:szCs w:val="18"/>
              </w:rPr>
              <w:t>上海聚嘉网络技术有限公司</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hAnsi="宋体" w:cs="宋体" w:eastAsia="宋体" w:hint="default"/>
                <w:spacing w:val="-1"/>
                <w:sz w:val="15"/>
                <w:szCs w:val="15"/>
              </w:rPr>
              <w:t>0.00</w:t>
            </w:r>
            <w:r>
              <w:rPr>
                <w:rFonts w:ascii="宋体" w:hAnsi="宋体" w:cs="宋体" w:eastAsia="宋体" w:hint="default"/>
                <w:spacing w:val="-1"/>
                <w:sz w:val="18"/>
                <w:szCs w:val="18"/>
              </w:rPr>
              <w:t>[</w:t>
            </w:r>
            <w:r>
              <w:rPr>
                <w:rFonts w:ascii="宋体" w:hAnsi="宋体" w:cs="宋体" w:eastAsia="宋体" w:hint="default"/>
                <w:spacing w:val="-1"/>
                <w:sz w:val="18"/>
                <w:szCs w:val="18"/>
              </w:rPr>
              <w:t>注</w:t>
            </w:r>
            <w:r>
              <w:rPr>
                <w:rFonts w:ascii="宋体" w:hAnsi="宋体" w:cs="宋体" w:eastAsia="宋体" w:hint="default"/>
                <w:spacing w:val="-1"/>
                <w:sz w:val="18"/>
                <w:szCs w:val="18"/>
              </w:rPr>
              <w:t>]</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1" w:right="0"/>
              <w:jc w:val="left"/>
              <w:rPr>
                <w:rFonts w:ascii="宋体" w:hAnsi="宋体" w:cs="宋体" w:eastAsia="宋体" w:hint="default"/>
                <w:sz w:val="18"/>
                <w:szCs w:val="18"/>
              </w:rPr>
            </w:pPr>
            <w:r>
              <w:rPr>
                <w:rFonts w:ascii="宋体" w:hAnsi="宋体" w:cs="宋体" w:eastAsia="宋体" w:hint="default"/>
                <w:sz w:val="18"/>
                <w:szCs w:val="18"/>
              </w:rPr>
              <w:t>温岭滨泰科进出口有限公司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c>
          <w:tcPr>
            <w:tcW w:w="1331"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pacing w:val="-1"/>
                <w:sz w:val="15"/>
                <w:szCs w:val="15"/>
              </w:rPr>
              <w:t>0.00</w:t>
            </w:r>
            <w:r>
              <w:rPr>
                <w:rFonts w:ascii="宋体" w:hAnsi="宋体" w:cs="宋体" w:eastAsia="宋体" w:hint="default"/>
                <w:spacing w:val="-1"/>
                <w:sz w:val="18"/>
                <w:szCs w:val="18"/>
              </w:rPr>
              <w:t>[</w:t>
            </w:r>
            <w:r>
              <w:rPr>
                <w:rFonts w:ascii="宋体" w:hAnsi="宋体" w:cs="宋体" w:eastAsia="宋体" w:hint="default"/>
                <w:spacing w:val="-1"/>
                <w:sz w:val="18"/>
                <w:szCs w:val="18"/>
              </w:rPr>
              <w:t>注</w:t>
            </w:r>
            <w:r>
              <w:rPr>
                <w:rFonts w:ascii="宋体" w:hAnsi="宋体" w:cs="宋体" w:eastAsia="宋体" w:hint="default"/>
                <w:spacing w:val="-1"/>
                <w:sz w:val="18"/>
                <w:szCs w:val="18"/>
              </w:rPr>
              <w:t>]</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1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3"/>
              <w:jc w:val="right"/>
              <w:rPr>
                <w:rFonts w:ascii="宋体" w:hAnsi="宋体" w:cs="宋体" w:eastAsia="宋体" w:hint="default"/>
                <w:sz w:val="15"/>
                <w:szCs w:val="15"/>
              </w:rPr>
            </w:pPr>
            <w:r>
              <w:rPr>
                <w:rFonts w:ascii="宋体"/>
                <w:spacing w:val="-1"/>
                <w:sz w:val="15"/>
              </w:rPr>
              <w:t>649,375,885.54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766,003,530.00</w:t>
            </w:r>
          </w:p>
        </w:tc>
        <w:tc>
          <w:tcPr>
            <w:tcW w:w="75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5"/>
                <w:szCs w:val="15"/>
              </w:rPr>
            </w:pPr>
            <w:r>
              <w:rPr>
                <w:rFonts w:ascii="宋体"/>
                <w:spacing w:val="-1"/>
                <w:sz w:val="15"/>
              </w:rPr>
              <w:t>1,415,379,415.54</w:t>
            </w:r>
          </w:p>
        </w:tc>
        <w:tc>
          <w:tcPr>
            <w:tcW w:w="770"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nil" w:sz="6" w:space="0" w:color="auto"/>
            </w:tcBorders>
          </w:tcPr>
          <w:p>
            <w:pPr/>
          </w:p>
        </w:tc>
      </w:tr>
    </w:tbl>
    <w:p>
      <w:pPr>
        <w:pStyle w:val="BodyText"/>
        <w:spacing w:line="357" w:lineRule="auto" w:before="5"/>
        <w:ind w:left="737" w:right="1786" w:firstLine="420"/>
        <w:jc w:val="left"/>
      </w:pPr>
      <w:r>
        <w:rPr>
          <w:rFonts w:ascii="宋体" w:hAnsi="宋体" w:cs="宋体" w:eastAsia="宋体" w:hint="default"/>
        </w:rPr>
        <w:t>[</w:t>
      </w:r>
      <w:r>
        <w:rPr/>
        <w:t>注</w:t>
      </w:r>
      <w:r>
        <w:rPr>
          <w:rFonts w:ascii="宋体" w:hAnsi="宋体" w:cs="宋体" w:eastAsia="宋体" w:hint="default"/>
        </w:rPr>
        <w:t>]</w:t>
      </w:r>
      <w:r>
        <w:rPr/>
        <w:t>：截至</w:t>
      </w:r>
      <w:r>
        <w:rPr>
          <w:spacing w:val="-51"/>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日，公司尚未认缴出资，详见本财务报表附注合并范围的 变更之其他原因的合并范围变动之说明。</w:t>
      </w:r>
    </w:p>
    <w:p>
      <w:pPr>
        <w:pStyle w:val="BodyText"/>
        <w:spacing w:line="240" w:lineRule="auto" w:before="71"/>
        <w:ind w:left="1157" w:right="1689"/>
        <w:jc w:val="left"/>
      </w:pPr>
      <w:r>
        <w:rPr>
          <w:rFonts w:ascii="宋体" w:hAnsi="宋体" w:cs="宋体" w:eastAsia="宋体" w:hint="default"/>
        </w:rPr>
        <w:t>(3)</w:t>
      </w:r>
      <w:r>
        <w:rPr>
          <w:rFonts w:ascii="宋体" w:hAnsi="宋体" w:cs="宋体" w:eastAsia="宋体" w:hint="default"/>
          <w:spacing w:val="-1"/>
        </w:rPr>
        <w:t> </w:t>
      </w:r>
      <w:r>
        <w:rPr/>
        <w:t>对联营企业投资</w:t>
      </w:r>
    </w:p>
    <w:p>
      <w:pPr>
        <w:spacing w:line="240" w:lineRule="auto" w:before="11"/>
        <w:rPr>
          <w:rFonts w:ascii="宋体" w:hAnsi="宋体" w:cs="宋体" w:eastAsia="宋体" w:hint="default"/>
          <w:sz w:val="15"/>
          <w:szCs w:val="15"/>
        </w:rPr>
      </w:pPr>
    </w:p>
    <w:tbl>
      <w:tblPr>
        <w:tblW w:w="0" w:type="auto"/>
        <w:jc w:val="left"/>
        <w:tblInd w:w="578" w:type="dxa"/>
        <w:tblLayout w:type="fixed"/>
        <w:tblCellMar>
          <w:top w:w="0" w:type="dxa"/>
          <w:left w:w="0" w:type="dxa"/>
          <w:bottom w:w="0" w:type="dxa"/>
          <w:right w:w="0" w:type="dxa"/>
        </w:tblCellMar>
        <w:tblLook w:val="01E0"/>
      </w:tblPr>
      <w:tblGrid>
        <w:gridCol w:w="2732"/>
        <w:gridCol w:w="1535"/>
        <w:gridCol w:w="757"/>
        <w:gridCol w:w="798"/>
        <w:gridCol w:w="1388"/>
        <w:gridCol w:w="1364"/>
      </w:tblGrid>
      <w:tr>
        <w:trPr>
          <w:trHeight w:val="484" w:hRule="exact"/>
        </w:trPr>
        <w:tc>
          <w:tcPr>
            <w:tcW w:w="27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30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33"/>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838" w:hRule="exact"/>
        </w:trPr>
        <w:tc>
          <w:tcPr>
            <w:tcW w:w="2732" w:type="dxa"/>
            <w:vMerge/>
            <w:tcBorders>
              <w:left w:val="nil" w:sz="6" w:space="0" w:color="auto"/>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85" w:right="199"/>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07" w:right="218"/>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1" w:right="154"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360" w:lineRule="auto" w:before="91"/>
              <w:ind w:left="310" w:right="326"/>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48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53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78,873,477.17</w:t>
            </w:r>
          </w:p>
        </w:tc>
        <w:tc>
          <w:tcPr>
            <w:tcW w:w="75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7,562,752.37</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81" w:right="0"/>
              <w:jc w:val="left"/>
              <w:rPr>
                <w:rFonts w:ascii="宋体" w:hAnsi="宋体" w:cs="宋体" w:eastAsia="宋体" w:hint="default"/>
                <w:sz w:val="18"/>
                <w:szCs w:val="18"/>
              </w:rPr>
            </w:pPr>
            <w:r>
              <w:rPr>
                <w:rFonts w:ascii="宋体"/>
                <w:sz w:val="18"/>
              </w:rPr>
              <w:t>-2,820,570.93</w:t>
            </w:r>
          </w:p>
        </w:tc>
      </w:tr>
      <w:tr>
        <w:trPr>
          <w:trHeight w:val="48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22,009,033.98</w:t>
            </w:r>
          </w:p>
        </w:tc>
        <w:tc>
          <w:tcPr>
            <w:tcW w:w="75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120,735.45</w:t>
            </w:r>
          </w:p>
        </w:tc>
        <w:tc>
          <w:tcPr>
            <w:tcW w:w="1364"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9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100,882,511.15</w:t>
            </w:r>
          </w:p>
        </w:tc>
        <w:tc>
          <w:tcPr>
            <w:tcW w:w="75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7,683,487.82</w:t>
            </w:r>
          </w:p>
        </w:tc>
        <w:tc>
          <w:tcPr>
            <w:tcW w:w="13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81" w:right="0"/>
              <w:jc w:val="left"/>
              <w:rPr>
                <w:rFonts w:ascii="宋体" w:hAnsi="宋体" w:cs="宋体" w:eastAsia="宋体" w:hint="default"/>
                <w:sz w:val="18"/>
                <w:szCs w:val="18"/>
              </w:rPr>
            </w:pPr>
            <w:r>
              <w:rPr>
                <w:rFonts w:ascii="宋体"/>
                <w:sz w:val="18"/>
              </w:rPr>
              <w:t>-2,820,570.93</w:t>
            </w:r>
          </w:p>
        </w:tc>
      </w:tr>
    </w:tbl>
    <w:p>
      <w:pPr>
        <w:spacing w:before="89"/>
        <w:ind w:left="1158" w:right="1689"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续上表</w:t>
      </w:r>
      <w:r>
        <w:rPr>
          <w:rFonts w:ascii="宋体" w:hAnsi="宋体" w:cs="宋体" w:eastAsia="宋体" w:hint="default"/>
          <w:sz w:val="18"/>
          <w:szCs w:val="18"/>
        </w:rPr>
        <w:t>)</w:t>
      </w:r>
    </w:p>
    <w:p>
      <w:pPr>
        <w:spacing w:line="240" w:lineRule="auto" w:before="5"/>
        <w:rPr>
          <w:rFonts w:ascii="宋体" w:hAnsi="宋体" w:cs="宋体" w:eastAsia="宋体" w:hint="default"/>
          <w:sz w:val="11"/>
          <w:szCs w:val="11"/>
        </w:rPr>
      </w:pPr>
    </w:p>
    <w:tbl>
      <w:tblPr>
        <w:tblW w:w="0" w:type="auto"/>
        <w:jc w:val="left"/>
        <w:tblInd w:w="578" w:type="dxa"/>
        <w:tblLayout w:type="fixed"/>
        <w:tblCellMar>
          <w:top w:w="0" w:type="dxa"/>
          <w:left w:w="0" w:type="dxa"/>
          <w:bottom w:w="0" w:type="dxa"/>
          <w:right w:w="0" w:type="dxa"/>
        </w:tblCellMar>
        <w:tblLook w:val="01E0"/>
      </w:tblPr>
      <w:tblGrid>
        <w:gridCol w:w="2746"/>
        <w:gridCol w:w="954"/>
        <w:gridCol w:w="1420"/>
        <w:gridCol w:w="707"/>
        <w:gridCol w:w="426"/>
        <w:gridCol w:w="1416"/>
        <w:gridCol w:w="907"/>
      </w:tblGrid>
      <w:tr>
        <w:trPr>
          <w:trHeight w:val="484" w:hRule="exact"/>
        </w:trPr>
        <w:tc>
          <w:tcPr>
            <w:tcW w:w="27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5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6"/>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07"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60" w:lineRule="auto"/>
              <w:ind w:left="73" w:right="107"/>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836" w:hRule="exact"/>
        </w:trPr>
        <w:tc>
          <w:tcPr>
            <w:tcW w:w="2746" w:type="dxa"/>
            <w:vMerge/>
            <w:tcBorders>
              <w:left w:val="nil" w:sz="6" w:space="0" w:color="auto"/>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195" w:right="20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268" w:right="149"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70" w:right="84"/>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nil" w:sz="6" w:space="0" w:color="auto"/>
            </w:tcBorders>
          </w:tcPr>
          <w:p>
            <w:pPr/>
          </w:p>
        </w:tc>
      </w:tr>
      <w:tr>
        <w:trPr>
          <w:trHeight w:val="484"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5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温岭市利欧小额贷款有限公司</w:t>
            </w:r>
          </w:p>
        </w:tc>
        <w:tc>
          <w:tcPr>
            <w:tcW w:w="95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9,000,000.00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 w:right="0"/>
              <w:jc w:val="center"/>
              <w:rPr>
                <w:rFonts w:ascii="宋体" w:hAnsi="宋体" w:cs="宋体" w:eastAsia="宋体" w:hint="default"/>
                <w:sz w:val="18"/>
                <w:szCs w:val="18"/>
              </w:rPr>
            </w:pPr>
            <w:r>
              <w:rPr>
                <w:rFonts w:ascii="宋体"/>
                <w:sz w:val="18"/>
              </w:rPr>
              <w:t>74,615,658.61</w:t>
            </w:r>
          </w:p>
        </w:tc>
        <w:tc>
          <w:tcPr>
            <w:tcW w:w="90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温岭市信合担保有限公司</w:t>
            </w:r>
          </w:p>
        </w:tc>
        <w:tc>
          <w:tcPr>
            <w:tcW w:w="95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 w:right="0"/>
              <w:jc w:val="center"/>
              <w:rPr>
                <w:rFonts w:ascii="宋体" w:hAnsi="宋体" w:cs="宋体" w:eastAsia="宋体" w:hint="default"/>
                <w:sz w:val="18"/>
                <w:szCs w:val="18"/>
              </w:rPr>
            </w:pPr>
            <w:r>
              <w:rPr>
                <w:rFonts w:ascii="宋体"/>
                <w:sz w:val="18"/>
              </w:rPr>
              <w:t>22,129,769.43</w:t>
            </w:r>
          </w:p>
        </w:tc>
        <w:tc>
          <w:tcPr>
            <w:tcW w:w="907"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27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54"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9,000,000.00</w:t>
            </w:r>
          </w:p>
        </w:tc>
        <w:tc>
          <w:tcPr>
            <w:tcW w:w="70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7" w:right="0"/>
              <w:jc w:val="center"/>
              <w:rPr>
                <w:rFonts w:ascii="宋体" w:hAnsi="宋体" w:cs="宋体" w:eastAsia="宋体" w:hint="default"/>
                <w:sz w:val="18"/>
                <w:szCs w:val="18"/>
              </w:rPr>
            </w:pPr>
            <w:r>
              <w:rPr>
                <w:rFonts w:ascii="宋体"/>
                <w:sz w:val="18"/>
              </w:rPr>
              <w:t>96,745,428.04</w:t>
            </w:r>
          </w:p>
        </w:tc>
        <w:tc>
          <w:tcPr>
            <w:tcW w:w="9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343" w:lineRule="auto" w:before="35"/>
        <w:ind w:left="1158" w:right="7045"/>
        <w:jc w:val="left"/>
      </w:pPr>
      <w:bookmarkStart w:name="(二) 母公司利润表项目注释" w:id="292"/>
      <w:bookmarkEnd w:id="292"/>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母公司利润表项目注释 </w:t>
      </w:r>
      <w:bookmarkStart w:name="1. 营业收入/营业成本" w:id="293"/>
      <w:bookmarkEnd w:id="293"/>
      <w:r>
        <w:rPr/>
      </w:r>
      <w:r>
        <w:rPr>
          <w:rFonts w:ascii="宋体" w:hAnsi="宋体" w:cs="宋体" w:eastAsia="宋体" w:hint="default"/>
        </w:rPr>
        <w:t>1.</w:t>
      </w:r>
      <w:r>
        <w:rPr>
          <w:rFonts w:ascii="宋体" w:hAnsi="宋体" w:cs="宋体" w:eastAsia="宋体" w:hint="default"/>
          <w:spacing w:val="-2"/>
        </w:rPr>
        <w:t> </w:t>
      </w:r>
      <w:r>
        <w:rPr/>
        <w:t>营业收入</w:t>
      </w:r>
      <w:r>
        <w:rPr>
          <w:rFonts w:ascii="宋体" w:hAnsi="宋体" w:cs="宋体" w:eastAsia="宋体" w:hint="default"/>
        </w:rPr>
        <w:t>/</w:t>
      </w:r>
      <w:r>
        <w:rPr/>
        <w:t>营业成本</w:t>
      </w:r>
    </w:p>
    <w:p>
      <w:pPr>
        <w:spacing w:after="0" w:line="343" w:lineRule="auto"/>
        <w:jc w:val="left"/>
        <w:sectPr>
          <w:pgSz w:w="11910" w:h="16840"/>
          <w:pgMar w:header="877" w:footer="938" w:top="1100" w:bottom="1120" w:left="10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062"/>
        <w:gridCol w:w="1656"/>
        <w:gridCol w:w="1656"/>
        <w:gridCol w:w="1656"/>
        <w:gridCol w:w="1513"/>
      </w:tblGrid>
      <w:tr>
        <w:trPr>
          <w:trHeight w:val="340" w:hRule="exact"/>
        </w:trPr>
        <w:tc>
          <w:tcPr>
            <w:tcW w:w="206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17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7"/>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1" w:hRule="exact"/>
        </w:trPr>
        <w:tc>
          <w:tcPr>
            <w:tcW w:w="2062"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宋体" w:hAnsi="宋体" w:cs="宋体" w:eastAsia="宋体" w:hint="default"/>
                <w:sz w:val="18"/>
                <w:szCs w:val="18"/>
              </w:rPr>
            </w:pPr>
            <w:r>
              <w:rPr>
                <w:rFonts w:ascii="宋体" w:hAnsi="宋体" w:cs="宋体" w:eastAsia="宋体" w:hint="default"/>
                <w:sz w:val="18"/>
                <w:szCs w:val="18"/>
              </w:rPr>
              <w:t>成  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宋体" w:hAnsi="宋体" w:cs="宋体" w:eastAsia="宋体" w:hint="default"/>
                <w:sz w:val="18"/>
                <w:szCs w:val="18"/>
              </w:rPr>
            </w:pPr>
            <w:r>
              <w:rPr>
                <w:rFonts w:ascii="宋体" w:hAnsi="宋体" w:cs="宋体" w:eastAsia="宋体" w:hint="default"/>
                <w:sz w:val="18"/>
                <w:szCs w:val="18"/>
              </w:rPr>
              <w:t>收  入</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526" w:right="0"/>
              <w:jc w:val="left"/>
              <w:rPr>
                <w:rFonts w:ascii="宋体" w:hAnsi="宋体" w:cs="宋体" w:eastAsia="宋体" w:hint="default"/>
                <w:sz w:val="18"/>
                <w:szCs w:val="18"/>
              </w:rPr>
            </w:pPr>
            <w:r>
              <w:rPr>
                <w:rFonts w:ascii="宋体" w:hAnsi="宋体" w:cs="宋体" w:eastAsia="宋体" w:hint="default"/>
                <w:sz w:val="18"/>
                <w:szCs w:val="18"/>
              </w:rPr>
              <w:t>成  本</w:t>
            </w:r>
          </w:p>
        </w:tc>
      </w:tr>
      <w:tr>
        <w:trPr>
          <w:trHeight w:val="484"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1,322,270,461.34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998,179,686.70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1,196,182,060.71</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926,553,333.41</w:t>
            </w:r>
          </w:p>
        </w:tc>
      </w:tr>
      <w:tr>
        <w:trPr>
          <w:trHeight w:val="483"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20,373,793.29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13,862,282.85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18,541,959.30</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9,477,955.63</w:t>
            </w:r>
          </w:p>
        </w:tc>
      </w:tr>
      <w:tr>
        <w:trPr>
          <w:trHeight w:val="455" w:hRule="exact"/>
        </w:trPr>
        <w:tc>
          <w:tcPr>
            <w:tcW w:w="2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1,342,644,254.63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1,012,041,969.55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1,214,724,020.01</w:t>
            </w:r>
          </w:p>
        </w:tc>
        <w:tc>
          <w:tcPr>
            <w:tcW w:w="1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20"/>
              <w:jc w:val="right"/>
              <w:rPr>
                <w:rFonts w:ascii="宋体" w:hAnsi="宋体" w:cs="宋体" w:eastAsia="宋体" w:hint="default"/>
                <w:sz w:val="18"/>
                <w:szCs w:val="18"/>
              </w:rPr>
            </w:pPr>
            <w:r>
              <w:rPr>
                <w:rFonts w:ascii="宋体"/>
                <w:sz w:val="18"/>
              </w:rPr>
              <w:t>936,031,289.04</w:t>
            </w:r>
          </w:p>
        </w:tc>
      </w:tr>
    </w:tbl>
    <w:p>
      <w:pPr>
        <w:spacing w:line="240" w:lineRule="auto" w:before="8"/>
        <w:rPr>
          <w:rFonts w:ascii="宋体" w:hAnsi="宋体" w:cs="宋体" w:eastAsia="宋体" w:hint="default"/>
          <w:sz w:val="27"/>
          <w:szCs w:val="27"/>
        </w:rPr>
      </w:pPr>
    </w:p>
    <w:p>
      <w:pPr>
        <w:pStyle w:val="BodyText"/>
        <w:spacing w:line="240" w:lineRule="auto" w:before="35"/>
        <w:ind w:left="658" w:right="1688"/>
        <w:jc w:val="left"/>
      </w:pPr>
      <w:bookmarkStart w:name="2. 投资收益" w:id="294"/>
      <w:bookmarkEnd w:id="294"/>
      <w:r>
        <w:rPr/>
      </w:r>
      <w:r>
        <w:rPr>
          <w:rFonts w:ascii="宋体" w:hAnsi="宋体" w:cs="宋体" w:eastAsia="宋体" w:hint="default"/>
        </w:rPr>
        <w:t>2. </w:t>
      </w:r>
      <w:r>
        <w:rPr/>
        <w:t>投资收益</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9"/>
      </w:tblGrid>
      <w:tr>
        <w:trPr>
          <w:trHeight w:val="44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4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7,683,487.82</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11,811,639.15</w:t>
            </w:r>
          </w:p>
        </w:tc>
      </w:tr>
      <w:tr>
        <w:trPr>
          <w:trHeight w:val="439"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677,600.00</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254,100.00</w:t>
            </w:r>
          </w:p>
        </w:tc>
      </w:tr>
      <w:tr>
        <w:trPr>
          <w:trHeight w:val="44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8,361,087.82</w:t>
            </w:r>
          </w:p>
        </w:tc>
        <w:tc>
          <w:tcPr>
            <w:tcW w:w="19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z w:val="18"/>
              </w:rPr>
              <w:t>12,065,739.15</w:t>
            </w:r>
          </w:p>
        </w:tc>
      </w:tr>
    </w:tbl>
    <w:p>
      <w:pPr>
        <w:spacing w:line="240" w:lineRule="auto" w:before="8"/>
        <w:rPr>
          <w:rFonts w:ascii="宋体" w:hAnsi="宋体" w:cs="宋体" w:eastAsia="宋体" w:hint="default"/>
          <w:sz w:val="27"/>
          <w:szCs w:val="27"/>
        </w:rPr>
      </w:pPr>
    </w:p>
    <w:p>
      <w:pPr>
        <w:pStyle w:val="Heading3"/>
        <w:spacing w:line="240" w:lineRule="auto" w:before="35"/>
        <w:ind w:left="660" w:right="1688"/>
        <w:jc w:val="left"/>
        <w:rPr>
          <w:rFonts w:ascii="黑体" w:hAnsi="黑体" w:cs="黑体" w:eastAsia="黑体" w:hint="default"/>
          <w:b w:val="0"/>
          <w:bCs w:val="0"/>
        </w:rPr>
      </w:pPr>
      <w:bookmarkStart w:name="十七、其他补充资料" w:id="295"/>
      <w:bookmarkEnd w:id="295"/>
      <w:r>
        <w:rPr>
          <w:b w:val="0"/>
          <w:bCs w:val="0"/>
        </w:rPr>
      </w:r>
      <w:r>
        <w:rPr>
          <w:rFonts w:ascii="黑体" w:hAnsi="黑体" w:cs="黑体" w:eastAsia="黑体" w:hint="default"/>
        </w:rPr>
        <w:t>十七、其他补充资料</w:t>
      </w:r>
      <w:r>
        <w:rPr>
          <w:rFonts w:ascii="黑体" w:hAnsi="黑体" w:cs="黑体" w:eastAsia="黑体" w:hint="default"/>
          <w:b w:val="0"/>
          <w:bCs w:val="0"/>
        </w:rPr>
      </w:r>
    </w:p>
    <w:p>
      <w:pPr>
        <w:pStyle w:val="BodyText"/>
        <w:spacing w:line="240" w:lineRule="auto" w:before="174"/>
        <w:ind w:left="657" w:right="1688"/>
        <w:jc w:val="left"/>
      </w:pPr>
      <w:bookmarkStart w:name="(一) 非经常性损益" w:id="296"/>
      <w:bookmarkEnd w:id="296"/>
      <w:r>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非经常性损益</w:t>
      </w:r>
    </w:p>
    <w:p>
      <w:pPr>
        <w:pStyle w:val="BodyText"/>
        <w:spacing w:line="240" w:lineRule="auto" w:before="172"/>
        <w:ind w:left="658" w:right="1688"/>
        <w:jc w:val="left"/>
      </w:pPr>
      <w:r>
        <w:rPr>
          <w:rFonts w:ascii="宋体" w:hAnsi="宋体" w:cs="宋体" w:eastAsia="宋体" w:hint="default"/>
        </w:rPr>
        <w:t>1.</w:t>
      </w:r>
      <w:r>
        <w:rPr>
          <w:rFonts w:ascii="宋体" w:hAnsi="宋体" w:cs="宋体" w:eastAsia="宋体" w:hint="default"/>
          <w:spacing w:val="-2"/>
        </w:rPr>
        <w:t> </w:t>
      </w:r>
      <w:r>
        <w:rPr/>
        <w:t>非经常性损益明细表</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5225"/>
        <w:gridCol w:w="1844"/>
        <w:gridCol w:w="1475"/>
      </w:tblGrid>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14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47" w:right="0"/>
              <w:jc w:val="left"/>
              <w:rPr>
                <w:rFonts w:ascii="宋体" w:hAnsi="宋体" w:cs="宋体" w:eastAsia="宋体" w:hint="default"/>
                <w:sz w:val="18"/>
                <w:szCs w:val="18"/>
              </w:rPr>
            </w:pPr>
            <w:r>
              <w:rPr>
                <w:rFonts w:ascii="宋体" w:hAnsi="宋体" w:cs="宋体" w:eastAsia="宋体" w:hint="default"/>
                <w:sz w:val="18"/>
                <w:szCs w:val="18"/>
              </w:rPr>
              <w:t>说  明</w:t>
            </w: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非流动性资产处置损益，包括已计提资产减值准备的冲销部分</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94,534,159.37</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972,754.91</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950"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101"/>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计入当期损益的政府补助（与公司正常经营业务密切相关，符合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国家政策规定、按照一定标准定额或定量持续享受的政府补助除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56,609,763.31</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4"/>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时应享有被投资单位可辨认净资产公允价值产生的收益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3,745,542.70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-6,757,506.99</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5225"/>
        <w:gridCol w:w="1844"/>
        <w:gridCol w:w="1475"/>
      </w:tblGrid>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-300,000.00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11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除同公司正常经营业务相关的有效套期保值业务外，持有以公允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价值计量且其变动计入当期损益的金融资产、金融负债产生的公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允价值变动收益，以及处置以公允价值计量且其变动计入当期损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益的金融资产、金融负债和可供出售金融资产取得的投资收益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-20,804,679.50</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716"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5"/>
              <w:jc w:val="left"/>
              <w:rPr>
                <w:rFonts w:ascii="宋体" w:hAnsi="宋体" w:cs="宋体" w:eastAsia="宋体" w:hint="default"/>
                <w:sz w:val="18"/>
                <w:szCs w:val="18"/>
              </w:rPr>
            </w:pPr>
            <w:r>
              <w:rPr>
                <w:rFonts w:ascii="宋体" w:hAnsi="宋体" w:cs="宋体" w:eastAsia="宋体" w:hint="default"/>
                <w:spacing w:val="4"/>
                <w:sz w:val="18"/>
                <w:szCs w:val="18"/>
              </w:rPr>
              <w:t>采用公允价值模式进行后续计量的投资性房地产公允价值变动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产生的损益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718"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根据税收、会计等法律、法规的要求对当期损益进行一次性调整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对当期损益的影响</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1,236,931.46</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256,341.28</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129,493,306.54</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19,350,822.98</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24,058,446.76</w:t>
            </w:r>
          </w:p>
        </w:tc>
        <w:tc>
          <w:tcPr>
            <w:tcW w:w="1475"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5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86,084,036.80</w:t>
            </w:r>
          </w:p>
        </w:tc>
        <w:tc>
          <w:tcPr>
            <w:tcW w:w="1475" w:type="dxa"/>
            <w:tcBorders>
              <w:top w:val="single" w:sz="4" w:space="0" w:color="000000"/>
              <w:left w:val="single" w:sz="4" w:space="0" w:color="000000"/>
              <w:bottom w:val="single" w:sz="4" w:space="0" w:color="000000"/>
              <w:right w:val="nil" w:sz="6" w:space="0" w:color="auto"/>
            </w:tcBorders>
          </w:tcPr>
          <w:p>
            <w:pPr/>
          </w:p>
        </w:tc>
      </w:tr>
    </w:tbl>
    <w:p>
      <w:pPr>
        <w:pStyle w:val="BodyText"/>
        <w:spacing w:line="343" w:lineRule="auto" w:before="84"/>
        <w:ind w:left="657" w:right="6836"/>
        <w:jc w:val="left"/>
      </w:pPr>
      <w:bookmarkStart w:name="(二) 净资产收益率及每股收益" w:id="297"/>
      <w:bookmarkEnd w:id="297"/>
      <w:r>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净资产收益率及每股收益 </w:t>
      </w:r>
      <w:r>
        <w:rPr>
          <w:rFonts w:ascii="宋体" w:hAnsi="宋体" w:cs="宋体" w:eastAsia="宋体" w:hint="default"/>
        </w:rPr>
        <w:t>1. </w:t>
      </w:r>
      <w:r>
        <w:rPr/>
        <w:t>明细情况</w:t>
      </w:r>
    </w:p>
    <w:p>
      <w:pPr>
        <w:spacing w:line="240" w:lineRule="auto" w:before="10"/>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862"/>
        <w:gridCol w:w="1938"/>
        <w:gridCol w:w="1845"/>
        <w:gridCol w:w="1898"/>
      </w:tblGrid>
      <w:tr>
        <w:trPr>
          <w:trHeight w:val="484" w:hRule="exact"/>
        </w:trPr>
        <w:tc>
          <w:tcPr>
            <w:tcW w:w="2862"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1938" w:type="dxa"/>
            <w:vMerge w:val="restart"/>
            <w:tcBorders>
              <w:top w:val="single" w:sz="4" w:space="0" w:color="000000"/>
              <w:left w:val="single" w:sz="4" w:space="0" w:color="000000"/>
              <w:right w:val="single" w:sz="4" w:space="0" w:color="000000"/>
            </w:tcBorders>
          </w:tcPr>
          <w:p>
            <w:pPr>
              <w:pStyle w:val="TableParagraph"/>
              <w:spacing w:line="360" w:lineRule="auto" w:before="155"/>
              <w:ind w:left="559" w:right="329" w:hanging="222"/>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p>
        </w:tc>
        <w:tc>
          <w:tcPr>
            <w:tcW w:w="37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1179"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484" w:hRule="exact"/>
        </w:trPr>
        <w:tc>
          <w:tcPr>
            <w:tcW w:w="2862" w:type="dxa"/>
            <w:vMerge/>
            <w:tcBorders>
              <w:left w:val="nil" w:sz="6" w:space="0" w:color="auto"/>
              <w:bottom w:val="single" w:sz="4" w:space="0" w:color="000000"/>
              <w:right w:val="single" w:sz="4" w:space="0" w:color="000000"/>
            </w:tcBorders>
          </w:tcPr>
          <w:p>
            <w:pPr/>
          </w:p>
        </w:tc>
        <w:tc>
          <w:tcPr>
            <w:tcW w:w="1938" w:type="dxa"/>
            <w:vMerge/>
            <w:tcBorders>
              <w:left w:val="single" w:sz="4" w:space="0" w:color="000000"/>
              <w:bottom w:val="single" w:sz="4" w:space="0" w:color="000000"/>
              <w:right w:val="single" w:sz="4" w:space="0" w:color="000000"/>
            </w:tcBorders>
          </w:tcPr>
          <w:p>
            <w:pP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6"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84" w:hRule="exact"/>
        </w:trPr>
        <w:tc>
          <w:tcPr>
            <w:tcW w:w="2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39" w:right="0"/>
              <w:jc w:val="left"/>
              <w:rPr>
                <w:rFonts w:ascii="宋体" w:hAnsi="宋体" w:cs="宋体" w:eastAsia="宋体" w:hint="default"/>
                <w:sz w:val="18"/>
                <w:szCs w:val="18"/>
              </w:rPr>
            </w:pPr>
            <w:r>
              <w:rPr>
                <w:rFonts w:ascii="宋体"/>
                <w:sz w:val="18"/>
              </w:rPr>
              <w:t>11.34</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0.48</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8"/>
                <w:szCs w:val="18"/>
              </w:rPr>
            </w:pPr>
            <w:r>
              <w:rPr>
                <w:rFonts w:ascii="宋体"/>
                <w:sz w:val="18"/>
              </w:rPr>
              <w:t>0.48</w:t>
            </w:r>
          </w:p>
        </w:tc>
      </w:tr>
      <w:tr>
        <w:trPr>
          <w:trHeight w:val="716" w:hRule="exact"/>
        </w:trPr>
        <w:tc>
          <w:tcPr>
            <w:tcW w:w="2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21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83" w:right="0"/>
              <w:jc w:val="left"/>
              <w:rPr>
                <w:rFonts w:ascii="宋体" w:hAnsi="宋体" w:cs="宋体" w:eastAsia="宋体" w:hint="default"/>
                <w:sz w:val="18"/>
                <w:szCs w:val="18"/>
              </w:rPr>
            </w:pPr>
            <w:r>
              <w:rPr>
                <w:rFonts w:ascii="宋体"/>
                <w:sz w:val="18"/>
              </w:rPr>
              <w:t>5.91</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0.25</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0.25</w:t>
            </w:r>
          </w:p>
        </w:tc>
      </w:tr>
    </w:tbl>
    <w:p>
      <w:pPr>
        <w:pStyle w:val="BodyText"/>
        <w:spacing w:line="240" w:lineRule="auto" w:before="84"/>
        <w:ind w:left="658" w:right="1688"/>
        <w:jc w:val="left"/>
      </w:pPr>
      <w:r>
        <w:rPr>
          <w:rFonts w:ascii="宋体" w:hAnsi="宋体" w:cs="宋体" w:eastAsia="宋体" w:hint="default"/>
        </w:rPr>
        <w:t>2.</w:t>
      </w:r>
      <w:r>
        <w:rPr>
          <w:rFonts w:ascii="宋体" w:hAnsi="宋体" w:cs="宋体" w:eastAsia="宋体" w:hint="default"/>
          <w:spacing w:val="-2"/>
        </w:rPr>
        <w:t> </w:t>
      </w:r>
      <w:r>
        <w:rPr/>
        <w:t>加权平均净资产收益率的计算过程</w:t>
      </w:r>
    </w:p>
    <w:p>
      <w:pPr>
        <w:spacing w:line="240" w:lineRule="auto" w:before="9"/>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800"/>
        <w:gridCol w:w="1874"/>
        <w:gridCol w:w="1870"/>
      </w:tblGrid>
      <w:tr>
        <w:trPr>
          <w:trHeight w:val="48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43"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8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宋体" w:hAnsi="宋体" w:cs="宋体" w:eastAsia="宋体" w:hint="default"/>
                <w:sz w:val="18"/>
                <w:szCs w:val="18"/>
              </w:rPr>
            </w:pPr>
            <w:r>
              <w:rPr>
                <w:rFonts w:ascii="宋体"/>
                <w:sz w:val="18"/>
              </w:rPr>
              <w:t>A</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179,916,115.75</w:t>
            </w:r>
          </w:p>
        </w:tc>
      </w:tr>
      <w:tr>
        <w:trPr>
          <w:trHeight w:val="48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 w:right="0"/>
              <w:jc w:val="center"/>
              <w:rPr>
                <w:rFonts w:ascii="宋体" w:hAnsi="宋体" w:cs="宋体" w:eastAsia="宋体" w:hint="default"/>
                <w:sz w:val="18"/>
                <w:szCs w:val="18"/>
              </w:rPr>
            </w:pPr>
            <w:r>
              <w:rPr>
                <w:rFonts w:ascii="宋体"/>
                <w:sz w:val="18"/>
              </w:rPr>
              <w:t>B</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86,084,036.80</w:t>
            </w:r>
          </w:p>
        </w:tc>
      </w:tr>
      <w:tr>
        <w:trPr>
          <w:trHeight w:val="48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0" w:right="0"/>
              <w:jc w:val="center"/>
              <w:rPr>
                <w:rFonts w:ascii="宋体" w:hAnsi="宋体" w:cs="宋体" w:eastAsia="宋体" w:hint="default"/>
                <w:sz w:val="18"/>
                <w:szCs w:val="18"/>
              </w:rPr>
            </w:pPr>
            <w:r>
              <w:rPr>
                <w:rFonts w:ascii="宋体"/>
                <w:sz w:val="18"/>
              </w:rPr>
              <w:t>C=A-B</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93,832,078.95</w:t>
            </w:r>
          </w:p>
        </w:tc>
      </w:tr>
      <w:tr>
        <w:trPr>
          <w:trHeight w:val="48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 w:right="0"/>
              <w:jc w:val="center"/>
              <w:rPr>
                <w:rFonts w:ascii="宋体" w:hAnsi="宋体" w:cs="宋体" w:eastAsia="宋体" w:hint="default"/>
                <w:sz w:val="18"/>
                <w:szCs w:val="18"/>
              </w:rPr>
            </w:pPr>
            <w:r>
              <w:rPr>
                <w:rFonts w:ascii="宋体"/>
                <w:sz w:val="18"/>
              </w:rPr>
              <w:t>D</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1,512,294,731.53</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116"/>
        <w:gridCol w:w="3684"/>
        <w:gridCol w:w="1874"/>
        <w:gridCol w:w="1870"/>
      </w:tblGrid>
      <w:tr>
        <w:trPr>
          <w:trHeight w:val="716" w:hRule="exact"/>
        </w:trPr>
        <w:tc>
          <w:tcPr>
            <w:tcW w:w="48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105"/>
              <w:jc w:val="left"/>
              <w:rPr>
                <w:rFonts w:ascii="宋体" w:hAnsi="宋体" w:cs="宋体" w:eastAsia="宋体" w:hint="default"/>
                <w:sz w:val="18"/>
                <w:szCs w:val="18"/>
              </w:rPr>
            </w:pPr>
            <w:r>
              <w:rPr>
                <w:rFonts w:ascii="宋体" w:hAnsi="宋体" w:cs="宋体" w:eastAsia="宋体" w:hint="default"/>
                <w:spacing w:val="2"/>
                <w:sz w:val="18"/>
                <w:szCs w:val="18"/>
              </w:rPr>
              <w:t>发行新股或债转股等新增的、归属于公司普通股股东的净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E</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18,688,459.00</w:t>
            </w:r>
          </w:p>
        </w:tc>
      </w:tr>
      <w:tr>
        <w:trPr>
          <w:trHeight w:val="484" w:hRule="exact"/>
        </w:trPr>
        <w:tc>
          <w:tcPr>
            <w:tcW w:w="48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宋体" w:hAnsi="宋体" w:cs="宋体" w:eastAsia="宋体" w:hint="default"/>
                <w:sz w:val="18"/>
                <w:szCs w:val="18"/>
              </w:rPr>
            </w:pPr>
            <w:r>
              <w:rPr>
                <w:rFonts w:ascii="宋体"/>
                <w:sz w:val="18"/>
              </w:rPr>
              <w:t>F</w:t>
            </w: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4800" w:type="dxa"/>
            <w:gridSpan w:val="2"/>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2" w:lineRule="exact"/>
              <w:ind w:left="122" w:right="105"/>
              <w:jc w:val="left"/>
              <w:rPr>
                <w:rFonts w:ascii="宋体" w:hAnsi="宋体" w:cs="宋体" w:eastAsia="宋体" w:hint="default"/>
                <w:sz w:val="18"/>
                <w:szCs w:val="18"/>
              </w:rPr>
            </w:pPr>
            <w:r>
              <w:rPr>
                <w:rFonts w:ascii="宋体" w:hAnsi="宋体" w:cs="宋体" w:eastAsia="宋体" w:hint="default"/>
                <w:spacing w:val="2"/>
                <w:sz w:val="18"/>
                <w:szCs w:val="18"/>
              </w:rPr>
              <w:t>回购或现金分红等减少的、归属于公司普通股股东的净资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宋体" w:hAnsi="宋体" w:cs="宋体" w:eastAsia="宋体" w:hint="default"/>
                <w:sz w:val="18"/>
                <w:szCs w:val="18"/>
              </w:rPr>
            </w:pPr>
            <w:r>
              <w:rPr>
                <w:rFonts w:ascii="宋体"/>
                <w:sz w:val="18"/>
              </w:rPr>
              <w:t>G1</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18,636,799.55</w:t>
            </w:r>
          </w:p>
        </w:tc>
      </w:tr>
      <w:tr>
        <w:trPr>
          <w:trHeight w:val="484" w:hRule="exact"/>
        </w:trPr>
        <w:tc>
          <w:tcPr>
            <w:tcW w:w="4800" w:type="dxa"/>
            <w:gridSpan w:val="2"/>
            <w:vMerge/>
            <w:tcBorders>
              <w:left w:val="nil" w:sz="6" w:space="0" w:color="auto"/>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G2</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w:t>
            </w:r>
          </w:p>
        </w:tc>
      </w:tr>
      <w:tr>
        <w:trPr>
          <w:trHeight w:val="484" w:hRule="exact"/>
        </w:trPr>
        <w:tc>
          <w:tcPr>
            <w:tcW w:w="4800" w:type="dxa"/>
            <w:gridSpan w:val="2"/>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H1</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w:t>
            </w:r>
          </w:p>
        </w:tc>
      </w:tr>
      <w:tr>
        <w:trPr>
          <w:trHeight w:val="484" w:hRule="exact"/>
        </w:trPr>
        <w:tc>
          <w:tcPr>
            <w:tcW w:w="4800" w:type="dxa"/>
            <w:gridSpan w:val="2"/>
            <w:vMerge/>
            <w:tcBorders>
              <w:left w:val="nil" w:sz="6" w:space="0" w:color="auto"/>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H2</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w:t>
            </w:r>
          </w:p>
        </w:tc>
      </w:tr>
      <w:tr>
        <w:trPr>
          <w:trHeight w:val="716"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5"/>
              <w:jc w:val="left"/>
              <w:rPr>
                <w:rFonts w:ascii="宋体" w:hAnsi="宋体" w:cs="宋体" w:eastAsia="宋体" w:hint="default"/>
                <w:sz w:val="18"/>
                <w:szCs w:val="18"/>
              </w:rPr>
            </w:pPr>
            <w:r>
              <w:rPr>
                <w:rFonts w:ascii="宋体" w:hAnsi="宋体" w:cs="宋体" w:eastAsia="宋体" w:hint="default"/>
                <w:spacing w:val="6"/>
                <w:sz w:val="18"/>
                <w:szCs w:val="18"/>
              </w:rPr>
              <w:t>其他</w:t>
            </w:r>
            <w:r>
              <w:rPr>
                <w:rFonts w:ascii="宋体" w:hAnsi="宋体" w:cs="宋体" w:eastAsia="宋体" w:hint="default"/>
                <w:spacing w:val="6"/>
                <w:sz w:val="18"/>
                <w:szCs w:val="18"/>
              </w:rPr>
              <w:t>-</w:t>
            </w:r>
            <w:r>
              <w:rPr>
                <w:rFonts w:ascii="宋体" w:hAnsi="宋体" w:cs="宋体" w:eastAsia="宋体" w:hint="default"/>
                <w:spacing w:val="6"/>
                <w:sz w:val="18"/>
                <w:szCs w:val="18"/>
              </w:rPr>
              <w:t>按照权益法核算的在被投资单位其他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综合收益中所享有的份额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I1</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-2,820,570.93</w:t>
            </w: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J1</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w:t>
            </w: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外币财务报表折算差额</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I2</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85,287.45</w:t>
            </w: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J2</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w:t>
            </w: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专项储备变动</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I3</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345,111.01</w:t>
            </w:r>
          </w:p>
        </w:tc>
      </w:tr>
      <w:tr>
        <w:trPr>
          <w:trHeight w:val="482"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J3</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w:t>
            </w: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非公开发行股票股本溢价</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宋体" w:hAnsi="宋体" w:cs="宋体" w:eastAsia="宋体" w:hint="default"/>
                <w:sz w:val="18"/>
                <w:szCs w:val="18"/>
              </w:rPr>
            </w:pPr>
            <w:r>
              <w:rPr>
                <w:rFonts w:ascii="宋体"/>
                <w:sz w:val="18"/>
              </w:rPr>
              <w:t>I4</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313,877,114.94</w:t>
            </w: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宋体" w:hAnsi="宋体" w:cs="宋体" w:eastAsia="宋体" w:hint="default"/>
                <w:sz w:val="18"/>
                <w:szCs w:val="18"/>
              </w:rPr>
            </w:pPr>
            <w:r>
              <w:rPr>
                <w:rFonts w:ascii="宋体"/>
                <w:sz w:val="18"/>
              </w:rPr>
              <w:t>J4</w:t>
            </w:r>
          </w:p>
        </w:tc>
        <w:tc>
          <w:tcPr>
            <w:tcW w:w="187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1116" w:type="dxa"/>
            <w:vMerge/>
            <w:tcBorders>
              <w:left w:val="nil" w:sz="6" w:space="0" w:color="auto"/>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w:t>
            </w:r>
            <w:r>
              <w:rPr>
                <w:rFonts w:ascii="宋体" w:hAnsi="宋体" w:cs="宋体" w:eastAsia="宋体" w:hint="default"/>
                <w:sz w:val="18"/>
                <w:szCs w:val="18"/>
              </w:rPr>
              <w:t>处置对联营企业投资</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宋体" w:hAnsi="宋体" w:cs="宋体" w:eastAsia="宋体" w:hint="default"/>
                <w:sz w:val="18"/>
                <w:szCs w:val="18"/>
              </w:rPr>
            </w:pPr>
            <w:r>
              <w:rPr>
                <w:rFonts w:ascii="宋体"/>
                <w:sz w:val="18"/>
              </w:rPr>
              <w:t>I5</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-13,605.41</w:t>
            </w:r>
          </w:p>
        </w:tc>
      </w:tr>
      <w:tr>
        <w:trPr>
          <w:trHeight w:val="484" w:hRule="exact"/>
        </w:trPr>
        <w:tc>
          <w:tcPr>
            <w:tcW w:w="1116" w:type="dxa"/>
            <w:vMerge/>
            <w:tcBorders>
              <w:left w:val="nil" w:sz="6" w:space="0" w:color="auto"/>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1" w:right="0"/>
              <w:jc w:val="center"/>
              <w:rPr>
                <w:rFonts w:ascii="宋体" w:hAnsi="宋体" w:cs="宋体" w:eastAsia="宋体" w:hint="default"/>
                <w:sz w:val="18"/>
                <w:szCs w:val="18"/>
              </w:rPr>
            </w:pPr>
            <w:r>
              <w:rPr>
                <w:rFonts w:ascii="宋体"/>
                <w:sz w:val="18"/>
              </w:rPr>
              <w:t>J5</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w:t>
            </w:r>
          </w:p>
        </w:tc>
      </w:tr>
      <w:tr>
        <w:trPr>
          <w:trHeight w:val="484" w:hRule="exact"/>
        </w:trPr>
        <w:tc>
          <w:tcPr>
            <w:tcW w:w="48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 w:right="0"/>
              <w:jc w:val="center"/>
              <w:rPr>
                <w:rFonts w:ascii="宋体" w:hAnsi="宋体" w:cs="宋体" w:eastAsia="宋体" w:hint="default"/>
                <w:sz w:val="18"/>
                <w:szCs w:val="18"/>
              </w:rPr>
            </w:pPr>
            <w:r>
              <w:rPr>
                <w:rFonts w:ascii="宋体"/>
                <w:sz w:val="18"/>
              </w:rPr>
              <w:t>K</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12</w:t>
            </w:r>
          </w:p>
        </w:tc>
      </w:tr>
      <w:tr>
        <w:trPr>
          <w:trHeight w:val="836" w:hRule="exact"/>
        </w:trPr>
        <w:tc>
          <w:tcPr>
            <w:tcW w:w="48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9"/>
              <w:ind w:left="327" w:right="231" w:hanging="46"/>
              <w:jc w:val="left"/>
              <w:rPr>
                <w:rFonts w:ascii="宋体" w:hAnsi="宋体" w:cs="宋体" w:eastAsia="宋体" w:hint="default"/>
                <w:sz w:val="18"/>
                <w:szCs w:val="18"/>
              </w:rPr>
            </w:pPr>
            <w:r>
              <w:rPr>
                <w:rFonts w:ascii="宋体" w:hAnsi="宋体" w:cs="宋体" w:eastAsia="宋体" w:hint="default"/>
                <w:sz w:val="18"/>
                <w:szCs w:val="18"/>
              </w:rPr>
              <w:t>L=D+A/2+E</w:t>
            </w:r>
            <w:r>
              <w:rPr>
                <w:rFonts w:ascii="宋体" w:hAnsi="宋体" w:cs="宋体" w:eastAsia="宋体" w:hint="default"/>
                <w:sz w:val="18"/>
                <w:szCs w:val="18"/>
              </w:rPr>
              <w:t>×</w:t>
            </w:r>
            <w:r>
              <w:rPr>
                <w:rFonts w:ascii="宋体" w:hAnsi="宋体" w:cs="宋体" w:eastAsia="宋体" w:hint="default"/>
                <w:sz w:val="18"/>
                <w:szCs w:val="18"/>
              </w:rPr>
              <w:t>F/K- G</w:t>
            </w: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sz w:val="18"/>
              </w:rPr>
              <w:t>1,587,090,306.98</w:t>
            </w:r>
          </w:p>
        </w:tc>
      </w:tr>
      <w:tr>
        <w:trPr>
          <w:trHeight w:val="484" w:hRule="exact"/>
        </w:trPr>
        <w:tc>
          <w:tcPr>
            <w:tcW w:w="48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 w:right="0"/>
              <w:jc w:val="center"/>
              <w:rPr>
                <w:rFonts w:ascii="宋体" w:hAnsi="宋体" w:cs="宋体" w:eastAsia="宋体" w:hint="default"/>
                <w:sz w:val="18"/>
                <w:szCs w:val="18"/>
              </w:rPr>
            </w:pPr>
            <w:r>
              <w:rPr>
                <w:rFonts w:ascii="宋体"/>
                <w:sz w:val="18"/>
              </w:rPr>
              <w:t>M=A/L</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11.34%</w:t>
            </w:r>
          </w:p>
        </w:tc>
      </w:tr>
      <w:tr>
        <w:trPr>
          <w:trHeight w:val="484" w:hRule="exact"/>
        </w:trPr>
        <w:tc>
          <w:tcPr>
            <w:tcW w:w="4800"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0" w:right="0"/>
              <w:jc w:val="center"/>
              <w:rPr>
                <w:rFonts w:ascii="宋体" w:hAnsi="宋体" w:cs="宋体" w:eastAsia="宋体" w:hint="default"/>
                <w:sz w:val="18"/>
                <w:szCs w:val="18"/>
              </w:rPr>
            </w:pPr>
            <w:r>
              <w:rPr>
                <w:rFonts w:ascii="宋体"/>
                <w:sz w:val="18"/>
              </w:rPr>
              <w:t>N=C/L</w:t>
            </w:r>
          </w:p>
        </w:tc>
        <w:tc>
          <w:tcPr>
            <w:tcW w:w="1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5.91%</w:t>
            </w:r>
          </w:p>
        </w:tc>
      </w:tr>
    </w:tbl>
    <w:p>
      <w:pPr>
        <w:pStyle w:val="BodyText"/>
        <w:spacing w:line="240" w:lineRule="auto" w:before="6"/>
        <w:ind w:left="658" w:right="1688"/>
        <w:jc w:val="left"/>
      </w:pPr>
      <w:r>
        <w:rPr>
          <w:rFonts w:ascii="宋体" w:hAnsi="宋体" w:cs="宋体" w:eastAsia="宋体" w:hint="default"/>
        </w:rPr>
        <w:t>3.</w:t>
      </w:r>
      <w:r>
        <w:rPr>
          <w:rFonts w:ascii="宋体" w:hAnsi="宋体" w:cs="宋体" w:eastAsia="宋体" w:hint="default"/>
          <w:spacing w:val="-2"/>
        </w:rPr>
        <w:t> </w:t>
      </w:r>
      <w:r>
        <w:rPr/>
        <w:t>基本每股收益和稀释每股收益的计算过程</w:t>
      </w:r>
    </w:p>
    <w:p>
      <w:pPr>
        <w:pStyle w:val="BodyText"/>
        <w:spacing w:line="240" w:lineRule="auto" w:before="172"/>
        <w:ind w:left="657" w:right="1688"/>
        <w:jc w:val="left"/>
      </w:pPr>
      <w:r>
        <w:rPr>
          <w:rFonts w:ascii="宋体" w:hAnsi="宋体" w:cs="宋体" w:eastAsia="宋体" w:hint="default"/>
        </w:rPr>
        <w:t>(1)</w:t>
      </w:r>
      <w:r>
        <w:rPr>
          <w:rFonts w:ascii="宋体" w:hAnsi="宋体" w:cs="宋体" w:eastAsia="宋体" w:hint="default"/>
          <w:spacing w:val="-1"/>
        </w:rPr>
        <w:t> </w:t>
      </w:r>
      <w:r>
        <w:rPr/>
        <w:t>基本每股收益的计算过程</w:t>
      </w:r>
    </w:p>
    <w:p>
      <w:pPr>
        <w:spacing w:line="240" w:lineRule="auto" w:before="12"/>
        <w:rPr>
          <w:rFonts w:ascii="宋体" w:hAnsi="宋体" w:cs="宋体" w:eastAsia="宋体" w:hint="default"/>
          <w:sz w:val="15"/>
          <w:szCs w:val="15"/>
        </w:rPr>
      </w:pPr>
    </w:p>
    <w:tbl>
      <w:tblPr>
        <w:tblW w:w="0" w:type="auto"/>
        <w:jc w:val="left"/>
        <w:tblInd w:w="110" w:type="dxa"/>
        <w:tblLayout w:type="fixed"/>
        <w:tblCellMar>
          <w:top w:w="0" w:type="dxa"/>
          <w:left w:w="0" w:type="dxa"/>
          <w:bottom w:w="0" w:type="dxa"/>
          <w:right w:w="0" w:type="dxa"/>
        </w:tblCellMar>
        <w:tblLook w:val="01E0"/>
      </w:tblPr>
      <w:tblGrid>
        <w:gridCol w:w="4800"/>
        <w:gridCol w:w="1845"/>
        <w:gridCol w:w="1898"/>
      </w:tblGrid>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3"/>
              <w:jc w:val="center"/>
              <w:rPr>
                <w:rFonts w:ascii="宋体" w:hAnsi="宋体" w:cs="宋体" w:eastAsia="宋体" w:hint="default"/>
                <w:sz w:val="18"/>
                <w:szCs w:val="18"/>
              </w:rPr>
            </w:pPr>
            <w:r>
              <w:rPr>
                <w:rFonts w:ascii="宋体" w:hAnsi="宋体" w:cs="宋体" w:eastAsia="宋体" w:hint="default"/>
                <w:sz w:val="18"/>
                <w:szCs w:val="18"/>
              </w:rPr>
              <w:t>序  号</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5"/>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A</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179,916,115.75</w:t>
            </w:r>
          </w:p>
        </w:tc>
      </w:tr>
      <w:tr>
        <w:trPr>
          <w:trHeight w:val="465"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B</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86,084,036.80</w:t>
            </w: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C=A-B</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93,832,078.95</w:t>
            </w: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D</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375,588,388.00</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800"/>
        <w:gridCol w:w="1845"/>
        <w:gridCol w:w="1898"/>
      </w:tblGrid>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E</w:t>
            </w: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F</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18,688,459.00</w:t>
            </w:r>
          </w:p>
        </w:tc>
      </w:tr>
      <w:tr>
        <w:trPr>
          <w:trHeight w:val="465"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G</w:t>
            </w: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H</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2,852,397.00</w:t>
            </w:r>
          </w:p>
        </w:tc>
      </w:tr>
      <w:tr>
        <w:trPr>
          <w:trHeight w:val="463"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I</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7</w:t>
            </w: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J</w:t>
            </w:r>
          </w:p>
        </w:tc>
        <w:tc>
          <w:tcPr>
            <w:tcW w:w="189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K</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12</w:t>
            </w:r>
          </w:p>
        </w:tc>
      </w:tr>
      <w:tr>
        <w:trPr>
          <w:trHeight w:val="596"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w:t>
            </w:r>
          </w:p>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-H</w:t>
            </w:r>
            <w:r>
              <w:rPr>
                <w:rFonts w:ascii="宋体" w:hAnsi="宋体" w:cs="宋体" w:eastAsia="宋体" w:hint="default"/>
                <w:sz w:val="18"/>
                <w:szCs w:val="18"/>
              </w:rPr>
              <w:t>×</w:t>
            </w:r>
            <w:r>
              <w:rPr>
                <w:rFonts w:ascii="宋体" w:hAnsi="宋体" w:cs="宋体" w:eastAsia="宋体" w:hint="default"/>
                <w:sz w:val="18"/>
                <w:szCs w:val="18"/>
              </w:rPr>
              <w:t>I/K-J</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7"/>
              <w:jc w:val="right"/>
              <w:rPr>
                <w:rFonts w:ascii="宋体" w:hAnsi="宋体" w:cs="宋体" w:eastAsia="宋体" w:hint="default"/>
                <w:sz w:val="18"/>
                <w:szCs w:val="18"/>
              </w:rPr>
            </w:pPr>
            <w:r>
              <w:rPr>
                <w:rFonts w:ascii="宋体"/>
                <w:sz w:val="18"/>
              </w:rPr>
              <w:t>373,924,489.75</w:t>
            </w: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M=A/L</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0.48</w:t>
            </w:r>
          </w:p>
        </w:tc>
      </w:tr>
      <w:tr>
        <w:trPr>
          <w:trHeight w:val="464" w:hRule="exact"/>
        </w:trPr>
        <w:tc>
          <w:tcPr>
            <w:tcW w:w="4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N=C/L</w:t>
            </w:r>
          </w:p>
        </w:tc>
        <w:tc>
          <w:tcPr>
            <w:tcW w:w="18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0.25</w:t>
            </w:r>
          </w:p>
        </w:tc>
      </w:tr>
    </w:tbl>
    <w:p>
      <w:pPr>
        <w:pStyle w:val="BodyText"/>
        <w:spacing w:line="391" w:lineRule="auto" w:before="6"/>
        <w:ind w:left="657" w:right="4209"/>
        <w:jc w:val="left"/>
      </w:pPr>
      <w:r>
        <w:rPr>
          <w:rFonts w:ascii="宋体" w:hAnsi="宋体" w:cs="宋体" w:eastAsia="宋体" w:hint="default"/>
        </w:rPr>
        <w:t>(2) </w:t>
      </w:r>
      <w:r>
        <w:rPr/>
        <w:t>稀释每股收益的计算过程 稀释每股收益的计算过程与基本每股收益的计算过程相同。 </w:t>
      </w:r>
      <w:bookmarkStart w:name="(三) 会计政策变更相关补充资料" w:id="298"/>
      <w:bookmarkEnd w:id="298"/>
      <w:r>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会计政策变更相关补充资料</w:t>
      </w:r>
    </w:p>
    <w:p>
      <w:pPr>
        <w:pStyle w:val="BodyText"/>
        <w:spacing w:line="240" w:lineRule="auto" w:before="1"/>
        <w:ind w:left="657" w:right="1688"/>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49"/>
        </w:rPr>
        <w:t> </w:t>
      </w:r>
      <w:r>
        <w:rPr/>
        <w:t>年发布的《企业会计准则第</w:t>
      </w:r>
      <w:r>
        <w:rPr>
          <w:spacing w:val="-50"/>
        </w:rPr>
        <w:t> </w:t>
      </w:r>
      <w:r>
        <w:rPr>
          <w:rFonts w:ascii="宋体" w:hAnsi="宋体" w:cs="宋体" w:eastAsia="宋体" w:hint="default"/>
        </w:rPr>
        <w:t>2</w:t>
      </w:r>
      <w:r>
        <w:rPr>
          <w:rFonts w:ascii="宋体" w:hAnsi="宋体" w:cs="宋体" w:eastAsia="宋体" w:hint="default"/>
          <w:spacing w:val="-49"/>
        </w:rPr>
        <w:t> </w:t>
      </w:r>
      <w:r>
        <w:rPr/>
        <w:t>号——长期股权投资》等八项会计</w:t>
      </w:r>
    </w:p>
    <w:p>
      <w:pPr>
        <w:pStyle w:val="BodyText"/>
        <w:spacing w:line="240" w:lineRule="auto" w:before="133"/>
        <w:ind w:left="238" w:right="1688"/>
        <w:jc w:val="left"/>
      </w:pPr>
      <w:r>
        <w:rPr/>
        <w:t>准则变更了相关会计政策并对比较财务报表进行了追溯重述，重述后的</w:t>
      </w:r>
      <w:r>
        <w:rPr>
          <w:spacing w:val="-50"/>
        </w:rPr>
        <w:t> </w:t>
      </w:r>
      <w:r>
        <w:rPr>
          <w:rFonts w:ascii="宋体" w:hAnsi="宋体" w:cs="宋体" w:eastAsia="宋体" w:hint="default"/>
        </w:rPr>
        <w:t>2013</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51"/>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w:t>
      </w:r>
    </w:p>
    <w:p>
      <w:pPr>
        <w:pStyle w:val="BodyText"/>
        <w:spacing w:line="240" w:lineRule="auto" w:before="134"/>
        <w:ind w:left="238" w:right="1688"/>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日合并资产负债表如下：</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470"/>
        <w:gridCol w:w="1688"/>
        <w:gridCol w:w="1689"/>
        <w:gridCol w:w="1690"/>
      </w:tblGrid>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宋体" w:hAnsi="宋体" w:cs="宋体" w:eastAsia="宋体" w:hint="default"/>
                <w:sz w:val="18"/>
                <w:szCs w:val="18"/>
              </w:rPr>
            </w:pPr>
            <w:r>
              <w:rPr>
                <w:rFonts w:ascii="宋体"/>
                <w:sz w:val="18"/>
              </w:rPr>
              <w:t>2013.1.1</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7" w:right="0"/>
              <w:jc w:val="left"/>
              <w:rPr>
                <w:rFonts w:ascii="宋体" w:hAnsi="宋体" w:cs="宋体" w:eastAsia="宋体" w:hint="default"/>
                <w:sz w:val="18"/>
                <w:szCs w:val="18"/>
              </w:rPr>
            </w:pPr>
            <w:r>
              <w:rPr>
                <w:rFonts w:ascii="宋体"/>
                <w:sz w:val="18"/>
              </w:rPr>
              <w:t>2013.12.31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left="388" w:right="0"/>
              <w:jc w:val="left"/>
              <w:rPr>
                <w:rFonts w:ascii="宋体" w:hAnsi="宋体" w:cs="宋体" w:eastAsia="宋体" w:hint="default"/>
                <w:sz w:val="18"/>
                <w:szCs w:val="18"/>
              </w:rPr>
            </w:pPr>
            <w:r>
              <w:rPr>
                <w:rFonts w:ascii="宋体"/>
                <w:sz w:val="18"/>
              </w:rPr>
              <w:t>2014.12.31</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153,852,847.84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482,266,172.27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179,467,891.43</w:t>
            </w:r>
          </w:p>
        </w:tc>
      </w:tr>
      <w:tr>
        <w:trPr>
          <w:trHeight w:val="716"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10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6,638,240.00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18,517,087.00</w:t>
            </w: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15,520,432.80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14,930,668.61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45,769,566.02</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512,748,804.05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641,839,996.36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1,461,078,437.28</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46,307,695.76</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52,210,669.48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80,735,693.80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59,776,039.24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77,987,370.23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69,920,045.49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340,479,701.04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364,223,643.92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448,763,042.75</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38" w:top="1100" w:bottom="1120" w:left="15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470"/>
        <w:gridCol w:w="1688"/>
        <w:gridCol w:w="1689"/>
        <w:gridCol w:w="1690"/>
      </w:tblGrid>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19,932,173.20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33,538,771.86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36,165,902.02</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4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1,155,255,933.93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1,685,514,379.73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2,321,900,578.79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1,000,000.00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7,000,000.00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7,000,000.00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126,767,713.05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130,086,889.17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96,745,428.04</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4,203,711.35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3,998,945.15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3,794,178.95</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629,417,028.03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577,618,770.68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458,824,541.23</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13,110,825.18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24,124,842.60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114,058,618.60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137,653,075.58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125,469,648.69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236,580,252.49</w:t>
            </w: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81,682,620.26</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77,105,651.14</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762,100,191.70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1,799,841.40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2,431,684.26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3,940,527.60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8,209,227.80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11,674,217.34</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25,975,890.16</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55,630,000.00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198,390,000.00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170,487,762.83</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5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1,059,474,042.65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1,157,900,649.03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1,879,507,391.60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99"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2,214,729,976.58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2,843,415,028.76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4,201,407,970.39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539,163,183.02</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434,794,798.99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414,116,792.07</w:t>
            </w:r>
          </w:p>
        </w:tc>
      </w:tr>
      <w:tr>
        <w:trPr>
          <w:trHeight w:val="718"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5"/>
              <w:ind w:left="302" w:right="10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2,333,342.50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50,735,014.00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56,246,123.60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58,349,154.00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271,254,907.17</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320,999,267.23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828,566,738.78</w:t>
            </w: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69,494,059.54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73,443,000.86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134,110,119.72</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29,997,942.44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37,433,187.76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68,472,472.68</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6,767,680.94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10,569,972.56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51,771,050.23</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8"/>
                <w:szCs w:val="18"/>
              </w:rPr>
            </w:pPr>
            <w:r>
              <w:rPr>
                <w:rFonts w:ascii="宋体"/>
                <w:sz w:val="18"/>
              </w:rPr>
              <w:t>981,620.67</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宋体" w:hAnsi="宋体" w:cs="宋体" w:eastAsia="宋体" w:hint="default"/>
                <w:sz w:val="18"/>
                <w:szCs w:val="18"/>
              </w:rPr>
            </w:pPr>
            <w:r>
              <w:rPr>
                <w:rFonts w:ascii="宋体"/>
                <w:sz w:val="18"/>
              </w:rPr>
              <w:t>868,938.95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sz w:val="18"/>
              </w:rPr>
              <w:t>830,369.24</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32,302,584.72</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27,860,175.40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249,306,947.05</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470"/>
        <w:gridCol w:w="1688"/>
        <w:gridCol w:w="1689"/>
        <w:gridCol w:w="1690"/>
      </w:tblGrid>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1,000,000.00</w:t>
            </w: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7,500,000.00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4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1,001,696,992.50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962,215,465.35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1,815,356,986.27</w:t>
            </w: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100,000,000.00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100,000,000.00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117,500,000.00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185,620,000.00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137,500,000.00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1,931,420.15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3,096,727.36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2,654,610.89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33,607,972.15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44,308,373.48</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995,736.00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2,777,563.05</w:t>
            </w: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5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102,927,156.15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325,102,262.56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301,962,984.37</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1,104,624,148.65</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1,287,317,727.91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2,117,319,970.64</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319,644,353.00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375,588,388.00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391,424,450.00</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246,927,473.20</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593,323,651.75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910,053,162.69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1,277,431.42</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1,076,230.50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-1,672,658.39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729,976.48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1,075,087.49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3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68,454,589.94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80,239,457.81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7"/>
              <w:jc w:val="right"/>
              <w:rPr>
                <w:rFonts w:ascii="宋体" w:hAnsi="宋体" w:cs="宋体" w:eastAsia="宋体" w:hint="default"/>
                <w:sz w:val="18"/>
                <w:szCs w:val="18"/>
              </w:rPr>
            </w:pPr>
            <w:r>
              <w:rPr>
                <w:rFonts w:ascii="宋体"/>
                <w:sz w:val="18"/>
              </w:rPr>
              <w:t>96,096,139.44</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426,649,684.68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461,337,026.99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606,759,661.56</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820"/>
              <w:jc w:val="righ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1,062,953,532.24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1,512,294,731.53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2,003,735,842.79</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47,152,295.69</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43,802,569.32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80,352,156.96</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15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1,110,105,827.93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1,556,097,300.85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2,084,087,999.75</w:t>
            </w:r>
          </w:p>
        </w:tc>
      </w:tr>
      <w:tr>
        <w:trPr>
          <w:trHeight w:val="484" w:hRule="exact"/>
        </w:trPr>
        <w:tc>
          <w:tcPr>
            <w:tcW w:w="34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right="780"/>
              <w:jc w:val="righ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2,214,729,976.58</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2,843,415,028.76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07"/>
              <w:jc w:val="right"/>
              <w:rPr>
                <w:rFonts w:ascii="宋体" w:hAnsi="宋体" w:cs="宋体" w:eastAsia="宋体" w:hint="default"/>
                <w:sz w:val="18"/>
                <w:szCs w:val="18"/>
              </w:rPr>
            </w:pPr>
            <w:r>
              <w:rPr>
                <w:rFonts w:ascii="宋体"/>
                <w:sz w:val="18"/>
              </w:rPr>
              <w:t>4,201,407,970.39</w:t>
            </w:r>
          </w:p>
        </w:tc>
      </w:tr>
    </w:tbl>
    <w:p>
      <w:pPr>
        <w:spacing w:after="0" w:line="240" w:lineRule="auto"/>
        <w:jc w:val="right"/>
        <w:rPr>
          <w:rFonts w:ascii="宋体" w:hAnsi="宋体" w:cs="宋体" w:eastAsia="宋体" w:hint="default"/>
          <w:sz w:val="18"/>
          <w:szCs w:val="18"/>
        </w:rPr>
        <w:sectPr>
          <w:pgSz w:w="11910" w:h="16840"/>
          <w:pgMar w:header="877" w:footer="938" w:top="1100" w:bottom="1120" w:left="1560" w:right="0"/>
        </w:sectPr>
      </w:pPr>
    </w:p>
    <w:p>
      <w:pPr>
        <w:spacing w:line="240" w:lineRule="auto" w:before="1"/>
        <w:rPr>
          <w:rFonts w:ascii="Times New Roman" w:hAnsi="Times New Roman" w:cs="Times New Roman" w:eastAsia="Times New Roman" w:hint="default"/>
          <w:sz w:val="23"/>
          <w:szCs w:val="23"/>
        </w:rPr>
      </w:pPr>
    </w:p>
    <w:p>
      <w:pPr>
        <w:pStyle w:val="Heading1"/>
        <w:spacing w:line="240" w:lineRule="auto"/>
        <w:ind w:left="2607" w:right="0"/>
        <w:jc w:val="left"/>
        <w:rPr>
          <w:b w:val="0"/>
          <w:bCs w:val="0"/>
        </w:rPr>
      </w:pPr>
      <w:bookmarkStart w:name="第十二节 备查文件目录" w:id="299"/>
      <w:bookmarkEnd w:id="299"/>
      <w:r>
        <w:rPr>
          <w:b w:val="0"/>
          <w:bCs w:val="0"/>
        </w:rPr>
      </w:r>
      <w:bookmarkStart w:name="_bookmark11" w:id="300"/>
      <w:bookmarkEnd w:id="300"/>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1"/>
        <w:rPr>
          <w:rFonts w:ascii="宋体" w:hAnsi="宋体" w:cs="宋体" w:eastAsia="宋体" w:hint="default"/>
          <w:b/>
          <w:bCs/>
          <w:sz w:val="39"/>
          <w:szCs w:val="39"/>
        </w:rPr>
      </w:pPr>
    </w:p>
    <w:p>
      <w:pPr>
        <w:pStyle w:val="BodyText"/>
        <w:spacing w:line="357" w:lineRule="auto" w:before="0"/>
        <w:ind w:left="557" w:right="2529"/>
        <w:jc w:val="left"/>
      </w:pPr>
      <w:r>
        <w:rPr/>
        <w:t>一、载有法定代表人、财务负责人、会计机构负责人签名并盖章的会计报表。 二、载有会计师事务所盖章、注册会计师签名并盖章的审计报告原件。 三、载有法定代表人签名的</w:t>
      </w:r>
      <w:r>
        <w:rPr>
          <w:rFonts w:ascii="宋体" w:hAnsi="宋体" w:cs="宋体" w:eastAsia="宋体" w:hint="default"/>
        </w:rPr>
        <w:t>2014</w:t>
      </w:r>
      <w:r>
        <w:rPr/>
        <w:t>年年度报告文本原件。 四、以上备查文件的备置地点：公司董事会办公室。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0"/>
        <w:ind w:left="6350" w:right="0"/>
        <w:jc w:val="left"/>
      </w:pPr>
      <w:r>
        <w:rPr/>
        <w:t>利欧集团股份有限公司</w:t>
      </w:r>
    </w:p>
    <w:p>
      <w:pPr>
        <w:spacing w:line="240" w:lineRule="auto" w:before="5"/>
        <w:rPr>
          <w:rFonts w:ascii="宋体" w:hAnsi="宋体" w:cs="宋体" w:eastAsia="宋体" w:hint="default"/>
          <w:sz w:val="19"/>
          <w:szCs w:val="19"/>
        </w:rPr>
      </w:pPr>
    </w:p>
    <w:p>
      <w:pPr>
        <w:pStyle w:val="BodyText"/>
        <w:spacing w:line="463" w:lineRule="auto" w:before="0"/>
        <w:ind w:left="6561" w:right="1775" w:firstLine="420"/>
        <w:jc w:val="left"/>
      </w:pPr>
      <w:r>
        <w:rPr/>
        <w:t>董事长：王相荣 二〇一五年三月十日</w:t>
      </w:r>
    </w:p>
    <w:sectPr>
      <w:pgSz w:w="11910" w:h="16840"/>
      <w:pgMar w:header="877" w:footer="938" w:top="1100" w:bottom="112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740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7336" type="#_x0000_t75" stroked="false">
          <v:imagedata r:id="rId1" o:title=""/>
        </v:shape>
      </w:pict>
    </w:r>
    <w:r>
      <w:rPr/>
      <w:pict>
        <v:shape style="position:absolute;margin-left:291.200012pt;margin-top:783.997925pt;width:13pt;height:11pt;mso-position-horizontal-relative:page;mso-position-vertical-relative:page;z-index:-907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7288" type="#_x0000_t75" stroked="false">
          <v:imagedata r:id="rId1" o:title=""/>
        </v:shape>
      </w:pict>
    </w:r>
    <w:r>
      <w:rPr/>
      <w:pict>
        <v:shape style="position:absolute;margin-left:291.200012pt;margin-top:783.997925pt;width:13pt;height:11pt;mso-position-horizontal-relative:page;mso-position-vertical-relative:page;z-index:-907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907192" type="#_x0000_t75" stroked="false">
          <v:imagedata r:id="rId1" o:title=""/>
        </v:shape>
      </w:pict>
    </w:r>
    <w:r>
      <w:rPr/>
      <w:pict>
        <v:shape style="position:absolute;margin-left:414.480011pt;margin-top:537.397949pt;width:13pt;height:11pt;mso-position-horizontal-relative:page;mso-position-vertical-relative:page;z-index:-907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7096" type="#_x0000_t75" stroked="false">
          <v:imagedata r:id="rId1" o:title=""/>
        </v:shape>
      </w:pict>
    </w:r>
    <w:r>
      <w:rPr/>
      <w:pict>
        <v:shape style="position:absolute;margin-left:291.200012pt;margin-top:783.997925pt;width:13pt;height:11pt;mso-position-horizontal-relative:page;mso-position-vertical-relative:page;z-index:-90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7048" type="#_x0000_t75" stroked="false">
          <v:imagedata r:id="rId1" o:title=""/>
        </v:shape>
      </w:pict>
    </w:r>
    <w:r>
      <w:rPr/>
      <w:pict>
        <v:shape style="position:absolute;margin-left:289.920013pt;margin-top:783.997925pt;width:15.5pt;height:11pt;mso-position-horizontal-relative:page;mso-position-vertical-relative:page;z-index:-907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07000" type="#_x0000_t75" stroked="false">
          <v:imagedata r:id="rId1" o:title=""/>
        </v:shape>
      </w:pict>
    </w:r>
    <w:r>
      <w:rPr/>
      <w:pict>
        <v:shape style="position:absolute;margin-left:288.920013pt;margin-top:783.997925pt;width:17.5pt;height:11pt;mso-position-horizontal-relative:page;mso-position-vertical-relative:page;z-index:-906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18.7pt;height:.1pt;mso-position-horizontal-relative:page;mso-position-vertical-relative:page;z-index:-907384" coordorigin="1768,1112" coordsize="8374,2">
          <v:shape style="position:absolute;left:1768;top:1112;width:8374;height:2" coordorigin="1768,1112" coordsize="8374,0" path="m1768,1112l10141,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8.040009pt;margin-top:42.865608pt;width:168.55pt;height:11.5pt;mso-position-horizontal-relative:page;mso-position-vertical-relative:page;z-index:-907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907240"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602.460022pt;margin-top:42.865631pt;width:168.55pt;height:11.5pt;mso-position-horizontal-relative:page;mso-position-vertical-relative:page;z-index:-907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18.7pt;height:.1pt;mso-position-horizontal-relative:page;mso-position-vertical-relative:page;z-index:-907144" coordorigin="1768,1112" coordsize="8374,2">
          <v:shape style="position:absolute;left:1768;top:1112;width:8374;height:2" coordorigin="1768,1112" coordsize="8374,0" path="m1768,1112l10141,1112e" filled="false" stroked="true" strokeweight=".72pt" strokecolor="#000000">
            <v:path arrowok="t"/>
          </v:shape>
          <w10:wrap type="none"/>
        </v:group>
      </w:pict>
    </w:r>
    <w:r>
      <w:rPr/>
      <w:pict>
        <v:shape style="position:absolute;margin-left:338.040009pt;margin-top:42.865608pt;width:168.55pt;height:11.5pt;mso-position-horizontal-relative:page;mso-position-vertical-relative:page;z-index:-907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利欧集团股份有限公司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137"/>
    </w:pPr>
    <w:rPr>
      <w:rFonts w:ascii="宋体" w:hAnsi="宋体" w:eastAsia="宋体"/>
      <w:b/>
      <w:bCs/>
      <w:sz w:val="24"/>
      <w:szCs w:val="24"/>
    </w:rPr>
  </w:style>
  <w:style w:styleId="BodyText" w:type="paragraph">
    <w:name w:val="Body Text"/>
    <w:basedOn w:val="Normal"/>
    <w:uiPriority w:val="1"/>
    <w:qFormat/>
    <w:pPr>
      <w:spacing w:before="30"/>
      <w:ind w:left="137"/>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738"/>
      <w:outlineLvl w:val="2"/>
    </w:pPr>
    <w:rPr>
      <w:rFonts w:ascii="宋体" w:hAnsi="宋体" w:eastAsia="宋体"/>
      <w:b/>
      <w:bCs/>
      <w:sz w:val="24"/>
      <w:szCs w:val="24"/>
    </w:rPr>
  </w:style>
  <w:style w:styleId="Heading3" w:type="paragraph">
    <w:name w:val="Heading 3"/>
    <w:basedOn w:val="Normal"/>
    <w:uiPriority w:val="1"/>
    <w:qFormat/>
    <w:pPr>
      <w:ind w:left="73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leogroup.cn/" TargetMode="External"/><Relationship Id="rId10" Type="http://schemas.openxmlformats.org/officeDocument/2006/relationships/hyperlink" Target="mailto:wxr@leogroup.cn" TargetMode="External"/><Relationship Id="rId11" Type="http://schemas.openxmlformats.org/officeDocument/2006/relationships/hyperlink" Target="mailto:sec@leogroup.cn"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eader" Target="header3.xml"/><Relationship Id="rId25" Type="http://schemas.openxmlformats.org/officeDocument/2006/relationships/footer" Target="footer5.xml"/><Relationship Id="rId26" Type="http://schemas.openxmlformats.org/officeDocument/2006/relationships/header" Target="header4.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2020-05-06T16:00:17Z</dcterms:created>
  <dcterms:modified xsi:type="dcterms:W3CDTF">2020-05-06T16:00:17Z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2015-03-09T00:00:00Z</vt:filetime>
  </property>
  <property fmtid="{D5CDD505-2E9C-101B-9397-08002B2CF9AE}" pid="3" name="Creator">
    <vt:lpwstr>Microsoft® Office Word 2007</vt:lpwstr>
  </property>
  <property fmtid="{D5CDD505-2E9C-101B-9397-08002B2CF9AE}" pid="4" name="LastSaved">
    <vt:filetime>2020-05-06T00:00:00Z</vt:filetime>
  </property>
</Properties>
</file>