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1951" w:lineRule="exact"/>
        <w:ind w:left="3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2021319" cy="12394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021319" cy="1239488"/>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spacing w:line="620" w:lineRule="exact" w:before="0"/>
        <w:ind w:left="0" w:right="977" w:firstLine="0"/>
        <w:jc w:val="center"/>
        <w:rPr>
          <w:rFonts w:ascii="宋体" w:hAnsi="宋体" w:cs="宋体" w:eastAsia="宋体" w:hint="default"/>
          <w:sz w:val="52"/>
          <w:szCs w:val="52"/>
        </w:rPr>
      </w:pPr>
      <w:r>
        <w:rPr>
          <w:rFonts w:ascii="宋体" w:hAnsi="宋体" w:cs="宋体" w:eastAsia="宋体" w:hint="default"/>
          <w:b/>
          <w:bCs/>
          <w:sz w:val="52"/>
          <w:szCs w:val="52"/>
        </w:rPr>
        <w:t>利欧集团股份有限公司</w:t>
      </w:r>
      <w:r>
        <w:rPr>
          <w:rFonts w:ascii="宋体" w:hAnsi="宋体" w:cs="宋体" w:eastAsia="宋体" w:hint="default"/>
          <w:sz w:val="52"/>
          <w:szCs w:val="52"/>
        </w:rPr>
      </w:r>
    </w:p>
    <w:p>
      <w:pPr>
        <w:spacing w:before="219"/>
        <w:ind w:left="0" w:right="988" w:firstLine="0"/>
        <w:jc w:val="center"/>
        <w:rPr>
          <w:rFonts w:ascii="宋体" w:hAnsi="宋体" w:cs="宋体" w:eastAsia="宋体" w:hint="default"/>
          <w:sz w:val="36"/>
          <w:szCs w:val="36"/>
        </w:rPr>
      </w:pPr>
      <w:r>
        <w:rPr>
          <w:rFonts w:ascii="宋体"/>
          <w:b/>
          <w:sz w:val="36"/>
        </w:rPr>
        <w:t>Leo Group</w:t>
      </w:r>
      <w:r>
        <w:rPr>
          <w:rFonts w:ascii="宋体"/>
          <w:b/>
          <w:spacing w:val="-19"/>
          <w:sz w:val="36"/>
        </w:rPr>
        <w:t> </w:t>
      </w:r>
      <w:r>
        <w:rPr>
          <w:rFonts w:ascii="宋体"/>
          <w:b/>
          <w:sz w:val="36"/>
        </w:rPr>
        <w:t>Co.,Ltd.</w:t>
      </w:r>
      <w:r>
        <w:rPr>
          <w:rFonts w:ascii="宋体"/>
          <w:sz w:val="36"/>
        </w:rPr>
      </w: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3"/>
          <w:szCs w:val="43"/>
        </w:rPr>
      </w:pPr>
    </w:p>
    <w:p>
      <w:pPr>
        <w:spacing w:before="0"/>
        <w:ind w:left="0" w:right="976" w:firstLine="0"/>
        <w:jc w:val="center"/>
        <w:rPr>
          <w:rFonts w:ascii="宋体" w:hAnsi="宋体" w:cs="宋体" w:eastAsia="宋体" w:hint="default"/>
          <w:sz w:val="52"/>
          <w:szCs w:val="52"/>
        </w:rPr>
      </w:pPr>
      <w:r>
        <w:rPr>
          <w:rFonts w:ascii="宋体" w:hAnsi="宋体" w:cs="宋体" w:eastAsia="宋体" w:hint="default"/>
          <w:b/>
          <w:bCs/>
          <w:sz w:val="52"/>
          <w:szCs w:val="52"/>
        </w:rPr>
        <w:t>2015</w:t>
      </w:r>
      <w:r>
        <w:rPr>
          <w:rFonts w:ascii="宋体" w:hAnsi="宋体" w:cs="宋体" w:eastAsia="宋体" w:hint="default"/>
          <w:b/>
          <w:bCs/>
          <w:spacing w:val="-136"/>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before="427"/>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2016</w:t>
      </w:r>
      <w:r>
        <w:rPr>
          <w:rFonts w:ascii="宋体" w:hAnsi="宋体" w:cs="宋体" w:eastAsia="宋体" w:hint="default"/>
          <w:b/>
          <w:bCs/>
          <w:spacing w:val="-92"/>
          <w:sz w:val="36"/>
          <w:szCs w:val="36"/>
        </w:rPr>
        <w:t> </w:t>
      </w:r>
      <w:r>
        <w:rPr>
          <w:rFonts w:ascii="宋体" w:hAnsi="宋体" w:cs="宋体" w:eastAsia="宋体" w:hint="default"/>
          <w:b/>
          <w:bCs/>
          <w:sz w:val="36"/>
          <w:szCs w:val="36"/>
        </w:rPr>
        <w:t>年</w:t>
      </w:r>
      <w:r>
        <w:rPr>
          <w:rFonts w:ascii="宋体" w:hAnsi="宋体" w:cs="宋体" w:eastAsia="宋体" w:hint="default"/>
          <w:b/>
          <w:bCs/>
          <w:spacing w:val="-94"/>
          <w:sz w:val="36"/>
          <w:szCs w:val="36"/>
        </w:rPr>
        <w:t> </w:t>
      </w:r>
      <w:r>
        <w:rPr>
          <w:rFonts w:ascii="宋体" w:hAnsi="宋体" w:cs="宋体" w:eastAsia="宋体" w:hint="default"/>
          <w:b/>
          <w:bCs/>
          <w:sz w:val="36"/>
          <w:szCs w:val="36"/>
        </w:rPr>
        <w:t>4</w:t>
      </w:r>
      <w:r>
        <w:rPr>
          <w:rFonts w:ascii="宋体" w:hAnsi="宋体" w:cs="宋体" w:eastAsia="宋体" w:hint="default"/>
          <w:b/>
          <w:bCs/>
          <w:spacing w:val="-94"/>
          <w:sz w:val="36"/>
          <w:szCs w:val="36"/>
        </w:rPr>
        <w:t> </w:t>
      </w:r>
      <w:r>
        <w:rPr>
          <w:rFonts w:ascii="宋体" w:hAnsi="宋体" w:cs="宋体" w:eastAsia="宋体" w:hint="default"/>
          <w:b/>
          <w:bCs/>
          <w:sz w:val="36"/>
          <w:szCs w:val="36"/>
        </w:rPr>
        <w:t>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0" w:firstLine="482"/>
        <w:jc w:val="left"/>
        <w:rPr>
          <w:rFonts w:ascii="仿宋" w:hAnsi="仿宋" w:cs="仿宋" w:eastAsia="仿宋" w:hint="default"/>
          <w:b w:val="0"/>
          <w:bCs w:val="0"/>
        </w:rPr>
      </w:pPr>
      <w:r>
        <w:rPr>
          <w:rFonts w:ascii="仿宋" w:hAnsi="仿宋" w:cs="仿宋" w:eastAsia="仿宋" w:hint="default"/>
          <w:w w:val="95"/>
        </w:rPr>
        <w:t>本公司董事会、监事会及董事、监事、高级管理人员保证年度报告内容的真实、准确、</w:t>
      </w:r>
      <w:r>
        <w:rPr>
          <w:rFonts w:ascii="仿宋" w:hAnsi="仿宋" w:cs="仿宋" w:eastAsia="仿宋" w:hint="default"/>
          <w:w w:val="99"/>
        </w:rPr>
        <w:t> </w:t>
      </w:r>
      <w:r>
        <w:rPr>
          <w:rFonts w:ascii="仿宋" w:hAnsi="仿宋" w:cs="仿宋" w:eastAsia="仿宋" w:hint="default"/>
        </w:rPr>
        <w:t>完整，不存在虚假记载、误导性陈述或重大遗漏，并承担个别和连带的法律责任。</w:t>
      </w:r>
      <w:r>
        <w:rPr>
          <w:rFonts w:ascii="仿宋" w:hAnsi="仿宋" w:cs="仿宋" w:eastAsia="仿宋" w:hint="default"/>
          <w:b w:val="0"/>
          <w:bCs w:val="0"/>
        </w:rPr>
      </w:r>
    </w:p>
    <w:p>
      <w:pPr>
        <w:pStyle w:val="Heading2"/>
        <w:spacing w:line="357" w:lineRule="auto" w:before="136"/>
        <w:ind w:right="0" w:firstLine="482"/>
        <w:jc w:val="left"/>
        <w:rPr>
          <w:rFonts w:ascii="仿宋" w:hAnsi="仿宋" w:cs="仿宋" w:eastAsia="仿宋" w:hint="default"/>
          <w:b w:val="0"/>
          <w:bCs w:val="0"/>
        </w:rPr>
      </w:pPr>
      <w:r>
        <w:rPr>
          <w:rFonts w:ascii="仿宋" w:hAnsi="仿宋" w:cs="仿宋" w:eastAsia="仿宋" w:hint="default"/>
          <w:spacing w:val="6"/>
        </w:rPr>
        <w:t>公司负责人王相荣、主管会计工作负责人及会计机构负责人</w:t>
      </w:r>
      <w:r>
        <w:rPr>
          <w:rFonts w:ascii="仿宋" w:hAnsi="仿宋" w:cs="仿宋" w:eastAsia="仿宋" w:hint="default"/>
          <w:spacing w:val="6"/>
        </w:rPr>
        <w:t>(</w:t>
      </w:r>
      <w:r>
        <w:rPr>
          <w:rFonts w:ascii="仿宋" w:hAnsi="仿宋" w:cs="仿宋" w:eastAsia="仿宋" w:hint="default"/>
          <w:spacing w:val="6"/>
        </w:rPr>
        <w:t>会计主管人员</w:t>
      </w:r>
      <w:r>
        <w:rPr>
          <w:rFonts w:ascii="仿宋" w:hAnsi="仿宋" w:cs="仿宋" w:eastAsia="仿宋" w:hint="default"/>
          <w:spacing w:val="6"/>
        </w:rPr>
        <w:t>)</w:t>
      </w:r>
      <w:r>
        <w:rPr>
          <w:rFonts w:ascii="仿宋" w:hAnsi="仿宋" w:cs="仿宋" w:eastAsia="仿宋" w:hint="default"/>
          <w:spacing w:val="6"/>
        </w:rPr>
        <w:t>陈林富声</w:t>
      </w:r>
      <w:r>
        <w:rPr>
          <w:rFonts w:ascii="仿宋" w:hAnsi="仿宋" w:cs="仿宋" w:eastAsia="仿宋" w:hint="default"/>
          <w:spacing w:val="7"/>
          <w:w w:val="99"/>
        </w:rPr>
        <w:t> </w:t>
      </w:r>
      <w:r>
        <w:rPr>
          <w:rFonts w:ascii="仿宋" w:hAnsi="仿宋" w:cs="仿宋" w:eastAsia="仿宋" w:hint="default"/>
        </w:rPr>
        <w:t>明：保证年度报告中财务报告的真实、准确、完整。</w:t>
      </w:r>
      <w:r>
        <w:rPr>
          <w:rFonts w:ascii="仿宋" w:hAnsi="仿宋" w:cs="仿宋" w:eastAsia="仿宋" w:hint="default"/>
          <w:b w:val="0"/>
          <w:bCs w:val="0"/>
        </w:rPr>
      </w:r>
    </w:p>
    <w:p>
      <w:pPr>
        <w:pStyle w:val="Heading2"/>
        <w:spacing w:line="432" w:lineRule="auto" w:before="136"/>
        <w:ind w:left="636" w:right="0"/>
        <w:jc w:val="left"/>
        <w:rPr>
          <w:rFonts w:ascii="仿宋" w:hAnsi="仿宋" w:cs="仿宋" w:eastAsia="仿宋" w:hint="default"/>
          <w:b w:val="0"/>
          <w:bCs w:val="0"/>
        </w:rPr>
      </w:pPr>
      <w:r>
        <w:rPr>
          <w:rFonts w:ascii="仿宋" w:hAnsi="仿宋" w:cs="仿宋" w:eastAsia="仿宋" w:hint="default"/>
        </w:rPr>
        <w:t>所有董事均已出席了审议本报告的董事会会议。</w:t>
      </w:r>
      <w:r>
        <w:rPr>
          <w:rFonts w:ascii="仿宋" w:hAnsi="仿宋" w:cs="仿宋" w:eastAsia="仿宋" w:hint="default"/>
          <w:w w:val="99"/>
        </w:rPr>
        <w:t> </w:t>
      </w:r>
      <w:r>
        <w:rPr>
          <w:rFonts w:ascii="仿宋" w:hAnsi="仿宋" w:cs="仿宋" w:eastAsia="仿宋" w:hint="default"/>
          <w:w w:val="95"/>
        </w:rPr>
        <w:t>本年度报告涉及未来计划等前瞻性陈述，不构成公司对投资者的实质承诺，请投资者注</w:t>
      </w:r>
      <w:r>
        <w:rPr>
          <w:rFonts w:ascii="仿宋" w:hAnsi="仿宋" w:cs="仿宋" w:eastAsia="仿宋" w:hint="default"/>
          <w:b w:val="0"/>
          <w:bCs w:val="0"/>
        </w:rPr>
      </w:r>
    </w:p>
    <w:p>
      <w:pPr>
        <w:pStyle w:val="Heading2"/>
        <w:spacing w:line="277" w:lineRule="exact"/>
        <w:ind w:right="0"/>
        <w:jc w:val="left"/>
        <w:rPr>
          <w:rFonts w:ascii="仿宋" w:hAnsi="仿宋" w:cs="仿宋" w:eastAsia="仿宋" w:hint="default"/>
          <w:b w:val="0"/>
          <w:bCs w:val="0"/>
        </w:rPr>
      </w:pPr>
      <w:r>
        <w:rPr>
          <w:rFonts w:ascii="仿宋" w:hAnsi="仿宋" w:cs="仿宋" w:eastAsia="仿宋" w:hint="default"/>
        </w:rPr>
        <w:t>意投资风险。</w:t>
      </w:r>
      <w:r>
        <w:rPr>
          <w:rFonts w:ascii="仿宋" w:hAnsi="仿宋" w:cs="仿宋" w:eastAsia="仿宋" w:hint="default"/>
          <w:b w:val="0"/>
          <w:bCs w:val="0"/>
        </w:rPr>
      </w:r>
    </w:p>
    <w:p>
      <w:pPr>
        <w:spacing w:line="240" w:lineRule="auto" w:before="5"/>
        <w:rPr>
          <w:rFonts w:ascii="仿宋" w:hAnsi="仿宋" w:cs="仿宋" w:eastAsia="仿宋" w:hint="default"/>
          <w:b/>
          <w:bCs/>
          <w:sz w:val="19"/>
          <w:szCs w:val="19"/>
        </w:rPr>
      </w:pPr>
    </w:p>
    <w:p>
      <w:pPr>
        <w:pStyle w:val="Heading2"/>
        <w:spacing w:line="357" w:lineRule="auto"/>
        <w:ind w:right="0" w:firstLine="482"/>
        <w:jc w:val="left"/>
        <w:rPr>
          <w:rFonts w:ascii="仿宋" w:hAnsi="仿宋" w:cs="仿宋" w:eastAsia="仿宋" w:hint="default"/>
          <w:b w:val="0"/>
          <w:bCs w:val="0"/>
        </w:rPr>
      </w:pPr>
      <w:r>
        <w:rPr>
          <w:rFonts w:ascii="仿宋" w:hAnsi="仿宋" w:cs="仿宋" w:eastAsia="仿宋" w:hint="default"/>
          <w:w w:val="95"/>
        </w:rPr>
        <w:t>本公司存在市场波动、原材料价格波动、业务整合、交易形成的商誉将影响公司未来业</w:t>
      </w:r>
      <w:r>
        <w:rPr>
          <w:rFonts w:ascii="仿宋" w:hAnsi="仿宋" w:cs="仿宋" w:eastAsia="仿宋" w:hint="default"/>
          <w:w w:val="99"/>
        </w:rPr>
        <w:t> </w:t>
      </w:r>
      <w:r>
        <w:rPr>
          <w:rFonts w:ascii="仿宋" w:hAnsi="仿宋" w:cs="仿宋" w:eastAsia="仿宋" w:hint="default"/>
        </w:rPr>
        <w:t>绩及财务指标等风险。敬请广大投资者注意投资风险。</w:t>
      </w:r>
      <w:r>
        <w:rPr>
          <w:rFonts w:ascii="仿宋" w:hAnsi="仿宋" w:cs="仿宋" w:eastAsia="仿宋" w:hint="default"/>
          <w:b w:val="0"/>
          <w:bCs w:val="0"/>
        </w:rPr>
      </w:r>
    </w:p>
    <w:p>
      <w:pPr>
        <w:pStyle w:val="Heading2"/>
        <w:spacing w:line="240" w:lineRule="auto" w:before="134"/>
        <w:ind w:left="636" w:right="0"/>
        <w:jc w:val="left"/>
        <w:rPr>
          <w:rFonts w:ascii="仿宋" w:hAnsi="仿宋" w:cs="仿宋" w:eastAsia="仿宋" w:hint="default"/>
          <w:b w:val="0"/>
          <w:bCs w:val="0"/>
        </w:rPr>
      </w:pPr>
      <w:r>
        <w:rPr>
          <w:rFonts w:ascii="仿宋" w:hAnsi="仿宋" w:cs="仿宋" w:eastAsia="仿宋" w:hint="default"/>
        </w:rPr>
        <w:t>公司经本次董事会审议通过的利润分配预案为：以</w:t>
      </w:r>
      <w:r>
        <w:rPr>
          <w:rFonts w:ascii="仿宋" w:hAnsi="仿宋" w:cs="仿宋" w:eastAsia="仿宋" w:hint="default"/>
          <w:spacing w:val="-80"/>
        </w:rPr>
        <w:t> </w:t>
      </w:r>
      <w:r>
        <w:rPr>
          <w:rFonts w:ascii="仿宋" w:hAnsi="仿宋" w:cs="仿宋" w:eastAsia="仿宋" w:hint="default"/>
        </w:rPr>
        <w:t>1,509,427,649</w:t>
      </w:r>
      <w:r>
        <w:rPr>
          <w:rFonts w:ascii="仿宋" w:hAnsi="仿宋" w:cs="仿宋" w:eastAsia="仿宋" w:hint="default"/>
          <w:spacing w:val="-82"/>
        </w:rPr>
        <w:t> </w:t>
      </w:r>
      <w:r>
        <w:rPr>
          <w:rFonts w:ascii="仿宋" w:hAnsi="仿宋" w:cs="仿宋" w:eastAsia="仿宋" w:hint="default"/>
        </w:rPr>
        <w:t>为基数，向全体股东</w:t>
      </w:r>
      <w:r>
        <w:rPr>
          <w:rFonts w:ascii="仿宋" w:hAnsi="仿宋" w:cs="仿宋" w:eastAsia="仿宋" w:hint="default"/>
          <w:b w:val="0"/>
          <w:bCs w:val="0"/>
        </w:rPr>
      </w:r>
    </w:p>
    <w:p>
      <w:pPr>
        <w:pStyle w:val="Heading2"/>
        <w:spacing w:line="240" w:lineRule="auto" w:before="155"/>
        <w:ind w:right="0"/>
        <w:jc w:val="left"/>
        <w:rPr>
          <w:rFonts w:ascii="仿宋" w:hAnsi="仿宋" w:cs="仿宋" w:eastAsia="仿宋" w:hint="default"/>
          <w:b w:val="0"/>
          <w:bCs w:val="0"/>
        </w:rPr>
      </w:pPr>
      <w:r>
        <w:rPr>
          <w:rFonts w:ascii="仿宋" w:hAnsi="仿宋" w:cs="仿宋" w:eastAsia="仿宋" w:hint="default"/>
        </w:rPr>
        <w:t>每</w:t>
      </w:r>
      <w:r>
        <w:rPr>
          <w:rFonts w:ascii="仿宋" w:hAnsi="仿宋" w:cs="仿宋" w:eastAsia="仿宋" w:hint="default"/>
          <w:spacing w:val="-66"/>
        </w:rPr>
        <w:t> </w:t>
      </w:r>
      <w:r>
        <w:rPr>
          <w:rFonts w:ascii="仿宋" w:hAnsi="仿宋" w:cs="仿宋" w:eastAsia="仿宋" w:hint="default"/>
        </w:rPr>
        <w:t>10</w:t>
      </w:r>
      <w:r>
        <w:rPr>
          <w:rFonts w:ascii="仿宋" w:hAnsi="仿宋" w:cs="仿宋" w:eastAsia="仿宋" w:hint="default"/>
          <w:spacing w:val="-66"/>
        </w:rPr>
        <w:t> </w:t>
      </w:r>
      <w:r>
        <w:rPr>
          <w:rFonts w:ascii="仿宋" w:hAnsi="仿宋" w:cs="仿宋" w:eastAsia="仿宋" w:hint="default"/>
        </w:rPr>
        <w:t>股派发现金红利</w:t>
      </w:r>
      <w:r>
        <w:rPr>
          <w:rFonts w:ascii="仿宋" w:hAnsi="仿宋" w:cs="仿宋" w:eastAsia="仿宋" w:hint="default"/>
          <w:spacing w:val="-65"/>
        </w:rPr>
        <w:t> </w:t>
      </w:r>
      <w:r>
        <w:rPr>
          <w:rFonts w:ascii="仿宋" w:hAnsi="仿宋" w:cs="仿宋" w:eastAsia="仿宋" w:hint="default"/>
        </w:rPr>
        <w:t>0.3</w:t>
      </w:r>
      <w:r>
        <w:rPr>
          <w:rFonts w:ascii="仿宋" w:hAnsi="仿宋" w:cs="仿宋" w:eastAsia="仿宋" w:hint="default"/>
          <w:spacing w:val="-66"/>
        </w:rPr>
        <w:t> </w:t>
      </w:r>
      <w:r>
        <w:rPr>
          <w:rFonts w:ascii="仿宋" w:hAnsi="仿宋" w:cs="仿宋" w:eastAsia="仿宋" w:hint="default"/>
        </w:rPr>
        <w:t>元（含税），送红股</w:t>
      </w:r>
      <w:r>
        <w:rPr>
          <w:rFonts w:ascii="仿宋" w:hAnsi="仿宋" w:cs="仿宋" w:eastAsia="仿宋" w:hint="default"/>
          <w:spacing w:val="-64"/>
        </w:rPr>
        <w:t> </w:t>
      </w:r>
      <w:r>
        <w:rPr>
          <w:rFonts w:ascii="仿宋" w:hAnsi="仿宋" w:cs="仿宋" w:eastAsia="仿宋" w:hint="default"/>
        </w:rPr>
        <w:t>0</w:t>
      </w:r>
      <w:r>
        <w:rPr>
          <w:rFonts w:ascii="仿宋" w:hAnsi="仿宋" w:cs="仿宋" w:eastAsia="仿宋" w:hint="default"/>
          <w:spacing w:val="-66"/>
        </w:rPr>
        <w:t> </w:t>
      </w:r>
      <w:r>
        <w:rPr>
          <w:rFonts w:ascii="仿宋" w:hAnsi="仿宋" w:cs="仿宋" w:eastAsia="仿宋" w:hint="default"/>
        </w:rPr>
        <w:t>股（含税），不以公积金转增股本。</w:t>
      </w:r>
      <w:r>
        <w:rPr>
          <w:rFonts w:ascii="仿宋" w:hAnsi="仿宋" w:cs="仿宋" w:eastAsia="仿宋" w:hint="default"/>
          <w:b w:val="0"/>
          <w:bCs w:val="0"/>
        </w:rPr>
      </w:r>
    </w:p>
    <w:p>
      <w:pPr>
        <w:spacing w:after="0" w:line="240" w:lineRule="auto"/>
        <w:jc w:val="left"/>
        <w:rPr>
          <w:rFonts w:ascii="仿宋" w:hAnsi="仿宋" w:cs="仿宋" w:eastAsia="仿宋" w:hint="default"/>
        </w:rPr>
        <w:sectPr>
          <w:footerReference w:type="default" r:id="rId8"/>
          <w:pgSz w:w="11910" w:h="16840"/>
          <w:pgMar w:footer="979" w:header="747" w:top="1060" w:bottom="1160" w:left="980" w:right="0"/>
          <w:pgNumType w:start="2"/>
        </w:sectPr>
      </w:pPr>
    </w:p>
    <w:p>
      <w:pPr>
        <w:spacing w:line="240" w:lineRule="auto" w:before="12"/>
        <w:rPr>
          <w:rFonts w:ascii="仿宋" w:hAnsi="仿宋" w:cs="仿宋" w:eastAsia="仿宋" w:hint="default"/>
          <w:b/>
          <w:bCs/>
          <w:sz w:val="2"/>
          <w:szCs w:val="2"/>
        </w:rPr>
      </w:pPr>
    </w:p>
    <w:p>
      <w:pPr>
        <w:spacing w:line="20" w:lineRule="exact"/>
        <w:ind w:left="116" w:right="0" w:firstLine="0"/>
        <w:rPr>
          <w:rFonts w:ascii="仿宋" w:hAnsi="仿宋" w:cs="仿宋" w:eastAsia="仿宋" w:hint="default"/>
          <w:sz w:val="2"/>
          <w:szCs w:val="2"/>
        </w:rPr>
      </w:pPr>
      <w:r>
        <w:rPr>
          <w:rFonts w:ascii="仿宋" w:hAnsi="仿宋" w:cs="仿宋" w:eastAsia="仿宋"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11"/>
        <w:rPr>
          <w:rFonts w:ascii="仿宋" w:hAnsi="仿宋" w:cs="仿宋" w:eastAsia="仿宋" w:hint="default"/>
          <w:b/>
          <w:bCs/>
          <w:sz w:val="25"/>
          <w:szCs w:val="25"/>
        </w:rPr>
      </w:pPr>
    </w:p>
    <w:p>
      <w:pPr>
        <w:tabs>
          <w:tab w:pos="72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198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485"/>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4"/>
          <w:szCs w:val="24"/>
        </w:rPr>
      </w:pPr>
    </w:p>
    <w:p>
      <w:pPr>
        <w:spacing w:before="0"/>
        <w:ind w:left="6246" w:right="1138" w:firstLine="0"/>
        <w:jc w:val="right"/>
        <w:rPr>
          <w:rFonts w:ascii="宋体" w:hAnsi="宋体" w:cs="宋体" w:eastAsia="宋体" w:hint="default"/>
          <w:sz w:val="18"/>
          <w:szCs w:val="18"/>
        </w:rPr>
      </w:pPr>
      <w:r>
        <w:rPr/>
        <w:pict>
          <v:shape style="position:absolute;margin-left:56.459999pt;margin-top:-467.488281pt;width:479.25pt;height:623.3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公司、利欧股份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湖南利欧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利欧天鹅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湖南利欧天鹅工业泵有限公司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万圣伟业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智趣广告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上海智趣广告有限公司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淮安明硕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淮安明硕投利明信息咨询中心（有限合伙）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碧橙网络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异乡好居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亿嘉轮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上海亿嘉轮网络科技有限公司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热源网络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北京热源网络文化传媒有限公司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2"/>
                          <w:jc w:val="both"/>
                          <w:rPr>
                            <w:rFonts w:ascii="宋体" w:hAnsi="宋体" w:cs="宋体" w:eastAsia="宋体" w:hint="default"/>
                            <w:sz w:val="18"/>
                            <w:szCs w:val="18"/>
                          </w:rPr>
                        </w:pPr>
                        <w:r>
                          <w:rPr>
                            <w:rFonts w:ascii="宋体" w:hAnsi="宋体" w:cs="宋体" w:eastAsia="宋体" w:hint="default"/>
                            <w:spacing w:val="-2"/>
                            <w:sz w:val="18"/>
                            <w:szCs w:val="18"/>
                          </w:rPr>
                          <w:t>是以互联网、移动互联网为实施载体并采用数字技术手段开展的营销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活动，涵盖了包括营销策略制定、创意内容制作、媒体投放、营销效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果监测和优化提升、流量整合与导入等内容的完整营销服务链条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微型水泵</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2"/>
                          <w:jc w:val="both"/>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Q=0.2</w:t>
                        </w:r>
                        <w:r>
                          <w:rPr>
                            <w:rFonts w:ascii="宋体" w:hAnsi="宋体" w:cs="宋体" w:eastAsia="宋体" w:hint="default"/>
                            <w:sz w:val="18"/>
                            <w:szCs w:val="18"/>
                          </w:rPr>
                          <w:t>～</w:t>
                        </w:r>
                        <w:r>
                          <w:rPr>
                            <w:rFonts w:ascii="Times New Roman" w:hAnsi="Times New Roman" w:cs="Times New Roman" w:eastAsia="Times New Roman" w:hint="default"/>
                            <w:sz w:val="18"/>
                            <w:szCs w:val="18"/>
                          </w:rPr>
                          <w:t>8m3/h</w:t>
                        </w:r>
                        <w:r>
                          <w:rPr>
                            <w:rFonts w:ascii="宋体" w:hAnsi="宋体" w:cs="宋体" w:eastAsia="宋体" w:hint="default"/>
                            <w:sz w:val="18"/>
                            <w:szCs w:val="18"/>
                          </w:rPr>
                          <w:t>，</w:t>
                        </w:r>
                        <w:r>
                          <w:rPr>
                            <w:rFonts w:ascii="Times New Roman" w:hAnsi="Times New Roman" w:cs="Times New Roman" w:eastAsia="Times New Roman" w:hint="default"/>
                            <w:sz w:val="18"/>
                            <w:szCs w:val="18"/>
                          </w:rPr>
                          <w:t>H=2~45</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3"/>
                            <w:sz w:val="18"/>
                            <w:szCs w:val="18"/>
                          </w:rPr>
                          <w:t>m</w:t>
                        </w:r>
                        <w:r>
                          <w:rPr>
                            <w:rFonts w:ascii="宋体" w:hAnsi="宋体" w:cs="宋体" w:eastAsia="宋体" w:hint="default"/>
                            <w:spacing w:val="-3"/>
                            <w:sz w:val="18"/>
                            <w:szCs w:val="18"/>
                          </w:rPr>
                          <w:t>；配用功率为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4kW</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以下，主要</w:t>
                        </w:r>
                        <w:r>
                          <w:rPr>
                            <w:rFonts w:ascii="宋体" w:hAnsi="宋体" w:cs="宋体" w:eastAsia="宋体" w:hint="default"/>
                            <w:sz w:val="18"/>
                            <w:szCs w:val="18"/>
                          </w:rPr>
                          <w:t> </w:t>
                        </w:r>
                        <w:r>
                          <w:rPr>
                            <w:rFonts w:ascii="宋体" w:hAnsi="宋体" w:cs="宋体" w:eastAsia="宋体" w:hint="default"/>
                            <w:spacing w:val="-2"/>
                            <w:sz w:val="18"/>
                            <w:szCs w:val="18"/>
                          </w:rPr>
                          <w:t>应用于家庭和园林浇灌、生活供水、排水、排污、喷泉以及城市市政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污水处理和工业废水处理，小区供水和增压用泵</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785"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小型水泵</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51"/>
                          <w:ind w:left="27" w:right="23"/>
                          <w:jc w:val="left"/>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6"/>
                            <w:sz w:val="18"/>
                            <w:szCs w:val="18"/>
                          </w:rPr>
                          <w:t> </w:t>
                        </w:r>
                        <w:r>
                          <w:rPr>
                            <w:rFonts w:ascii="Times New Roman" w:hAnsi="Times New Roman" w:cs="Times New Roman" w:eastAsia="Times New Roman" w:hint="default"/>
                            <w:spacing w:val="-5"/>
                            <w:w w:val="99"/>
                            <w:sz w:val="18"/>
                            <w:szCs w:val="18"/>
                          </w:rPr>
                          <w:t>Q=10</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100m3/h</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H=10~120</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3"/>
                            <w:w w:val="99"/>
                            <w:sz w:val="18"/>
                            <w:szCs w:val="18"/>
                          </w:rPr>
                          <w:t>m</w:t>
                        </w:r>
                        <w:r>
                          <w:rPr>
                            <w:rFonts w:ascii="宋体" w:hAnsi="宋体" w:cs="宋体" w:eastAsia="宋体" w:hint="default"/>
                            <w:spacing w:val="-13"/>
                            <w:w w:val="99"/>
                            <w:sz w:val="18"/>
                            <w:szCs w:val="18"/>
                          </w:rPr>
                          <w:t>；配用功率为</w:t>
                        </w:r>
                        <w:r>
                          <w:rPr>
                            <w:rFonts w:ascii="宋体" w:hAnsi="宋体" w:cs="宋体" w:eastAsia="宋体" w:hint="default"/>
                            <w:spacing w:val="-56"/>
                            <w:w w:val="99"/>
                            <w:sz w:val="18"/>
                            <w:szCs w:val="18"/>
                          </w:rPr>
                          <w:t> </w:t>
                        </w:r>
                        <w:r>
                          <w:rPr>
                            <w:rFonts w:ascii="Times New Roman" w:hAnsi="Times New Roman" w:cs="Times New Roman" w:eastAsia="Times New Roman" w:hint="default"/>
                            <w:w w:val="99"/>
                            <w:sz w:val="18"/>
                            <w:szCs w:val="18"/>
                          </w:rPr>
                          <w:t>4kW</w:t>
                        </w:r>
                        <w:r>
                          <w:rPr>
                            <w:rFonts w:ascii="Times New Roman" w:hAnsi="Times New Roman" w:cs="Times New Roman" w:eastAsia="Times New Roman" w:hint="default"/>
                            <w:spacing w:val="-12"/>
                            <w:w w:val="99"/>
                            <w:sz w:val="18"/>
                            <w:szCs w:val="18"/>
                          </w:rPr>
                          <w:t> </w:t>
                        </w:r>
                        <w:r>
                          <w:rPr>
                            <w:rFonts w:ascii="宋体" w:hAnsi="宋体" w:cs="宋体" w:eastAsia="宋体" w:hint="default"/>
                            <w:w w:val="99"/>
                            <w:sz w:val="18"/>
                            <w:szCs w:val="18"/>
                          </w:rPr>
                          <w:t>到</w:t>
                        </w:r>
                        <w:r>
                          <w:rPr>
                            <w:rFonts w:ascii="宋体" w:hAnsi="宋体" w:cs="宋体" w:eastAsia="宋体" w:hint="default"/>
                            <w:spacing w:val="-56"/>
                            <w:w w:val="99"/>
                            <w:sz w:val="18"/>
                            <w:szCs w:val="18"/>
                          </w:rPr>
                          <w:t> </w:t>
                        </w:r>
                        <w:r>
                          <w:rPr>
                            <w:rFonts w:ascii="Times New Roman" w:hAnsi="Times New Roman" w:cs="Times New Roman" w:eastAsia="Times New Roman" w:hint="default"/>
                            <w:w w:val="99"/>
                            <w:sz w:val="18"/>
                            <w:szCs w:val="18"/>
                          </w:rPr>
                          <w:t>45kW</w:t>
                        </w:r>
                        <w:r>
                          <w:rPr>
                            <w:rFonts w:ascii="Times New Roman" w:hAnsi="Times New Roman" w:cs="Times New Roman" w:eastAsia="Times New Roman" w:hint="default"/>
                            <w:spacing w:val="-40"/>
                            <w:w w:val="99"/>
                            <w:sz w:val="18"/>
                            <w:szCs w:val="18"/>
                          </w:rPr>
                          <w:t> </w:t>
                        </w:r>
                        <w:r>
                          <w:rPr>
                            <w:rFonts w:ascii="宋体" w:hAnsi="宋体" w:cs="宋体" w:eastAsia="宋体" w:hint="default"/>
                            <w:spacing w:val="-2"/>
                            <w:sz w:val="18"/>
                            <w:szCs w:val="18"/>
                          </w:rPr>
                          <w:t>主要用于城市给排水、工厂、医院、学校、宾馆及机关团体生活给排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水，也可应用于小区供水和增压用泵；在市政工程中可进行污水处理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工业废水排放处理；可作为中央空调中循环水和锅炉供水及北方冬季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供暖系统中的循环回水循环用泵。过流部件采用不锈钢时可用做消防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泵</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785"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6246"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72.779968pt;width:361.5pt;height:19.6pt;mso-position-horizontal-relative:page;mso-position-vertical-relative:page;z-index:-97859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利欧股份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002131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利欧股份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Leo Group</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LEO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王相荣</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浙江省温岭市滨海镇利欧路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317500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浙江省温岭市工业城中心大道</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317500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http://www.leogroup.cn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wxr@leogroup.cn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周利明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浙江省温岭市工业城中心大道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浙江省温岭市工业城中心大道</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0576-89986666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0576-89986666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0576-89989898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0576-89989898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sec@leogroup.cn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sec@leogroup.cn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6246" w:right="1138" w:firstLine="0"/>
        <w:jc w:val="right"/>
        <w:rPr>
          <w:rFonts w:ascii="宋体" w:hAnsi="宋体" w:cs="宋体" w:eastAsia="宋体" w:hint="default"/>
          <w:sz w:val="18"/>
          <w:szCs w:val="18"/>
        </w:rPr>
      </w:pPr>
      <w:r>
        <w:rPr/>
        <w:pict>
          <v:shape style="position:absolute;margin-left:56.459999pt;margin-top:-20.948305pt;width:479.2pt;height:17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72891304-8</w:t>
                        </w:r>
                      </w:p>
                    </w:tc>
                  </w:tr>
                  <w:tr>
                    <w:trPr>
                      <w:trHeight w:val="258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公司自成立以来，一直专注于微型小型水泵及园林机械产品的研发、生产和销售 公司上市后，积极推动业务转型升级，不断拓宽业务领域。</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年底，公司与浙 江大农机械有限公司合资设立了大农实业，进入清洗与植保机械业务领域；</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月，公司投资设立湖南利欧，进入工业泵业务领域；</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年初，公司完成对 利欧天鹅、无锡锡泵和大连华能的收购，进一步完善了工业泵业务领域的布局。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年，公司完成收购上海漫酷、上海氩氪和琥珀传播，进入数字营销领域。</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年，公司完成对万圣伟业、微创时代的收购，建立了从基础的互联网流量整合到 全方位精准数字营销服务于一体的整合营销平台。</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号新湖商务大厦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沃巍勇、罗联玬</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广州市天河北路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号大都会</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安用兵、许一忠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2014.1.8-2015.12.31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49"/>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中国民族证券有限责任公司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北京市朝阳区北四环中路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梁羽周、俞君、陈饶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76"/>
              <w:jc w:val="right"/>
              <w:rPr>
                <w:rFonts w:ascii="Times New Roman" w:hAnsi="Times New Roman" w:cs="Times New Roman" w:eastAsia="Times New Roman" w:hint="default"/>
                <w:sz w:val="18"/>
                <w:szCs w:val="18"/>
              </w:rPr>
            </w:pPr>
            <w:r>
              <w:rPr>
                <w:rFonts w:ascii="Times New Roman"/>
                <w:spacing w:val="-1"/>
                <w:sz w:val="18"/>
              </w:rPr>
              <w:t>2014.12.31-2016.12.31</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96"/>
        <w:gridCol w:w="1749"/>
        <w:gridCol w:w="1738"/>
        <w:gridCol w:w="1737"/>
        <w:gridCol w:w="1736"/>
      </w:tblGrid>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4,392,227,658.28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2,874,269,599.64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52.81%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1,841,272,919.82</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225,410,543.63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179,916,115.75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25.29%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55,990,125.47</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204,280,689.15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93,832,078.95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117.71%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32,781,214.23</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96"/>
        <w:gridCol w:w="1749"/>
        <w:gridCol w:w="1738"/>
        <w:gridCol w:w="1737"/>
        <w:gridCol w:w="1736"/>
      </w:tblGrid>
      <w:tr>
        <w:trPr>
          <w:trHeight w:val="36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常性损益的净利润（元）</w:t>
            </w:r>
          </w:p>
        </w:tc>
        <w:tc>
          <w:tcPr>
            <w:tcW w:w="1749" w:type="dxa"/>
            <w:tcBorders>
              <w:top w:val="single" w:sz="4" w:space="0" w:color="000000"/>
              <w:left w:val="single" w:sz="13" w:space="0" w:color="D2D2D2"/>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329,513,943.19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-109,977,222.09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399.62%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46,525,641.55</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0.16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18.75%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0.04</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0.16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18.75%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0.04</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11.34%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5.17%</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8,400,027,575.17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4,201,407,970.39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99.93%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2,843,415,028.76</w:t>
            </w:r>
          </w:p>
        </w:tc>
      </w:tr>
      <w:tr>
        <w:trPr>
          <w:trHeight w:val="71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5,723,784,290.94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2,003,735,842.79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185.66%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1,512,294,731.53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、同时按照国际会计准则与按照中国会计准则披露的财务报告中净利润和净资产差异情况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1"/>
          <w:szCs w:val="21"/>
        </w:rPr>
      </w:pPr>
    </w:p>
    <w:p>
      <w:pPr>
        <w:spacing w:before="0"/>
        <w:ind w:left="153" w:right="0" w:firstLine="0"/>
        <w:jc w:val="left"/>
        <w:rPr>
          <w:rFonts w:ascii="宋体" w:hAnsi="宋体" w:cs="宋体" w:eastAsia="宋体" w:hint="default"/>
          <w:sz w:val="20"/>
          <w:szCs w:val="20"/>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、同时按照境外会计准则与按照中国会计准则披露的财务报告中净利润和净资产差异情况</w:t>
      </w:r>
      <w:r>
        <w:rPr>
          <w:rFonts w:ascii="宋体" w:hAnsi="宋体" w:cs="宋体" w:eastAsia="宋体" w:hint="default"/>
          <w:sz w:val="20"/>
          <w:szCs w:val="20"/>
        </w:rPr>
      </w:r>
    </w:p>
    <w:p>
      <w:pPr>
        <w:spacing w:line="240" w:lineRule="auto" w:before="1"/>
        <w:rPr>
          <w:rFonts w:ascii="宋体" w:hAnsi="宋体" w:cs="宋体" w:eastAsia="宋体" w:hint="default"/>
          <w:b/>
          <w:bCs/>
          <w:sz w:val="27"/>
          <w:szCs w:val="27"/>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6246"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848,322,930.34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1,110,662,139.57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1,024,519,314.29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1,408,723,274.08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75,363,609.71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79,739,643.25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16,620,920.42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53,686,370.25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46,201,291.31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73,972,631.13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28,092,435.83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56,014,330.88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129,613,116.25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52,107,564.89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-10,740,793.71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158,534,055.76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6246"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-501,569.59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94,534,159.37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sz w:val="18"/>
              </w:rPr>
              <w:t>-922,100.34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972,754.91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35,415,673.30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56,609,763.31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sz w:val="18"/>
              </w:rPr>
              <w:t>9,591,046.15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本期主要系公司根据 政府土地收储相关文 件确认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万元搬 迁奖励。</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3,745,542.70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sz w:val="18"/>
              </w:rPr>
              <w:t>2,994,630.51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-6,757,506.99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-8,597,505.00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-20,804,679.50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sz w:val="18"/>
              </w:rPr>
              <w:t>11,878,847.00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-3,333,531.40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1,236,931.46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sz w:val="18"/>
              </w:rPr>
              <w:t>1,039,059.71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283,931.41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256,341.28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sz w:val="18"/>
              </w:rPr>
              <w:t>2,276,211.70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1,920,305.06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19,350,822.98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sz w:val="18"/>
              </w:rPr>
              <w:t>2,167,360.37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216,839.18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24,058,446.76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sz w:val="18"/>
              </w:rPr>
              <w:t>1,481,423.12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21,129,854.48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86,084,036.80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0" w:right="0"/>
              <w:jc w:val="left"/>
              <w:rPr>
                <w:rFonts w:ascii="宋体" w:hAnsi="宋体" w:cs="宋体" w:eastAsia="宋体" w:hint="default"/>
                <w:sz w:val="18"/>
                <w:szCs w:val="18"/>
              </w:rPr>
            </w:pPr>
            <w:r>
              <w:rPr>
                <w:rFonts w:ascii="宋体"/>
                <w:sz w:val="18"/>
              </w:rPr>
              <w:t>23,208,911.24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74" w:right="0" w:firstLine="2"/>
        <w:jc w:val="left"/>
      </w:pPr>
      <w:r>
        <w:rPr>
          <w:rFonts w:ascii="宋体" w:hAnsi="宋体" w:cs="宋体" w:eastAsia="宋体" w:hint="default"/>
          <w:b/>
          <w:bCs/>
        </w:rPr>
        <w:t>（一）主营业务情况</w:t>
      </w:r>
      <w:r>
        <w:rPr>
          <w:rFonts w:ascii="宋体" w:hAnsi="宋体" w:cs="宋体" w:eastAsia="宋体" w:hint="default"/>
          <w:b/>
          <w:bCs/>
          <w:w w:val="99"/>
        </w:rPr>
        <w:t> </w:t>
      </w:r>
      <w:r>
        <w:rPr>
          <w:spacing w:val="-1"/>
        </w:rPr>
        <w:t>公司原有业务为传统制造业，主要从事泵、园林机械、清洗和植保机械的研发、制造和销售，在整个</w:t>
      </w:r>
    </w:p>
    <w:p>
      <w:pPr>
        <w:pStyle w:val="BodyText"/>
        <w:spacing w:line="408" w:lineRule="auto" w:before="46"/>
        <w:ind w:right="1109"/>
        <w:jc w:val="both"/>
      </w:pPr>
      <w:r>
        <w:rPr/>
        <w:t>泵业领域覆盖了较为完整的产业链。</w:t>
      </w:r>
      <w:r>
        <w:rPr>
          <w:rFonts w:ascii="宋体" w:hAnsi="宋体" w:cs="宋体" w:eastAsia="宋体" w:hint="default"/>
        </w:rPr>
        <w:t>2014</w:t>
      </w:r>
      <w:r>
        <w:rPr/>
        <w:t>年度，公司通过对漫酷广告、上海氩氪和琥珀传播的成功收购， </w:t>
      </w:r>
      <w:r>
        <w:rPr>
          <w:spacing w:val="-1"/>
        </w:rPr>
        <w:t>进军数字营销业务领域。</w:t>
      </w:r>
      <w:r>
        <w:rPr>
          <w:rFonts w:ascii="宋体" w:hAnsi="宋体" w:cs="宋体" w:eastAsia="宋体" w:hint="default"/>
          <w:spacing w:val="-1"/>
        </w:rPr>
        <w:t>2015</w:t>
      </w:r>
      <w:r>
        <w:rPr>
          <w:spacing w:val="-1"/>
        </w:rPr>
        <w:t>年度，公司又成功完成对万圣伟业、微创时代的收购，公司数字营销服务已</w:t>
      </w:r>
      <w:r>
        <w:rPr>
          <w:spacing w:val="-85"/>
        </w:rPr>
        <w:t> </w:t>
      </w:r>
      <w:r>
        <w:rPr>
          <w:spacing w:val="-85"/>
        </w:rPr>
      </w:r>
      <w:r>
        <w:rPr>
          <w:spacing w:val="-1"/>
        </w:rPr>
        <w:t>覆盖营销策略和创意、媒体投放和执行、效果监测和优化、社会化营销、精准营销、流量整合等完整的服</w:t>
      </w:r>
      <w:r>
        <w:rPr>
          <w:spacing w:val="-83"/>
        </w:rPr>
        <w:t> </w:t>
      </w:r>
      <w:r>
        <w:rPr>
          <w:spacing w:val="-83"/>
        </w:rPr>
      </w:r>
      <w:r>
        <w:rPr/>
        <w:t>务链条，成功建立了从基础的互联网流量整合到全方位精准数字营销服务于一体的整合营销平台。</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（二）行业发展情况及所处的行业地位</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Heading3"/>
        <w:spacing w:line="240" w:lineRule="auto" w:before="0"/>
        <w:ind w:right="0"/>
        <w:jc w:val="left"/>
        <w:rPr>
          <w:b w:val="0"/>
          <w:bCs w:val="0"/>
        </w:rPr>
      </w:pPr>
      <w:r>
        <w:rPr>
          <w:rFonts w:ascii="仿宋" w:hAnsi="仿宋" w:cs="仿宋" w:eastAsia="仿宋" w:hint="default"/>
        </w:rPr>
        <w:t>1</w:t>
      </w:r>
      <w:r>
        <w:rPr/>
        <w:t>、数字营销业务</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right="0" w:firstLine="420"/>
        <w:jc w:val="left"/>
      </w:pPr>
      <w:r>
        <w:rPr>
          <w:spacing w:val="-1"/>
        </w:rPr>
        <w:t>互联网经济在</w:t>
      </w:r>
      <w:r>
        <w:rPr>
          <w:rFonts w:ascii="宋体" w:hAnsi="宋体" w:cs="宋体" w:eastAsia="宋体" w:hint="default"/>
          <w:spacing w:val="-1"/>
        </w:rPr>
        <w:t>2015</w:t>
      </w:r>
      <w:r>
        <w:rPr>
          <w:spacing w:val="-1"/>
        </w:rPr>
        <w:t>年获得了快速发展，在</w:t>
      </w:r>
      <w:r>
        <w:rPr>
          <w:rFonts w:ascii="宋体" w:hAnsi="宋体" w:cs="宋体" w:eastAsia="宋体" w:hint="default"/>
          <w:spacing w:val="-1"/>
        </w:rPr>
        <w:t>GDP</w:t>
      </w:r>
      <w:r>
        <w:rPr>
          <w:spacing w:val="-1"/>
        </w:rPr>
        <w:t>中占比中持续攀升，互联网相关产业对</w:t>
      </w:r>
      <w:r>
        <w:rPr>
          <w:rFonts w:ascii="宋体" w:hAnsi="宋体" w:cs="宋体" w:eastAsia="宋体" w:hint="default"/>
          <w:spacing w:val="-1"/>
        </w:rPr>
        <w:t>GDP</w:t>
      </w:r>
      <w:r>
        <w:rPr>
          <w:spacing w:val="-1"/>
        </w:rPr>
        <w:t>的贡献在过去</w:t>
      </w:r>
      <w:r>
        <w:rPr/>
        <w:t> 的</w:t>
      </w:r>
      <w:r>
        <w:rPr>
          <w:rFonts w:ascii="宋体" w:hAnsi="宋体" w:cs="宋体" w:eastAsia="宋体" w:hint="default"/>
        </w:rPr>
        <w:t>10</w:t>
      </w:r>
      <w:r>
        <w:rPr/>
        <w:t>年中增长了</w:t>
      </w:r>
      <w:r>
        <w:rPr>
          <w:rFonts w:ascii="宋体" w:hAnsi="宋体" w:cs="宋体" w:eastAsia="宋体" w:hint="default"/>
        </w:rPr>
        <w:t>50%</w:t>
      </w:r>
      <w:r>
        <w:rPr/>
        <w:t>以上。</w:t>
      </w:r>
    </w:p>
    <w:p>
      <w:pPr>
        <w:pStyle w:val="BodyText"/>
        <w:spacing w:line="408" w:lineRule="auto" w:before="46"/>
        <w:ind w:right="1118" w:firstLine="420"/>
        <w:jc w:val="left"/>
      </w:pPr>
      <w:r>
        <w:rPr>
          <w:rFonts w:ascii="宋体" w:hAnsi="宋体" w:cs="宋体" w:eastAsia="宋体" w:hint="default"/>
          <w:spacing w:val="-5"/>
        </w:rPr>
        <w:t>2015</w:t>
      </w:r>
      <w:r>
        <w:rPr>
          <w:spacing w:val="-5"/>
        </w:rPr>
        <w:t>年，国务院《关于积极推进“互联网＋”行动的指导意见》、《促进大数据发展行动纲要》、《关</w:t>
      </w:r>
      <w:r>
        <w:rPr/>
        <w:t> 于加快高速宽带网络建设推进网络提速降费的指导意见》，工业和信息化部《关于贯彻落实</w:t>
      </w:r>
      <w:r>
        <w:rPr>
          <w:rFonts w:ascii="宋体" w:hAnsi="宋体" w:cs="宋体" w:eastAsia="宋体" w:hint="default"/>
        </w:rPr>
        <w:t>&lt;</w:t>
      </w:r>
      <w:r>
        <w:rPr/>
        <w:t>国务院关于 </w:t>
      </w:r>
      <w:r>
        <w:rPr>
          <w:spacing w:val="-1"/>
        </w:rPr>
        <w:t>积极推进“互联网</w:t>
      </w:r>
      <w:r>
        <w:rPr>
          <w:rFonts w:ascii="宋体" w:hAnsi="宋体" w:cs="宋体" w:eastAsia="宋体" w:hint="default"/>
          <w:spacing w:val="-1"/>
        </w:rPr>
        <w:t>+</w:t>
      </w:r>
      <w:r>
        <w:rPr>
          <w:spacing w:val="-1"/>
        </w:rPr>
        <w:t>”行动的指导意见</w:t>
      </w:r>
      <w:r>
        <w:rPr>
          <w:rFonts w:ascii="宋体" w:hAnsi="宋体" w:cs="宋体" w:eastAsia="宋体" w:hint="default"/>
          <w:spacing w:val="-1"/>
        </w:rPr>
        <w:t>&gt;</w:t>
      </w:r>
      <w:r>
        <w:rPr>
          <w:spacing w:val="-1"/>
        </w:rPr>
        <w:t>的行动计划（</w:t>
      </w:r>
      <w:r>
        <w:rPr>
          <w:rFonts w:ascii="宋体" w:hAnsi="宋体" w:cs="宋体" w:eastAsia="宋体" w:hint="default"/>
          <w:spacing w:val="-1"/>
        </w:rPr>
        <w:t>2015</w:t>
      </w:r>
      <w:r>
        <w:rPr>
          <w:spacing w:val="-1"/>
        </w:rPr>
        <w:t>－</w:t>
      </w:r>
      <w:r>
        <w:rPr>
          <w:rFonts w:ascii="宋体" w:hAnsi="宋体" w:cs="宋体" w:eastAsia="宋体" w:hint="default"/>
          <w:spacing w:val="-1"/>
        </w:rPr>
        <w:t>2018</w:t>
      </w:r>
      <w:r>
        <w:rPr>
          <w:spacing w:val="-1"/>
        </w:rPr>
        <w:t>年）》等相关政策的出台，为中国数字营</w:t>
      </w:r>
      <w:r>
        <w:rPr>
          <w:spacing w:val="-84"/>
        </w:rPr>
        <w:t> </w:t>
      </w:r>
      <w:r>
        <w:rPr>
          <w:spacing w:val="-84"/>
        </w:rPr>
      </w:r>
      <w:r>
        <w:rPr/>
        <w:t>销产业营造了良好的政策环境。</w:t>
      </w:r>
    </w:p>
    <w:p>
      <w:pPr>
        <w:pStyle w:val="BodyText"/>
        <w:spacing w:line="408" w:lineRule="auto" w:before="46"/>
        <w:ind w:right="0" w:firstLine="420"/>
        <w:jc w:val="left"/>
      </w:pPr>
      <w:r>
        <w:rPr>
          <w:spacing w:val="-1"/>
        </w:rPr>
        <w:t>截止到</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8M</w:t>
      </w:r>
      <w:r>
        <w:rPr>
          <w:spacing w:val="-1"/>
        </w:rPr>
        <w:t>以上网速接入已达到</w:t>
      </w:r>
      <w:r>
        <w:rPr>
          <w:rFonts w:ascii="宋体" w:hAnsi="宋体" w:cs="宋体" w:eastAsia="宋体" w:hint="default"/>
          <w:spacing w:val="-1"/>
        </w:rPr>
        <w:t>1.22</w:t>
      </w:r>
      <w:r>
        <w:rPr>
          <w:spacing w:val="-1"/>
        </w:rPr>
        <w:t>亿户，占比接近</w:t>
      </w:r>
      <w:r>
        <w:rPr>
          <w:rFonts w:ascii="宋体" w:hAnsi="宋体" w:cs="宋体" w:eastAsia="宋体" w:hint="default"/>
          <w:spacing w:val="-1"/>
        </w:rPr>
        <w:t>60%</w:t>
      </w:r>
      <w:r>
        <w:rPr>
          <w:spacing w:val="-1"/>
        </w:rPr>
        <w:t>。中国互联网络信息中心发布的第</w:t>
      </w:r>
      <w:r>
        <w:rPr/>
        <w:t> 三十六次《中国互联网络发展状况统计报告》显示，截至</w:t>
      </w:r>
      <w:r>
        <w:rPr>
          <w:rFonts w:ascii="宋体" w:hAnsi="宋体" w:cs="宋体" w:eastAsia="宋体" w:hint="default"/>
        </w:rPr>
        <w:t>2015</w:t>
      </w:r>
      <w:r>
        <w:rPr/>
        <w:t>年</w:t>
      </w:r>
      <w:r>
        <w:rPr>
          <w:rFonts w:ascii="宋体" w:hAnsi="宋体" w:cs="宋体" w:eastAsia="宋体" w:hint="default"/>
        </w:rPr>
        <w:t>6</w:t>
      </w:r>
      <w:r>
        <w:rPr/>
        <w:t>月，中国网民规模达</w:t>
      </w:r>
      <w:r>
        <w:rPr>
          <w:rFonts w:ascii="宋体" w:hAnsi="宋体" w:cs="宋体" w:eastAsia="宋体" w:hint="default"/>
        </w:rPr>
        <w:t>6.68</w:t>
      </w:r>
      <w:r>
        <w:rPr/>
        <w:t>亿，手机网民 </w:t>
      </w:r>
      <w:r>
        <w:rPr>
          <w:spacing w:val="-1"/>
        </w:rPr>
        <w:t>规模达</w:t>
      </w:r>
      <w:r>
        <w:rPr>
          <w:rFonts w:ascii="宋体" w:hAnsi="宋体" w:cs="宋体" w:eastAsia="宋体" w:hint="default"/>
          <w:spacing w:val="-1"/>
        </w:rPr>
        <w:t>5.94</w:t>
      </w:r>
      <w:r>
        <w:rPr>
          <w:spacing w:val="-1"/>
        </w:rPr>
        <w:t>亿。随着我国宽带提速进程加快，手机等移动终端的普及，消费者有效触媒时间不断增加，在</w:t>
      </w:r>
      <w:r>
        <w:rPr>
          <w:spacing w:val="-82"/>
        </w:rPr>
        <w:t> </w:t>
      </w:r>
      <w:r>
        <w:rPr>
          <w:spacing w:val="-82"/>
        </w:rPr>
      </w:r>
      <w:r>
        <w:rPr>
          <w:spacing w:val="-1"/>
        </w:rPr>
        <w:t>线体验亦不断优化，其消费行为由线下至线上、由传统媒体至互联网媒体不断转移，从而推动整个数字营</w:t>
      </w:r>
      <w:r>
        <w:rPr>
          <w:spacing w:val="-83"/>
        </w:rPr>
        <w:t> </w:t>
      </w:r>
      <w:r>
        <w:rPr>
          <w:spacing w:val="-83"/>
        </w:rPr>
      </w:r>
      <w:r>
        <w:rPr/>
        <w:t>销行业迎来高速发展的新机遇。</w:t>
      </w:r>
    </w:p>
    <w:p>
      <w:pPr>
        <w:pStyle w:val="BodyText"/>
        <w:spacing w:line="408" w:lineRule="auto" w:before="46"/>
        <w:ind w:left="154" w:right="1131" w:firstLine="420"/>
        <w:jc w:val="both"/>
      </w:pPr>
      <w:r>
        <w:rPr>
          <w:spacing w:val="-1"/>
        </w:rPr>
        <w:t>与传统广告相比，数字营销更强调内容和渠道并重，良好的融入性和交互性体验能形成更有效的市场</w:t>
      </w:r>
      <w:r>
        <w:rPr/>
        <w:t> </w:t>
      </w:r>
      <w:r>
        <w:rPr>
          <w:spacing w:val="-1"/>
        </w:rPr>
        <w:t>反馈，实现较好的营销互动。数字营销能够帮助广告主以较低成本实现对目标受众的覆盖，同时可以帮助</w:t>
      </w:r>
      <w:r>
        <w:rPr>
          <w:spacing w:val="-83"/>
        </w:rPr>
        <w:t> </w:t>
      </w:r>
      <w:r>
        <w:rPr>
          <w:spacing w:val="-83"/>
        </w:rPr>
      </w:r>
      <w:r>
        <w:rPr>
          <w:spacing w:val="-1"/>
        </w:rPr>
        <w:t>数字媒体大幅提升流量资源的利用率。因此，随着互联网对传统媒体替代程度的加深，广告主的预算将越</w:t>
      </w:r>
      <w:r>
        <w:rPr>
          <w:spacing w:val="-83"/>
        </w:rPr>
        <w:t> </w:t>
      </w:r>
      <w:r>
        <w:rPr>
          <w:spacing w:val="-83"/>
        </w:rPr>
      </w:r>
      <w:r>
        <w:rPr/>
        <w:t>来越多的向数字端迁移。</w:t>
      </w:r>
    </w:p>
    <w:p>
      <w:pPr>
        <w:pStyle w:val="BodyText"/>
        <w:spacing w:line="408" w:lineRule="auto" w:before="46"/>
        <w:ind w:right="0" w:firstLine="420"/>
        <w:jc w:val="left"/>
      </w:pPr>
      <w:r>
        <w:rPr/>
        <w:t>根据艾瑞咨询发布的《</w:t>
      </w:r>
      <w:r>
        <w:rPr>
          <w:rFonts w:ascii="宋体" w:hAnsi="宋体" w:cs="宋体" w:eastAsia="宋体" w:hint="default"/>
        </w:rPr>
        <w:t>2015</w:t>
      </w:r>
      <w:r>
        <w:rPr/>
        <w:t>年中国网络广告行业年度监测报告》，</w:t>
      </w:r>
      <w:r>
        <w:rPr>
          <w:rFonts w:ascii="宋体" w:hAnsi="宋体" w:cs="宋体" w:eastAsia="宋体" w:hint="default"/>
        </w:rPr>
        <w:t>2014</w:t>
      </w:r>
      <w:r>
        <w:rPr>
          <w:rFonts w:ascii="宋体" w:hAnsi="宋体" w:cs="宋体" w:eastAsia="宋体" w:hint="default"/>
          <w:spacing w:val="-3"/>
        </w:rPr>
        <w:t> </w:t>
      </w:r>
      <w:r>
        <w:rPr/>
        <w:t>年互联网广告首度超越电视 </w:t>
      </w:r>
      <w:r>
        <w:rPr>
          <w:spacing w:val="-1"/>
        </w:rPr>
        <w:t>广告成为第一大广告媒介，</w:t>
      </w:r>
      <w:r>
        <w:rPr>
          <w:rFonts w:ascii="宋体" w:hAnsi="宋体" w:cs="宋体" w:eastAsia="宋体" w:hint="default"/>
          <w:spacing w:val="-1"/>
        </w:rPr>
        <w:t>2014</w:t>
      </w:r>
      <w:r>
        <w:rPr>
          <w:spacing w:val="-1"/>
        </w:rPr>
        <w:t>年国内网络广告市场规模达到</w:t>
      </w:r>
      <w:r>
        <w:rPr>
          <w:rFonts w:ascii="宋体" w:hAnsi="宋体" w:cs="宋体" w:eastAsia="宋体" w:hint="default"/>
          <w:spacing w:val="-1"/>
        </w:rPr>
        <w:t>1,540</w:t>
      </w:r>
      <w:r>
        <w:rPr>
          <w:spacing w:val="-1"/>
        </w:rPr>
        <w:t>亿元，同比增长</w:t>
      </w:r>
      <w:r>
        <w:rPr>
          <w:rFonts w:ascii="宋体" w:hAnsi="宋体" w:cs="宋体" w:eastAsia="宋体" w:hint="default"/>
          <w:spacing w:val="-1"/>
        </w:rPr>
        <w:t>40%</w:t>
      </w:r>
      <w:r>
        <w:rPr>
          <w:spacing w:val="-1"/>
        </w:rPr>
        <w:t>，与去年保持相当</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214"/>
        <w:jc w:val="both"/>
      </w:pPr>
      <w:r>
        <w:rPr/>
        <w:t>的增长速度。网络广告市场在持续几年保持高速发展之后，艾瑞咨询预测未来三年市场规模仍将保持</w:t>
      </w:r>
      <w:r>
        <w:rPr>
          <w:rFonts w:ascii="宋体" w:hAnsi="宋体" w:cs="宋体" w:eastAsia="宋体" w:hint="default"/>
        </w:rPr>
        <w:t>30% </w:t>
      </w:r>
      <w:r>
        <w:rPr/>
        <w:t>左右的较高增长水平，</w:t>
      </w:r>
      <w:r>
        <w:rPr>
          <w:rFonts w:ascii="宋体" w:hAnsi="宋体" w:cs="宋体" w:eastAsia="宋体" w:hint="default"/>
        </w:rPr>
        <w:t>2018</w:t>
      </w:r>
      <w:r>
        <w:rPr/>
        <w:t>年中国互联网广告市场（包括</w:t>
      </w:r>
      <w:r>
        <w:rPr>
          <w:rFonts w:ascii="宋体" w:hAnsi="宋体" w:cs="宋体" w:eastAsia="宋体" w:hint="default"/>
        </w:rPr>
        <w:t>PC</w:t>
      </w:r>
      <w:r>
        <w:rPr/>
        <w:t>端网络广告和移动广告）将突破</w:t>
      </w:r>
      <w:r>
        <w:rPr>
          <w:rFonts w:ascii="宋体" w:hAnsi="宋体" w:cs="宋体" w:eastAsia="宋体" w:hint="default"/>
        </w:rPr>
        <w:t>4,000</w:t>
      </w:r>
      <w:r>
        <w:rPr/>
        <w:t>亿元。 数字营销行业正处于高速发展阶段，行业发展前景广阔。</w:t>
      </w:r>
    </w:p>
    <w:p>
      <w:pPr>
        <w:spacing w:line="240" w:lineRule="auto" w:before="5"/>
        <w:rPr>
          <w:rFonts w:ascii="宋体" w:hAnsi="宋体" w:cs="宋体" w:eastAsia="宋体" w:hint="default"/>
          <w:sz w:val="2"/>
          <w:szCs w:val="2"/>
        </w:rPr>
      </w:pPr>
    </w:p>
    <w:p>
      <w:pPr>
        <w:spacing w:line="5806" w:lineRule="exact"/>
        <w:ind w:left="1042" w:right="0" w:firstLine="0"/>
        <w:rPr>
          <w:rFonts w:ascii="宋体" w:hAnsi="宋体" w:cs="宋体" w:eastAsia="宋体" w:hint="default"/>
          <w:sz w:val="20"/>
          <w:szCs w:val="20"/>
        </w:rPr>
      </w:pPr>
      <w:r>
        <w:rPr>
          <w:rFonts w:ascii="宋体" w:hAnsi="宋体" w:cs="宋体" w:eastAsia="宋体" w:hint="default"/>
          <w:position w:val="-115"/>
          <w:sz w:val="20"/>
          <w:szCs w:val="20"/>
        </w:rPr>
        <w:drawing>
          <wp:inline distT="0" distB="0" distL="0" distR="0">
            <wp:extent cx="4970412" cy="368703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970412" cy="3687032"/>
                    </a:xfrm>
                    <a:prstGeom prst="rect">
                      <a:avLst/>
                    </a:prstGeom>
                  </pic:spPr>
                </pic:pic>
              </a:graphicData>
            </a:graphic>
          </wp:inline>
        </w:drawing>
      </w:r>
      <w:r>
        <w:rPr>
          <w:rFonts w:ascii="宋体" w:hAnsi="宋体" w:cs="宋体" w:eastAsia="宋体" w:hint="default"/>
          <w:position w:val="-115"/>
          <w:sz w:val="20"/>
          <w:szCs w:val="20"/>
        </w:rPr>
      </w:r>
    </w:p>
    <w:p>
      <w:pPr>
        <w:spacing w:line="240" w:lineRule="auto" w:before="9"/>
        <w:rPr>
          <w:rFonts w:ascii="宋体" w:hAnsi="宋体" w:cs="宋体" w:eastAsia="宋体" w:hint="default"/>
          <w:sz w:val="14"/>
          <w:szCs w:val="14"/>
        </w:rPr>
      </w:pPr>
    </w:p>
    <w:p>
      <w:pPr>
        <w:spacing w:line="5954" w:lineRule="exact"/>
        <w:ind w:left="1128" w:right="0" w:firstLine="0"/>
        <w:rPr>
          <w:rFonts w:ascii="宋体" w:hAnsi="宋体" w:cs="宋体" w:eastAsia="宋体" w:hint="default"/>
          <w:sz w:val="20"/>
          <w:szCs w:val="20"/>
        </w:rPr>
      </w:pPr>
      <w:r>
        <w:rPr>
          <w:rFonts w:ascii="宋体" w:hAnsi="宋体" w:cs="宋体" w:eastAsia="宋体" w:hint="default"/>
          <w:position w:val="-118"/>
          <w:sz w:val="20"/>
          <w:szCs w:val="20"/>
        </w:rPr>
        <w:drawing>
          <wp:inline distT="0" distB="0" distL="0" distR="0">
            <wp:extent cx="4843175" cy="378132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4843175" cy="3781329"/>
                    </a:xfrm>
                    <a:prstGeom prst="rect">
                      <a:avLst/>
                    </a:prstGeom>
                  </pic:spPr>
                </pic:pic>
              </a:graphicData>
            </a:graphic>
          </wp:inline>
        </w:drawing>
      </w:r>
      <w:r>
        <w:rPr>
          <w:rFonts w:ascii="宋体" w:hAnsi="宋体" w:cs="宋体" w:eastAsia="宋体" w:hint="default"/>
          <w:position w:val="-118"/>
          <w:sz w:val="20"/>
          <w:szCs w:val="20"/>
        </w:rPr>
      </w:r>
    </w:p>
    <w:p>
      <w:pPr>
        <w:spacing w:after="0" w:line="5954"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3" w:firstLine="420"/>
        <w:jc w:val="left"/>
      </w:pPr>
      <w:r>
        <w:rPr>
          <w:spacing w:val="-1"/>
        </w:rPr>
        <w:t>根据知萌咨询机构发布的《</w:t>
      </w:r>
      <w:r>
        <w:rPr>
          <w:rFonts w:ascii="宋体" w:hAnsi="宋体" w:cs="宋体" w:eastAsia="宋体" w:hint="default"/>
          <w:spacing w:val="-1"/>
        </w:rPr>
        <w:t>2015</w:t>
      </w:r>
      <w:r>
        <w:rPr>
          <w:spacing w:val="-1"/>
        </w:rPr>
        <w:t>中国数字营销发展趋势报告》，</w:t>
      </w:r>
      <w:r>
        <w:rPr>
          <w:rFonts w:ascii="宋体" w:hAnsi="宋体" w:cs="宋体" w:eastAsia="宋体" w:hint="default"/>
          <w:spacing w:val="-1"/>
        </w:rPr>
        <w:t>2015</w:t>
      </w:r>
      <w:r>
        <w:rPr>
          <w:spacing w:val="-1"/>
        </w:rPr>
        <w:t>年，广告主在数字营销平台上的</w:t>
      </w:r>
      <w:r>
        <w:rPr/>
        <w:t> </w:t>
      </w:r>
      <w:r>
        <w:rPr>
          <w:spacing w:val="-1"/>
        </w:rPr>
        <w:t>投入增加（包括了广告购买和相关的数字营销创意活动在内）的前三名分别是移动新闻客户端、搜索引擎</w:t>
      </w:r>
      <w:r>
        <w:rPr>
          <w:spacing w:val="-83"/>
        </w:rPr>
        <w:t> </w:t>
      </w:r>
      <w:r>
        <w:rPr>
          <w:spacing w:val="-83"/>
        </w:rPr>
      </w:r>
      <w:r>
        <w:rPr/>
        <w:t>和视频网站，而移动互联网广告增长率达到</w:t>
      </w:r>
      <w:r>
        <w:rPr>
          <w:rFonts w:ascii="宋体" w:hAnsi="宋体" w:cs="宋体" w:eastAsia="宋体" w:hint="default"/>
        </w:rPr>
        <w:t>105.5%</w:t>
      </w:r>
      <w:r>
        <w:rPr/>
        <w:t>，成为互联网广告增长的主要力量，移动新闻客户端、 移动</w:t>
      </w:r>
      <w:r>
        <w:rPr>
          <w:rFonts w:ascii="宋体" w:hAnsi="宋体" w:cs="宋体" w:eastAsia="宋体" w:hint="default"/>
        </w:rPr>
        <w:t>APP</w:t>
      </w:r>
      <w:r>
        <w:rPr/>
        <w:t>广告、微信公众号、微店和微商都是在</w:t>
      </w:r>
      <w:r>
        <w:rPr>
          <w:rFonts w:ascii="宋体" w:hAnsi="宋体" w:cs="宋体" w:eastAsia="宋体" w:hint="default"/>
        </w:rPr>
        <w:t>2015</w:t>
      </w:r>
      <w:r>
        <w:rPr/>
        <w:t>年被广告主高度关注，并且成为投入费用增长最快的 </w:t>
      </w:r>
      <w:r>
        <w:rPr>
          <w:spacing w:val="-1"/>
        </w:rPr>
        <w:t>平台，移动营销已经进一步走向常态化，而基于本地化的，更加细分的垂直领域涌的移动营销平台，以及</w:t>
      </w:r>
      <w:r>
        <w:rPr>
          <w:spacing w:val="-86"/>
        </w:rPr>
        <w:t> </w:t>
      </w:r>
      <w:r>
        <w:rPr>
          <w:spacing w:val="-86"/>
        </w:rPr>
      </w:r>
      <w:r>
        <w:rPr/>
        <w:t>重度垂直的移动应用的营销价值也正在爆发。</w:t>
      </w:r>
    </w:p>
    <w:p>
      <w:pPr>
        <w:pStyle w:val="BodyText"/>
        <w:spacing w:line="408" w:lineRule="auto" w:before="46"/>
        <w:ind w:left="154" w:right="0" w:firstLine="420"/>
        <w:jc w:val="left"/>
      </w:pPr>
      <w:r>
        <w:rPr/>
        <w:t>国内数字营销获得了迅速发展，</w:t>
      </w:r>
      <w:r>
        <w:rPr>
          <w:rFonts w:ascii="宋体" w:hAnsi="宋体" w:cs="宋体" w:eastAsia="宋体" w:hint="default"/>
        </w:rPr>
        <w:t>A</w:t>
      </w:r>
      <w:r>
        <w:rPr/>
        <w:t>股上市公司进入数字营销行业促进行业整合，推动数字营销价值提 </w:t>
      </w:r>
      <w:r>
        <w:rPr>
          <w:spacing w:val="-1"/>
        </w:rPr>
        <w:t>升，数字营销作为互联网流量变现的商业模式之一而成为上市公司并购的主要方向。公司近几年的数字营</w:t>
      </w:r>
      <w:r>
        <w:rPr>
          <w:spacing w:val="-81"/>
        </w:rPr>
        <w:t> </w:t>
      </w:r>
      <w:r>
        <w:rPr>
          <w:spacing w:val="-81"/>
        </w:rPr>
      </w:r>
      <w:r>
        <w:rPr/>
        <w:t>销并购案例均成为了行业关注的焦点。</w:t>
      </w:r>
    </w:p>
    <w:p>
      <w:pPr>
        <w:pStyle w:val="BodyText"/>
        <w:spacing w:line="408" w:lineRule="auto" w:before="46"/>
        <w:ind w:left="154" w:right="0" w:firstLine="420"/>
        <w:jc w:val="left"/>
      </w:pPr>
      <w:r>
        <w:rPr/>
        <w:t>目前，公司成为行业内为数不多的能够提供一站式整合数字营销服务的数字营销集团，已成功跻身国 </w:t>
      </w:r>
      <w:r>
        <w:rPr>
          <w:spacing w:val="-3"/>
        </w:rPr>
        <w:t>内数字营销行业的领先梯队。根据《互联网周刊》公布的《</w:t>
      </w:r>
      <w:r>
        <w:rPr>
          <w:rFonts w:ascii="宋体" w:hAnsi="宋体" w:cs="宋体" w:eastAsia="宋体" w:hint="default"/>
          <w:spacing w:val="-3"/>
        </w:rPr>
        <w:t>2015</w:t>
      </w:r>
      <w:r>
        <w:rPr>
          <w:spacing w:val="-3"/>
        </w:rPr>
        <w:t>中国网络广告公司综合服务水平排行榜》，</w:t>
      </w:r>
      <w:r>
        <w:rPr>
          <w:spacing w:val="-89"/>
        </w:rPr>
        <w:t> </w:t>
      </w:r>
      <w:r>
        <w:rPr>
          <w:spacing w:val="-89"/>
        </w:rPr>
      </w:r>
      <w:r>
        <w:rPr/>
        <w:t>利欧股份综合评分排名第</w:t>
      </w:r>
      <w:r>
        <w:rPr>
          <w:rFonts w:ascii="宋体" w:hAnsi="宋体" w:cs="宋体" w:eastAsia="宋体" w:hint="default"/>
        </w:rPr>
        <w:t>4</w:t>
      </w:r>
      <w:r>
        <w:rPr/>
        <w:t>位。</w:t>
      </w:r>
    </w:p>
    <w:p>
      <w:pPr>
        <w:pStyle w:val="Heading3"/>
        <w:spacing w:line="240" w:lineRule="auto"/>
        <w:ind w:right="0"/>
        <w:jc w:val="left"/>
        <w:rPr>
          <w:b w:val="0"/>
          <w:bCs w:val="0"/>
        </w:rPr>
      </w:pPr>
      <w:r>
        <w:rPr>
          <w:rFonts w:ascii="仿宋" w:hAnsi="仿宋" w:cs="仿宋" w:eastAsia="仿宋" w:hint="default"/>
        </w:rPr>
        <w:t>2</w:t>
      </w:r>
      <w:r>
        <w:rPr/>
        <w:t>、机械制造业务</w:t>
      </w:r>
      <w:r>
        <w:rPr>
          <w:b w:val="0"/>
          <w:bCs w:val="0"/>
        </w:rPr>
      </w:r>
    </w:p>
    <w:p>
      <w:pPr>
        <w:spacing w:line="240" w:lineRule="auto" w:before="10"/>
        <w:rPr>
          <w:rFonts w:ascii="仿宋" w:hAnsi="仿宋" w:cs="仿宋" w:eastAsia="仿宋" w:hint="default"/>
          <w:b/>
          <w:bCs/>
          <w:sz w:val="14"/>
          <w:szCs w:val="14"/>
        </w:rPr>
      </w:pPr>
    </w:p>
    <w:p>
      <w:pPr>
        <w:pStyle w:val="Heading3"/>
        <w:spacing w:line="240" w:lineRule="auto" w:before="0"/>
        <w:ind w:right="0"/>
        <w:jc w:val="left"/>
        <w:rPr>
          <w:b w:val="0"/>
          <w:bCs w:val="0"/>
        </w:rPr>
      </w:pPr>
      <w:r>
        <w:rPr/>
        <w:t>（</w:t>
      </w:r>
      <w:r>
        <w:rPr>
          <w:rFonts w:ascii="仿宋" w:hAnsi="仿宋" w:cs="仿宋" w:eastAsia="仿宋" w:hint="default"/>
        </w:rPr>
        <w:t>1</w:t>
      </w:r>
      <w:r>
        <w:rPr/>
        <w:t>）微型小型水泵</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left="154" w:right="0" w:firstLine="420"/>
        <w:jc w:val="left"/>
      </w:pPr>
      <w:r>
        <w:rPr>
          <w:spacing w:val="-1"/>
        </w:rPr>
        <w:t>未来一段时间，由于全球对未被污染水资源的巨大需求、亚太地区的人口增长、城市化进程的快速推</w:t>
      </w:r>
      <w:r>
        <w:rPr/>
        <w:t> 进等因素影响，小型水泵的市场需求将继续保持增长。</w:t>
      </w:r>
    </w:p>
    <w:p>
      <w:pPr>
        <w:pStyle w:val="BodyText"/>
        <w:spacing w:line="408" w:lineRule="auto" w:before="46"/>
        <w:ind w:left="154" w:right="1023" w:firstLine="420"/>
        <w:jc w:val="left"/>
      </w:pPr>
      <w:r>
        <w:rPr/>
        <w:t>随着国家落实振兴装备制造业、提升自主创新能力的一系列举措，中国小型水泵将进入新一轮的发展 </w:t>
      </w:r>
      <w:r>
        <w:rPr>
          <w:spacing w:val="-3"/>
        </w:rPr>
        <w:t>期。国内城市化进程的持续推进、农田水利建设的大力开展都为中国微型小型水泵提供了广阔的市场空间。</w:t>
      </w:r>
    </w:p>
    <w:p>
      <w:pPr>
        <w:pStyle w:val="Heading3"/>
        <w:spacing w:line="240" w:lineRule="auto"/>
        <w:ind w:right="0"/>
        <w:jc w:val="left"/>
        <w:rPr>
          <w:b w:val="0"/>
          <w:bCs w:val="0"/>
        </w:rPr>
      </w:pPr>
      <w:r>
        <w:rPr/>
        <w:t>（</w:t>
      </w:r>
      <w:r>
        <w:rPr>
          <w:rFonts w:ascii="仿宋" w:hAnsi="仿宋" w:cs="仿宋" w:eastAsia="仿宋" w:hint="default"/>
        </w:rPr>
        <w:t>2</w:t>
      </w:r>
      <w:r>
        <w:rPr/>
        <w:t>）园林机械</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right="1110" w:firstLine="420"/>
        <w:jc w:val="both"/>
      </w:pPr>
      <w:r>
        <w:rPr>
          <w:spacing w:val="-1"/>
        </w:rPr>
        <w:t>由于投资成本、运营成本太高，欧美发达国家的园林机械制造商纷纷将生产能力向中国转移，或在中</w:t>
      </w:r>
      <w:r>
        <w:rPr/>
        <w:t> </w:t>
      </w:r>
      <w:r>
        <w:rPr>
          <w:spacing w:val="-1"/>
        </w:rPr>
        <w:t>国建立合资企业，或与我国的生产商进行</w:t>
      </w:r>
      <w:r>
        <w:rPr>
          <w:rFonts w:ascii="宋体" w:hAnsi="宋体" w:cs="宋体" w:eastAsia="宋体" w:hint="default"/>
          <w:spacing w:val="-1"/>
        </w:rPr>
        <w:t>ODM</w:t>
      </w:r>
      <w:r>
        <w:rPr>
          <w:spacing w:val="-1"/>
        </w:rPr>
        <w:t>、</w:t>
      </w:r>
      <w:r>
        <w:rPr>
          <w:rFonts w:ascii="宋体" w:hAnsi="宋体" w:cs="宋体" w:eastAsia="宋体" w:hint="default"/>
          <w:spacing w:val="-1"/>
        </w:rPr>
        <w:t>OEM</w:t>
      </w:r>
      <w:r>
        <w:rPr>
          <w:spacing w:val="-1"/>
        </w:rPr>
        <w:t>等多种形式的合作。在这种背景下，我国的园林机械制</w:t>
      </w:r>
      <w:r>
        <w:rPr>
          <w:spacing w:val="-84"/>
        </w:rPr>
        <w:t> </w:t>
      </w:r>
      <w:r>
        <w:rPr>
          <w:spacing w:val="-84"/>
        </w:rPr>
      </w:r>
      <w:r>
        <w:rPr/>
        <w:t>造商面临着巨大的发展机遇。一方面，国际制造能力转移为国内企业创造了巨大的市场空间；另一方面， </w:t>
      </w:r>
      <w:r>
        <w:rPr>
          <w:spacing w:val="-1"/>
        </w:rPr>
        <w:t>国内企业通过与国外制造商的合资合作，可以快速提升自身的技术水平和管理能力，为形成核心竞争能力</w:t>
      </w:r>
      <w:r>
        <w:rPr>
          <w:spacing w:val="-80"/>
        </w:rPr>
        <w:t> </w:t>
      </w:r>
      <w:r>
        <w:rPr>
          <w:spacing w:val="-80"/>
        </w:rPr>
      </w:r>
      <w:r>
        <w:rPr/>
        <w:t>打下基础。</w:t>
      </w:r>
    </w:p>
    <w:p>
      <w:pPr>
        <w:pStyle w:val="BodyText"/>
        <w:spacing w:line="408" w:lineRule="auto" w:before="46"/>
        <w:ind w:left="154" w:right="1131" w:firstLine="420"/>
        <w:jc w:val="both"/>
      </w:pPr>
      <w:r>
        <w:rPr>
          <w:spacing w:val="-1"/>
        </w:rPr>
        <w:t>经过多年的技术引进和消化吸收，国内园林机械制造商的整体技术水平、生产装备水平得到了明显提</w:t>
      </w:r>
      <w:r>
        <w:rPr/>
        <w:t> </w:t>
      </w:r>
      <w:r>
        <w:rPr>
          <w:spacing w:val="-1"/>
        </w:rPr>
        <w:t>升。部分优势企业已掌握了产品生产过程中的核心技术，具备了自主研发和技术创新能力，经营模式逐渐</w:t>
      </w:r>
      <w:r>
        <w:rPr>
          <w:spacing w:val="-83"/>
        </w:rPr>
        <w:t> </w:t>
      </w:r>
      <w:r>
        <w:rPr>
          <w:spacing w:val="-83"/>
        </w:rPr>
      </w:r>
      <w:r>
        <w:rPr>
          <w:spacing w:val="-1"/>
        </w:rPr>
        <w:t>从单纯的</w:t>
      </w:r>
      <w:r>
        <w:rPr>
          <w:rFonts w:ascii="宋体" w:hAnsi="宋体" w:cs="宋体" w:eastAsia="宋体" w:hint="default"/>
          <w:spacing w:val="-1"/>
        </w:rPr>
        <w:t>OEM</w:t>
      </w:r>
      <w:r>
        <w:rPr>
          <w:spacing w:val="-1"/>
        </w:rPr>
        <w:t>转向</w:t>
      </w:r>
      <w:r>
        <w:rPr>
          <w:rFonts w:ascii="宋体" w:hAnsi="宋体" w:cs="宋体" w:eastAsia="宋体" w:hint="default"/>
          <w:spacing w:val="-1"/>
        </w:rPr>
        <w:t>ODM</w:t>
      </w:r>
      <w:r>
        <w:rPr>
          <w:spacing w:val="-1"/>
        </w:rPr>
        <w:t>，产品档次及附加值不断提高，盈利能力不断增强。以此为基础，部分企业开始尝试</w:t>
      </w:r>
      <w:r>
        <w:rPr>
          <w:spacing w:val="-84"/>
        </w:rPr>
        <w:t> </w:t>
      </w:r>
      <w:r>
        <w:rPr>
          <w:spacing w:val="-84"/>
        </w:rPr>
      </w:r>
      <w:r>
        <w:rPr/>
        <w:t>并逐渐扩大</w:t>
      </w:r>
      <w:r>
        <w:rPr>
          <w:rFonts w:ascii="宋体" w:hAnsi="宋体" w:cs="宋体" w:eastAsia="宋体" w:hint="default"/>
        </w:rPr>
        <w:t>OBM</w:t>
      </w:r>
      <w:r>
        <w:rPr/>
        <w:t>方式（自主品牌经营模式），推广自主品牌，可持续发展能力不断增强。</w:t>
      </w:r>
    </w:p>
    <w:p>
      <w:pPr>
        <w:pStyle w:val="Heading3"/>
        <w:spacing w:line="240" w:lineRule="auto"/>
        <w:ind w:right="0"/>
        <w:jc w:val="left"/>
        <w:rPr>
          <w:b w:val="0"/>
          <w:bCs w:val="0"/>
        </w:rPr>
      </w:pPr>
      <w:r>
        <w:rPr/>
        <w:t>（</w:t>
      </w:r>
      <w:r>
        <w:rPr>
          <w:rFonts w:ascii="仿宋" w:hAnsi="仿宋" w:cs="仿宋" w:eastAsia="仿宋" w:hint="default"/>
        </w:rPr>
        <w:t>3</w:t>
      </w:r>
      <w:r>
        <w:rPr/>
        <w:t>）清洗和植保机械</w:t>
      </w:r>
      <w:r>
        <w:rPr>
          <w:b w:val="0"/>
          <w:bCs w:val="0"/>
        </w:rPr>
      </w:r>
    </w:p>
    <w:p>
      <w:pPr>
        <w:spacing w:line="240" w:lineRule="auto" w:before="10"/>
        <w:rPr>
          <w:rFonts w:ascii="仿宋" w:hAnsi="仿宋" w:cs="仿宋" w:eastAsia="仿宋" w:hint="default"/>
          <w:b/>
          <w:bCs/>
          <w:sz w:val="14"/>
          <w:szCs w:val="14"/>
        </w:rPr>
      </w:pPr>
    </w:p>
    <w:p>
      <w:pPr>
        <w:pStyle w:val="BodyText"/>
        <w:spacing w:line="240" w:lineRule="auto"/>
        <w:ind w:left="573" w:right="0"/>
        <w:jc w:val="left"/>
      </w:pPr>
      <w:r>
        <w:rPr/>
        <w:t>自</w:t>
      </w:r>
      <w:r>
        <w:rPr>
          <w:rFonts w:ascii="宋体" w:hAnsi="宋体" w:cs="宋体" w:eastAsia="宋体" w:hint="default"/>
        </w:rPr>
        <w:t>2003</w:t>
      </w:r>
      <w:r>
        <w:rPr/>
        <w:t>年以来，中国清洗设备市场以年均</w:t>
      </w:r>
      <w:r>
        <w:rPr>
          <w:rFonts w:ascii="宋体" w:hAnsi="宋体" w:cs="宋体" w:eastAsia="宋体" w:hint="default"/>
        </w:rPr>
        <w:t>20%</w:t>
      </w:r>
      <w:r>
        <w:rPr/>
        <w:t>以上的速度高速增长。一方面是国内需求的不断扩大。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t>包括对淘汰</w:t>
      </w:r>
      <w:r>
        <w:rPr>
          <w:rFonts w:ascii="宋体" w:hAnsi="宋体" w:cs="宋体" w:eastAsia="宋体" w:hint="default"/>
        </w:rPr>
        <w:t>ODS</w:t>
      </w:r>
      <w:r>
        <w:rPr/>
        <w:t>（</w:t>
      </w:r>
      <w:r>
        <w:rPr>
          <w:rFonts w:ascii="宋体" w:hAnsi="宋体" w:cs="宋体" w:eastAsia="宋体" w:hint="default"/>
        </w:rPr>
        <w:t>Ozone</w:t>
      </w:r>
      <w:r>
        <w:rPr>
          <w:rFonts w:ascii="宋体" w:hAnsi="宋体" w:cs="宋体" w:eastAsia="宋体" w:hint="default"/>
          <w:spacing w:val="32"/>
        </w:rPr>
        <w:t> </w:t>
      </w:r>
      <w:r>
        <w:rPr>
          <w:rFonts w:ascii="宋体" w:hAnsi="宋体" w:cs="宋体" w:eastAsia="宋体" w:hint="default"/>
        </w:rPr>
        <w:t>Depleting</w:t>
      </w:r>
      <w:r>
        <w:rPr>
          <w:rFonts w:ascii="宋体" w:hAnsi="宋体" w:cs="宋体" w:eastAsia="宋体" w:hint="default"/>
          <w:spacing w:val="32"/>
        </w:rPr>
        <w:t> </w:t>
      </w:r>
      <w:r>
        <w:rPr>
          <w:rFonts w:ascii="宋体" w:hAnsi="宋体" w:cs="宋体" w:eastAsia="宋体" w:hint="default"/>
        </w:rPr>
        <w:t>Substances</w:t>
      </w:r>
      <w:r>
        <w:rPr/>
        <w:t>，消耗臭氧层物质）和实施</w:t>
      </w:r>
      <w:r>
        <w:rPr>
          <w:rFonts w:ascii="宋体" w:hAnsi="宋体" w:cs="宋体" w:eastAsia="宋体" w:hint="default"/>
        </w:rPr>
        <w:t>ISO14000</w:t>
      </w:r>
      <w:r>
        <w:rPr/>
        <w:t>体系出现的替代设备</w:t>
      </w:r>
      <w:r>
        <w:rPr>
          <w:spacing w:val="-100"/>
        </w:rPr>
        <w:t> </w:t>
      </w:r>
      <w:r>
        <w:rPr>
          <w:spacing w:val="-100"/>
        </w:rPr>
      </w:r>
      <w:r>
        <w:rPr>
          <w:spacing w:val="-1"/>
        </w:rPr>
        <w:t>需求，以及大量的新建和扩建工厂采购新的清洗设备；另一方面，随着我国清洗设备生产厂家技术水平和</w:t>
      </w:r>
      <w:r>
        <w:rPr>
          <w:spacing w:val="-83"/>
        </w:rPr>
        <w:t> </w:t>
      </w:r>
      <w:r>
        <w:rPr>
          <w:spacing w:val="-83"/>
        </w:rPr>
      </w:r>
      <w:r>
        <w:rPr>
          <w:spacing w:val="-1"/>
        </w:rPr>
        <w:t>设备质量的迅速提高，价格优势更加明显。外资企业开始大量采购国产清洗设备，大批质优价廉的中国制</w:t>
      </w:r>
      <w:r>
        <w:rPr>
          <w:spacing w:val="-83"/>
        </w:rPr>
        <w:t> </w:t>
      </w:r>
      <w:r>
        <w:rPr>
          <w:spacing w:val="-83"/>
        </w:rPr>
      </w:r>
      <w:r>
        <w:rPr/>
        <w:t>造清洗设备出口国外。</w:t>
      </w:r>
    </w:p>
    <w:p>
      <w:pPr>
        <w:pStyle w:val="BodyText"/>
        <w:spacing w:line="408" w:lineRule="auto" w:before="46"/>
        <w:ind w:right="1131" w:firstLine="420"/>
        <w:jc w:val="both"/>
      </w:pPr>
      <w:r>
        <w:rPr>
          <w:spacing w:val="-1"/>
        </w:rPr>
        <w:t>农作物病虫草害防治对农业的增产、丰收起着至关重要的保障作用，农作物施药保护是农业生产必不</w:t>
      </w:r>
      <w:r>
        <w:rPr/>
        <w:t> </w:t>
      </w:r>
      <w:r>
        <w:rPr>
          <w:spacing w:val="-1"/>
        </w:rPr>
        <w:t>可少的环节之一，改革开放</w:t>
      </w:r>
      <w:r>
        <w:rPr>
          <w:rFonts w:ascii="宋体" w:hAnsi="宋体" w:cs="宋体" w:eastAsia="宋体" w:hint="default"/>
          <w:spacing w:val="-1"/>
        </w:rPr>
        <w:t>30</w:t>
      </w:r>
      <w:r>
        <w:rPr>
          <w:spacing w:val="-1"/>
        </w:rPr>
        <w:t>年来农业的快速发展为我国植保机械产业的发展提供了广阔的发展空间。但</w:t>
      </w:r>
      <w:r>
        <w:rPr>
          <w:spacing w:val="-82"/>
        </w:rPr>
        <w:t> </w:t>
      </w:r>
      <w:r>
        <w:rPr>
          <w:spacing w:val="-82"/>
        </w:rPr>
      </w:r>
      <w:r>
        <w:rPr>
          <w:spacing w:val="-1"/>
        </w:rPr>
        <w:t>是，相比农业其它行业，植物保护方面从机械化水平到专业化程度都落后于其它行业，与农业大规模生产</w:t>
      </w:r>
      <w:r>
        <w:rPr>
          <w:spacing w:val="-83"/>
        </w:rPr>
        <w:t> </w:t>
      </w:r>
      <w:r>
        <w:rPr>
          <w:spacing w:val="-83"/>
        </w:rPr>
      </w:r>
      <w:r>
        <w:rPr/>
        <w:t>经营的发达国家相比，差距更大。</w:t>
      </w:r>
      <w:r>
        <w:rPr>
          <w:rFonts w:ascii="宋体" w:hAnsi="宋体" w:cs="宋体" w:eastAsia="宋体" w:hint="default"/>
        </w:rPr>
        <w:t>2009</w:t>
      </w:r>
      <w:r>
        <w:rPr/>
        <w:t>年全国机械化植保耕地面积为</w:t>
      </w:r>
      <w:r>
        <w:rPr>
          <w:rFonts w:ascii="宋体" w:hAnsi="宋体" w:cs="宋体" w:eastAsia="宋体" w:hint="default"/>
        </w:rPr>
        <w:t>532.4</w:t>
      </w:r>
      <w:r>
        <w:rPr/>
        <w:t>万公顷，仅占全国耕地总面积</w:t>
      </w:r>
      <w:r>
        <w:rPr>
          <w:spacing w:val="-30"/>
        </w:rPr>
        <w:t> </w:t>
      </w:r>
      <w:r>
        <w:rPr>
          <w:spacing w:val="-30"/>
        </w:rPr>
      </w:r>
      <w:r>
        <w:rPr>
          <w:spacing w:val="-1"/>
        </w:rPr>
        <w:t>的</w:t>
      </w:r>
      <w:r>
        <w:rPr>
          <w:rFonts w:ascii="宋体" w:hAnsi="宋体" w:cs="宋体" w:eastAsia="宋体" w:hint="default"/>
          <w:spacing w:val="-1"/>
        </w:rPr>
        <w:t>36.7%</w:t>
      </w:r>
      <w:r>
        <w:rPr>
          <w:spacing w:val="-1"/>
        </w:rPr>
        <w:t>，低于全国农业耕种收综合机械化水平</w:t>
      </w:r>
      <w:r>
        <w:rPr>
          <w:rFonts w:ascii="宋体" w:hAnsi="宋体" w:cs="宋体" w:eastAsia="宋体" w:hint="default"/>
          <w:spacing w:val="-1"/>
        </w:rPr>
        <w:t>49.13%</w:t>
      </w:r>
      <w:r>
        <w:rPr>
          <w:spacing w:val="-1"/>
        </w:rPr>
        <w:t>。据</w:t>
      </w:r>
      <w:r>
        <w:rPr>
          <w:rFonts w:ascii="宋体" w:hAnsi="宋体" w:cs="宋体" w:eastAsia="宋体" w:hint="default"/>
          <w:spacing w:val="-1"/>
        </w:rPr>
        <w:t>2010</w:t>
      </w:r>
      <w:r>
        <w:rPr>
          <w:spacing w:val="-1"/>
        </w:rPr>
        <w:t>年</w:t>
      </w:r>
      <w:r>
        <w:rPr>
          <w:rFonts w:ascii="宋体" w:hAnsi="宋体" w:cs="宋体" w:eastAsia="宋体" w:hint="default"/>
          <w:spacing w:val="-1"/>
        </w:rPr>
        <w:t>7</w:t>
      </w:r>
      <w:r>
        <w:rPr>
          <w:spacing w:val="-1"/>
        </w:rPr>
        <w:t>月国务院发布的《关于促进农业机械化</w:t>
      </w:r>
      <w:r>
        <w:rPr>
          <w:spacing w:val="-80"/>
        </w:rPr>
        <w:t> </w:t>
      </w:r>
      <w:r>
        <w:rPr>
          <w:spacing w:val="-80"/>
        </w:rPr>
      </w:r>
      <w:r>
        <w:rPr/>
        <w:t>和农机工业又好又快发展的意见》，到</w:t>
      </w:r>
      <w:r>
        <w:rPr>
          <w:rFonts w:ascii="宋体" w:hAnsi="宋体" w:cs="宋体" w:eastAsia="宋体" w:hint="default"/>
        </w:rPr>
        <w:t>2015</w:t>
      </w:r>
      <w:r>
        <w:rPr/>
        <w:t>年全国主要农作物耕种收综合机械化水平要达到</w:t>
      </w:r>
      <w:r>
        <w:rPr>
          <w:rFonts w:ascii="宋体" w:hAnsi="宋体" w:cs="宋体" w:eastAsia="宋体" w:hint="default"/>
        </w:rPr>
        <w:t>55%</w:t>
      </w:r>
      <w:r>
        <w:rPr/>
        <w:t>以上，到</w:t>
      </w:r>
      <w:r>
        <w:rPr>
          <w:spacing w:val="-28"/>
        </w:rPr>
        <w:t> </w:t>
      </w:r>
      <w:r>
        <w:rPr>
          <w:spacing w:val="-28"/>
        </w:rPr>
      </w:r>
      <w:r>
        <w:rPr>
          <w:rFonts w:ascii="宋体" w:hAnsi="宋体" w:cs="宋体" w:eastAsia="宋体" w:hint="default"/>
        </w:rPr>
        <w:t>2020</w:t>
      </w:r>
      <w:r>
        <w:rPr/>
        <w:t>年主要农作物耕种收综合机械化水平要达到</w:t>
      </w:r>
      <w:r>
        <w:rPr>
          <w:rFonts w:ascii="宋体" w:hAnsi="宋体" w:cs="宋体" w:eastAsia="宋体" w:hint="default"/>
        </w:rPr>
        <w:t>65%</w:t>
      </w:r>
      <w:r>
        <w:rPr/>
        <w:t>以上。依据这一目标，到</w:t>
      </w:r>
      <w:r>
        <w:rPr>
          <w:rFonts w:ascii="宋体" w:hAnsi="宋体" w:cs="宋体" w:eastAsia="宋体" w:hint="default"/>
        </w:rPr>
        <w:t>2020</w:t>
      </w:r>
      <w:r>
        <w:rPr/>
        <w:t>年，我国机械化植保面</w:t>
      </w:r>
      <w:r>
        <w:rPr>
          <w:spacing w:val="-28"/>
        </w:rPr>
        <w:t> </w:t>
      </w:r>
      <w:r>
        <w:rPr>
          <w:spacing w:val="-28"/>
        </w:rPr>
      </w:r>
      <w:r>
        <w:rPr/>
        <w:t>积将超过</w:t>
      </w:r>
      <w:r>
        <w:rPr>
          <w:rFonts w:ascii="宋体" w:hAnsi="宋体" w:cs="宋体" w:eastAsia="宋体" w:hint="default"/>
        </w:rPr>
        <w:t>9,800</w:t>
      </w:r>
      <w:r>
        <w:rPr/>
        <w:t>万公顷，植保机械总需求量将达到</w:t>
      </w:r>
      <w:r>
        <w:rPr>
          <w:rFonts w:ascii="宋体" w:hAnsi="宋体" w:cs="宋体" w:eastAsia="宋体" w:hint="default"/>
        </w:rPr>
        <w:t>11,400</w:t>
      </w:r>
      <w:r>
        <w:rPr/>
        <w:t>万台，其中机动植保机械部分会出现快速增长。</w:t>
      </w:r>
    </w:p>
    <w:p>
      <w:pPr>
        <w:pStyle w:val="Heading3"/>
        <w:spacing w:line="240" w:lineRule="auto"/>
        <w:ind w:right="0"/>
        <w:jc w:val="left"/>
        <w:rPr>
          <w:b w:val="0"/>
          <w:bCs w:val="0"/>
        </w:rPr>
      </w:pPr>
      <w:r>
        <w:rPr/>
        <w:t>（</w:t>
      </w:r>
      <w:r>
        <w:rPr>
          <w:rFonts w:ascii="仿宋" w:hAnsi="仿宋" w:cs="仿宋" w:eastAsia="仿宋" w:hint="default"/>
        </w:rPr>
        <w:t>4</w:t>
      </w:r>
      <w:r>
        <w:rPr/>
        <w:t>）工业泵</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right="1131" w:firstLine="420"/>
        <w:jc w:val="both"/>
      </w:pPr>
      <w:r>
        <w:rPr>
          <w:spacing w:val="-1"/>
        </w:rPr>
        <w:t>近年来，得益于国家扩大公共设施投资以及刺激内需的政策，水利水务、电力、钢铁冶金、石化、矿</w:t>
      </w:r>
      <w:r>
        <w:rPr/>
        <w:t> </w:t>
      </w:r>
      <w:r>
        <w:rPr>
          <w:spacing w:val="-1"/>
        </w:rPr>
        <w:t>业等国民经济主要部门和城市基础设施建设需求持续增长，工业泵产品的产值和销售额也保持了持续增长</w:t>
      </w:r>
      <w:r>
        <w:rPr>
          <w:spacing w:val="-81"/>
        </w:rPr>
        <w:t> </w:t>
      </w:r>
      <w:r>
        <w:rPr>
          <w:spacing w:val="-81"/>
        </w:rPr>
      </w:r>
      <w:r>
        <w:rPr>
          <w:spacing w:val="-1"/>
        </w:rPr>
        <w:t>的势头。随着对国外技术的引进和消化以及自主创新能力的加强，国内工业用泵行业在技术上取得了长足</w:t>
      </w:r>
      <w:r>
        <w:rPr>
          <w:spacing w:val="-81"/>
        </w:rPr>
        <w:t> </w:t>
      </w:r>
      <w:r>
        <w:rPr>
          <w:spacing w:val="-81"/>
        </w:rPr>
      </w:r>
      <w:r>
        <w:rPr/>
        <w:t>的发展，已经逐步缩小了与国外先进制造技术的差距。</w:t>
      </w:r>
    </w:p>
    <w:p>
      <w:pPr>
        <w:pStyle w:val="BodyText"/>
        <w:spacing w:line="408" w:lineRule="auto" w:before="46"/>
        <w:ind w:left="154" w:right="1132" w:firstLine="420"/>
        <w:jc w:val="both"/>
      </w:pPr>
      <w:r>
        <w:rPr>
          <w:spacing w:val="-1"/>
        </w:rPr>
        <w:t>公司的机械制造业务领域跨越微型小型水泵、园林机械、清洗与植保机械、工业泵等多个行业，形成</w:t>
      </w:r>
      <w:r>
        <w:rPr/>
        <w:t> 了独特的行业协同优势，公司的产品制造能力在行业内处于领先地位。</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bookmarkStart w:name="1、主要资产重大变化情况" w:id="20"/>
      <w:bookmarkEnd w:id="20"/>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、主要资产重大变化情况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主要系万圣伟业、微创时代纳入公司合并报表范围，其软件著作权和域名组合转入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主要系本期东部产业集聚区基建项目投入增加所致。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月公司完成非公开发行股票募集配套资金到账所致。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主要系本期公司投资参股异乡好居、亿嘉轮，对浙江温岭农村合作银行增资所致。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right="0"/>
        <w:jc w:val="left"/>
        <w:rPr>
          <w:rFonts w:ascii="仿宋" w:hAnsi="仿宋" w:cs="仿宋" w:eastAsia="仿宋" w:hint="default"/>
        </w:rPr>
      </w:pPr>
      <w:r>
        <w:rPr>
          <w:rFonts w:ascii="仿宋" w:hAnsi="仿宋" w:cs="仿宋" w:eastAsia="仿宋" w:hint="default"/>
          <w:spacing w:val="-1"/>
        </w:rPr>
        <w:t>注：另外，因本期万圣伟业、微创时代纳入公司合并报表范围，应收账款、预付款项、其他应收款等科目</w:t>
      </w:r>
      <w:r>
        <w:rPr>
          <w:rFonts w:ascii="仿宋" w:hAnsi="仿宋" w:cs="仿宋" w:eastAsia="仿宋" w:hint="default"/>
          <w:spacing w:val="-83"/>
        </w:rPr>
        <w:t> </w:t>
      </w:r>
      <w:r>
        <w:rPr>
          <w:rFonts w:ascii="仿宋" w:hAnsi="仿宋" w:cs="仿宋" w:eastAsia="仿宋" w:hint="default"/>
          <w:spacing w:val="-83"/>
        </w:rPr>
      </w:r>
      <w:r>
        <w:rPr>
          <w:rFonts w:ascii="仿宋" w:hAnsi="仿宋" w:cs="仿宋" w:eastAsia="仿宋" w:hint="default"/>
        </w:rPr>
        <w:t>较期初均有所增加。</w:t>
      </w:r>
    </w:p>
    <w:p>
      <w:pPr>
        <w:spacing w:line="240" w:lineRule="auto" w:before="2"/>
        <w:rPr>
          <w:rFonts w:ascii="仿宋" w:hAnsi="仿宋" w:cs="仿宋" w:eastAsia="仿宋" w:hint="default"/>
          <w:sz w:val="24"/>
          <w:szCs w:val="24"/>
        </w:rPr>
      </w:pPr>
    </w:p>
    <w:p>
      <w:pPr>
        <w:spacing w:before="0"/>
        <w:ind w:left="153" w:right="0" w:firstLine="0"/>
        <w:jc w:val="left"/>
        <w:rPr>
          <w:rFonts w:ascii="宋体" w:hAnsi="宋体" w:cs="宋体" w:eastAsia="宋体" w:hint="default"/>
          <w:sz w:val="20"/>
          <w:szCs w:val="20"/>
        </w:rPr>
      </w:pPr>
      <w:bookmarkStart w:name="2、主要境外资产情况" w:id="21"/>
      <w:bookmarkEnd w:id="21"/>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、主要境外资产情况</w:t>
      </w:r>
      <w:r>
        <w:rPr>
          <w:rFonts w:ascii="宋体" w:hAnsi="宋体" w:cs="宋体" w:eastAsia="宋体" w:hint="default"/>
          <w:sz w:val="20"/>
          <w:szCs w:val="2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30"/>
          <w:szCs w:val="30"/>
        </w:rPr>
      </w:pPr>
    </w:p>
    <w:p>
      <w:pPr>
        <w:pStyle w:val="Heading3"/>
        <w:spacing w:line="240" w:lineRule="auto" w:before="0"/>
        <w:ind w:right="0"/>
        <w:jc w:val="left"/>
        <w:rPr>
          <w:b w:val="0"/>
          <w:bCs w:val="0"/>
        </w:rPr>
      </w:pPr>
      <w:r>
        <w:rPr/>
        <w:t>（一）公司在数字营销业务的核心竞争力：</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left="154" w:right="1132" w:firstLine="420"/>
        <w:jc w:val="both"/>
      </w:pPr>
      <w:r>
        <w:rPr>
          <w:spacing w:val="-1"/>
        </w:rPr>
        <w:t>公司数字营销服务已覆盖营销策略和创意、媒体投放和执行、效果监测和优化、社会化营销、精准营</w:t>
      </w:r>
      <w:r>
        <w:rPr/>
        <w:t> </w:t>
      </w:r>
      <w:r>
        <w:rPr>
          <w:spacing w:val="-1"/>
        </w:rPr>
        <w:t>销、流量整合等完整的服务链条，实现全产业链布局，公司数字营销业务板块能够充分发挥协同效应，整</w:t>
      </w:r>
      <w:r>
        <w:rPr>
          <w:spacing w:val="-84"/>
        </w:rPr>
        <w:t> </w:t>
      </w:r>
      <w:r>
        <w:rPr>
          <w:spacing w:val="-84"/>
        </w:rPr>
      </w:r>
      <w:r>
        <w:rPr/>
        <w:t>体竞争力大大增强。其中，</w:t>
      </w:r>
      <w:r>
        <w:rPr>
          <w:rFonts w:ascii="宋体" w:hAnsi="宋体" w:cs="宋体" w:eastAsia="宋体" w:hint="default"/>
        </w:rPr>
        <w:t>5</w:t>
      </w:r>
      <w:r>
        <w:rPr/>
        <w:t>家主要数字营销公司各自的核心竞争力如下：</w:t>
      </w:r>
    </w:p>
    <w:p>
      <w:pPr>
        <w:pStyle w:val="Heading3"/>
        <w:spacing w:line="240" w:lineRule="auto"/>
        <w:ind w:right="0"/>
        <w:jc w:val="left"/>
        <w:rPr>
          <w:b w:val="0"/>
          <w:bCs w:val="0"/>
        </w:rPr>
      </w:pPr>
      <w:r>
        <w:rPr>
          <w:rFonts w:ascii="仿宋" w:hAnsi="仿宋" w:cs="仿宋" w:eastAsia="仿宋" w:hint="default"/>
        </w:rPr>
        <w:t>1</w:t>
      </w:r>
      <w:r>
        <w:rPr/>
        <w:t>、上海漫酷的核心竞争力</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right="1119" w:firstLine="420"/>
        <w:jc w:val="left"/>
      </w:pPr>
      <w:r>
        <w:rPr/>
        <w:t>上海漫酷广告有限公司主要以其全资子公司</w:t>
      </w:r>
      <w:r>
        <w:rPr>
          <w:rFonts w:ascii="宋体" w:hAnsi="宋体" w:cs="宋体" w:eastAsia="宋体" w:hint="default"/>
        </w:rPr>
        <w:t>Media V</w:t>
      </w:r>
      <w:r>
        <w:rPr/>
        <w:t>为平台开展业务。</w:t>
      </w:r>
      <w:r>
        <w:rPr>
          <w:rFonts w:ascii="宋体" w:hAnsi="宋体" w:cs="宋体" w:eastAsia="宋体" w:hint="default"/>
        </w:rPr>
        <w:t>Media</w:t>
      </w:r>
      <w:r>
        <w:rPr>
          <w:rFonts w:ascii="宋体" w:hAnsi="宋体" w:cs="宋体" w:eastAsia="宋体" w:hint="default"/>
          <w:spacing w:val="-26"/>
        </w:rPr>
        <w:t> </w:t>
      </w:r>
      <w:r>
        <w:rPr>
          <w:rFonts w:ascii="宋体" w:hAnsi="宋体" w:cs="宋体" w:eastAsia="宋体" w:hint="default"/>
        </w:rPr>
        <w:t>V</w:t>
      </w:r>
      <w:r>
        <w:rPr/>
        <w:t>是国内领先的数字营销 公司，专注于面向数字媒体（互联网、移动互联网、智能电视）提供整合营销服务。</w:t>
      </w:r>
    </w:p>
    <w:p>
      <w:pPr>
        <w:pStyle w:val="BodyText"/>
        <w:spacing w:line="408" w:lineRule="auto" w:before="46"/>
        <w:ind w:right="1199" w:firstLine="420"/>
        <w:jc w:val="left"/>
      </w:pPr>
      <w:r>
        <w:rPr>
          <w:rFonts w:ascii="宋体" w:hAnsi="宋体" w:cs="宋体" w:eastAsia="宋体" w:hint="default"/>
        </w:rPr>
        <w:t>Media</w:t>
      </w:r>
      <w:r>
        <w:rPr>
          <w:rFonts w:ascii="宋体" w:hAnsi="宋体" w:cs="宋体" w:eastAsia="宋体" w:hint="default"/>
          <w:spacing w:val="-1"/>
        </w:rPr>
        <w:t> </w:t>
      </w:r>
      <w:r>
        <w:rPr>
          <w:rFonts w:ascii="宋体" w:hAnsi="宋体" w:cs="宋体" w:eastAsia="宋体" w:hint="default"/>
        </w:rPr>
        <w:t>V</w:t>
      </w:r>
      <w:r>
        <w:rPr/>
        <w:t>基于拥有的丰富大数据资源，依靠先进的数据分析、处理与计算技术，帮助客户充分挖掘数 据价值，进行针对性极强的再营销。</w:t>
      </w:r>
    </w:p>
    <w:p>
      <w:pPr>
        <w:pStyle w:val="BodyText"/>
        <w:spacing w:line="408" w:lineRule="auto" w:before="46"/>
        <w:ind w:right="1199" w:firstLine="420"/>
        <w:jc w:val="left"/>
      </w:pPr>
      <w:r>
        <w:rPr>
          <w:rFonts w:ascii="宋体" w:hAnsi="宋体" w:cs="宋体" w:eastAsia="宋体" w:hint="default"/>
        </w:rPr>
        <w:t>Media</w:t>
      </w:r>
      <w:r>
        <w:rPr>
          <w:rFonts w:ascii="宋体" w:hAnsi="宋体" w:cs="宋体" w:eastAsia="宋体" w:hint="default"/>
          <w:spacing w:val="-1"/>
        </w:rPr>
        <w:t> </w:t>
      </w:r>
      <w:r>
        <w:rPr>
          <w:rFonts w:ascii="宋体" w:hAnsi="宋体" w:cs="宋体" w:eastAsia="宋体" w:hint="default"/>
        </w:rPr>
        <w:t>V</w:t>
      </w:r>
      <w:r>
        <w:rPr/>
        <w:t>拥有丰富的媒介资源，与国内主流网络媒体（各大门户网站、视频网站、垂直媒体等）均建 立了战略合作关系，广告投放量快速增长，保证了客户网络媒体投资的低成本、高回报和实效性。</w:t>
      </w:r>
    </w:p>
    <w:p>
      <w:pPr>
        <w:pStyle w:val="BodyText"/>
        <w:spacing w:line="408" w:lineRule="auto" w:before="46"/>
        <w:ind w:right="0" w:firstLine="420"/>
        <w:jc w:val="left"/>
      </w:pPr>
      <w:r>
        <w:rPr>
          <w:rFonts w:ascii="宋体" w:hAnsi="宋体" w:cs="宋体" w:eastAsia="宋体" w:hint="default"/>
        </w:rPr>
        <w:t>Media</w:t>
      </w:r>
      <w:r>
        <w:rPr>
          <w:rFonts w:ascii="宋体" w:hAnsi="宋体" w:cs="宋体" w:eastAsia="宋体" w:hint="default"/>
          <w:spacing w:val="-1"/>
        </w:rPr>
        <w:t> </w:t>
      </w:r>
      <w:r>
        <w:rPr>
          <w:rFonts w:ascii="宋体" w:hAnsi="宋体" w:cs="宋体" w:eastAsia="宋体" w:hint="default"/>
        </w:rPr>
        <w:t>V</w:t>
      </w:r>
      <w:r>
        <w:rPr/>
        <w:t>的核心技术团队聚集了互联网技术、广告营销、互动创意等业务领域的各类技术人才，研究 </w:t>
      </w:r>
      <w:r>
        <w:rPr>
          <w:spacing w:val="-1"/>
        </w:rPr>
        <w:t>方向涵盖了软件工程、通信协议、并行计算、机器学习、数据库及数据挖掘等技术领域，在互联网广告投</w:t>
      </w:r>
      <w:r>
        <w:rPr>
          <w:spacing w:val="-83"/>
        </w:rPr>
        <w:t> </w:t>
      </w:r>
      <w:r>
        <w:rPr>
          <w:spacing w:val="-83"/>
        </w:rPr>
      </w:r>
      <w:r>
        <w:rPr>
          <w:spacing w:val="-1"/>
        </w:rPr>
        <w:t>放技术、效果监测、数据处理及动态优化、网页检测及网络访问行为分析、目标受众精细分类、智能匹配</w:t>
      </w:r>
      <w:r>
        <w:rPr>
          <w:spacing w:val="-83"/>
        </w:rPr>
        <w:t> </w:t>
      </w:r>
      <w:r>
        <w:rPr>
          <w:spacing w:val="-83"/>
        </w:rPr>
      </w:r>
      <w:r>
        <w:rPr/>
        <w:t>广告等方面有着丰富的开发经验和领先的技术成果。目前，</w:t>
      </w:r>
      <w:r>
        <w:rPr>
          <w:rFonts w:ascii="宋体" w:hAnsi="宋体" w:cs="宋体" w:eastAsia="宋体" w:hint="default"/>
        </w:rPr>
        <w:t>Media</w:t>
      </w:r>
      <w:r>
        <w:rPr>
          <w:rFonts w:ascii="宋体" w:hAnsi="宋体" w:cs="宋体" w:eastAsia="宋体" w:hint="default"/>
          <w:spacing w:val="-2"/>
        </w:rPr>
        <w:t> </w:t>
      </w:r>
      <w:r>
        <w:rPr>
          <w:rFonts w:ascii="宋体" w:hAnsi="宋体" w:cs="宋体" w:eastAsia="宋体" w:hint="default"/>
        </w:rPr>
        <w:t>V</w:t>
      </w:r>
      <w:r>
        <w:rPr/>
        <w:t>建立了面对客户开发的高效精准的广 </w:t>
      </w:r>
      <w:r>
        <w:rPr>
          <w:spacing w:val="-1"/>
        </w:rPr>
        <w:t>告投放及优化系统、面对网站媒体开发的广告资源管理及投放系统、聚品广告平台（整合的全媒体效果优</w:t>
      </w:r>
      <w:r>
        <w:rPr>
          <w:spacing w:val="-83"/>
        </w:rPr>
        <w:t> </w:t>
      </w:r>
      <w:r>
        <w:rPr>
          <w:spacing w:val="-83"/>
        </w:rPr>
      </w:r>
      <w:r>
        <w:rPr/>
        <w:t>化工作平台）、聚优搜索营销平台（全景式的顾客行为及商业智能云分析平台）。</w:t>
      </w:r>
      <w:r>
        <w:rPr>
          <w:rFonts w:ascii="宋体" w:hAnsi="宋体" w:cs="宋体" w:eastAsia="宋体" w:hint="default"/>
        </w:rPr>
        <w:t>Media</w:t>
      </w:r>
      <w:r>
        <w:rPr>
          <w:rFonts w:ascii="宋体" w:hAnsi="宋体" w:cs="宋体" w:eastAsia="宋体" w:hint="default"/>
          <w:spacing w:val="-2"/>
        </w:rPr>
        <w:t> </w:t>
      </w:r>
      <w:r>
        <w:rPr>
          <w:rFonts w:ascii="宋体" w:hAnsi="宋体" w:cs="宋体" w:eastAsia="宋体" w:hint="default"/>
        </w:rPr>
        <w:t>V</w:t>
      </w:r>
      <w:r>
        <w:rPr/>
        <w:t>的技术和创新 能力为客户降低了广告投放成本，提升了广告投放效果。</w:t>
      </w:r>
    </w:p>
    <w:p>
      <w:pPr>
        <w:pStyle w:val="BodyText"/>
        <w:spacing w:line="408" w:lineRule="auto" w:before="46"/>
        <w:ind w:right="1117" w:firstLine="420"/>
        <w:jc w:val="left"/>
      </w:pPr>
      <w:r>
        <w:rPr/>
        <w:t>自公司成立以来，</w:t>
      </w:r>
      <w:r>
        <w:rPr>
          <w:rFonts w:ascii="宋体" w:hAnsi="宋体" w:cs="宋体" w:eastAsia="宋体" w:hint="default"/>
        </w:rPr>
        <w:t>Media</w:t>
      </w:r>
      <w:r>
        <w:rPr>
          <w:rFonts w:ascii="宋体" w:hAnsi="宋体" w:cs="宋体" w:eastAsia="宋体" w:hint="default"/>
          <w:spacing w:val="-2"/>
        </w:rPr>
        <w:t> </w:t>
      </w:r>
      <w:r>
        <w:rPr>
          <w:rFonts w:ascii="宋体" w:hAnsi="宋体" w:cs="宋体" w:eastAsia="宋体" w:hint="default"/>
        </w:rPr>
        <w:t>V</w:t>
      </w:r>
      <w:r>
        <w:rPr/>
        <w:t>专注于电商、汽车、消费品等业务领域，积累了丰富的客户资源，并快速 向其他行业发展。目前，</w:t>
      </w:r>
      <w:r>
        <w:rPr>
          <w:rFonts w:ascii="宋体" w:hAnsi="宋体" w:cs="宋体" w:eastAsia="宋体" w:hint="default"/>
        </w:rPr>
        <w:t>Media</w:t>
      </w:r>
      <w:r>
        <w:rPr>
          <w:rFonts w:ascii="宋体" w:hAnsi="宋体" w:cs="宋体" w:eastAsia="宋体" w:hint="default"/>
          <w:spacing w:val="-25"/>
        </w:rPr>
        <w:t> </w:t>
      </w:r>
      <w:r>
        <w:rPr>
          <w:rFonts w:ascii="宋体" w:hAnsi="宋体" w:cs="宋体" w:eastAsia="宋体" w:hint="default"/>
        </w:rPr>
        <w:t>V</w:t>
      </w:r>
      <w:r>
        <w:rPr/>
        <w:t>是中国最大的电商整合营销服务机构，中国前</w:t>
      </w:r>
      <w:r>
        <w:rPr>
          <w:rFonts w:ascii="宋体" w:hAnsi="宋体" w:cs="宋体" w:eastAsia="宋体" w:hint="default"/>
        </w:rPr>
        <w:t>50</w:t>
      </w:r>
      <w:r>
        <w:rPr/>
        <w:t>大电商网站中，超过</w:t>
      </w:r>
      <w:r>
        <w:rPr>
          <w:rFonts w:ascii="宋体" w:hAnsi="宋体" w:cs="宋体" w:eastAsia="宋体" w:hint="default"/>
        </w:rPr>
        <w:t>70% </w:t>
      </w:r>
      <w:r>
        <w:rPr/>
        <w:t>都是</w:t>
      </w:r>
      <w:r>
        <w:rPr>
          <w:rFonts w:ascii="宋体" w:hAnsi="宋体" w:cs="宋体" w:eastAsia="宋体" w:hint="default"/>
        </w:rPr>
        <w:t>Media</w:t>
      </w:r>
      <w:r>
        <w:rPr>
          <w:rFonts w:ascii="宋体" w:hAnsi="宋体" w:cs="宋体" w:eastAsia="宋体" w:hint="default"/>
          <w:spacing w:val="-24"/>
        </w:rPr>
        <w:t> </w:t>
      </w:r>
      <w:r>
        <w:rPr>
          <w:rFonts w:ascii="宋体" w:hAnsi="宋体" w:cs="宋体" w:eastAsia="宋体" w:hint="default"/>
        </w:rPr>
        <w:t>V</w:t>
      </w:r>
      <w:r>
        <w:rPr/>
        <w:t>的客户，包括国内知名的大型电商，如京东商城、易讯、</w:t>
      </w:r>
      <w:r>
        <w:rPr>
          <w:rFonts w:ascii="宋体" w:hAnsi="宋体" w:cs="宋体" w:eastAsia="宋体" w:hint="default"/>
        </w:rPr>
        <w:t>1</w:t>
      </w:r>
      <w:r>
        <w:rPr/>
        <w:t>号店、唯品会等。除在电商领域取 得的业绩外，</w:t>
      </w:r>
      <w:r>
        <w:rPr>
          <w:rFonts w:ascii="宋体" w:hAnsi="宋体" w:cs="宋体" w:eastAsia="宋体" w:hint="default"/>
        </w:rPr>
        <w:t>Media</w:t>
      </w:r>
      <w:r>
        <w:rPr>
          <w:rFonts w:ascii="宋体" w:hAnsi="宋体" w:cs="宋体" w:eastAsia="宋体" w:hint="default"/>
          <w:spacing w:val="-2"/>
        </w:rPr>
        <w:t> </w:t>
      </w:r>
      <w:r>
        <w:rPr>
          <w:rFonts w:ascii="宋体" w:hAnsi="宋体" w:cs="宋体" w:eastAsia="宋体" w:hint="default"/>
        </w:rPr>
        <w:t>V</w:t>
      </w:r>
      <w:r>
        <w:rPr/>
        <w:t>近几年也在汽车行业取得高速增长，已成为国内最知名的汽车网络营销机构之一， 东风柳汽、北京现代、海马汽车、比亚迪等均为</w:t>
      </w:r>
      <w:r>
        <w:rPr>
          <w:rFonts w:ascii="宋体" w:hAnsi="宋体" w:cs="宋体" w:eastAsia="宋体" w:hint="default"/>
        </w:rPr>
        <w:t>Media V</w:t>
      </w:r>
      <w:r>
        <w:rPr/>
        <w:t>的客户。另外，</w:t>
      </w:r>
      <w:r>
        <w:rPr>
          <w:rFonts w:ascii="宋体" w:hAnsi="宋体" w:cs="宋体" w:eastAsia="宋体" w:hint="default"/>
        </w:rPr>
        <w:t>Media</w:t>
      </w:r>
      <w:r>
        <w:rPr>
          <w:rFonts w:ascii="宋体" w:hAnsi="宋体" w:cs="宋体" w:eastAsia="宋体" w:hint="default"/>
          <w:spacing w:val="-27"/>
        </w:rPr>
        <w:t> </w:t>
      </w:r>
      <w:r>
        <w:rPr>
          <w:rFonts w:ascii="宋体" w:hAnsi="宋体" w:cs="宋体" w:eastAsia="宋体" w:hint="default"/>
        </w:rPr>
        <w:t>V</w:t>
      </w:r>
      <w:r>
        <w:rPr/>
        <w:t>在品牌客户效果营销领域 </w:t>
      </w:r>
      <w:r>
        <w:rPr>
          <w:spacing w:val="-1"/>
        </w:rPr>
        <w:t>也取得了长足的发展，成功地帮助品牌客户管理其效果营销预算，在快消品、家电、金融保险等领域均积</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hanging="420"/>
        <w:jc w:val="left"/>
      </w:pPr>
      <w:r>
        <w:rPr/>
        <w:t>累了相当数量的客户，包括雅培、红星美凯龙、</w:t>
      </w:r>
      <w:r>
        <w:rPr>
          <w:rFonts w:ascii="宋体" w:hAnsi="宋体" w:cs="宋体" w:eastAsia="宋体" w:hint="default"/>
        </w:rPr>
        <w:t>THE NORTH</w:t>
      </w:r>
      <w:r>
        <w:rPr>
          <w:rFonts w:ascii="宋体" w:hAnsi="宋体" w:cs="宋体" w:eastAsia="宋体" w:hint="default"/>
          <w:spacing w:val="-1"/>
        </w:rPr>
        <w:t> </w:t>
      </w:r>
      <w:r>
        <w:rPr>
          <w:rFonts w:ascii="宋体" w:hAnsi="宋体" w:cs="宋体" w:eastAsia="宋体" w:hint="default"/>
        </w:rPr>
        <w:t>FACE</w:t>
      </w:r>
      <w:r>
        <w:rPr/>
        <w:t>、西门子、海信、中国平安等。 </w:t>
      </w:r>
      <w:r>
        <w:rPr>
          <w:rFonts w:ascii="仿宋" w:hAnsi="仿宋" w:cs="仿宋" w:eastAsia="仿宋" w:hint="default"/>
          <w:b/>
          <w:bCs/>
        </w:rPr>
        <w:t>2</w:t>
      </w:r>
      <w:r>
        <w:rPr>
          <w:rFonts w:ascii="仿宋" w:hAnsi="仿宋" w:cs="仿宋" w:eastAsia="仿宋" w:hint="default"/>
          <w:b/>
          <w:bCs/>
        </w:rPr>
        <w:t>、上海氩氪的核心竞争力</w:t>
      </w:r>
      <w:r>
        <w:rPr>
          <w:rFonts w:ascii="仿宋" w:hAnsi="仿宋" w:cs="仿宋" w:eastAsia="仿宋" w:hint="default"/>
          <w:b/>
          <w:bCs/>
          <w:w w:val="99"/>
        </w:rPr>
        <w:t> </w:t>
      </w:r>
      <w:r>
        <w:rPr>
          <w:spacing w:val="-1"/>
        </w:rPr>
        <w:t>上海氩氪主要为客户提供个性化的数字营销服务，在服饰、时尚、汽车、快消等领域积累了丰富的数</w:t>
      </w:r>
    </w:p>
    <w:p>
      <w:pPr>
        <w:pStyle w:val="BodyText"/>
        <w:spacing w:line="408" w:lineRule="auto" w:before="46"/>
        <w:ind w:left="154" w:right="1023"/>
        <w:jc w:val="left"/>
      </w:pPr>
      <w:r>
        <w:rPr>
          <w:spacing w:val="-3"/>
        </w:rPr>
        <w:t>字营销经验，与各个行业的高端品牌建立了良好的长期合作关系。近年来，上海氩氪凭借出色的业务团队、</w:t>
      </w:r>
      <w:r>
        <w:rPr>
          <w:spacing w:val="-90"/>
        </w:rPr>
        <w:t> </w:t>
      </w:r>
      <w:r>
        <w:rPr>
          <w:spacing w:val="-90"/>
        </w:rPr>
      </w:r>
      <w:r>
        <w:rPr/>
        <w:t>优秀的营销创意和良好的客户口碑，在行业中屡获殊荣，其策划的许多成功营销案例已成为行业内的经典</w:t>
      </w:r>
      <w:r>
        <w:rPr/>
        <w:t> 之作。</w:t>
      </w:r>
    </w:p>
    <w:p>
      <w:pPr>
        <w:pStyle w:val="Heading3"/>
        <w:spacing w:line="240" w:lineRule="auto"/>
        <w:ind w:right="0"/>
        <w:jc w:val="left"/>
        <w:rPr>
          <w:b w:val="0"/>
          <w:bCs w:val="0"/>
        </w:rPr>
      </w:pPr>
      <w:r>
        <w:rPr>
          <w:rFonts w:ascii="仿宋" w:hAnsi="仿宋" w:cs="仿宋" w:eastAsia="仿宋" w:hint="default"/>
        </w:rPr>
        <w:t>3</w:t>
      </w:r>
      <w:r>
        <w:rPr/>
        <w:t>、琥珀传播的核心竞争力</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right="1093" w:firstLine="420"/>
        <w:jc w:val="left"/>
      </w:pPr>
      <w:r>
        <w:rPr/>
        <w:t>琥珀传播秉承“互动创造实效”的企业理念，利用自身数字整合营销的优势以及对消费者的敏锐洞 察，不断为客户提供清晰有效的策略咨询；同时，通过不断优化服务流程、人才引进、员工培训等措施， 不断提升项目的服务质量和服务水平，获得了众多客户的一致好评，并与其建立了长期深入的合作关系， 业务规模不断发展扩大，在行业中屡创佳绩。</w:t>
      </w:r>
    </w:p>
    <w:p>
      <w:pPr>
        <w:pStyle w:val="Heading3"/>
        <w:spacing w:line="240" w:lineRule="auto"/>
        <w:ind w:right="0"/>
        <w:jc w:val="left"/>
        <w:rPr>
          <w:b w:val="0"/>
          <w:bCs w:val="0"/>
        </w:rPr>
      </w:pPr>
      <w:r>
        <w:rPr>
          <w:rFonts w:ascii="仿宋" w:hAnsi="仿宋" w:cs="仿宋" w:eastAsia="仿宋" w:hint="default"/>
        </w:rPr>
        <w:t>4</w:t>
      </w:r>
      <w:r>
        <w:rPr/>
        <w:t>、万圣伟业的核心竞争力</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left="154" w:right="1110" w:firstLine="420"/>
        <w:jc w:val="both"/>
      </w:pPr>
      <w:r>
        <w:rPr>
          <w:spacing w:val="-1"/>
        </w:rPr>
        <w:t>万圣伟业在流量整合细分行业发展的早期即迅速进入市场，通过资金、人才、战略等各方面的竞争优</w:t>
      </w:r>
      <w:r>
        <w:rPr/>
        <w:t> 势在较短的时间内整合了大量的优质流量资源，涵盖了地方媒体网站、专业垂直门户、各类社区论坛等。 </w:t>
      </w:r>
      <w:r>
        <w:rPr>
          <w:spacing w:val="-1"/>
        </w:rPr>
        <w:t>大量优质的流量资源是万圣伟业的核心竞争力，其不仅从基数上保障了万圣伟业的盈利能力，更能够增强</w:t>
      </w:r>
      <w:r>
        <w:rPr>
          <w:spacing w:val="-81"/>
        </w:rPr>
        <w:t> </w:t>
      </w:r>
      <w:r>
        <w:rPr>
          <w:spacing w:val="-81"/>
        </w:rPr>
      </w:r>
      <w:r>
        <w:rPr/>
        <w:t>其对大客户的议价能力，获得更优惠的销售单价政策，从而增加销售收入。</w:t>
      </w:r>
    </w:p>
    <w:p>
      <w:pPr>
        <w:pStyle w:val="BodyText"/>
        <w:spacing w:line="408" w:lineRule="auto" w:before="46"/>
        <w:ind w:right="1132" w:firstLine="420"/>
        <w:jc w:val="both"/>
      </w:pPr>
      <w:r>
        <w:rPr>
          <w:spacing w:val="-1"/>
        </w:rPr>
        <w:t>由于流量需求方市场的充分竞争，大型的数字媒体相比规模较小的数字媒体往往能够提供更具有竞争</w:t>
      </w:r>
      <w:r>
        <w:rPr/>
        <w:t> </w:t>
      </w:r>
      <w:r>
        <w:rPr>
          <w:spacing w:val="-1"/>
        </w:rPr>
        <w:t>力的流量购买政策，因此，稳定、优质的大客户资源充分保障了万圣伟业流量资源的销售渠道，增强了万</w:t>
      </w:r>
      <w:r>
        <w:rPr>
          <w:spacing w:val="-85"/>
        </w:rPr>
        <w:t> </w:t>
      </w:r>
      <w:r>
        <w:rPr>
          <w:spacing w:val="-85"/>
        </w:rPr>
      </w:r>
      <w:r>
        <w:rPr/>
        <w:t>圣伟业的盈利能力。</w:t>
      </w:r>
    </w:p>
    <w:p>
      <w:pPr>
        <w:pStyle w:val="BodyText"/>
        <w:spacing w:line="408" w:lineRule="auto" w:before="46"/>
        <w:ind w:right="1132" w:firstLine="420"/>
        <w:jc w:val="both"/>
      </w:pPr>
      <w:r>
        <w:rPr>
          <w:spacing w:val="-1"/>
        </w:rPr>
        <w:t>凭借优秀的技术团队，万圣伟业开发了流量整合平台——“新传播平台”，通过该平台，万圣伟业实</w:t>
      </w:r>
      <w:r>
        <w:rPr/>
        <w:t> </w:t>
      </w:r>
      <w:r>
        <w:rPr>
          <w:spacing w:val="-1"/>
        </w:rPr>
        <w:t>现了</w:t>
      </w:r>
      <w:r>
        <w:rPr>
          <w:rFonts w:ascii="宋体" w:hAnsi="宋体" w:cs="宋体" w:eastAsia="宋体" w:hint="default"/>
          <w:spacing w:val="-1"/>
        </w:rPr>
        <w:t>PC</w:t>
      </w:r>
      <w:r>
        <w:rPr>
          <w:spacing w:val="-1"/>
        </w:rPr>
        <w:t>端、移动端流量整合业务的统一管理、统一监控和统一结算，提高了流量整合服务的效率，是万圣</w:t>
      </w:r>
      <w:r>
        <w:rPr>
          <w:spacing w:val="-85"/>
        </w:rPr>
        <w:t> </w:t>
      </w:r>
      <w:r>
        <w:rPr>
          <w:spacing w:val="-85"/>
        </w:rPr>
      </w:r>
      <w:r>
        <w:rPr/>
        <w:t>伟业的一大竞争优势。</w:t>
      </w:r>
    </w:p>
    <w:p>
      <w:pPr>
        <w:pStyle w:val="Heading3"/>
        <w:spacing w:line="240" w:lineRule="auto"/>
        <w:ind w:right="0"/>
        <w:jc w:val="left"/>
        <w:rPr>
          <w:b w:val="0"/>
          <w:bCs w:val="0"/>
        </w:rPr>
      </w:pPr>
      <w:r>
        <w:rPr>
          <w:rFonts w:ascii="仿宋" w:hAnsi="仿宋" w:cs="仿宋" w:eastAsia="仿宋" w:hint="default"/>
        </w:rPr>
        <w:t>5</w:t>
      </w:r>
      <w:r>
        <w:rPr/>
        <w:t>、微创时代的核心竞争力</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right="1131" w:firstLine="420"/>
        <w:jc w:val="both"/>
      </w:pPr>
      <w:r>
        <w:rPr/>
        <w:t>微创时代是</w:t>
      </w:r>
      <w:r>
        <w:rPr>
          <w:rFonts w:ascii="宋体" w:hAnsi="宋体" w:cs="宋体" w:eastAsia="宋体" w:hint="default"/>
        </w:rPr>
        <w:t>360</w:t>
      </w:r>
      <w:r>
        <w:rPr/>
        <w:t>网络广告的代理商（零售团购和网络服务行业），是百度</w:t>
      </w:r>
      <w:r>
        <w:rPr>
          <w:rFonts w:ascii="宋体" w:hAnsi="宋体" w:cs="宋体" w:eastAsia="宋体" w:hint="default"/>
        </w:rPr>
        <w:t>2015</w:t>
      </w:r>
      <w:r>
        <w:rPr/>
        <w:t>年度广告业务核心代理 </w:t>
      </w:r>
      <w:r>
        <w:rPr>
          <w:spacing w:val="-1"/>
        </w:rPr>
        <w:t>商。同时，微创时代还与腾讯、搜狗、</w:t>
      </w:r>
      <w:r>
        <w:rPr>
          <w:rFonts w:ascii="宋体" w:hAnsi="宋体" w:cs="宋体" w:eastAsia="宋体" w:hint="default"/>
          <w:spacing w:val="-1"/>
        </w:rPr>
        <w:t>2345</w:t>
      </w:r>
      <w:r>
        <w:rPr>
          <w:spacing w:val="-1"/>
        </w:rPr>
        <w:t>导航、金山导航等一线媒体拥有良好且密切的合作关系。优质</w:t>
      </w:r>
      <w:r>
        <w:rPr>
          <w:spacing w:val="-82"/>
        </w:rPr>
        <w:t> </w:t>
      </w:r>
      <w:r>
        <w:rPr>
          <w:spacing w:val="-82"/>
        </w:rPr>
      </w:r>
      <w:r>
        <w:rPr>
          <w:spacing w:val="-1"/>
        </w:rPr>
        <w:t>媒介资源，不仅能够保障广告的投放效果，还能获得有竞争力的优惠政策，是微创时代开拓新客户、维系</w:t>
      </w:r>
      <w:r>
        <w:rPr>
          <w:spacing w:val="-86"/>
        </w:rPr>
        <w:t> </w:t>
      </w:r>
      <w:r>
        <w:rPr>
          <w:spacing w:val="-86"/>
        </w:rPr>
      </w:r>
      <w:r>
        <w:rPr/>
        <w:t>老客户的核心竞争力。</w:t>
      </w:r>
    </w:p>
    <w:p>
      <w:pPr>
        <w:pStyle w:val="BodyText"/>
        <w:spacing w:line="408" w:lineRule="auto" w:before="46"/>
        <w:ind w:right="0" w:firstLine="420"/>
        <w:jc w:val="left"/>
      </w:pPr>
      <w:r>
        <w:rPr/>
        <w:t>微创时代致力于为广告主提供最佳的数字营销整合方案，在电子商务和网络服务领域积累了大量的优 </w:t>
      </w:r>
      <w:r>
        <w:rPr>
          <w:spacing w:val="-1"/>
        </w:rPr>
        <w:t>质客户，包括：国美、聚美优品、口袋购物、酒仙网、大众点评、美团、折</w:t>
      </w:r>
      <w:r>
        <w:rPr>
          <w:rFonts w:ascii="宋体" w:hAnsi="宋体" w:cs="宋体" w:eastAsia="宋体" w:hint="default"/>
          <w:spacing w:val="-1"/>
        </w:rPr>
        <w:t>800</w:t>
      </w:r>
      <w:r>
        <w:rPr>
          <w:spacing w:val="-1"/>
        </w:rPr>
        <w:t>、去哪儿、赶集网、携程、</w:t>
      </w:r>
      <w:r>
        <w:rPr>
          <w:spacing w:val="-88"/>
        </w:rPr>
        <w:t> </w:t>
      </w:r>
      <w:r>
        <w:rPr>
          <w:spacing w:val="-88"/>
        </w:rPr>
      </w:r>
      <w:r>
        <w:rPr/>
        <w:t>美乐乐家居等。优质稳定的客户资源保证了微创时代在主流媒介上持续稳定的广告代理投放，从而能够保</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93" w:hanging="420"/>
        <w:jc w:val="left"/>
      </w:pPr>
      <w:r>
        <w:rPr/>
        <w:t>障获得主流媒介的优质资源，形成媒介和客户的良性循环，同时也为开拓新客户提供有力的支持。 微创时代配备了专业的数据分析团队，对广告投放效果进行实时监测，发现异常情况能够快速预警，</w:t>
      </w:r>
    </w:p>
    <w:p>
      <w:pPr>
        <w:pStyle w:val="BodyText"/>
        <w:spacing w:line="408" w:lineRule="auto" w:before="46"/>
        <w:ind w:right="1131"/>
        <w:jc w:val="both"/>
      </w:pPr>
      <w:r>
        <w:rPr>
          <w:spacing w:val="-1"/>
        </w:rPr>
        <w:t>为提高广告投放效果提供数据支撑；微创时代同时配备了资深的广告投放优化团队和创意设计团队，共同</w:t>
      </w:r>
      <w:r>
        <w:rPr>
          <w:spacing w:val="-81"/>
        </w:rPr>
        <w:t> </w:t>
      </w:r>
      <w:r>
        <w:rPr>
          <w:spacing w:val="-81"/>
        </w:rPr>
      </w:r>
      <w:r>
        <w:rPr>
          <w:spacing w:val="-1"/>
        </w:rPr>
        <w:t>为广告投放参数（搜索关键词出价或广告点击出价、广告内容设计）进行调整和优化，以提升广告的投放</w:t>
      </w:r>
      <w:r>
        <w:rPr>
          <w:spacing w:val="-86"/>
        </w:rPr>
        <w:t> </w:t>
      </w:r>
      <w:r>
        <w:rPr>
          <w:spacing w:val="-86"/>
        </w:rPr>
      </w:r>
      <w:r>
        <w:rPr/>
        <w:t>效果满足广告主的</w:t>
      </w:r>
      <w:r>
        <w:rPr>
          <w:rFonts w:ascii="宋体" w:hAnsi="宋体" w:cs="宋体" w:eastAsia="宋体" w:hint="default"/>
        </w:rPr>
        <w:t>ROI</w:t>
      </w:r>
      <w:r>
        <w:rPr/>
        <w:t>需求。领先的技术优势增加了客户的粘性，有助于微创时代维护稳定的客户关系。</w:t>
      </w:r>
    </w:p>
    <w:p>
      <w:pPr>
        <w:pStyle w:val="Heading3"/>
        <w:spacing w:line="408" w:lineRule="auto"/>
        <w:ind w:right="6746"/>
        <w:jc w:val="left"/>
        <w:rPr>
          <w:b w:val="0"/>
          <w:bCs w:val="0"/>
        </w:rPr>
      </w:pPr>
      <w:r>
        <w:rPr/>
        <w:t>（二）公司机械制造业务的核心竞争力</w:t>
      </w:r>
      <w:r>
        <w:rPr>
          <w:w w:val="99"/>
        </w:rPr>
        <w:t> </w:t>
      </w:r>
      <w:r>
        <w:rPr>
          <w:rFonts w:ascii="仿宋" w:hAnsi="仿宋" w:cs="仿宋" w:eastAsia="仿宋" w:hint="default"/>
        </w:rPr>
        <w:t>1</w:t>
      </w:r>
      <w:r>
        <w:rPr/>
        <w:t>、行业协同优势</w:t>
      </w:r>
      <w:r>
        <w:rPr>
          <w:b w:val="0"/>
          <w:bCs w:val="0"/>
        </w:rPr>
      </w:r>
    </w:p>
    <w:p>
      <w:pPr>
        <w:pStyle w:val="BodyText"/>
        <w:spacing w:line="408" w:lineRule="auto" w:before="46"/>
        <w:ind w:left="154" w:right="1133" w:firstLine="420"/>
        <w:jc w:val="both"/>
      </w:pPr>
      <w:r>
        <w:rPr>
          <w:spacing w:val="-1"/>
        </w:rPr>
        <w:t>公司的业务领域跨越微型小型水泵、园林机械、清洗与植保机械、工业泵等多个行业，形成了独特的</w:t>
      </w:r>
      <w:r>
        <w:rPr/>
        <w:t> 行业协同优势，具体体现为：</w:t>
      </w:r>
    </w:p>
    <w:p>
      <w:pPr>
        <w:pStyle w:val="BodyText"/>
        <w:spacing w:line="408" w:lineRule="auto" w:before="46"/>
        <w:ind w:left="154" w:right="1131" w:firstLine="420"/>
        <w:jc w:val="both"/>
      </w:pPr>
      <w:r>
        <w:rPr>
          <w:spacing w:val="-1"/>
        </w:rPr>
        <w:t>第一，公司微型小型水泵、园林机械、清洗与植保机械产品具有相似的应用领域（如园林绿化、园林</w:t>
      </w:r>
      <w:r>
        <w:rPr/>
        <w:t> </w:t>
      </w:r>
      <w:r>
        <w:rPr>
          <w:spacing w:val="-1"/>
        </w:rPr>
        <w:t>浇灌、居民家庭庭院作业、家庭供排水等），在客户群体、营销网络方面部分重叠，可共享公司的国际营</w:t>
      </w:r>
      <w:r>
        <w:rPr>
          <w:spacing w:val="-83"/>
        </w:rPr>
        <w:t> </w:t>
      </w:r>
      <w:r>
        <w:rPr>
          <w:spacing w:val="-83"/>
        </w:rPr>
      </w:r>
      <w:r>
        <w:rPr>
          <w:spacing w:val="-1"/>
        </w:rPr>
        <w:t>销资源，使三类产品的销售相互促进，公司在获取市场信息、新产品市场开拓、客户关系维护等方面可有</w:t>
      </w:r>
      <w:r>
        <w:rPr>
          <w:spacing w:val="-86"/>
        </w:rPr>
        <w:t> </w:t>
      </w:r>
      <w:r>
        <w:rPr>
          <w:spacing w:val="-86"/>
        </w:rPr>
      </w:r>
      <w:r>
        <w:rPr/>
        <w:t>效降低费用支出；</w:t>
      </w:r>
    </w:p>
    <w:p>
      <w:pPr>
        <w:pStyle w:val="BodyText"/>
        <w:spacing w:line="408" w:lineRule="auto" w:before="46"/>
        <w:ind w:left="154" w:right="1133" w:firstLine="420"/>
        <w:jc w:val="both"/>
      </w:pPr>
      <w:r>
        <w:rPr>
          <w:spacing w:val="-1"/>
        </w:rPr>
        <w:t>第二，微型小型水泵、园林机械产品的核心技术工艺和装配工艺具有相似性，可共享公司的技术、研</w:t>
      </w:r>
      <w:r>
        <w:rPr/>
        <w:t> </w:t>
      </w:r>
      <w:r>
        <w:rPr>
          <w:spacing w:val="-1"/>
        </w:rPr>
        <w:t>发资源，一方面可降低公司的技术及研发费用支出，另一方面，两类产品在技术创新、技术改进方面相互</w:t>
      </w:r>
      <w:r>
        <w:rPr>
          <w:spacing w:val="-86"/>
        </w:rPr>
        <w:t> </w:t>
      </w:r>
      <w:r>
        <w:rPr>
          <w:spacing w:val="-86"/>
        </w:rPr>
      </w:r>
      <w:r>
        <w:rPr/>
        <w:t>促进，有助于公司加快新产品开发进度；</w:t>
      </w:r>
    </w:p>
    <w:p>
      <w:pPr>
        <w:pStyle w:val="BodyText"/>
        <w:spacing w:line="408" w:lineRule="auto" w:before="46"/>
        <w:ind w:left="154" w:right="1133" w:firstLine="420"/>
        <w:jc w:val="both"/>
      </w:pPr>
      <w:r>
        <w:rPr>
          <w:spacing w:val="-1"/>
        </w:rPr>
        <w:t>第三，微型小型水泵和园林机械产品具有相同的核心部件（电机），生产过程中使用的大部分原材料</w:t>
      </w:r>
      <w:r>
        <w:rPr/>
        <w:t> 相同，产品生产、装配过程具有相似性，有利于公司降低原材料采购成本，提高设备利用率；</w:t>
      </w:r>
    </w:p>
    <w:p>
      <w:pPr>
        <w:pStyle w:val="BodyText"/>
        <w:spacing w:line="408" w:lineRule="auto" w:before="46"/>
        <w:ind w:right="1110" w:firstLine="420"/>
        <w:jc w:val="both"/>
      </w:pPr>
      <w:r>
        <w:rPr/>
        <w:t>第四，公司目前拥有湖南、无锡和大连三大工业泵生产基地，上述地区具备丰富的技术和人才资源， </w:t>
      </w:r>
      <w:r>
        <w:rPr>
          <w:spacing w:val="-1"/>
        </w:rPr>
        <w:t>并具备成熟的工业泵产品生产配套体系。公司从功能定位、业务分工、品牌建设、人员分工等多方面逐步</w:t>
      </w:r>
      <w:r>
        <w:rPr>
          <w:spacing w:val="-86"/>
        </w:rPr>
        <w:t> </w:t>
      </w:r>
      <w:r>
        <w:rPr>
          <w:spacing w:val="-86"/>
        </w:rPr>
      </w:r>
      <w:r>
        <w:rPr>
          <w:spacing w:val="-1"/>
        </w:rPr>
        <w:t>整合利欧股份与三大工业泵生产基地的生产资源、技术力量和销售渠道，改善生产规划，提高产能，利用</w:t>
      </w:r>
      <w:r>
        <w:rPr>
          <w:spacing w:val="-86"/>
        </w:rPr>
        <w:t> </w:t>
      </w:r>
      <w:r>
        <w:rPr>
          <w:spacing w:val="-86"/>
        </w:rPr>
      </w:r>
      <w:r>
        <w:rPr/>
        <w:t>规模效应，降低采购、生产、营销成本，实现快速成长和协同效应。</w:t>
      </w:r>
    </w:p>
    <w:p>
      <w:pPr>
        <w:pStyle w:val="BodyText"/>
        <w:spacing w:line="408" w:lineRule="auto" w:before="46"/>
        <w:ind w:right="1132" w:firstLine="420"/>
        <w:jc w:val="both"/>
      </w:pPr>
      <w:r>
        <w:rPr>
          <w:spacing w:val="-1"/>
        </w:rPr>
        <w:t>综上，公司同时经营微型小型水泵、园林机械、清洗与植保机械、工业泵四大类产品，可根据市场需</w:t>
      </w:r>
      <w:r>
        <w:rPr/>
        <w:t> </w:t>
      </w:r>
      <w:r>
        <w:rPr>
          <w:spacing w:val="-1"/>
        </w:rPr>
        <w:t>求的变化调整产品的产量，并相应调配公司的有关资源（产能、设备、技术、研发等），有利于公司提高</w:t>
      </w:r>
      <w:r>
        <w:rPr>
          <w:spacing w:val="-84"/>
        </w:rPr>
        <w:t> </w:t>
      </w:r>
      <w:r>
        <w:rPr>
          <w:spacing w:val="-84"/>
        </w:rPr>
      </w:r>
      <w:r>
        <w:rPr/>
        <w:t>资源利用效率，降低运营成本，达到盈利水平最大化，并规避了生产单一产品的经营风险。</w:t>
      </w:r>
    </w:p>
    <w:p>
      <w:pPr>
        <w:pStyle w:val="Heading3"/>
        <w:spacing w:line="240" w:lineRule="auto"/>
        <w:ind w:right="0"/>
        <w:jc w:val="left"/>
        <w:rPr>
          <w:b w:val="0"/>
          <w:bCs w:val="0"/>
        </w:rPr>
      </w:pPr>
      <w:r>
        <w:rPr>
          <w:rFonts w:ascii="仿宋" w:hAnsi="仿宋" w:cs="仿宋" w:eastAsia="仿宋" w:hint="default"/>
        </w:rPr>
        <w:t>2</w:t>
      </w:r>
      <w:r>
        <w:rPr/>
        <w:t>、制造能力优势</w:t>
      </w:r>
      <w:r>
        <w:rPr>
          <w:b w:val="0"/>
          <w:bCs w:val="0"/>
        </w:rPr>
      </w:r>
    </w:p>
    <w:p>
      <w:pPr>
        <w:spacing w:line="240" w:lineRule="auto" w:before="10"/>
        <w:rPr>
          <w:rFonts w:ascii="仿宋" w:hAnsi="仿宋" w:cs="仿宋" w:eastAsia="仿宋" w:hint="default"/>
          <w:b/>
          <w:bCs/>
          <w:sz w:val="14"/>
          <w:szCs w:val="14"/>
        </w:rPr>
      </w:pPr>
    </w:p>
    <w:p>
      <w:pPr>
        <w:pStyle w:val="BodyText"/>
        <w:spacing w:line="240" w:lineRule="auto"/>
        <w:ind w:left="573" w:right="0"/>
        <w:jc w:val="left"/>
      </w:pPr>
      <w:r>
        <w:rPr/>
        <w:t>公司的产品制造能力在微型小型水泵行业内处于领先地位，具体体现为以下三个方面：</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w:t>
      </w:r>
      <w:r>
        <w:rPr>
          <w:rFonts w:ascii="宋体" w:hAnsi="宋体" w:cs="宋体" w:eastAsia="宋体" w:hint="default"/>
        </w:rPr>
        <w:t>1</w:t>
      </w:r>
      <w:r>
        <w:rPr/>
        <w:t>）核心部件自制能力强 </w:t>
      </w:r>
      <w:r>
        <w:rPr>
          <w:spacing w:val="-1"/>
        </w:rPr>
        <w:t>电机是微型小型水泵和园林机械产品的核心部件，是影响整机产品质量和性能的最重要因素。公司微</w:t>
      </w:r>
    </w:p>
    <w:p>
      <w:pPr>
        <w:pStyle w:val="BodyText"/>
        <w:spacing w:line="240" w:lineRule="auto" w:before="46"/>
        <w:ind w:right="0"/>
        <w:jc w:val="both"/>
      </w:pPr>
      <w:r>
        <w:rPr>
          <w:spacing w:val="-3"/>
        </w:rPr>
        <w:t>型小型水泵和园林机械产品所用的电机全部自制，此外，公司还自行生产和加工其它重要的零部件。目前，</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hanging="420"/>
        <w:jc w:val="left"/>
      </w:pPr>
      <w:r>
        <w:rPr/>
        <w:t>公司产品的零部件自制率约</w:t>
      </w:r>
      <w:r>
        <w:rPr>
          <w:rFonts w:ascii="宋体" w:hAnsi="宋体" w:cs="宋体" w:eastAsia="宋体" w:hint="default"/>
        </w:rPr>
        <w:t>80</w:t>
      </w:r>
      <w:r>
        <w:rPr/>
        <w:t>％，在行业内处于较高水平。 </w:t>
      </w:r>
      <w:r>
        <w:rPr>
          <w:spacing w:val="-1"/>
        </w:rPr>
        <w:t>相比同行业中很多厂商外购主要零部件进行组装的简单生产方式，公司的生产模式更能保证产品质量</w:t>
      </w:r>
    </w:p>
    <w:p>
      <w:pPr>
        <w:pStyle w:val="BodyText"/>
        <w:spacing w:line="408" w:lineRule="auto" w:before="46"/>
        <w:ind w:left="154" w:right="1131"/>
        <w:jc w:val="both"/>
      </w:pPr>
      <w:r>
        <w:rPr>
          <w:spacing w:val="-1"/>
        </w:rPr>
        <w:t>的高性能和稳定性，集中体现了公司的整体技术水平，赢得了国际大客户的肯定和信赖，体现了公司区别</w:t>
      </w:r>
      <w:r>
        <w:rPr>
          <w:spacing w:val="-83"/>
        </w:rPr>
        <w:t> </w:t>
      </w:r>
      <w:r>
        <w:rPr>
          <w:spacing w:val="-83"/>
        </w:rPr>
      </w:r>
      <w:r>
        <w:rPr>
          <w:spacing w:val="-1"/>
        </w:rPr>
        <w:t>于组装型企业的差异化市场定位。另一方面，自制核心部件有利于公司降低产品生产成本，获取较高的利</w:t>
      </w:r>
      <w:r>
        <w:rPr>
          <w:spacing w:val="-83"/>
        </w:rPr>
        <w:t> </w:t>
      </w:r>
      <w:r>
        <w:rPr>
          <w:spacing w:val="-83"/>
        </w:rPr>
      </w:r>
      <w:r>
        <w:rPr/>
        <w:t>润率。</w:t>
      </w:r>
    </w:p>
    <w:p>
      <w:pPr>
        <w:pStyle w:val="BodyText"/>
        <w:spacing w:line="408" w:lineRule="auto" w:before="46"/>
        <w:ind w:left="574" w:right="0"/>
        <w:jc w:val="left"/>
      </w:pPr>
      <w:r>
        <w:rPr/>
        <w:t>（</w:t>
      </w:r>
      <w:r>
        <w:rPr>
          <w:rFonts w:ascii="宋体" w:hAnsi="宋体" w:cs="宋体" w:eastAsia="宋体" w:hint="default"/>
        </w:rPr>
        <w:t>2</w:t>
      </w:r>
      <w:r>
        <w:rPr/>
        <w:t>）生产装备水平高 </w:t>
      </w:r>
      <w:r>
        <w:rPr>
          <w:spacing w:val="-1"/>
        </w:rPr>
        <w:t>公司的生产装备水平在微型小型水泵和园林机械行业处于领先地位。公司购置了大量生产设备，包括</w:t>
      </w:r>
    </w:p>
    <w:p>
      <w:pPr>
        <w:pStyle w:val="BodyText"/>
        <w:spacing w:line="408" w:lineRule="auto" w:before="46"/>
        <w:ind w:left="154" w:right="1110"/>
        <w:jc w:val="both"/>
      </w:pPr>
      <w:r>
        <w:rPr/>
        <w:t>进口高速冲床、兰化炉、注塑机、数控车床、自动绕线嵌线机、自动喷漆流水线以及先进装配流水线等。 </w:t>
      </w:r>
      <w:r>
        <w:rPr>
          <w:spacing w:val="-1"/>
        </w:rPr>
        <w:t>这些先进的生产设备除了用于产品装配，也用于制造、加工产品的重要配件，如电机的定转子、转轴、泵</w:t>
      </w:r>
      <w:r>
        <w:rPr>
          <w:spacing w:val="-83"/>
        </w:rPr>
        <w:t> </w:t>
      </w:r>
      <w:r>
        <w:rPr>
          <w:spacing w:val="-83"/>
        </w:rPr>
      </w:r>
      <w:r>
        <w:rPr/>
        <w:t>体、托架、塑料件等。</w:t>
      </w:r>
    </w:p>
    <w:p>
      <w:pPr>
        <w:pStyle w:val="BodyText"/>
        <w:spacing w:line="408" w:lineRule="auto" w:before="46"/>
        <w:ind w:left="154" w:right="1131" w:firstLine="420"/>
        <w:jc w:val="both"/>
      </w:pPr>
      <w:r>
        <w:rPr>
          <w:spacing w:val="-1"/>
        </w:rPr>
        <w:t>上述先进生产设备的大量使用提高了产品生产的机械化、自动化水平，大大提高了生产效率和产品质</w:t>
      </w:r>
      <w:r>
        <w:rPr/>
        <w:t> 量的稳定性。</w:t>
      </w:r>
    </w:p>
    <w:p>
      <w:pPr>
        <w:pStyle w:val="BodyText"/>
        <w:spacing w:line="408" w:lineRule="auto" w:before="46"/>
        <w:ind w:left="574" w:right="0"/>
        <w:jc w:val="left"/>
      </w:pPr>
      <w:r>
        <w:rPr/>
        <w:t>（</w:t>
      </w:r>
      <w:r>
        <w:rPr>
          <w:rFonts w:ascii="宋体" w:hAnsi="宋体" w:cs="宋体" w:eastAsia="宋体" w:hint="default"/>
        </w:rPr>
        <w:t>3</w:t>
      </w:r>
      <w:r>
        <w:rPr/>
        <w:t>）产品品种丰富 </w:t>
      </w:r>
      <w:r>
        <w:rPr>
          <w:spacing w:val="-1"/>
        </w:rPr>
        <w:t>与行业内大部分企业只集中生产几个产品品种不同，公司拥有丰富的产品线。丰富的产品线可以满足</w:t>
      </w:r>
    </w:p>
    <w:p>
      <w:pPr>
        <w:pStyle w:val="BodyText"/>
        <w:spacing w:line="408" w:lineRule="auto" w:before="46"/>
        <w:ind w:left="154" w:right="1131"/>
        <w:jc w:val="both"/>
      </w:pPr>
      <w:r>
        <w:rPr>
          <w:spacing w:val="-1"/>
        </w:rPr>
        <w:t>国际大客户“一站式”采购的需求，有利于公司赢得大订单。随着公司产品线越来越丰富，公司的产品产</w:t>
      </w:r>
      <w:r>
        <w:rPr>
          <w:spacing w:val="-84"/>
        </w:rPr>
        <w:t> </w:t>
      </w:r>
      <w:r>
        <w:rPr>
          <w:spacing w:val="-84"/>
        </w:rPr>
      </w:r>
      <w:r>
        <w:rPr>
          <w:spacing w:val="-1"/>
        </w:rPr>
        <w:t>量大幅增加。生产规模的扩大推动了采购规模扩大，批量生产和批量采购使公司获得了显著的规模经济优</w:t>
      </w:r>
      <w:r>
        <w:rPr>
          <w:spacing w:val="-81"/>
        </w:rPr>
        <w:t> </w:t>
      </w:r>
      <w:r>
        <w:rPr>
          <w:spacing w:val="-81"/>
        </w:rPr>
      </w:r>
      <w:r>
        <w:rPr>
          <w:spacing w:val="-1"/>
        </w:rPr>
        <w:t>势，降低了产品采购成本和产品制造成本。同时，生产规模的扩大使公司接纳大订单的能力大大增长，公</w:t>
      </w:r>
      <w:r>
        <w:rPr>
          <w:spacing w:val="-84"/>
        </w:rPr>
        <w:t> </w:t>
      </w:r>
      <w:r>
        <w:rPr>
          <w:spacing w:val="-84"/>
        </w:rPr>
      </w:r>
      <w:r>
        <w:rPr/>
        <w:t>司大客户数量持续增加，客户质量不断提升。</w:t>
      </w:r>
    </w:p>
    <w:p>
      <w:pPr>
        <w:pStyle w:val="Heading3"/>
        <w:spacing w:line="240" w:lineRule="auto"/>
        <w:ind w:right="0"/>
        <w:jc w:val="left"/>
        <w:rPr>
          <w:b w:val="0"/>
          <w:bCs w:val="0"/>
        </w:rPr>
      </w:pPr>
      <w:r>
        <w:rPr>
          <w:rFonts w:ascii="仿宋" w:hAnsi="仿宋" w:cs="仿宋" w:eastAsia="仿宋" w:hint="default"/>
        </w:rPr>
        <w:t>3</w:t>
      </w:r>
      <w:r>
        <w:rPr/>
        <w:t>、国际营销能力强</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left="154" w:right="1131" w:firstLine="420"/>
        <w:jc w:val="both"/>
      </w:pPr>
      <w:r>
        <w:rPr>
          <w:spacing w:val="-1"/>
        </w:rPr>
        <w:t>公司作为行业内最早开拓国际市场的企业之一，通过不断参加国际知名展会、走访客户、实地考察市</w:t>
      </w:r>
      <w:r>
        <w:rPr/>
        <w:t> 场等方式，积累了丰富的国际销售经验和客户资源。</w:t>
      </w:r>
    </w:p>
    <w:p>
      <w:pPr>
        <w:pStyle w:val="BodyText"/>
        <w:spacing w:line="408" w:lineRule="auto" w:before="46"/>
        <w:ind w:left="154" w:right="1110" w:firstLine="420"/>
        <w:jc w:val="both"/>
      </w:pPr>
      <w:r>
        <w:rPr>
          <w:spacing w:val="-1"/>
        </w:rPr>
        <w:t>目前，公司已在世界各主要销售市场建立了完善的营销网络，已和当地主流销售渠道建立了稳定的合</w:t>
      </w:r>
      <w:r>
        <w:rPr/>
        <w:t> 作关系。公司客户中有行业内知名的制造商、当地主要经销商、国际知名连锁超市，也有中小型进口商、 零售商、制造商，还有国内主要出口贸易商，销售渠道丰富，客户层次多样，客户合作稳定。</w:t>
      </w:r>
    </w:p>
    <w:p>
      <w:pPr>
        <w:pStyle w:val="BodyText"/>
        <w:spacing w:line="408" w:lineRule="auto" w:before="46"/>
        <w:ind w:right="1131" w:firstLine="420"/>
        <w:jc w:val="both"/>
      </w:pPr>
      <w:r>
        <w:rPr>
          <w:spacing w:val="-1"/>
        </w:rPr>
        <w:t>经过多年的积累，公司在所在行业内已经树立了良好的企业形象和知名度，为推广公司自主品牌奠定</w:t>
      </w:r>
      <w:r>
        <w:rPr/>
        <w:t> 了坚实基础。</w:t>
      </w:r>
    </w:p>
    <w:p>
      <w:pPr>
        <w:pStyle w:val="Heading3"/>
        <w:spacing w:line="240" w:lineRule="auto"/>
        <w:ind w:right="0"/>
        <w:jc w:val="left"/>
        <w:rPr>
          <w:b w:val="0"/>
          <w:bCs w:val="0"/>
        </w:rPr>
      </w:pPr>
      <w:r>
        <w:rPr>
          <w:rFonts w:ascii="仿宋" w:hAnsi="仿宋" w:cs="仿宋" w:eastAsia="仿宋" w:hint="default"/>
        </w:rPr>
        <w:t>4</w:t>
      </w:r>
      <w:r>
        <w:rPr/>
        <w:t>、技术创新能力强，具有突出的研发优势</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left="154" w:right="1110" w:firstLine="420"/>
        <w:jc w:val="both"/>
      </w:pPr>
      <w:r>
        <w:rPr/>
        <w:t>公司自设立以来，一直坚持技术领先战略，在技术、研发环节持续投资，致力于形成核心竞争能力， 以保持公司的长期竞争优势。</w:t>
      </w:r>
    </w:p>
    <w:p>
      <w:pPr>
        <w:pStyle w:val="BodyText"/>
        <w:spacing w:line="240" w:lineRule="auto" w:before="46"/>
        <w:ind w:left="574" w:right="0"/>
        <w:jc w:val="left"/>
      </w:pPr>
      <w:r>
        <w:rPr/>
        <w:t>公司组建了专业研发团队，负责泵、园林机械、电机、清洗与植保机械产品的技术研发、结构设计、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外形设计、产品测试和产品认证。经过多年的持续投入，公司已形成了完备的产品开发体系，具备了较强</w:t>
      </w:r>
      <w:r>
        <w:rPr>
          <w:spacing w:val="-86"/>
        </w:rPr>
        <w:t> </w:t>
      </w:r>
      <w:r>
        <w:rPr>
          <w:spacing w:val="-86"/>
        </w:rPr>
      </w:r>
      <w:r>
        <w:rPr>
          <w:spacing w:val="-1"/>
        </w:rPr>
        <w:t>的自主研发能力和工业设计能力，在行业内处于领先地位。根据国家发展和改革委员会、科学技术部、财</w:t>
      </w:r>
      <w:r>
        <w:rPr>
          <w:spacing w:val="-84"/>
        </w:rPr>
        <w:t> </w:t>
      </w:r>
      <w:r>
        <w:rPr>
          <w:spacing w:val="-84"/>
        </w:rPr>
      </w:r>
      <w:r>
        <w:rPr>
          <w:spacing w:val="-1"/>
        </w:rPr>
        <w:t>政部、海关总署和国家税务总局联合发布</w:t>
      </w:r>
      <w:r>
        <w:rPr>
          <w:rFonts w:ascii="宋体" w:hAnsi="宋体" w:cs="宋体" w:eastAsia="宋体" w:hint="default"/>
          <w:spacing w:val="-1"/>
        </w:rPr>
        <w:t>2011</w:t>
      </w:r>
      <w:r>
        <w:rPr>
          <w:spacing w:val="-1"/>
        </w:rPr>
        <w:t>年第</w:t>
      </w:r>
      <w:r>
        <w:rPr>
          <w:rFonts w:ascii="宋体" w:hAnsi="宋体" w:cs="宋体" w:eastAsia="宋体" w:hint="default"/>
          <w:spacing w:val="-1"/>
        </w:rPr>
        <w:t>29</w:t>
      </w:r>
      <w:r>
        <w:rPr>
          <w:spacing w:val="-1"/>
        </w:rPr>
        <w:t>号公告，公司技术中心被认定为第十八批享受优惠政</w:t>
      </w:r>
      <w:r>
        <w:rPr>
          <w:spacing w:val="-80"/>
        </w:rPr>
        <w:t> </w:t>
      </w:r>
      <w:r>
        <w:rPr>
          <w:spacing w:val="-80"/>
        </w:rPr>
      </w:r>
      <w:r>
        <w:rPr/>
        <w:t>策的国家级企业（集团）技术中心。</w:t>
      </w:r>
    </w:p>
    <w:p>
      <w:pPr>
        <w:pStyle w:val="BodyText"/>
        <w:spacing w:line="408" w:lineRule="auto" w:before="46"/>
        <w:ind w:right="1131" w:firstLine="420"/>
        <w:jc w:val="both"/>
      </w:pPr>
      <w:r>
        <w:rPr>
          <w:spacing w:val="-1"/>
        </w:rPr>
        <w:t>公司始终坚持以国际市场需求为导向组织产品研发工作，对公司的国外客户而言，公司熟悉国际产品</w:t>
      </w:r>
      <w:r>
        <w:rPr/>
        <w:t> </w:t>
      </w:r>
      <w:r>
        <w:rPr>
          <w:spacing w:val="-1"/>
        </w:rPr>
        <w:t>标准、能快速响应客户需求并高效率地完成产品开发等多方面的优势极大地增强了公司的竞争力，对扩大</w:t>
      </w:r>
      <w:r>
        <w:rPr>
          <w:spacing w:val="-81"/>
        </w:rPr>
        <w:t> </w:t>
      </w:r>
      <w:r>
        <w:rPr>
          <w:spacing w:val="-81"/>
        </w:rPr>
      </w:r>
      <w:r>
        <w:rPr/>
        <w:t>产品销售、尤其是获取大客户订单发挥了至关重要的作用。</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5" w:firstLine="480"/>
        <w:jc w:val="left"/>
      </w:pPr>
      <w:r>
        <w:rPr>
          <w:rFonts w:ascii="宋体" w:hAnsi="宋体" w:cs="宋体" w:eastAsia="宋体" w:hint="default"/>
          <w:spacing w:val="-2"/>
        </w:rPr>
        <w:t>2015</w:t>
      </w:r>
      <w:r>
        <w:rPr>
          <w:spacing w:val="-2"/>
        </w:rPr>
        <w:t>年，公司把握数字营销行业高速发展的机遇，坚定不移地贯彻公司向互联网业务领域转型的战略</w:t>
      </w:r>
      <w:r>
        <w:rPr/>
        <w:t> 目标，公司数字营销业务快速发展。</w:t>
      </w:r>
    </w:p>
    <w:p>
      <w:pPr>
        <w:pStyle w:val="BodyText"/>
        <w:spacing w:line="408" w:lineRule="auto" w:before="46"/>
        <w:ind w:right="0" w:firstLine="480"/>
        <w:jc w:val="left"/>
      </w:pPr>
      <w:r>
        <w:rPr>
          <w:spacing w:val="-2"/>
        </w:rPr>
        <w:t>公司自转型数字营销业务以来，已在数字营销这一细分领域初步形成完整的业务布局。</w:t>
      </w:r>
      <w:r>
        <w:rPr>
          <w:rFonts w:ascii="宋体" w:hAnsi="宋体" w:cs="宋体" w:eastAsia="宋体" w:hint="default"/>
          <w:spacing w:val="-2"/>
        </w:rPr>
        <w:t>2014</w:t>
      </w:r>
      <w:r>
        <w:rPr>
          <w:spacing w:val="-2"/>
        </w:rPr>
        <w:t>年，公司</w:t>
      </w:r>
      <w:r>
        <w:rPr/>
        <w:t> 先后收购了上海漫酷、琥珀传播、上海氩氪等</w:t>
      </w:r>
      <w:r>
        <w:rPr>
          <w:rFonts w:ascii="宋体" w:hAnsi="宋体" w:cs="宋体" w:eastAsia="宋体" w:hint="default"/>
        </w:rPr>
        <w:t>3</w:t>
      </w:r>
      <w:r>
        <w:rPr/>
        <w:t>家优质的数字营销公司，覆盖了策略、创意、媒体投放、</w:t>
      </w:r>
      <w:r>
        <w:rPr>
          <w:spacing w:val="-30"/>
        </w:rPr>
        <w:t> </w:t>
      </w:r>
      <w:r>
        <w:rPr>
          <w:spacing w:val="-30"/>
        </w:rPr>
      </w:r>
      <w:r>
        <w:rPr/>
        <w:t>社会化营销等数字营销业务环节。</w:t>
      </w:r>
      <w:r>
        <w:rPr>
          <w:rFonts w:ascii="宋体" w:hAnsi="宋体" w:cs="宋体" w:eastAsia="宋体" w:hint="default"/>
        </w:rPr>
        <w:t>2015</w:t>
      </w:r>
      <w:r>
        <w:rPr/>
        <w:t>年，公司收购了专注于流量整合业务的万圣伟业和以搜索营销和移 动营销业务为主的微创时代，并参股投资了专注于电商代运营业务的碧橙网络以及专业从事智能电视广告 投放的益家互动，数字营销产业链的横向布局进一步完善，成为行业内首家有能力为客户提供一站式服务 的数字营销传播集团。在此基础上，</w:t>
      </w:r>
      <w:r>
        <w:rPr>
          <w:rFonts w:ascii="宋体" w:hAnsi="宋体" w:cs="宋体" w:eastAsia="宋体" w:hint="default"/>
        </w:rPr>
        <w:t>2015</w:t>
      </w:r>
      <w:r>
        <w:rPr/>
        <w:t>年公司也加大了对数字营销产业链垂直领域的布局，先后投资了 专注于提供出国留学服务的异乡好居、专注于医疗行业数字营销服务的热源网络，并签署了收购专注于游 戏行业数字营销服务的智趣广告的投资协议。至此，公司从横向、纵向两个维度搭建了完善的数字营销服 </w:t>
      </w:r>
      <w:r>
        <w:rPr>
          <w:spacing w:val="-8"/>
        </w:rPr>
        <w:t>务生态，构建了同时覆盖品牌客户和效果类客户、覆盖全部数字媒体（头部媒体、长尾媒体、精准类媒体）、</w:t>
      </w:r>
      <w:r>
        <w:rPr>
          <w:spacing w:val="-63"/>
        </w:rPr>
        <w:t> </w:t>
      </w:r>
      <w:r>
        <w:rPr>
          <w:spacing w:val="-63"/>
        </w:rPr>
      </w:r>
      <w:r>
        <w:rPr/>
        <w:t>提供全品类服务的业务体系，并从业务和资本两个层面不断丰富公司的业务生态，稳步扩大业务体量，持</w:t>
      </w:r>
      <w:r>
        <w:rPr/>
        <w:t> 续提升盈利能力。</w:t>
      </w:r>
    </w:p>
    <w:p>
      <w:pPr>
        <w:pStyle w:val="BodyText"/>
        <w:spacing w:line="408" w:lineRule="auto" w:before="45"/>
        <w:ind w:right="1129" w:firstLine="480"/>
        <w:jc w:val="both"/>
      </w:pPr>
      <w:r>
        <w:rPr>
          <w:spacing w:val="-2"/>
        </w:rPr>
        <w:t>本报告期，公司数字营销板块的各家子公司形成了良好的业务协同关系，业绩较去年同期均取得大幅</w:t>
      </w:r>
      <w:r>
        <w:rPr/>
        <w:t> </w:t>
      </w:r>
      <w:r>
        <w:rPr>
          <w:spacing w:val="5"/>
        </w:rPr>
        <w:t>的增长。其中，上海漫酷、上海氩氪、琥珀传播分别实现营业收入</w:t>
      </w:r>
      <w:r>
        <w:rPr>
          <w:rFonts w:ascii="宋体" w:hAnsi="宋体" w:cs="宋体" w:eastAsia="宋体" w:hint="default"/>
          <w:spacing w:val="5"/>
        </w:rPr>
        <w:t>191,015.89</w:t>
      </w:r>
      <w:r>
        <w:rPr>
          <w:spacing w:val="5"/>
        </w:rPr>
        <w:t>万元、</w:t>
      </w:r>
      <w:r>
        <w:rPr>
          <w:rFonts w:ascii="宋体" w:hAnsi="宋体" w:cs="宋体" w:eastAsia="宋体" w:hint="default"/>
          <w:spacing w:val="5"/>
        </w:rPr>
        <w:t>17,404.23</w:t>
      </w:r>
      <w:r>
        <w:rPr>
          <w:spacing w:val="5"/>
        </w:rPr>
        <w:t>万元、</w:t>
      </w:r>
      <w:r>
        <w:rPr>
          <w:spacing w:val="-94"/>
        </w:rPr>
        <w:t> </w:t>
      </w:r>
      <w:r>
        <w:rPr>
          <w:spacing w:val="-94"/>
        </w:rPr>
      </w:r>
      <w:r>
        <w:rPr>
          <w:rFonts w:ascii="宋体" w:hAnsi="宋体" w:cs="宋体" w:eastAsia="宋体" w:hint="default"/>
          <w:spacing w:val="2"/>
        </w:rPr>
        <w:t>12,863.40</w:t>
      </w:r>
      <w:r>
        <w:rPr>
          <w:spacing w:val="2"/>
        </w:rPr>
        <w:t>万元，较上年同期分别增长</w:t>
      </w:r>
      <w:r>
        <w:rPr>
          <w:rFonts w:ascii="宋体" w:hAnsi="宋体" w:cs="宋体" w:eastAsia="宋体" w:hint="default"/>
          <w:spacing w:val="2"/>
        </w:rPr>
        <w:t>63.67%</w:t>
      </w:r>
      <w:r>
        <w:rPr>
          <w:spacing w:val="2"/>
        </w:rPr>
        <w:t>、</w:t>
      </w:r>
      <w:r>
        <w:rPr>
          <w:rFonts w:ascii="宋体" w:hAnsi="宋体" w:cs="宋体" w:eastAsia="宋体" w:hint="default"/>
          <w:spacing w:val="2"/>
        </w:rPr>
        <w:t>108.72%</w:t>
      </w:r>
      <w:r>
        <w:rPr>
          <w:spacing w:val="2"/>
        </w:rPr>
        <w:t>、</w:t>
      </w:r>
      <w:r>
        <w:rPr>
          <w:rFonts w:ascii="宋体" w:hAnsi="宋体" w:cs="宋体" w:eastAsia="宋体" w:hint="default"/>
          <w:spacing w:val="2"/>
        </w:rPr>
        <w:t>76.58%</w:t>
      </w:r>
      <w:r>
        <w:rPr>
          <w:spacing w:val="2"/>
        </w:rPr>
        <w:t>；分别实现扣除非经常性损益的净利润</w:t>
      </w:r>
    </w:p>
    <w:p>
      <w:pPr>
        <w:pStyle w:val="BodyText"/>
        <w:spacing w:line="408" w:lineRule="auto" w:before="46"/>
        <w:ind w:left="634" w:right="0" w:hanging="480"/>
        <w:jc w:val="left"/>
      </w:pPr>
      <w:r>
        <w:rPr>
          <w:rFonts w:ascii="宋体" w:hAnsi="宋体" w:cs="宋体" w:eastAsia="宋体" w:hint="default"/>
        </w:rPr>
        <w:t>6,373.14</w:t>
      </w:r>
      <w:r>
        <w:rPr/>
        <w:t>万元、</w:t>
      </w:r>
      <w:r>
        <w:rPr>
          <w:rFonts w:ascii="宋体" w:hAnsi="宋体" w:cs="宋体" w:eastAsia="宋体" w:hint="default"/>
        </w:rPr>
        <w:t>2,628.24</w:t>
      </w:r>
      <w:r>
        <w:rPr/>
        <w:t>万元、</w:t>
      </w:r>
      <w:r>
        <w:rPr>
          <w:rFonts w:ascii="宋体" w:hAnsi="宋体" w:cs="宋体" w:eastAsia="宋体" w:hint="default"/>
        </w:rPr>
        <w:t>2,137.23</w:t>
      </w:r>
      <w:r>
        <w:rPr/>
        <w:t>万元，全部超额完成了业绩承诺。 自</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w:t>
      </w:r>
      <w:r>
        <w:rPr/>
        <w:t>日起，万圣伟业及微创时代的财务数据并入公司合并报表，对公司</w:t>
      </w:r>
      <w:r>
        <w:rPr>
          <w:rFonts w:ascii="宋体" w:hAnsi="宋体" w:cs="宋体" w:eastAsia="宋体" w:hint="default"/>
        </w:rPr>
        <w:t>2015</w:t>
      </w:r>
      <w:r>
        <w:rPr/>
        <w:t>年年度业绩的</w:t>
      </w:r>
    </w:p>
    <w:p>
      <w:pPr>
        <w:pStyle w:val="BodyText"/>
        <w:spacing w:line="408" w:lineRule="auto" w:before="46"/>
        <w:ind w:right="1128"/>
        <w:jc w:val="both"/>
      </w:pPr>
      <w:r>
        <w:rPr/>
        <w:t>贡献相对有限。从全年业绩的口径来看，</w:t>
      </w:r>
      <w:r>
        <w:rPr>
          <w:rFonts w:ascii="宋体" w:hAnsi="宋体" w:cs="宋体" w:eastAsia="宋体" w:hint="default"/>
        </w:rPr>
        <w:t>2015</w:t>
      </w:r>
      <w:r>
        <w:rPr/>
        <w:t>年度，万圣伟业、微创时代分别实现营业收入</w:t>
      </w:r>
      <w:r>
        <w:rPr>
          <w:rFonts w:ascii="宋体" w:hAnsi="宋体" w:cs="宋体" w:eastAsia="宋体" w:hint="default"/>
        </w:rPr>
        <w:t>71,016.08</w:t>
      </w:r>
      <w:r>
        <w:rPr/>
        <w:t>万</w:t>
      </w:r>
      <w:r>
        <w:rPr>
          <w:spacing w:val="-27"/>
        </w:rPr>
        <w:t> </w:t>
      </w:r>
      <w:r>
        <w:rPr>
          <w:spacing w:val="-1"/>
        </w:rPr>
        <w:t>元、</w:t>
      </w:r>
      <w:r>
        <w:rPr>
          <w:rFonts w:ascii="宋体" w:hAnsi="宋体" w:cs="宋体" w:eastAsia="宋体" w:hint="default"/>
          <w:spacing w:val="-1"/>
        </w:rPr>
        <w:t>70,216.25</w:t>
      </w:r>
      <w:r>
        <w:rPr>
          <w:spacing w:val="-1"/>
        </w:rPr>
        <w:t>万元，实现扣除非经常性损益的净利润</w:t>
      </w:r>
      <w:r>
        <w:rPr>
          <w:rFonts w:ascii="宋体" w:hAnsi="宋体" w:cs="宋体" w:eastAsia="宋体" w:hint="default"/>
          <w:spacing w:val="-1"/>
        </w:rPr>
        <w:t>17,926.38</w:t>
      </w:r>
      <w:r>
        <w:rPr>
          <w:spacing w:val="-1"/>
        </w:rPr>
        <w:t>万元、</w:t>
      </w:r>
      <w:r>
        <w:rPr>
          <w:rFonts w:ascii="宋体" w:hAnsi="宋体" w:cs="宋体" w:eastAsia="宋体" w:hint="default"/>
          <w:spacing w:val="-1"/>
        </w:rPr>
        <w:t>6,985.57</w:t>
      </w:r>
      <w:r>
        <w:rPr>
          <w:spacing w:val="-1"/>
        </w:rPr>
        <w:t>万元，分别较业绩承诺数</w:t>
      </w:r>
      <w:r>
        <w:rPr>
          <w:spacing w:val="-75"/>
        </w:rPr>
        <w:t> </w:t>
      </w:r>
      <w:r>
        <w:rPr>
          <w:spacing w:val="-75"/>
        </w:rPr>
      </w:r>
      <w:r>
        <w:rPr/>
        <w:t>超出</w:t>
      </w:r>
      <w:r>
        <w:rPr>
          <w:rFonts w:ascii="宋体" w:hAnsi="宋体" w:cs="宋体" w:eastAsia="宋体" w:hint="default"/>
        </w:rPr>
        <w:t>3,126.38</w:t>
      </w:r>
      <w:r>
        <w:rPr/>
        <w:t>万元、</w:t>
      </w:r>
      <w:r>
        <w:rPr>
          <w:rFonts w:ascii="宋体" w:hAnsi="宋体" w:cs="宋体" w:eastAsia="宋体" w:hint="default"/>
        </w:rPr>
        <w:t>985.57</w:t>
      </w:r>
      <w:r>
        <w:rPr/>
        <w:t>万元。</w:t>
      </w:r>
    </w:p>
    <w:p>
      <w:pPr>
        <w:pStyle w:val="BodyText"/>
        <w:spacing w:line="408" w:lineRule="auto" w:before="46"/>
        <w:ind w:right="1011" w:firstLine="480"/>
        <w:jc w:val="left"/>
      </w:pPr>
      <w:r>
        <w:rPr>
          <w:spacing w:val="-4"/>
        </w:rPr>
        <w:t>在数字营销业务快速发展的同时，公司原有制造业务也取得了稳步的增长。</w:t>
      </w:r>
      <w:r>
        <w:rPr>
          <w:rFonts w:ascii="宋体" w:hAnsi="宋体" w:cs="宋体" w:eastAsia="宋体" w:hint="default"/>
          <w:spacing w:val="-4"/>
        </w:rPr>
        <w:t>2015</w:t>
      </w:r>
      <w:r>
        <w:rPr>
          <w:spacing w:val="-4"/>
        </w:rPr>
        <w:t>年，公司微小型水泵、</w:t>
      </w:r>
      <w:r>
        <w:rPr/>
        <w:t> 清洗和植保机械业务和工业泵实现销售收入较去年同期均有所增长。</w:t>
      </w:r>
    </w:p>
    <w:p>
      <w:pPr>
        <w:pStyle w:val="BodyText"/>
        <w:spacing w:line="408" w:lineRule="auto" w:before="46"/>
        <w:ind w:right="0" w:firstLine="480"/>
        <w:jc w:val="left"/>
      </w:pPr>
      <w:r>
        <w:rPr/>
        <w:t>本报告期，公司实现营业收入</w:t>
      </w:r>
      <w:r>
        <w:rPr>
          <w:rFonts w:ascii="宋体" w:hAnsi="宋体" w:cs="宋体" w:eastAsia="宋体" w:hint="default"/>
        </w:rPr>
        <w:t>439,222.77</w:t>
      </w:r>
      <w:r>
        <w:rPr/>
        <w:t>万元，同比增长</w:t>
      </w:r>
      <w:r>
        <w:rPr>
          <w:rFonts w:ascii="宋体" w:hAnsi="宋体" w:cs="宋体" w:eastAsia="宋体" w:hint="default"/>
        </w:rPr>
        <w:t>52.81%</w:t>
      </w:r>
      <w:r>
        <w:rPr/>
        <w:t>，其中，主营业务收入</w:t>
      </w:r>
      <w:r>
        <w:rPr>
          <w:rFonts w:ascii="宋体" w:hAnsi="宋体" w:cs="宋体" w:eastAsia="宋体" w:hint="default"/>
        </w:rPr>
        <w:t>436,264.31 </w:t>
      </w:r>
      <w:r>
        <w:rPr/>
        <w:t>万元，同比增长</w:t>
      </w:r>
      <w:r>
        <w:rPr>
          <w:rFonts w:ascii="宋体" w:hAnsi="宋体" w:cs="宋体" w:eastAsia="宋体" w:hint="default"/>
        </w:rPr>
        <w:t>53.73%</w:t>
      </w:r>
      <w:r>
        <w:rPr/>
        <w:t>；实现归属于上市公司股东的净利润</w:t>
      </w:r>
      <w:r>
        <w:rPr>
          <w:rFonts w:ascii="宋体" w:hAnsi="宋体" w:cs="宋体" w:eastAsia="宋体" w:hint="default"/>
        </w:rPr>
        <w:t>22,541.05</w:t>
      </w:r>
      <w:r>
        <w:rPr/>
        <w:t>万元，同比增长</w:t>
      </w:r>
      <w:r>
        <w:rPr>
          <w:rFonts w:ascii="宋体" w:hAnsi="宋体" w:cs="宋体" w:eastAsia="宋体" w:hint="default"/>
        </w:rPr>
        <w:t>25.29%</w:t>
      </w:r>
      <w:r>
        <w:rPr/>
        <w:t>；归属于上</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09"/>
        <w:jc w:val="both"/>
      </w:pPr>
      <w:r>
        <w:rPr>
          <w:spacing w:val="-1"/>
        </w:rPr>
        <w:t>市公司股东的扣除非经常性损益的净利润</w:t>
      </w:r>
      <w:r>
        <w:rPr>
          <w:rFonts w:ascii="宋体" w:hAnsi="宋体" w:cs="宋体" w:eastAsia="宋体" w:hint="default"/>
          <w:spacing w:val="-1"/>
        </w:rPr>
        <w:t>20,428.07</w:t>
      </w:r>
      <w:r>
        <w:rPr>
          <w:spacing w:val="-1"/>
        </w:rPr>
        <w:t>万元，同比增长</w:t>
      </w:r>
      <w:r>
        <w:rPr>
          <w:rFonts w:ascii="宋体" w:hAnsi="宋体" w:cs="宋体" w:eastAsia="宋体" w:hint="default"/>
          <w:spacing w:val="-1"/>
        </w:rPr>
        <w:t>117.71%</w:t>
      </w:r>
      <w:r>
        <w:rPr>
          <w:spacing w:val="-1"/>
        </w:rPr>
        <w:t>；实现每股收益</w:t>
      </w:r>
      <w:r>
        <w:rPr>
          <w:rFonts w:ascii="宋体" w:hAnsi="宋体" w:cs="宋体" w:eastAsia="宋体" w:hint="default"/>
          <w:spacing w:val="-1"/>
        </w:rPr>
        <w:t>0.19</w:t>
      </w:r>
      <w:r>
        <w:rPr>
          <w:spacing w:val="-1"/>
        </w:rPr>
        <w:t>元，同比</w:t>
      </w:r>
      <w:r>
        <w:rPr>
          <w:spacing w:val="-75"/>
        </w:rPr>
        <w:t> </w:t>
      </w:r>
      <w:r>
        <w:rPr>
          <w:spacing w:val="-75"/>
        </w:rPr>
      </w:r>
      <w:r>
        <w:rPr>
          <w:spacing w:val="-1"/>
        </w:rPr>
        <w:t>增长</w:t>
      </w:r>
      <w:r>
        <w:rPr>
          <w:rFonts w:ascii="宋体" w:hAnsi="宋体" w:cs="宋体" w:eastAsia="宋体" w:hint="default"/>
          <w:spacing w:val="-1"/>
        </w:rPr>
        <w:t>18.75%</w:t>
      </w:r>
      <w:r>
        <w:rPr>
          <w:spacing w:val="-1"/>
        </w:rPr>
        <w:t>。业绩增长主要原因有：（</w:t>
      </w:r>
      <w:r>
        <w:rPr>
          <w:rFonts w:ascii="宋体" w:hAnsi="宋体" w:cs="宋体" w:eastAsia="宋体" w:hint="default"/>
          <w:spacing w:val="-1"/>
        </w:rPr>
        <w:t>1</w:t>
      </w:r>
      <w:r>
        <w:rPr>
          <w:spacing w:val="-1"/>
        </w:rPr>
        <w:t>）自</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日起，公司数字营销业务板块的</w:t>
      </w:r>
      <w:r>
        <w:rPr>
          <w:rFonts w:ascii="宋体" w:hAnsi="宋体" w:cs="宋体" w:eastAsia="宋体" w:hint="default"/>
          <w:spacing w:val="-1"/>
        </w:rPr>
        <w:t>3</w:t>
      </w:r>
      <w:r>
        <w:rPr>
          <w:spacing w:val="-1"/>
        </w:rPr>
        <w:t>家公司</w:t>
      </w:r>
      <w:r>
        <w:rPr>
          <w:rFonts w:ascii="宋体" w:hAnsi="宋体" w:cs="宋体" w:eastAsia="宋体" w:hint="default"/>
          <w:spacing w:val="-1"/>
        </w:rPr>
        <w:t>--</w:t>
      </w:r>
      <w:r>
        <w:rPr>
          <w:spacing w:val="-1"/>
        </w:rPr>
        <w:t>上海漫</w:t>
      </w:r>
      <w:r>
        <w:rPr>
          <w:spacing w:val="-80"/>
        </w:rPr>
        <w:t> </w:t>
      </w:r>
      <w:r>
        <w:rPr>
          <w:spacing w:val="-80"/>
        </w:rPr>
      </w:r>
      <w:r>
        <w:rPr>
          <w:spacing w:val="-1"/>
        </w:rPr>
        <w:t>酷、上海氩氪、琥珀传播已全部纳入合并财务报表范围，而上年同期纳入合并财务报表范围的只有上海漫</w:t>
      </w:r>
      <w:r>
        <w:rPr>
          <w:spacing w:val="-83"/>
        </w:rPr>
        <w:t> </w:t>
      </w:r>
      <w:r>
        <w:rPr>
          <w:spacing w:val="-83"/>
        </w:rPr>
      </w:r>
      <w:r>
        <w:rPr/>
        <w:t>酷</w:t>
      </w:r>
      <w:r>
        <w:rPr>
          <w:rFonts w:ascii="宋体" w:hAnsi="宋体" w:cs="宋体" w:eastAsia="宋体" w:hint="default"/>
        </w:rPr>
        <w:t>2014</w:t>
      </w:r>
      <w:r>
        <w:rPr/>
        <w:t>年</w:t>
      </w:r>
      <w:r>
        <w:rPr>
          <w:rFonts w:ascii="宋体" w:hAnsi="宋体" w:cs="宋体" w:eastAsia="宋体" w:hint="default"/>
        </w:rPr>
        <w:t>4-12</w:t>
      </w:r>
      <w:r>
        <w:rPr/>
        <w:t>月的财务报表数据和上海氩氪、琥珀传播</w:t>
      </w:r>
      <w:r>
        <w:rPr>
          <w:rFonts w:ascii="宋体" w:hAnsi="宋体" w:cs="宋体" w:eastAsia="宋体" w:hint="default"/>
        </w:rPr>
        <w:t>2014</w:t>
      </w:r>
      <w:r>
        <w:rPr/>
        <w:t>年</w:t>
      </w:r>
      <w:r>
        <w:rPr>
          <w:rFonts w:ascii="宋体" w:hAnsi="宋体" w:cs="宋体" w:eastAsia="宋体" w:hint="default"/>
        </w:rPr>
        <w:t>12</w:t>
      </w:r>
      <w:r>
        <w:rPr/>
        <w:t>月份的财务报表数据；（</w:t>
      </w:r>
      <w:r>
        <w:rPr>
          <w:rFonts w:ascii="宋体" w:hAnsi="宋体" w:cs="宋体" w:eastAsia="宋体" w:hint="default"/>
        </w:rPr>
        <w:t>2</w:t>
      </w:r>
      <w:r>
        <w:rPr/>
        <w:t>）万圣伟业、</w:t>
      </w:r>
      <w:r>
        <w:rPr>
          <w:spacing w:val="-31"/>
        </w:rPr>
        <w:t> </w:t>
      </w:r>
      <w:r>
        <w:rPr>
          <w:spacing w:val="-31"/>
        </w:rPr>
      </w:r>
      <w:r>
        <w:rPr/>
        <w:t>微创时代自</w:t>
      </w:r>
      <w:r>
        <w:rPr>
          <w:rFonts w:ascii="宋体" w:hAnsi="宋体" w:cs="宋体" w:eastAsia="宋体" w:hint="default"/>
        </w:rPr>
        <w:t>2015</w:t>
      </w:r>
      <w:r>
        <w:rPr/>
        <w:t>年</w:t>
      </w:r>
      <w:r>
        <w:rPr>
          <w:rFonts w:ascii="宋体" w:hAnsi="宋体" w:cs="宋体" w:eastAsia="宋体" w:hint="default"/>
        </w:rPr>
        <w:t>12</w:t>
      </w:r>
      <w:r>
        <w:rPr/>
        <w:t>月起纳入公司合并报表范围</w:t>
      </w:r>
      <w:r>
        <w:rPr>
          <w:rFonts w:ascii="宋体" w:hAnsi="宋体" w:cs="宋体" w:eastAsia="宋体" w:hint="default"/>
        </w:rPr>
        <w:t>,</w:t>
      </w:r>
      <w:r>
        <w:rPr/>
        <w:t>即公司合并利润表包含了其</w:t>
      </w:r>
      <w:r>
        <w:rPr>
          <w:rFonts w:ascii="宋体" w:hAnsi="宋体" w:cs="宋体" w:eastAsia="宋体" w:hint="default"/>
        </w:rPr>
        <w:t>12</w:t>
      </w:r>
      <w:r>
        <w:rPr/>
        <w:t>月当月的利润情况；（</w:t>
      </w:r>
      <w:r>
        <w:rPr>
          <w:rFonts w:ascii="宋体" w:hAnsi="宋体" w:cs="宋体" w:eastAsia="宋体" w:hint="default"/>
        </w:rPr>
        <w:t>3</w:t>
      </w:r>
      <w:r>
        <w:rPr/>
        <w:t>） 公司数字营销业务板块的各家公司经营业绩较上年同期显著增长。</w:t>
      </w:r>
    </w:p>
    <w:p>
      <w:pPr>
        <w:pStyle w:val="BodyText"/>
        <w:spacing w:line="408" w:lineRule="auto" w:before="46"/>
        <w:ind w:right="1131" w:firstLine="480"/>
        <w:jc w:val="both"/>
      </w:pPr>
      <w:r>
        <w:rPr>
          <w:spacing w:val="-2"/>
        </w:rPr>
        <w:t>报告期末，公司财务状况良好，总资产为</w:t>
      </w:r>
      <w:r>
        <w:rPr>
          <w:rFonts w:ascii="宋体" w:hAnsi="宋体" w:cs="宋体" w:eastAsia="宋体" w:hint="default"/>
          <w:spacing w:val="-2"/>
        </w:rPr>
        <w:t>840,002.76</w:t>
      </w:r>
      <w:r>
        <w:rPr>
          <w:spacing w:val="-2"/>
        </w:rPr>
        <w:t>万元，较期初增加</w:t>
      </w:r>
      <w:r>
        <w:rPr>
          <w:rFonts w:ascii="宋体" w:hAnsi="宋体" w:cs="宋体" w:eastAsia="宋体" w:hint="default"/>
          <w:spacing w:val="-2"/>
        </w:rPr>
        <w:t>99.93%</w:t>
      </w:r>
      <w:r>
        <w:rPr>
          <w:spacing w:val="-2"/>
        </w:rPr>
        <w:t>；归属于上市公司股东</w:t>
      </w:r>
      <w:r>
        <w:rPr/>
        <w:t> 的所有者权益为</w:t>
      </w:r>
      <w:r>
        <w:rPr>
          <w:rFonts w:ascii="宋体" w:hAnsi="宋体" w:cs="宋体" w:eastAsia="宋体" w:hint="default"/>
        </w:rPr>
        <w:t>572,378.43</w:t>
      </w:r>
      <w:r>
        <w:rPr/>
        <w:t>万元，较期初增加</w:t>
      </w:r>
      <w:r>
        <w:rPr>
          <w:rFonts w:ascii="宋体" w:hAnsi="宋体" w:cs="宋体" w:eastAsia="宋体" w:hint="default"/>
        </w:rPr>
        <w:t>185.66%</w:t>
      </w:r>
      <w:r>
        <w:rPr/>
        <w:t>。期末资产规模大幅增加，主要原因为万圣伟业、</w:t>
      </w:r>
      <w:r>
        <w:rPr>
          <w:spacing w:val="-28"/>
        </w:rPr>
        <w:t> </w:t>
      </w:r>
      <w:r>
        <w:rPr>
          <w:spacing w:val="-28"/>
        </w:rPr>
      </w:r>
      <w:r>
        <w:rPr/>
        <w:t>微创时代自</w:t>
      </w:r>
      <w:r>
        <w:rPr>
          <w:rFonts w:ascii="宋体" w:hAnsi="宋体" w:cs="宋体" w:eastAsia="宋体" w:hint="default"/>
        </w:rPr>
        <w:t>2015</w:t>
      </w:r>
      <w:r>
        <w:rPr/>
        <w:t>年</w:t>
      </w:r>
      <w:r>
        <w:rPr>
          <w:rFonts w:ascii="宋体" w:hAnsi="宋体" w:cs="宋体" w:eastAsia="宋体" w:hint="default"/>
        </w:rPr>
        <w:t>12</w:t>
      </w:r>
      <w:r>
        <w:rPr/>
        <w:t>月起纳入公司合并报表范围所致。</w:t>
      </w:r>
    </w:p>
    <w:p>
      <w:pPr>
        <w:spacing w:line="240" w:lineRule="auto" w:before="11"/>
        <w:rPr>
          <w:rFonts w:ascii="宋体" w:hAnsi="宋体" w:cs="宋体" w:eastAsia="宋体" w:hint="default"/>
          <w:sz w:val="18"/>
          <w:szCs w:val="18"/>
        </w:rPr>
      </w:pPr>
    </w:p>
    <w:p>
      <w:pPr>
        <w:pStyle w:val="Heading2"/>
        <w:spacing w:line="240" w:lineRule="auto"/>
        <w:ind w:left="154"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bookmarkStart w:name="1、概述" w:id="27"/>
      <w:bookmarkEnd w:id="27"/>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、概述</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408" w:lineRule="auto" w:before="142"/>
        <w:ind w:left="154" w:right="1023" w:firstLine="480"/>
        <w:jc w:val="left"/>
      </w:pPr>
      <w:r>
        <w:rPr/>
        <w:t>在公司进入互联网领域前，公司及控股子公司主要从事微型小型水泵、园林机械、清洗和植保机械、 工业泵的研发、制造、销售业务。</w:t>
      </w:r>
      <w:r>
        <w:rPr>
          <w:rFonts w:ascii="宋体" w:hAnsi="宋体" w:cs="宋体" w:eastAsia="宋体" w:hint="default"/>
        </w:rPr>
        <w:t>2014</w:t>
      </w:r>
      <w:r>
        <w:rPr/>
        <w:t>年，公司完成收购上海漫酷、上海氩氪和琥珀传播后，公司成功进 入互联网领域。</w:t>
      </w:r>
      <w:r>
        <w:rPr>
          <w:rFonts w:ascii="宋体" w:hAnsi="宋体" w:cs="宋体" w:eastAsia="宋体" w:hint="default"/>
        </w:rPr>
        <w:t>2015</w:t>
      </w:r>
      <w:r>
        <w:rPr/>
        <w:t>年，公司继续扩大在互联网领域的业务，完成了对万圣伟业、微创时代两家数字营销 </w:t>
      </w:r>
      <w:r>
        <w:rPr>
          <w:spacing w:val="-3"/>
        </w:rPr>
        <w:t>公司的收购。目前，公司数字营销业务已覆盖营销的策略和创意、媒体的投放和执行、效果的监测和优化、</w:t>
      </w:r>
      <w:r>
        <w:rPr>
          <w:spacing w:val="-95"/>
        </w:rPr>
        <w:t> </w:t>
      </w:r>
      <w:r>
        <w:rPr>
          <w:spacing w:val="-95"/>
        </w:rPr>
      </w:r>
      <w:r>
        <w:rPr/>
        <w:t>社会化营销、精准营销、移动营销和流量整合等完整的数字营销服务。目前，公司主营业务包含机械制造</w:t>
      </w:r>
      <w:r>
        <w:rPr/>
        <w:t> 和互联网服务。其中，互联网服务包括数字营销服务、数字媒介代理服务、流量整合业务、精准营销业务 等。随着公司数字营销业务板块的快速发展，其实现的销售收入、净利润占公司整体销售收入、净利润的 比重逐年增加。</w:t>
      </w:r>
      <w:r>
        <w:rPr>
          <w:rFonts w:ascii="宋体" w:hAnsi="宋体" w:cs="宋体" w:eastAsia="宋体" w:hint="default"/>
        </w:rPr>
        <w:t>2015</w:t>
      </w:r>
      <w:r>
        <w:rPr/>
        <w:t>年，公司数字营销业务板块实现的销售收入、净利润已超过了制造业板块。</w:t>
      </w:r>
    </w:p>
    <w:p>
      <w:pPr>
        <w:pStyle w:val="BodyText"/>
        <w:spacing w:line="240" w:lineRule="auto" w:before="46"/>
        <w:ind w:left="6246" w:right="2142"/>
        <w:jc w:val="right"/>
      </w:pPr>
      <w:r>
        <w:rPr>
          <w:spacing w:val="-1"/>
        </w:rPr>
        <w:t>单位：元</w:t>
      </w:r>
    </w:p>
    <w:p>
      <w:pPr>
        <w:spacing w:line="240" w:lineRule="auto" w:before="4"/>
        <w:rPr>
          <w:rFonts w:ascii="宋体" w:hAnsi="宋体" w:cs="宋体" w:eastAsia="宋体" w:hint="default"/>
          <w:sz w:val="11"/>
          <w:szCs w:val="11"/>
        </w:rPr>
      </w:pPr>
    </w:p>
    <w:tbl>
      <w:tblPr>
        <w:tblW w:w="0" w:type="auto"/>
        <w:jc w:val="left"/>
        <w:tblInd w:w="555" w:type="dxa"/>
        <w:tblLayout w:type="fixed"/>
        <w:tblCellMar>
          <w:top w:w="0" w:type="dxa"/>
          <w:left w:w="0" w:type="dxa"/>
          <w:bottom w:w="0" w:type="dxa"/>
          <w:right w:w="0" w:type="dxa"/>
        </w:tblCellMar>
        <w:tblLook w:val="01E0"/>
      </w:tblPr>
      <w:tblGrid>
        <w:gridCol w:w="2541"/>
        <w:gridCol w:w="1871"/>
        <w:gridCol w:w="2248"/>
        <w:gridCol w:w="2160"/>
      </w:tblGrid>
      <w:tr>
        <w:trPr>
          <w:trHeight w:val="409" w:hRule="exact"/>
        </w:trPr>
        <w:tc>
          <w:tcPr>
            <w:tcW w:w="2541"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4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24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4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16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增减</w:t>
            </w:r>
          </w:p>
        </w:tc>
      </w:tr>
      <w:tr>
        <w:trPr>
          <w:trHeight w:val="427" w:hRule="exact"/>
        </w:trPr>
        <w:tc>
          <w:tcPr>
            <w:tcW w:w="2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4,392,227,658.28</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宋体" w:hAnsi="宋体" w:cs="宋体" w:eastAsia="宋体" w:hint="default"/>
                <w:sz w:val="18"/>
                <w:szCs w:val="18"/>
              </w:rPr>
            </w:pPr>
            <w:r>
              <w:rPr>
                <w:rFonts w:ascii="宋体"/>
                <w:sz w:val="18"/>
              </w:rPr>
              <w:t>2,874,269,599.64</w:t>
            </w:r>
          </w:p>
        </w:tc>
        <w:tc>
          <w:tcPr>
            <w:tcW w:w="21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52.81%</w:t>
            </w:r>
          </w:p>
        </w:tc>
      </w:tr>
      <w:tr>
        <w:trPr>
          <w:trHeight w:val="427" w:hRule="exact"/>
        </w:trPr>
        <w:tc>
          <w:tcPr>
            <w:tcW w:w="2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3,383,805,188.79</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95"/>
              <w:jc w:val="right"/>
              <w:rPr>
                <w:rFonts w:ascii="宋体" w:hAnsi="宋体" w:cs="宋体" w:eastAsia="宋体" w:hint="default"/>
                <w:sz w:val="18"/>
                <w:szCs w:val="18"/>
              </w:rPr>
            </w:pPr>
            <w:r>
              <w:rPr>
                <w:rFonts w:ascii="宋体"/>
                <w:sz w:val="18"/>
              </w:rPr>
              <w:t>2,211,675,366.33</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53.00%</w:t>
            </w:r>
          </w:p>
        </w:tc>
      </w:tr>
      <w:tr>
        <w:trPr>
          <w:trHeight w:val="426" w:hRule="exact"/>
        </w:trPr>
        <w:tc>
          <w:tcPr>
            <w:tcW w:w="2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期间费用</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670,520,538.26</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6" w:right="0"/>
              <w:jc w:val="left"/>
              <w:rPr>
                <w:rFonts w:ascii="宋体" w:hAnsi="宋体" w:cs="宋体" w:eastAsia="宋体" w:hint="default"/>
                <w:sz w:val="18"/>
                <w:szCs w:val="18"/>
              </w:rPr>
            </w:pPr>
            <w:r>
              <w:rPr>
                <w:rFonts w:ascii="宋体"/>
                <w:sz w:val="18"/>
              </w:rPr>
              <w:t>490,675,853.19</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36.65%</w:t>
            </w:r>
          </w:p>
        </w:tc>
      </w:tr>
      <w:tr>
        <w:trPr>
          <w:trHeight w:val="427" w:hRule="exact"/>
        </w:trPr>
        <w:tc>
          <w:tcPr>
            <w:tcW w:w="2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研发投入</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79,483,425.98</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1" w:right="0"/>
              <w:jc w:val="left"/>
              <w:rPr>
                <w:rFonts w:ascii="宋体" w:hAnsi="宋体" w:cs="宋体" w:eastAsia="宋体" w:hint="default"/>
                <w:sz w:val="18"/>
                <w:szCs w:val="18"/>
              </w:rPr>
            </w:pPr>
            <w:r>
              <w:rPr>
                <w:rFonts w:ascii="宋体"/>
                <w:sz w:val="18"/>
              </w:rPr>
              <w:t>85,426,467.13</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-6.96%</w:t>
            </w:r>
          </w:p>
        </w:tc>
      </w:tr>
      <w:tr>
        <w:trPr>
          <w:trHeight w:val="428" w:hRule="exact"/>
        </w:trPr>
        <w:tc>
          <w:tcPr>
            <w:tcW w:w="2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329,513,943.19</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1"/>
              <w:jc w:val="right"/>
              <w:rPr>
                <w:rFonts w:ascii="宋体" w:hAnsi="宋体" w:cs="宋体" w:eastAsia="宋体" w:hint="default"/>
                <w:sz w:val="18"/>
                <w:szCs w:val="18"/>
              </w:rPr>
            </w:pPr>
            <w:r>
              <w:rPr>
                <w:rFonts w:ascii="宋体"/>
                <w:sz w:val="18"/>
              </w:rPr>
              <w:t>-109,977,222.09</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399.62%</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spacing w:before="38"/>
        <w:ind w:left="153" w:right="0" w:firstLine="0"/>
        <w:jc w:val="left"/>
        <w:rPr>
          <w:rFonts w:ascii="宋体" w:hAnsi="宋体" w:cs="宋体" w:eastAsia="宋体" w:hint="default"/>
          <w:sz w:val="20"/>
          <w:szCs w:val="20"/>
        </w:rPr>
      </w:pPr>
      <w:bookmarkStart w:name="2、收入与成本" w:id="28"/>
      <w:bookmarkEnd w:id="28"/>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、收入与成本</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bookmarkStart w:name="（1）营业收入构成" w:id="29"/>
      <w:bookmarkEnd w:id="2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）营业收入构成</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6246"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75"/>
        <w:gridCol w:w="1597"/>
        <w:gridCol w:w="1596"/>
        <w:gridCol w:w="1601"/>
        <w:gridCol w:w="1593"/>
        <w:gridCol w:w="1601"/>
      </w:tblGrid>
      <w:tr>
        <w:trPr>
          <w:trHeight w:val="206" w:hRule="exact"/>
        </w:trPr>
        <w:tc>
          <w:tcPr>
            <w:tcW w:w="1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675" w:type="dxa"/>
            <w:vMerge w:val="restart"/>
            <w:tcBorders>
              <w:top w:val="nil" w:sz="6" w:space="0" w:color="auto"/>
              <w:left w:val="single" w:sz="4" w:space="0" w:color="000000"/>
              <w:right w:val="single" w:sz="4" w:space="0" w:color="000000"/>
            </w:tcBorders>
            <w:shd w:val="clear" w:color="auto" w:fill="D2D2D2"/>
          </w:tcPr>
          <w:p>
            <w:pPr/>
          </w:p>
        </w:tc>
        <w:tc>
          <w:tcPr>
            <w:tcW w:w="3193" w:type="dxa"/>
            <w:gridSpan w:val="2"/>
            <w:vMerge/>
            <w:tcBorders>
              <w:left w:val="single" w:sz="4" w:space="0" w:color="000000"/>
              <w:bottom w:val="single" w:sz="4" w:space="0" w:color="000000"/>
              <w:right w:val="single" w:sz="4" w:space="0" w:color="000000"/>
            </w:tcBorders>
            <w:shd w:val="clear" w:color="auto" w:fill="D2D2D2"/>
          </w:tcPr>
          <w:p>
            <w:pPr/>
          </w:p>
        </w:tc>
        <w:tc>
          <w:tcPr>
            <w:tcW w:w="3194"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675"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2"/>
              <w:ind w:right="44"/>
              <w:jc w:val="right"/>
              <w:rPr>
                <w:rFonts w:ascii="宋体" w:hAnsi="宋体" w:cs="宋体" w:eastAsia="宋体" w:hint="default"/>
                <w:sz w:val="18"/>
                <w:szCs w:val="18"/>
              </w:rPr>
            </w:pPr>
            <w:r>
              <w:rPr>
                <w:rFonts w:ascii="宋体"/>
                <w:sz w:val="18"/>
              </w:rPr>
              <w:t>4,392,227,658.28</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7"/>
              <w:jc w:val="right"/>
              <w:rPr>
                <w:rFonts w:ascii="宋体" w:hAnsi="宋体" w:cs="宋体" w:eastAsia="宋体" w:hint="default"/>
                <w:sz w:val="18"/>
                <w:szCs w:val="18"/>
              </w:rPr>
            </w:pPr>
            <w:r>
              <w:rPr>
                <w:rFonts w:ascii="宋体"/>
                <w:sz w:val="18"/>
              </w:rPr>
              <w:t>100%</w:t>
            </w:r>
          </w:p>
        </w:tc>
        <w:tc>
          <w:tcPr>
            <w:tcW w:w="160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2,874,269,599.64</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宋体"/>
                <w:sz w:val="18"/>
              </w:rPr>
              <w:t>100%</w:t>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521"/>
              <w:jc w:val="right"/>
              <w:rPr>
                <w:rFonts w:ascii="宋体" w:hAnsi="宋体" w:cs="宋体" w:eastAsia="宋体" w:hint="default"/>
                <w:sz w:val="18"/>
                <w:szCs w:val="18"/>
              </w:rPr>
            </w:pPr>
            <w:r>
              <w:rPr>
                <w:rFonts w:ascii="宋体"/>
                <w:sz w:val="18"/>
              </w:rPr>
              <w:t>52.81%</w:t>
            </w:r>
          </w:p>
        </w:tc>
      </w:tr>
      <w:tr>
        <w:trPr>
          <w:trHeight w:val="396" w:hRule="exact"/>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sz w:val="18"/>
              </w:rPr>
              <w:t>2,001,825,305.81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7"/>
              <w:jc w:val="right"/>
              <w:rPr>
                <w:rFonts w:ascii="宋体" w:hAnsi="宋体" w:cs="宋体" w:eastAsia="宋体" w:hint="default"/>
                <w:sz w:val="18"/>
                <w:szCs w:val="18"/>
              </w:rPr>
            </w:pPr>
            <w:r>
              <w:rPr>
                <w:rFonts w:ascii="宋体"/>
                <w:sz w:val="18"/>
              </w:rPr>
              <w:t>45.58%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宋体"/>
                <w:sz w:val="18"/>
              </w:rPr>
              <w:t>1,859,898,315.76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9"/>
              <w:jc w:val="right"/>
              <w:rPr>
                <w:rFonts w:ascii="宋体" w:hAnsi="宋体" w:cs="宋体" w:eastAsia="宋体" w:hint="default"/>
                <w:sz w:val="18"/>
                <w:szCs w:val="18"/>
              </w:rPr>
            </w:pPr>
            <w:r>
              <w:rPr>
                <w:rFonts w:ascii="宋体"/>
                <w:sz w:val="18"/>
              </w:rPr>
              <w:t>64.71%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5"/>
              <w:jc w:val="right"/>
              <w:rPr>
                <w:rFonts w:ascii="宋体" w:hAnsi="宋体" w:cs="宋体" w:eastAsia="宋体" w:hint="default"/>
                <w:sz w:val="18"/>
                <w:szCs w:val="18"/>
              </w:rPr>
            </w:pPr>
            <w:r>
              <w:rPr>
                <w:rFonts w:ascii="宋体"/>
                <w:sz w:val="18"/>
              </w:rPr>
              <w:t>7.63%</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sz w:val="18"/>
              </w:rPr>
              <w:t>2,360,817,823.60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7"/>
              <w:jc w:val="right"/>
              <w:rPr>
                <w:rFonts w:ascii="宋体" w:hAnsi="宋体" w:cs="宋体" w:eastAsia="宋体" w:hint="default"/>
                <w:sz w:val="18"/>
                <w:szCs w:val="18"/>
              </w:rPr>
            </w:pPr>
            <w:r>
              <w:rPr>
                <w:rFonts w:ascii="宋体"/>
                <w:sz w:val="18"/>
              </w:rPr>
              <w:t>53.75%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宋体"/>
                <w:sz w:val="18"/>
              </w:rPr>
              <w:t>978,040,859.01</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9"/>
              <w:jc w:val="right"/>
              <w:rPr>
                <w:rFonts w:ascii="宋体" w:hAnsi="宋体" w:cs="宋体" w:eastAsia="宋体" w:hint="default"/>
                <w:sz w:val="18"/>
                <w:szCs w:val="18"/>
              </w:rPr>
            </w:pPr>
            <w:r>
              <w:rPr>
                <w:rFonts w:ascii="宋体"/>
                <w:sz w:val="18"/>
              </w:rPr>
              <w:t>34.03%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5"/>
              <w:jc w:val="right"/>
              <w:rPr>
                <w:rFonts w:ascii="宋体" w:hAnsi="宋体" w:cs="宋体" w:eastAsia="宋体" w:hint="default"/>
                <w:sz w:val="18"/>
                <w:szCs w:val="18"/>
              </w:rPr>
            </w:pPr>
            <w:r>
              <w:rPr>
                <w:rFonts w:ascii="宋体"/>
                <w:sz w:val="18"/>
              </w:rPr>
              <w:t>141.38%</w:t>
            </w:r>
          </w:p>
        </w:tc>
      </w:tr>
      <w:tr>
        <w:trPr>
          <w:trHeight w:val="40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宋体" w:hAnsi="宋体" w:cs="宋体" w:eastAsia="宋体" w:hint="default"/>
                <w:sz w:val="18"/>
                <w:szCs w:val="18"/>
              </w:rPr>
            </w:pPr>
            <w:r>
              <w:rPr>
                <w:rFonts w:ascii="宋体"/>
                <w:sz w:val="18"/>
              </w:rPr>
              <w:t>29,584,528.87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1" w:right="0"/>
              <w:jc w:val="left"/>
              <w:rPr>
                <w:rFonts w:ascii="宋体" w:hAnsi="宋体" w:cs="宋体" w:eastAsia="宋体" w:hint="default"/>
                <w:sz w:val="18"/>
                <w:szCs w:val="18"/>
              </w:rPr>
            </w:pPr>
            <w:r>
              <w:rPr>
                <w:rFonts w:ascii="宋体"/>
                <w:sz w:val="18"/>
              </w:rPr>
              <w:t>0.67%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宋体"/>
                <w:sz w:val="18"/>
              </w:rPr>
              <w:t>36,330,424.87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4"/>
              <w:jc w:val="right"/>
              <w:rPr>
                <w:rFonts w:ascii="宋体" w:hAnsi="宋体" w:cs="宋体" w:eastAsia="宋体" w:hint="default"/>
                <w:sz w:val="18"/>
                <w:szCs w:val="18"/>
              </w:rPr>
            </w:pPr>
            <w:r>
              <w:rPr>
                <w:rFonts w:ascii="宋体"/>
                <w:sz w:val="18"/>
              </w:rPr>
              <w:t>1.26%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5"/>
              <w:jc w:val="right"/>
              <w:rPr>
                <w:rFonts w:ascii="宋体" w:hAnsi="宋体" w:cs="宋体" w:eastAsia="宋体" w:hint="default"/>
                <w:sz w:val="18"/>
                <w:szCs w:val="18"/>
              </w:rPr>
            </w:pPr>
            <w:r>
              <w:rPr>
                <w:rFonts w:ascii="宋体"/>
                <w:sz w:val="18"/>
              </w:rPr>
              <w:t>-18.57%</w:t>
            </w:r>
          </w:p>
        </w:tc>
      </w:tr>
      <w:tr>
        <w:trPr>
          <w:trHeight w:val="401" w:hRule="exact"/>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民用泵</w:t>
            </w:r>
            <w:r>
              <w:rPr>
                <w:rFonts w:ascii="Times New Roman" w:hAnsi="Times New Roman" w:cs="Times New Roman" w:eastAsia="Times New Roman" w:hint="default"/>
                <w:sz w:val="18"/>
                <w:szCs w:val="18"/>
              </w:rPr>
              <w:t>(</w:t>
            </w:r>
            <w:r>
              <w:rPr>
                <w:rFonts w:ascii="宋体" w:hAnsi="宋体" w:cs="宋体" w:eastAsia="宋体" w:hint="default"/>
                <w:sz w:val="18"/>
                <w:szCs w:val="18"/>
              </w:rPr>
              <w:t>微型小型水 泵</w:t>
            </w:r>
            <w:r>
              <w:rPr>
                <w:rFonts w:ascii="Times New Roman" w:hAnsi="Times New Roman" w:cs="Times New Roman" w:eastAsia="Times New Roman" w:hint="default"/>
                <w:sz w:val="18"/>
                <w:szCs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sz w:val="18"/>
              </w:rPr>
              <w:t>1,092,539,568.19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07"/>
              <w:jc w:val="right"/>
              <w:rPr>
                <w:rFonts w:ascii="宋体" w:hAnsi="宋体" w:cs="宋体" w:eastAsia="宋体" w:hint="default"/>
                <w:sz w:val="18"/>
                <w:szCs w:val="18"/>
              </w:rPr>
            </w:pPr>
            <w:r>
              <w:rPr>
                <w:rFonts w:ascii="宋体"/>
                <w:sz w:val="18"/>
              </w:rPr>
              <w:t>24.87%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z w:val="18"/>
              </w:rPr>
              <w:t>1,031,767,643.23</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12"/>
              <w:jc w:val="right"/>
              <w:rPr>
                <w:rFonts w:ascii="宋体" w:hAnsi="宋体" w:cs="宋体" w:eastAsia="宋体" w:hint="default"/>
                <w:sz w:val="18"/>
                <w:szCs w:val="18"/>
              </w:rPr>
            </w:pPr>
            <w:r>
              <w:rPr>
                <w:rFonts w:ascii="宋体"/>
                <w:sz w:val="18"/>
              </w:rPr>
              <w:t>35.90%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65"/>
              <w:jc w:val="right"/>
              <w:rPr>
                <w:rFonts w:ascii="宋体" w:hAnsi="宋体" w:cs="宋体" w:eastAsia="宋体" w:hint="default"/>
                <w:sz w:val="18"/>
                <w:szCs w:val="18"/>
              </w:rPr>
            </w:pPr>
            <w:r>
              <w:rPr>
                <w:rFonts w:ascii="宋体"/>
                <w:sz w:val="18"/>
              </w:rPr>
              <w:t>5.89%</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9" w:right="0"/>
              <w:jc w:val="left"/>
              <w:rPr>
                <w:rFonts w:ascii="宋体" w:hAnsi="宋体" w:cs="宋体" w:eastAsia="宋体" w:hint="default"/>
                <w:sz w:val="18"/>
                <w:szCs w:val="18"/>
              </w:rPr>
            </w:pPr>
            <w:r>
              <w:rPr>
                <w:rFonts w:ascii="宋体"/>
                <w:sz w:val="18"/>
              </w:rPr>
              <w:t>404,597,461.16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9.21%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392,621,431.06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2"/>
              <w:jc w:val="right"/>
              <w:rPr>
                <w:rFonts w:ascii="宋体" w:hAnsi="宋体" w:cs="宋体" w:eastAsia="宋体" w:hint="default"/>
                <w:sz w:val="18"/>
                <w:szCs w:val="18"/>
              </w:rPr>
            </w:pPr>
            <w:r>
              <w:rPr>
                <w:rFonts w:ascii="宋体"/>
                <w:sz w:val="18"/>
              </w:rPr>
              <w:t>13.66%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5"/>
              <w:jc w:val="right"/>
              <w:rPr>
                <w:rFonts w:ascii="宋体" w:hAnsi="宋体" w:cs="宋体" w:eastAsia="宋体" w:hint="default"/>
                <w:sz w:val="18"/>
                <w:szCs w:val="18"/>
              </w:rPr>
            </w:pPr>
            <w:r>
              <w:rPr>
                <w:rFonts w:ascii="宋体"/>
                <w:sz w:val="18"/>
              </w:rPr>
              <w:t>3.05%</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9" w:right="0"/>
              <w:jc w:val="left"/>
              <w:rPr>
                <w:rFonts w:ascii="宋体" w:hAnsi="宋体" w:cs="宋体" w:eastAsia="宋体" w:hint="default"/>
                <w:sz w:val="18"/>
                <w:szCs w:val="18"/>
              </w:rPr>
            </w:pPr>
            <w:r>
              <w:rPr>
                <w:rFonts w:ascii="宋体"/>
                <w:sz w:val="18"/>
              </w:rPr>
              <w:t>145,088,925.24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3.30%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105,141,821.92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8"/>
              <w:jc w:val="right"/>
              <w:rPr>
                <w:rFonts w:ascii="宋体" w:hAnsi="宋体" w:cs="宋体" w:eastAsia="宋体" w:hint="default"/>
                <w:sz w:val="18"/>
                <w:szCs w:val="18"/>
              </w:rPr>
            </w:pPr>
            <w:r>
              <w:rPr>
                <w:rFonts w:ascii="宋体"/>
                <w:sz w:val="18"/>
              </w:rPr>
              <w:t>3.66%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1"/>
              <w:jc w:val="right"/>
              <w:rPr>
                <w:rFonts w:ascii="宋体" w:hAnsi="宋体" w:cs="宋体" w:eastAsia="宋体" w:hint="default"/>
                <w:sz w:val="18"/>
                <w:szCs w:val="18"/>
              </w:rPr>
            </w:pPr>
            <w:r>
              <w:rPr>
                <w:rFonts w:ascii="宋体"/>
                <w:sz w:val="18"/>
              </w:rPr>
              <w:t>37.99%</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9" w:right="0"/>
              <w:jc w:val="left"/>
              <w:rPr>
                <w:rFonts w:ascii="宋体" w:hAnsi="宋体" w:cs="宋体" w:eastAsia="宋体" w:hint="default"/>
                <w:sz w:val="18"/>
                <w:szCs w:val="18"/>
              </w:rPr>
            </w:pPr>
            <w:r>
              <w:rPr>
                <w:rFonts w:ascii="宋体"/>
                <w:sz w:val="18"/>
              </w:rPr>
              <w:t>114,519,027.01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2.61%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111,348,373.72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8"/>
              <w:jc w:val="right"/>
              <w:rPr>
                <w:rFonts w:ascii="宋体" w:hAnsi="宋体" w:cs="宋体" w:eastAsia="宋体" w:hint="default"/>
                <w:sz w:val="18"/>
                <w:szCs w:val="18"/>
              </w:rPr>
            </w:pPr>
            <w:r>
              <w:rPr>
                <w:rFonts w:ascii="宋体"/>
                <w:sz w:val="18"/>
              </w:rPr>
              <w:t>3.87%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5"/>
              <w:jc w:val="right"/>
              <w:rPr>
                <w:rFonts w:ascii="宋体" w:hAnsi="宋体" w:cs="宋体" w:eastAsia="宋体" w:hint="default"/>
                <w:sz w:val="18"/>
                <w:szCs w:val="18"/>
              </w:rPr>
            </w:pPr>
            <w:r>
              <w:rPr>
                <w:rFonts w:ascii="宋体"/>
                <w:sz w:val="18"/>
              </w:rPr>
              <w:t>2.85%</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
              <w:jc w:val="right"/>
              <w:rPr>
                <w:rFonts w:ascii="宋体" w:hAnsi="宋体" w:cs="宋体" w:eastAsia="宋体" w:hint="default"/>
                <w:sz w:val="18"/>
                <w:szCs w:val="18"/>
              </w:rPr>
            </w:pPr>
            <w:r>
              <w:rPr>
                <w:rFonts w:ascii="宋体"/>
                <w:sz w:val="18"/>
              </w:rPr>
              <w:t>1,917,577,437.95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7"/>
              <w:jc w:val="right"/>
              <w:rPr>
                <w:rFonts w:ascii="宋体" w:hAnsi="宋体" w:cs="宋体" w:eastAsia="宋体" w:hint="default"/>
                <w:sz w:val="18"/>
                <w:szCs w:val="18"/>
              </w:rPr>
            </w:pPr>
            <w:r>
              <w:rPr>
                <w:rFonts w:ascii="宋体"/>
                <w:sz w:val="18"/>
              </w:rPr>
              <w:t>43.66%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sz w:val="18"/>
              </w:rPr>
              <w:t>949,078,798.16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2"/>
              <w:jc w:val="right"/>
              <w:rPr>
                <w:rFonts w:ascii="宋体" w:hAnsi="宋体" w:cs="宋体" w:eastAsia="宋体" w:hint="default"/>
                <w:sz w:val="18"/>
                <w:szCs w:val="18"/>
              </w:rPr>
            </w:pPr>
            <w:r>
              <w:rPr>
                <w:rFonts w:ascii="宋体"/>
                <w:sz w:val="18"/>
              </w:rPr>
              <w:t>33.02%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5"/>
              <w:jc w:val="right"/>
              <w:rPr>
                <w:rFonts w:ascii="宋体" w:hAnsi="宋体" w:cs="宋体" w:eastAsia="宋体" w:hint="default"/>
                <w:sz w:val="18"/>
                <w:szCs w:val="18"/>
              </w:rPr>
            </w:pPr>
            <w:r>
              <w:rPr>
                <w:rFonts w:ascii="宋体"/>
                <w:sz w:val="18"/>
              </w:rPr>
              <w:t>102.05%</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9" w:right="0"/>
              <w:jc w:val="left"/>
              <w:rPr>
                <w:rFonts w:ascii="宋体" w:hAnsi="宋体" w:cs="宋体" w:eastAsia="宋体" w:hint="default"/>
                <w:sz w:val="18"/>
                <w:szCs w:val="18"/>
              </w:rPr>
            </w:pPr>
            <w:r>
              <w:rPr>
                <w:rFonts w:ascii="宋体"/>
                <w:sz w:val="18"/>
              </w:rPr>
              <w:t>287,070,682.31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6.54%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 w:right="0"/>
              <w:jc w:val="center"/>
              <w:rPr>
                <w:rFonts w:ascii="宋体" w:hAnsi="宋体" w:cs="宋体" w:eastAsia="宋体" w:hint="default"/>
                <w:sz w:val="18"/>
                <w:szCs w:val="18"/>
              </w:rPr>
            </w:pPr>
            <w:r>
              <w:rPr>
                <w:rFonts w:ascii="宋体"/>
                <w:sz w:val="18"/>
              </w:rPr>
              <w:t>28,962,060.84</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8"/>
              <w:jc w:val="right"/>
              <w:rPr>
                <w:rFonts w:ascii="宋体" w:hAnsi="宋体" w:cs="宋体" w:eastAsia="宋体" w:hint="default"/>
                <w:sz w:val="18"/>
                <w:szCs w:val="18"/>
              </w:rPr>
            </w:pPr>
            <w:r>
              <w:rPr>
                <w:rFonts w:ascii="宋体"/>
                <w:sz w:val="18"/>
              </w:rPr>
              <w:t>1.01%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5"/>
              <w:jc w:val="right"/>
              <w:rPr>
                <w:rFonts w:ascii="宋体" w:hAnsi="宋体" w:cs="宋体" w:eastAsia="宋体" w:hint="default"/>
                <w:sz w:val="18"/>
                <w:szCs w:val="18"/>
              </w:rPr>
            </w:pPr>
            <w:r>
              <w:rPr>
                <w:rFonts w:ascii="宋体"/>
                <w:sz w:val="18"/>
              </w:rPr>
              <w:t>891.20%</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端流量整合业务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宋体" w:hAnsi="宋体" w:cs="宋体" w:eastAsia="宋体" w:hint="default"/>
                <w:sz w:val="18"/>
                <w:szCs w:val="18"/>
              </w:rPr>
            </w:pPr>
            <w:r>
              <w:rPr>
                <w:rFonts w:ascii="宋体"/>
                <w:sz w:val="18"/>
              </w:rPr>
              <w:t>45,504,262.28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1.04%</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移动端流量整合业务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宋体" w:hAnsi="宋体" w:cs="宋体" w:eastAsia="宋体" w:hint="default"/>
                <w:sz w:val="18"/>
                <w:szCs w:val="18"/>
              </w:rPr>
            </w:pPr>
            <w:r>
              <w:rPr>
                <w:rFonts w:ascii="宋体"/>
                <w:sz w:val="18"/>
              </w:rPr>
              <w:t>59,363,471.41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1.35%</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精准营销业务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宋体" w:hAnsi="宋体" w:cs="宋体" w:eastAsia="宋体" w:hint="default"/>
                <w:sz w:val="18"/>
                <w:szCs w:val="18"/>
              </w:rPr>
            </w:pPr>
            <w:r>
              <w:rPr>
                <w:rFonts w:ascii="宋体"/>
                <w:sz w:val="18"/>
              </w:rPr>
              <w:t>51,301,969.65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1.17%</w:t>
            </w:r>
          </w:p>
        </w:tc>
        <w:tc>
          <w:tcPr>
            <w:tcW w:w="1601"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9" w:right="0"/>
              <w:jc w:val="left"/>
              <w:rPr>
                <w:rFonts w:ascii="宋体" w:hAnsi="宋体" w:cs="宋体" w:eastAsia="宋体" w:hint="default"/>
                <w:sz w:val="18"/>
                <w:szCs w:val="18"/>
              </w:rPr>
            </w:pPr>
            <w:r>
              <w:rPr>
                <w:rFonts w:ascii="宋体"/>
                <w:sz w:val="18"/>
              </w:rPr>
              <w:t>242,391,854.35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5.52%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214,370,843.17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8"/>
              <w:jc w:val="right"/>
              <w:rPr>
                <w:rFonts w:ascii="宋体" w:hAnsi="宋体" w:cs="宋体" w:eastAsia="宋体" w:hint="default"/>
                <w:sz w:val="18"/>
                <w:szCs w:val="18"/>
              </w:rPr>
            </w:pPr>
            <w:r>
              <w:rPr>
                <w:rFonts w:ascii="宋体"/>
                <w:sz w:val="18"/>
              </w:rPr>
              <w:t>7.46%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1"/>
              <w:jc w:val="right"/>
              <w:rPr>
                <w:rFonts w:ascii="宋体" w:hAnsi="宋体" w:cs="宋体" w:eastAsia="宋体" w:hint="default"/>
                <w:sz w:val="18"/>
                <w:szCs w:val="18"/>
              </w:rPr>
            </w:pPr>
            <w:r>
              <w:rPr>
                <w:rFonts w:ascii="宋体"/>
                <w:sz w:val="18"/>
              </w:rPr>
              <w:t>13.07%</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9" w:right="0"/>
              <w:jc w:val="left"/>
              <w:rPr>
                <w:rFonts w:ascii="宋体" w:hAnsi="宋体" w:cs="宋体" w:eastAsia="宋体" w:hint="default"/>
                <w:sz w:val="18"/>
                <w:szCs w:val="18"/>
              </w:rPr>
            </w:pPr>
            <w:r>
              <w:rPr>
                <w:rFonts w:ascii="宋体"/>
                <w:sz w:val="18"/>
              </w:rPr>
              <w:t>2,688,469.86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0.06%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4,648,202.67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8"/>
              <w:jc w:val="right"/>
              <w:rPr>
                <w:rFonts w:ascii="宋体" w:hAnsi="宋体" w:cs="宋体" w:eastAsia="宋体" w:hint="default"/>
                <w:sz w:val="18"/>
                <w:szCs w:val="18"/>
              </w:rPr>
            </w:pPr>
            <w:r>
              <w:rPr>
                <w:rFonts w:ascii="宋体"/>
                <w:sz w:val="18"/>
              </w:rPr>
              <w:t>0.16%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5"/>
              <w:jc w:val="right"/>
              <w:rPr>
                <w:rFonts w:ascii="宋体" w:hAnsi="宋体" w:cs="宋体" w:eastAsia="宋体" w:hint="default"/>
                <w:sz w:val="18"/>
                <w:szCs w:val="18"/>
              </w:rPr>
            </w:pPr>
            <w:r>
              <w:rPr>
                <w:rFonts w:ascii="宋体"/>
                <w:sz w:val="18"/>
              </w:rPr>
              <w:t>-42.16%</w:t>
            </w:r>
          </w:p>
        </w:tc>
      </w:tr>
      <w:tr>
        <w:trPr>
          <w:trHeight w:val="40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宋体" w:hAnsi="宋体" w:cs="宋体" w:eastAsia="宋体" w:hint="default"/>
                <w:sz w:val="18"/>
                <w:szCs w:val="18"/>
              </w:rPr>
            </w:pPr>
            <w:r>
              <w:rPr>
                <w:rFonts w:ascii="宋体"/>
                <w:sz w:val="18"/>
              </w:rPr>
              <w:t>29,584,528.87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4"/>
              <w:jc w:val="right"/>
              <w:rPr>
                <w:rFonts w:ascii="宋体" w:hAnsi="宋体" w:cs="宋体" w:eastAsia="宋体" w:hint="default"/>
                <w:sz w:val="18"/>
                <w:szCs w:val="18"/>
              </w:rPr>
            </w:pPr>
            <w:r>
              <w:rPr>
                <w:rFonts w:ascii="宋体"/>
                <w:sz w:val="18"/>
              </w:rPr>
              <w:t>0.67%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 w:right="0"/>
              <w:jc w:val="center"/>
              <w:rPr>
                <w:rFonts w:ascii="宋体" w:hAnsi="宋体" w:cs="宋体" w:eastAsia="宋体" w:hint="default"/>
                <w:sz w:val="18"/>
                <w:szCs w:val="18"/>
              </w:rPr>
            </w:pPr>
            <w:r>
              <w:rPr>
                <w:rFonts w:ascii="宋体"/>
                <w:sz w:val="18"/>
              </w:rPr>
              <w:t>36,330,424.87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8"/>
              <w:jc w:val="right"/>
              <w:rPr>
                <w:rFonts w:ascii="宋体" w:hAnsi="宋体" w:cs="宋体" w:eastAsia="宋体" w:hint="default"/>
                <w:sz w:val="18"/>
                <w:szCs w:val="18"/>
              </w:rPr>
            </w:pPr>
            <w:r>
              <w:rPr>
                <w:rFonts w:ascii="宋体"/>
                <w:sz w:val="18"/>
              </w:rPr>
              <w:t>1.26%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5"/>
              <w:jc w:val="right"/>
              <w:rPr>
                <w:rFonts w:ascii="宋体" w:hAnsi="宋体" w:cs="宋体" w:eastAsia="宋体" w:hint="default"/>
                <w:sz w:val="18"/>
                <w:szCs w:val="18"/>
              </w:rPr>
            </w:pPr>
            <w:r>
              <w:rPr>
                <w:rFonts w:ascii="宋体"/>
                <w:sz w:val="18"/>
              </w:rPr>
              <w:t>-18.57%</w:t>
            </w:r>
          </w:p>
        </w:tc>
      </w:tr>
      <w:tr>
        <w:trPr>
          <w:trHeight w:val="401" w:hRule="exact"/>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
              <w:jc w:val="right"/>
              <w:rPr>
                <w:rFonts w:ascii="宋体" w:hAnsi="宋体" w:cs="宋体" w:eastAsia="宋体" w:hint="default"/>
                <w:sz w:val="18"/>
                <w:szCs w:val="18"/>
              </w:rPr>
            </w:pPr>
            <w:r>
              <w:rPr>
                <w:rFonts w:ascii="宋体"/>
                <w:sz w:val="18"/>
              </w:rPr>
              <w:t>1,087,491,586.61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7"/>
              <w:jc w:val="right"/>
              <w:rPr>
                <w:rFonts w:ascii="宋体" w:hAnsi="宋体" w:cs="宋体" w:eastAsia="宋体" w:hint="default"/>
                <w:sz w:val="18"/>
                <w:szCs w:val="18"/>
              </w:rPr>
            </w:pPr>
            <w:r>
              <w:rPr>
                <w:rFonts w:ascii="宋体"/>
                <w:sz w:val="18"/>
              </w:rPr>
              <w:t>24.76%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1,012,068,170.84</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2"/>
              <w:jc w:val="right"/>
              <w:rPr>
                <w:rFonts w:ascii="宋体" w:hAnsi="宋体" w:cs="宋体" w:eastAsia="宋体" w:hint="default"/>
                <w:sz w:val="18"/>
                <w:szCs w:val="18"/>
              </w:rPr>
            </w:pPr>
            <w:r>
              <w:rPr>
                <w:rFonts w:ascii="宋体"/>
                <w:sz w:val="18"/>
              </w:rPr>
              <w:t>35.21%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5"/>
              <w:jc w:val="right"/>
              <w:rPr>
                <w:rFonts w:ascii="宋体" w:hAnsi="宋体" w:cs="宋体" w:eastAsia="宋体" w:hint="default"/>
                <w:sz w:val="18"/>
                <w:szCs w:val="18"/>
              </w:rPr>
            </w:pPr>
            <w:r>
              <w:rPr>
                <w:rFonts w:ascii="宋体"/>
                <w:sz w:val="18"/>
              </w:rPr>
              <w:t>7.45%</w:t>
            </w:r>
          </w:p>
        </w:tc>
      </w:tr>
      <w:tr>
        <w:trPr>
          <w:trHeight w:val="40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
              <w:jc w:val="right"/>
              <w:rPr>
                <w:rFonts w:ascii="宋体" w:hAnsi="宋体" w:cs="宋体" w:eastAsia="宋体" w:hint="default"/>
                <w:sz w:val="18"/>
                <w:szCs w:val="18"/>
              </w:rPr>
            </w:pPr>
            <w:r>
              <w:rPr>
                <w:rFonts w:ascii="宋体"/>
                <w:sz w:val="18"/>
              </w:rPr>
              <w:t>3,304,736,071.67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7"/>
              <w:jc w:val="right"/>
              <w:rPr>
                <w:rFonts w:ascii="宋体" w:hAnsi="宋体" w:cs="宋体" w:eastAsia="宋体" w:hint="default"/>
                <w:sz w:val="18"/>
                <w:szCs w:val="18"/>
              </w:rPr>
            </w:pPr>
            <w:r>
              <w:rPr>
                <w:rFonts w:ascii="宋体"/>
                <w:sz w:val="18"/>
              </w:rPr>
              <w:t>75.24%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1,862,201,428.80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2"/>
              <w:jc w:val="right"/>
              <w:rPr>
                <w:rFonts w:ascii="宋体" w:hAnsi="宋体" w:cs="宋体" w:eastAsia="宋体" w:hint="default"/>
                <w:sz w:val="18"/>
                <w:szCs w:val="18"/>
              </w:rPr>
            </w:pPr>
            <w:r>
              <w:rPr>
                <w:rFonts w:ascii="宋体"/>
                <w:sz w:val="18"/>
              </w:rPr>
              <w:t>64.79%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1"/>
              <w:jc w:val="right"/>
              <w:rPr>
                <w:rFonts w:ascii="宋体" w:hAnsi="宋体" w:cs="宋体" w:eastAsia="宋体" w:hint="default"/>
                <w:sz w:val="18"/>
                <w:szCs w:val="18"/>
              </w:rPr>
            </w:pPr>
            <w:r>
              <w:rPr>
                <w:rFonts w:ascii="宋体"/>
                <w:sz w:val="18"/>
              </w:rPr>
              <w:t>77.46%</w:t>
            </w:r>
          </w:p>
        </w:tc>
      </w:tr>
    </w:tbl>
    <w:p>
      <w:pPr>
        <w:spacing w:line="360" w:lineRule="auto" w:before="51"/>
        <w:ind w:left="1144" w:right="3282" w:hanging="541"/>
        <w:jc w:val="left"/>
        <w:rPr>
          <w:rFonts w:ascii="宋体" w:hAnsi="宋体" w:cs="宋体" w:eastAsia="宋体" w:hint="default"/>
          <w:sz w:val="18"/>
          <w:szCs w:val="18"/>
        </w:rPr>
      </w:pPr>
      <w:r>
        <w:rPr>
          <w:rFonts w:ascii="宋体" w:hAnsi="宋体" w:cs="宋体" w:eastAsia="宋体" w:hint="default"/>
          <w:sz w:val="18"/>
          <w:szCs w:val="18"/>
        </w:rPr>
        <w:t>说明：上述分地区的营业收入构成中，国外营业收入指的是公司自营出口收入； 配件：包括公司销售的电机及水泵、园林机械、工业泵及清洗和植保机械零部件； 其他：包括变频供水系统及排污控制系统等产品及检测服务。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0"/>
        <w:ind w:left="153" w:right="0" w:firstLine="0"/>
        <w:jc w:val="left"/>
        <w:rPr>
          <w:rFonts w:ascii="宋体" w:hAnsi="宋体" w:cs="宋体" w:eastAsia="宋体" w:hint="default"/>
          <w:sz w:val="20"/>
          <w:szCs w:val="20"/>
        </w:rPr>
      </w:pPr>
      <w:bookmarkStart w:name="（2）占公司营业收入或营业利润10%以上的行业、产品或地区情况" w:id="30"/>
      <w:bookmarkEnd w:id="3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）占公司营业收入或营业利润</w:t>
      </w:r>
      <w:r>
        <w:rPr>
          <w:rFonts w:ascii="宋体" w:hAnsi="宋体" w:cs="宋体" w:eastAsia="宋体" w:hint="default"/>
          <w:b/>
          <w:bCs/>
          <w:spacing w:val="-54"/>
          <w:sz w:val="20"/>
          <w:szCs w:val="20"/>
        </w:rPr>
        <w:t> </w:t>
      </w: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以上的行业、产品或地区情况</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614"/>
        <w:gridCol w:w="1592"/>
        <w:gridCol w:w="1529"/>
        <w:gridCol w:w="768"/>
        <w:gridCol w:w="1414"/>
        <w:gridCol w:w="1368"/>
        <w:gridCol w:w="1583"/>
      </w:tblGrid>
      <w:tr>
        <w:trPr>
          <w:trHeight w:val="714"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9" w:right="63"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4" w:right="33"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9" w:right="62" w:hanging="540"/>
              <w:jc w:val="left"/>
              <w:rPr>
                <w:rFonts w:ascii="宋体" w:hAnsi="宋体" w:cs="宋体" w:eastAsia="宋体" w:hint="default"/>
                <w:sz w:val="18"/>
                <w:szCs w:val="18"/>
              </w:rPr>
            </w:pPr>
            <w:r>
              <w:rPr>
                <w:rFonts w:ascii="宋体" w:hAnsi="宋体" w:cs="宋体" w:eastAsia="宋体" w:hint="default"/>
                <w:sz w:val="18"/>
                <w:szCs w:val="18"/>
              </w:rPr>
              <w:t>毛利率比上年同期 增减</w:t>
            </w:r>
          </w:p>
        </w:tc>
      </w:tr>
      <w:tr>
        <w:trPr>
          <w:trHeight w:val="402" w:hRule="exact"/>
        </w:trPr>
        <w:tc>
          <w:tcPr>
            <w:tcW w:w="98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2,001,825,305.81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1,434,438,084.13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28.34%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宋体" w:hAnsi="宋体" w:cs="宋体" w:eastAsia="宋体" w:hint="default"/>
                <w:sz w:val="18"/>
                <w:szCs w:val="18"/>
              </w:rPr>
            </w:pPr>
            <w:r>
              <w:rPr>
                <w:rFonts w:ascii="宋体"/>
                <w:sz w:val="18"/>
              </w:rPr>
              <w:t>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right"/>
              <w:rPr>
                <w:rFonts w:ascii="宋体" w:hAnsi="宋体" w:cs="宋体" w:eastAsia="宋体" w:hint="default"/>
                <w:sz w:val="18"/>
                <w:szCs w:val="18"/>
              </w:rPr>
            </w:pPr>
            <w:r>
              <w:rPr>
                <w:rFonts w:ascii="宋体"/>
                <w:sz w:val="18"/>
              </w:rPr>
              <w:t>4.13%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9"/>
                <w:sz w:val="18"/>
                <w:szCs w:val="18"/>
              </w:rPr>
              <w:t> </w:t>
            </w:r>
            <w:r>
              <w:rPr>
                <w:rFonts w:ascii="宋体" w:hAnsi="宋体" w:cs="宋体" w:eastAsia="宋体" w:hint="default"/>
                <w:sz w:val="18"/>
                <w:szCs w:val="18"/>
              </w:rPr>
              <w:t>2.41</w:t>
            </w:r>
            <w:r>
              <w:rPr>
                <w:rFonts w:ascii="宋体" w:hAnsi="宋体" w:cs="宋体" w:eastAsia="宋体" w:hint="default"/>
                <w:spacing w:val="-59"/>
                <w:sz w:val="18"/>
                <w:szCs w:val="18"/>
              </w:rPr>
              <w:t> </w:t>
            </w:r>
            <w:r>
              <w:rPr>
                <w:rFonts w:ascii="宋体" w:hAnsi="宋体" w:cs="宋体" w:eastAsia="宋体" w:hint="default"/>
                <w:sz w:val="18"/>
                <w:szCs w:val="18"/>
              </w:rPr>
              <w:t>个百分点</w:t>
            </w: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互联网业</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2,360,817,823.60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1,923,247,769.03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宋体" w:hAnsi="宋体" w:cs="宋体" w:eastAsia="宋体" w:hint="default"/>
                <w:sz w:val="18"/>
                <w:szCs w:val="18"/>
              </w:rPr>
            </w:pPr>
            <w:r>
              <w:rPr>
                <w:rFonts w:ascii="宋体"/>
                <w:sz w:val="18"/>
              </w:rPr>
              <w:t>141.38%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right"/>
              <w:rPr>
                <w:rFonts w:ascii="宋体" w:hAnsi="宋体" w:cs="宋体" w:eastAsia="宋体" w:hint="default"/>
                <w:sz w:val="18"/>
                <w:szCs w:val="18"/>
              </w:rPr>
            </w:pPr>
            <w:r>
              <w:rPr>
                <w:rFonts w:ascii="宋体"/>
                <w:sz w:val="18"/>
              </w:rPr>
              <w:t>137.94%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9"/>
                <w:sz w:val="18"/>
                <w:szCs w:val="18"/>
              </w:rPr>
              <w:t> </w:t>
            </w:r>
            <w:r>
              <w:rPr>
                <w:rFonts w:ascii="宋体" w:hAnsi="宋体" w:cs="宋体" w:eastAsia="宋体" w:hint="default"/>
                <w:sz w:val="18"/>
                <w:szCs w:val="18"/>
              </w:rPr>
              <w:t>1.18</w:t>
            </w:r>
            <w:r>
              <w:rPr>
                <w:rFonts w:ascii="宋体" w:hAnsi="宋体" w:cs="宋体" w:eastAsia="宋体" w:hint="default"/>
                <w:spacing w:val="-59"/>
                <w:sz w:val="18"/>
                <w:szCs w:val="18"/>
              </w:rPr>
              <w:t> </w:t>
            </w:r>
            <w:r>
              <w:rPr>
                <w:rFonts w:ascii="宋体" w:hAnsi="宋体" w:cs="宋体" w:eastAsia="宋体" w:hint="default"/>
                <w:sz w:val="18"/>
                <w:szCs w:val="18"/>
              </w:rPr>
              <w:t>个百分点</w:t>
            </w:r>
          </w:p>
        </w:tc>
      </w:tr>
      <w:tr>
        <w:trPr>
          <w:trHeight w:val="401" w:hRule="exact"/>
        </w:trPr>
        <w:tc>
          <w:tcPr>
            <w:tcW w:w="98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民用泵</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微型小型水 </w:t>
            </w:r>
            <w:r>
              <w:rPr>
                <w:rFonts w:ascii="宋体" w:hAnsi="宋体" w:cs="宋体" w:eastAsia="宋体" w:hint="default"/>
                <w:sz w:val="18"/>
                <w:szCs w:val="18"/>
              </w:rPr>
              <w:t>泵</w:t>
            </w:r>
            <w:r>
              <w:rPr>
                <w:rFonts w:ascii="Times New Roman" w:hAnsi="Times New Roman" w:cs="Times New Roman" w:eastAsia="Times New Roman" w:hint="default"/>
                <w:sz w:val="18"/>
                <w:szCs w:val="18"/>
              </w:rPr>
              <w:t>)</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1,092,539,568.18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767,975,660.84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29.71%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sz w:val="18"/>
              </w:rPr>
              <w:t>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z w:val="18"/>
              </w:rPr>
              <w:t>2.52%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2.31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right"/>
              <w:rPr>
                <w:rFonts w:ascii="宋体" w:hAnsi="宋体" w:cs="宋体" w:eastAsia="宋体" w:hint="default"/>
                <w:sz w:val="18"/>
                <w:szCs w:val="18"/>
              </w:rPr>
            </w:pPr>
            <w:r>
              <w:rPr>
                <w:rFonts w:ascii="宋体"/>
                <w:sz w:val="18"/>
              </w:rPr>
              <w:t>404,597,461.16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297,652,205.95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26.43%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right"/>
              <w:rPr>
                <w:rFonts w:ascii="宋体" w:hAnsi="宋体" w:cs="宋体" w:eastAsia="宋体" w:hint="default"/>
                <w:sz w:val="18"/>
                <w:szCs w:val="18"/>
              </w:rPr>
            </w:pPr>
            <w:r>
              <w:rPr>
                <w:rFonts w:ascii="宋体"/>
                <w:sz w:val="18"/>
              </w:rPr>
              <w:t>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-3.11%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4.68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right"/>
              <w:rPr>
                <w:rFonts w:ascii="宋体" w:hAnsi="宋体" w:cs="宋体" w:eastAsia="宋体" w:hint="default"/>
                <w:sz w:val="18"/>
                <w:szCs w:val="18"/>
              </w:rPr>
            </w:pPr>
            <w:r>
              <w:rPr>
                <w:rFonts w:ascii="宋体"/>
                <w:sz w:val="18"/>
              </w:rPr>
              <w:t>145,088,925.24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122,908,155.09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right"/>
              <w:rPr>
                <w:rFonts w:ascii="宋体" w:hAnsi="宋体" w:cs="宋体" w:eastAsia="宋体" w:hint="default"/>
                <w:sz w:val="18"/>
                <w:szCs w:val="18"/>
              </w:rPr>
            </w:pPr>
            <w:r>
              <w:rPr>
                <w:rFonts w:ascii="宋体"/>
                <w:sz w:val="18"/>
              </w:rPr>
              <w:t>37.99%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40.24%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1.36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right"/>
              <w:rPr>
                <w:rFonts w:ascii="宋体" w:hAnsi="宋体" w:cs="宋体" w:eastAsia="宋体" w:hint="default"/>
                <w:sz w:val="18"/>
                <w:szCs w:val="18"/>
              </w:rPr>
            </w:pPr>
            <w:r>
              <w:rPr>
                <w:rFonts w:ascii="宋体"/>
                <w:sz w:val="18"/>
              </w:rPr>
              <w:t>114,519,027.01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77,943,917.83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31.94%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right"/>
              <w:rPr>
                <w:rFonts w:ascii="宋体" w:hAnsi="宋体" w:cs="宋体" w:eastAsia="宋体" w:hint="default"/>
                <w:sz w:val="18"/>
                <w:szCs w:val="18"/>
              </w:rPr>
            </w:pPr>
            <w:r>
              <w:rPr>
                <w:rFonts w:ascii="宋体"/>
                <w:sz w:val="18"/>
              </w:rPr>
              <w:t>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-3.14%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4.21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right"/>
              <w:rPr>
                <w:rFonts w:ascii="宋体" w:hAnsi="宋体" w:cs="宋体" w:eastAsia="宋体" w:hint="default"/>
                <w:sz w:val="18"/>
                <w:szCs w:val="18"/>
              </w:rPr>
            </w:pPr>
            <w:r>
              <w:rPr>
                <w:rFonts w:ascii="宋体"/>
                <w:sz w:val="18"/>
              </w:rPr>
              <w:t>1,917,577,437.95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1,670,718,874.21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12.87%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right"/>
              <w:rPr>
                <w:rFonts w:ascii="宋体" w:hAnsi="宋体" w:cs="宋体" w:eastAsia="宋体" w:hint="default"/>
                <w:sz w:val="18"/>
                <w:szCs w:val="18"/>
              </w:rPr>
            </w:pPr>
            <w:r>
              <w:rPr>
                <w:rFonts w:ascii="宋体"/>
                <w:sz w:val="18"/>
              </w:rPr>
              <w:t>102.05%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110.53%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3.51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right"/>
              <w:rPr>
                <w:rFonts w:ascii="宋体" w:hAnsi="宋体" w:cs="宋体" w:eastAsia="宋体" w:hint="default"/>
                <w:sz w:val="18"/>
                <w:szCs w:val="18"/>
              </w:rPr>
            </w:pPr>
            <w:r>
              <w:rPr>
                <w:rFonts w:ascii="宋体"/>
                <w:sz w:val="18"/>
              </w:rPr>
              <w:t>287,070,682.31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132,417,107.91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53.87%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right"/>
              <w:rPr>
                <w:rFonts w:ascii="宋体" w:hAnsi="宋体" w:cs="宋体" w:eastAsia="宋体" w:hint="default"/>
                <w:sz w:val="18"/>
                <w:szCs w:val="18"/>
              </w:rPr>
            </w:pPr>
            <w:r>
              <w:rPr>
                <w:rFonts w:ascii="宋体"/>
                <w:sz w:val="18"/>
              </w:rPr>
              <w:t>891.20%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799.49%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4.70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端流量整合业务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right"/>
              <w:rPr>
                <w:rFonts w:ascii="宋体" w:hAnsi="宋体" w:cs="宋体" w:eastAsia="宋体" w:hint="default"/>
                <w:sz w:val="18"/>
                <w:szCs w:val="18"/>
              </w:rPr>
            </w:pPr>
            <w:r>
              <w:rPr>
                <w:rFonts w:ascii="宋体"/>
                <w:sz w:val="18"/>
              </w:rPr>
              <w:t>45,504,262.28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34,605,521.24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23.95%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right"/>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w:t>
            </w:r>
          </w:p>
        </w:tc>
      </w:tr>
      <w:tr>
        <w:trPr>
          <w:trHeight w:val="714"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left"/>
              <w:rPr>
                <w:rFonts w:ascii="宋体" w:hAnsi="宋体" w:cs="宋体" w:eastAsia="宋体" w:hint="default"/>
                <w:sz w:val="18"/>
                <w:szCs w:val="18"/>
              </w:rPr>
            </w:pPr>
            <w:r>
              <w:rPr>
                <w:rFonts w:ascii="宋体" w:hAnsi="宋体" w:cs="宋体" w:eastAsia="宋体" w:hint="default"/>
                <w:spacing w:val="14"/>
                <w:sz w:val="18"/>
                <w:szCs w:val="18"/>
              </w:rPr>
              <w:t>移动端流量整合业</w:t>
            </w:r>
            <w:r>
              <w:rPr>
                <w:rFonts w:ascii="宋体" w:hAnsi="宋体" w:cs="宋体" w:eastAsia="宋体" w:hint="default"/>
                <w:spacing w:val="-74"/>
                <w:sz w:val="18"/>
                <w:szCs w:val="18"/>
              </w:rPr>
              <w:t> </w:t>
            </w:r>
            <w:r>
              <w:rPr>
                <w:rFonts w:ascii="宋体" w:hAnsi="宋体" w:cs="宋体" w:eastAsia="宋体" w:hint="default"/>
                <w:sz w:val="18"/>
                <w:szCs w:val="18"/>
              </w:rPr>
              <w:t>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z w:val="18"/>
              </w:rPr>
              <w:t>59,363,471.41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38,855,763.44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z w:val="18"/>
              </w:rPr>
              <w: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精准营销业务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right"/>
              <w:rPr>
                <w:rFonts w:ascii="宋体" w:hAnsi="宋体" w:cs="宋体" w:eastAsia="宋体" w:hint="default"/>
                <w:sz w:val="18"/>
                <w:szCs w:val="18"/>
              </w:rPr>
            </w:pPr>
            <w:r>
              <w:rPr>
                <w:rFonts w:ascii="宋体"/>
                <w:sz w:val="18"/>
              </w:rPr>
              <w:t>51,301,969.65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46,650,502.23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right"/>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z w:val="18"/>
              </w:rPr>
              <w:t>--</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right"/>
              <w:rPr>
                <w:rFonts w:ascii="宋体" w:hAnsi="宋体" w:cs="宋体" w:eastAsia="宋体" w:hint="default"/>
                <w:sz w:val="18"/>
                <w:szCs w:val="18"/>
              </w:rPr>
            </w:pPr>
            <w:r>
              <w:rPr>
                <w:rFonts w:ascii="宋体"/>
                <w:sz w:val="18"/>
              </w:rPr>
              <w:t>242,391,854.35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166,204,221.59</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31.43%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8"/>
              <w:jc w:val="right"/>
              <w:rPr>
                <w:rFonts w:ascii="宋体" w:hAnsi="宋体" w:cs="宋体" w:eastAsia="宋体" w:hint="default"/>
                <w:sz w:val="18"/>
                <w:szCs w:val="18"/>
              </w:rPr>
            </w:pPr>
            <w:r>
              <w:rPr>
                <w:rFonts w:ascii="宋体"/>
                <w:sz w:val="18"/>
              </w:rPr>
              <w:t>13.07%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7"/>
              <w:jc w:val="right"/>
              <w:rPr>
                <w:rFonts w:ascii="宋体" w:hAnsi="宋体" w:cs="宋体" w:eastAsia="宋体" w:hint="default"/>
                <w:sz w:val="18"/>
                <w:szCs w:val="18"/>
              </w:rPr>
            </w:pPr>
            <w:r>
              <w:rPr>
                <w:rFonts w:ascii="宋体"/>
                <w:sz w:val="18"/>
              </w:rPr>
              <w:t>11.35%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1.06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
              <w:jc w:val="right"/>
              <w:rPr>
                <w:rFonts w:ascii="宋体" w:hAnsi="宋体" w:cs="宋体" w:eastAsia="宋体" w:hint="default"/>
                <w:sz w:val="18"/>
                <w:szCs w:val="18"/>
              </w:rPr>
            </w:pPr>
            <w:r>
              <w:rPr>
                <w:rFonts w:ascii="宋体"/>
                <w:sz w:val="18"/>
              </w:rPr>
              <w:t>2,688,469.86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1,753,922.83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34.76%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right"/>
              <w:rPr>
                <w:rFonts w:ascii="宋体" w:hAnsi="宋体" w:cs="宋体" w:eastAsia="宋体" w:hint="default"/>
                <w:sz w:val="18"/>
                <w:szCs w:val="18"/>
              </w:rPr>
            </w:pPr>
            <w:r>
              <w:rPr>
                <w:rFonts w:ascii="宋体"/>
                <w:sz w:val="18"/>
              </w:rPr>
              <w:t>-42.16%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-54.53%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69"/>
                <w:sz w:val="18"/>
                <w:szCs w:val="18"/>
              </w:rPr>
              <w:t> </w:t>
            </w:r>
            <w:r>
              <w:rPr>
                <w:rFonts w:ascii="宋体" w:hAnsi="宋体" w:cs="宋体" w:eastAsia="宋体" w:hint="default"/>
                <w:sz w:val="18"/>
                <w:szCs w:val="18"/>
              </w:rPr>
              <w:t>17.76</w:t>
            </w:r>
            <w:r>
              <w:rPr>
                <w:rFonts w:ascii="宋体" w:hAnsi="宋体" w:cs="宋体" w:eastAsia="宋体" w:hint="default"/>
                <w:spacing w:val="-69"/>
                <w:sz w:val="18"/>
                <w:szCs w:val="18"/>
              </w:rPr>
              <w:t> </w:t>
            </w:r>
            <w:r>
              <w:rPr>
                <w:rFonts w:ascii="宋体" w:hAnsi="宋体" w:cs="宋体" w:eastAsia="宋体" w:hint="default"/>
                <w:sz w:val="18"/>
                <w:szCs w:val="18"/>
              </w:rPr>
              <w:t>个百分点</w:t>
            </w:r>
          </w:p>
        </w:tc>
      </w:tr>
      <w:tr>
        <w:trPr>
          <w:trHeight w:val="401" w:hRule="exact"/>
        </w:trPr>
        <w:tc>
          <w:tcPr>
            <w:tcW w:w="98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1,087,491,586.61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773,905,413.15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28.84%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宋体" w:hAnsi="宋体" w:cs="宋体" w:eastAsia="宋体" w:hint="default"/>
                <w:sz w:val="18"/>
                <w:szCs w:val="18"/>
              </w:rPr>
            </w:pPr>
            <w:r>
              <w:rPr>
                <w:rFonts w:ascii="宋体"/>
                <w:sz w:val="18"/>
              </w:rPr>
              <w:t>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right"/>
              <w:rPr>
                <w:rFonts w:ascii="宋体" w:hAnsi="宋体" w:cs="宋体" w:eastAsia="宋体" w:hint="default"/>
                <w:sz w:val="18"/>
                <w:szCs w:val="18"/>
              </w:rPr>
            </w:pPr>
            <w:r>
              <w:rPr>
                <w:rFonts w:ascii="宋体"/>
                <w:sz w:val="18"/>
              </w:rPr>
              <w:t>3.07%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9"/>
                <w:sz w:val="18"/>
                <w:szCs w:val="18"/>
              </w:rPr>
              <w:t> </w:t>
            </w:r>
            <w:r>
              <w:rPr>
                <w:rFonts w:ascii="宋体" w:hAnsi="宋体" w:cs="宋体" w:eastAsia="宋体" w:hint="default"/>
                <w:sz w:val="18"/>
                <w:szCs w:val="18"/>
              </w:rPr>
              <w:t>3.03</w:t>
            </w:r>
            <w:r>
              <w:rPr>
                <w:rFonts w:ascii="宋体" w:hAnsi="宋体" w:cs="宋体" w:eastAsia="宋体" w:hint="default"/>
                <w:spacing w:val="-59"/>
                <w:sz w:val="18"/>
                <w:szCs w:val="18"/>
              </w:rPr>
              <w:t> </w:t>
            </w:r>
            <w:r>
              <w:rPr>
                <w:rFonts w:ascii="宋体" w:hAnsi="宋体" w:cs="宋体" w:eastAsia="宋体" w:hint="default"/>
                <w:sz w:val="18"/>
                <w:szCs w:val="18"/>
              </w:rPr>
              <w:t>个百分点</w:t>
            </w: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t>3,275,151,542.80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2,583,780,440.01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21.11%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right"/>
              <w:rPr>
                <w:rFonts w:ascii="宋体" w:hAnsi="宋体" w:cs="宋体" w:eastAsia="宋体" w:hint="default"/>
                <w:sz w:val="18"/>
                <w:szCs w:val="18"/>
              </w:rPr>
            </w:pPr>
            <w:r>
              <w:rPr>
                <w:rFonts w:ascii="宋体"/>
                <w:sz w:val="18"/>
              </w:rPr>
              <w:t>79.37%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right"/>
              <w:rPr>
                <w:rFonts w:ascii="宋体" w:hAnsi="宋体" w:cs="宋体" w:eastAsia="宋体" w:hint="default"/>
                <w:sz w:val="18"/>
                <w:szCs w:val="18"/>
              </w:rPr>
            </w:pPr>
            <w:r>
              <w:rPr>
                <w:rFonts w:ascii="宋体"/>
                <w:sz w:val="18"/>
              </w:rPr>
              <w:t>80.06%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9"/>
                <w:sz w:val="18"/>
                <w:szCs w:val="18"/>
              </w:rPr>
              <w:t> </w:t>
            </w:r>
            <w:r>
              <w:rPr>
                <w:rFonts w:ascii="宋体" w:hAnsi="宋体" w:cs="宋体" w:eastAsia="宋体" w:hint="default"/>
                <w:sz w:val="18"/>
                <w:szCs w:val="18"/>
              </w:rPr>
              <w:t>0.30</w:t>
            </w:r>
            <w:r>
              <w:rPr>
                <w:rFonts w:ascii="宋体" w:hAnsi="宋体" w:cs="宋体" w:eastAsia="宋体" w:hint="default"/>
                <w:spacing w:val="-59"/>
                <w:sz w:val="18"/>
                <w:szCs w:val="18"/>
              </w:rPr>
              <w:t> </w:t>
            </w:r>
            <w:r>
              <w:rPr>
                <w:rFonts w:ascii="宋体" w:hAnsi="宋体" w:cs="宋体" w:eastAsia="宋体" w:hint="default"/>
                <w:sz w:val="18"/>
                <w:szCs w:val="18"/>
              </w:rPr>
              <w:t>个百分点</w:t>
            </w:r>
          </w:p>
        </w:tc>
      </w:tr>
    </w:tbl>
    <w:p>
      <w:pPr>
        <w:spacing w:before="51"/>
        <w:ind w:left="234" w:right="1029"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233" w:right="10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233" w:right="1029" w:firstLine="0"/>
        <w:jc w:val="left"/>
        <w:rPr>
          <w:rFonts w:ascii="宋体" w:hAnsi="宋体" w:cs="宋体" w:eastAsia="宋体" w:hint="default"/>
          <w:sz w:val="20"/>
          <w:szCs w:val="20"/>
        </w:rPr>
      </w:pPr>
      <w:bookmarkStart w:name="（3）公司实物销售收入是否大于劳务收入" w:id="31"/>
      <w:bookmarkEnd w:id="3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）公司实物销售收入是否大于劳务收入</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233" w:right="10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6"/>
          <w:szCs w:val="26"/>
        </w:rPr>
      </w:pPr>
    </w:p>
    <w:p>
      <w:pPr>
        <w:spacing w:before="0"/>
        <w:ind w:left="233" w:right="1029" w:firstLine="0"/>
        <w:jc w:val="left"/>
        <w:rPr>
          <w:rFonts w:ascii="宋体" w:hAnsi="宋体" w:cs="宋体" w:eastAsia="宋体" w:hint="default"/>
          <w:sz w:val="20"/>
          <w:szCs w:val="20"/>
        </w:rPr>
      </w:pPr>
      <w:bookmarkStart w:name="（4）公司已签订的重大销售合同截至本报告期的履行情况" w:id="32"/>
      <w:bookmarkEnd w:id="3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）公司已签订的重大销售合同截至本报告期的履行情况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233" w:right="10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6"/>
          <w:szCs w:val="26"/>
        </w:rPr>
      </w:pPr>
    </w:p>
    <w:p>
      <w:pPr>
        <w:spacing w:before="0"/>
        <w:ind w:left="233" w:right="1029" w:firstLine="0"/>
        <w:jc w:val="left"/>
        <w:rPr>
          <w:rFonts w:ascii="宋体" w:hAnsi="宋体" w:cs="宋体" w:eastAsia="宋体" w:hint="default"/>
          <w:sz w:val="20"/>
          <w:szCs w:val="20"/>
        </w:rPr>
      </w:pPr>
      <w:bookmarkStart w:name="（5）营业成本构成" w:id="33"/>
      <w:bookmarkEnd w:id="3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）营业成本构成</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233" w:right="1029"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616"/>
        <w:gridCol w:w="1368"/>
        <w:gridCol w:w="1518"/>
        <w:gridCol w:w="1368"/>
        <w:gridCol w:w="1367"/>
        <w:gridCol w:w="1367"/>
        <w:gridCol w:w="1367"/>
      </w:tblGrid>
      <w:tr>
        <w:trPr>
          <w:trHeight w:val="402" w:hRule="exact"/>
        </w:trPr>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1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民用泵</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微型小型水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泵</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767,975,660.84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sz w:val="18"/>
              </w:rPr>
              <w:t>749,103,723.62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2.52%</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297,652,205.95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sz w:val="18"/>
              </w:rPr>
              <w:t>307,207,847.10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122,908,155.09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right"/>
              <w:rPr>
                <w:rFonts w:ascii="宋体" w:hAnsi="宋体" w:cs="宋体" w:eastAsia="宋体" w:hint="default"/>
                <w:sz w:val="18"/>
                <w:szCs w:val="18"/>
              </w:rPr>
            </w:pPr>
            <w:r>
              <w:rPr>
                <w:rFonts w:ascii="宋体"/>
                <w:sz w:val="18"/>
              </w:rPr>
              <w:t>87,639,338.84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40.24%</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77,943,917.83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right"/>
              <w:rPr>
                <w:rFonts w:ascii="宋体" w:hAnsi="宋体" w:cs="宋体" w:eastAsia="宋体" w:hint="default"/>
                <w:sz w:val="18"/>
                <w:szCs w:val="18"/>
              </w:rPr>
            </w:pPr>
            <w:r>
              <w:rPr>
                <w:rFonts w:ascii="宋体"/>
                <w:sz w:val="18"/>
              </w:rPr>
              <w:t>80,472,488.43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1,670,718,874.21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sz w:val="18"/>
              </w:rPr>
              <w:t>793,569,136.27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110.53%</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132,417,107.91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right"/>
              <w:rPr>
                <w:rFonts w:ascii="宋体" w:hAnsi="宋体" w:cs="宋体" w:eastAsia="宋体" w:hint="default"/>
                <w:sz w:val="18"/>
                <w:szCs w:val="18"/>
              </w:rPr>
            </w:pPr>
            <w:r>
              <w:rPr>
                <w:rFonts w:ascii="宋体"/>
                <w:sz w:val="18"/>
              </w:rPr>
              <w:t>14,721,421.91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799.49%</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端流量整合业务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34,605,521.24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71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4"/>
                <w:sz w:val="18"/>
                <w:szCs w:val="18"/>
              </w:rPr>
              <w:t>移动端流量整合业</w:t>
            </w:r>
            <w:r>
              <w:rPr>
                <w:rFonts w:ascii="宋体" w:hAnsi="宋体" w:cs="宋体" w:eastAsia="宋体" w:hint="default"/>
                <w:sz w:val="18"/>
                <w:szCs w:val="18"/>
              </w:rPr>
              <w:t>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38,855,763.44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8"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精准营销业务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46,650,502.23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166,204,221.59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sz w:val="18"/>
              </w:rPr>
              <w:t>149,260,608.46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11.35%</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1,753,922.83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7"/>
              <w:jc w:val="right"/>
              <w:rPr>
                <w:rFonts w:ascii="宋体" w:hAnsi="宋体" w:cs="宋体" w:eastAsia="宋体" w:hint="default"/>
                <w:sz w:val="18"/>
                <w:szCs w:val="18"/>
              </w:rPr>
            </w:pPr>
            <w:r>
              <w:rPr>
                <w:rFonts w:ascii="宋体"/>
                <w:sz w:val="18"/>
              </w:rPr>
              <w:t>3,857,734.06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-54.53%</w:t>
            </w:r>
          </w:p>
        </w:tc>
      </w:tr>
    </w:tbl>
    <w:p>
      <w:pPr>
        <w:spacing w:line="240" w:lineRule="auto" w:before="8"/>
        <w:rPr>
          <w:rFonts w:ascii="宋体" w:hAnsi="宋体" w:cs="宋体" w:eastAsia="宋体" w:hint="default"/>
          <w:sz w:val="19"/>
          <w:szCs w:val="19"/>
        </w:rPr>
      </w:pPr>
    </w:p>
    <w:p>
      <w:pPr>
        <w:spacing w:before="38"/>
        <w:ind w:left="274" w:right="1198" w:firstLine="0"/>
        <w:jc w:val="left"/>
        <w:rPr>
          <w:rFonts w:ascii="宋体" w:hAnsi="宋体" w:cs="宋体" w:eastAsia="宋体" w:hint="default"/>
          <w:sz w:val="20"/>
          <w:szCs w:val="20"/>
        </w:rPr>
      </w:pPr>
      <w:bookmarkStart w:name="（6）报告期内合并范围是否发生变动" w:id="34"/>
      <w:bookmarkEnd w:id="3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）报告期内合并范围是否发生变动</w:t>
      </w:r>
      <w:r>
        <w:rPr>
          <w:rFonts w:ascii="宋体" w:hAnsi="宋体" w:cs="宋体" w:eastAsia="宋体" w:hint="default"/>
          <w:sz w:val="20"/>
          <w:szCs w:val="20"/>
        </w:rPr>
      </w:r>
    </w:p>
    <w:p>
      <w:pPr>
        <w:spacing w:line="240" w:lineRule="auto" w:before="13"/>
        <w:rPr>
          <w:rFonts w:ascii="宋体" w:hAnsi="宋体" w:cs="宋体" w:eastAsia="宋体" w:hint="default"/>
          <w:b/>
          <w:bCs/>
          <w:sz w:val="26"/>
          <w:szCs w:val="26"/>
        </w:rPr>
      </w:pPr>
    </w:p>
    <w:p>
      <w:pPr>
        <w:spacing w:before="0"/>
        <w:ind w:left="273" w:right="11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408" w:lineRule="auto" w:before="155"/>
        <w:ind w:left="693" w:right="1198"/>
        <w:jc w:val="left"/>
      </w:pPr>
      <w:r>
        <w:rPr/>
        <w:t>合并范围增加： </w:t>
      </w:r>
      <w:r>
        <w:rPr>
          <w:rFonts w:ascii="宋体" w:hAnsi="宋体" w:cs="宋体" w:eastAsia="宋体" w:hint="default"/>
        </w:rPr>
        <w:t>1</w:t>
      </w:r>
      <w:r>
        <w:rPr/>
        <w:t>）本报告期，公司完成收购万圣伟业、微创时代。故自购买日起，上述公司及其控股子公司纳入合</w:t>
      </w:r>
    </w:p>
    <w:p>
      <w:pPr>
        <w:pStyle w:val="BodyText"/>
        <w:spacing w:line="408" w:lineRule="auto" w:before="46"/>
        <w:ind w:left="693" w:right="1198" w:hanging="420"/>
        <w:jc w:val="left"/>
      </w:pPr>
      <w:r>
        <w:rPr/>
        <w:t>并财务报表范围。 </w:t>
      </w:r>
      <w:r>
        <w:rPr>
          <w:rFonts w:ascii="宋体" w:hAnsi="宋体" w:cs="宋体" w:eastAsia="宋体" w:hint="default"/>
        </w:rPr>
        <w:t>2</w:t>
      </w:r>
      <w:r>
        <w:rPr/>
        <w:t>）本报告期，公司出资设立了利欧集团数字科技上海有限公司、上海利柯网络科技有限公司、利欧</w:t>
      </w:r>
    </w:p>
    <w:p>
      <w:pPr>
        <w:pStyle w:val="BodyText"/>
        <w:spacing w:line="408" w:lineRule="auto" w:before="46"/>
        <w:ind w:left="273" w:right="1024"/>
        <w:jc w:val="left"/>
      </w:pPr>
      <w:r>
        <w:rPr/>
        <w:t>集团浙江泵业有限公司。公司控股子公司浙江利欧环境科技有限公司出资设立了成都利欧环境科技有限公 司、陕西利欧环境科技有限公司、深圳利欧环境科技有限公司、天津利欧艾瑞环境科技有限公司、安徽利 欧环境科技有限公司、北京利欧永大环境科技有限公司等公司，公司全资子公司湖南利欧天鹅工业泵有限 </w:t>
      </w:r>
      <w:r>
        <w:rPr>
          <w:spacing w:val="-3"/>
        </w:rPr>
        <w:t>公司出资设立了湖南同安贸易有限公司、湖南晟廷科技有限公司，并均在报告期内完成工商设立登记手续。</w:t>
      </w:r>
      <w:r>
        <w:rPr>
          <w:spacing w:val="-91"/>
        </w:rPr>
        <w:t> </w:t>
      </w:r>
      <w:r>
        <w:rPr>
          <w:spacing w:val="-91"/>
        </w:rPr>
      </w:r>
      <w:r>
        <w:rPr/>
        <w:t>故上述公司自成立之日起，纳入合并财务报表范围。</w:t>
      </w:r>
    </w:p>
    <w:p>
      <w:pPr>
        <w:pStyle w:val="BodyText"/>
        <w:spacing w:line="408" w:lineRule="auto" w:before="46"/>
        <w:ind w:left="693" w:right="1199"/>
        <w:jc w:val="left"/>
        <w:rPr>
          <w:rFonts w:ascii="宋体" w:hAnsi="宋体" w:cs="宋体" w:eastAsia="宋体" w:hint="default"/>
        </w:rPr>
      </w:pPr>
      <w:r>
        <w:rPr/>
        <w:t>合并范围减少： 本报告期，上海利泵流体科技发展有限公司、温岭利欧园林机械有限公司、</w:t>
      </w:r>
      <w:r>
        <w:rPr>
          <w:rFonts w:ascii="宋体" w:hAnsi="宋体" w:cs="宋体" w:eastAsia="宋体" w:hint="default"/>
        </w:rPr>
        <w:t>CrystalWater</w:t>
      </w:r>
      <w:r>
        <w:rPr>
          <w:rFonts w:ascii="宋体" w:hAnsi="宋体" w:cs="宋体" w:eastAsia="宋体" w:hint="default"/>
          <w:spacing w:val="-1"/>
        </w:rPr>
        <w:t> </w:t>
      </w:r>
      <w:r>
        <w:rPr>
          <w:rFonts w:ascii="宋体" w:hAnsi="宋体" w:cs="宋体" w:eastAsia="宋体" w:hint="default"/>
        </w:rPr>
        <w:t>Products</w:t>
      </w:r>
    </w:p>
    <w:p>
      <w:pPr>
        <w:pStyle w:val="BodyText"/>
        <w:spacing w:line="408" w:lineRule="auto" w:before="46"/>
        <w:ind w:left="694" w:right="1125" w:hanging="420"/>
        <w:jc w:val="left"/>
      </w:pPr>
      <w:r>
        <w:rPr>
          <w:rFonts w:ascii="宋体" w:hAnsi="宋体" w:cs="宋体" w:eastAsia="宋体" w:hint="default"/>
        </w:rPr>
        <w:t>Inc.</w:t>
      </w:r>
      <w:r>
        <w:rPr/>
        <w:t>、</w:t>
      </w:r>
      <w:r>
        <w:rPr>
          <w:rFonts w:ascii="宋体" w:hAnsi="宋体" w:cs="宋体" w:eastAsia="宋体" w:hint="default"/>
        </w:rPr>
        <w:t>LEO ITALIA</w:t>
      </w:r>
      <w:r>
        <w:rPr>
          <w:rFonts w:ascii="宋体" w:hAnsi="宋体" w:cs="宋体" w:eastAsia="宋体" w:hint="default"/>
          <w:spacing w:val="-1"/>
        </w:rPr>
        <w:t> </w:t>
      </w:r>
      <w:r>
        <w:rPr>
          <w:rFonts w:ascii="宋体" w:hAnsi="宋体" w:cs="宋体" w:eastAsia="宋体" w:hint="default"/>
        </w:rPr>
        <w:t>S.R.L</w:t>
      </w:r>
      <w:r>
        <w:rPr/>
        <w:t>完成清算注销。 </w:t>
      </w:r>
      <w:r>
        <w:rPr>
          <w:spacing w:val="-3"/>
        </w:rPr>
        <w:t>本报告期，利普诺持之水泵系统</w:t>
      </w:r>
      <w:r>
        <w:rPr>
          <w:rFonts w:ascii="宋体" w:hAnsi="宋体" w:cs="宋体" w:eastAsia="宋体" w:hint="default"/>
          <w:spacing w:val="-3"/>
        </w:rPr>
        <w:t>(</w:t>
      </w:r>
      <w:r>
        <w:rPr>
          <w:spacing w:val="-3"/>
        </w:rPr>
        <w:t>上海</w:t>
      </w:r>
      <w:r>
        <w:rPr>
          <w:rFonts w:ascii="宋体" w:hAnsi="宋体" w:cs="宋体" w:eastAsia="宋体" w:hint="default"/>
          <w:spacing w:val="-3"/>
        </w:rPr>
        <w:t>)</w:t>
      </w:r>
      <w:r>
        <w:rPr>
          <w:spacing w:val="-3"/>
        </w:rPr>
        <w:t>有限公司完成股权转让，公司不再持有利普诺持之水泵系统</w:t>
      </w:r>
      <w:r>
        <w:rPr>
          <w:rFonts w:ascii="宋体" w:hAnsi="宋体" w:cs="宋体" w:eastAsia="宋体" w:hint="default"/>
          <w:spacing w:val="-3"/>
        </w:rPr>
        <w:t>(</w:t>
      </w:r>
      <w:r>
        <w:rPr>
          <w:spacing w:val="-3"/>
        </w:rPr>
        <w:t>上</w:t>
      </w:r>
    </w:p>
    <w:p>
      <w:pPr>
        <w:pStyle w:val="BodyText"/>
        <w:spacing w:line="240" w:lineRule="auto" w:before="46"/>
        <w:ind w:left="273" w:right="1198"/>
        <w:jc w:val="left"/>
      </w:pPr>
      <w:r>
        <w:rPr/>
        <w:t>海</w:t>
      </w:r>
      <w:r>
        <w:rPr>
          <w:rFonts w:ascii="宋体" w:hAnsi="宋体" w:cs="宋体" w:eastAsia="宋体" w:hint="default"/>
        </w:rPr>
        <w:t>)</w:t>
      </w:r>
      <w:r>
        <w:rPr/>
        <w:t>有限公司股权。</w:t>
      </w:r>
    </w:p>
    <w:p>
      <w:pPr>
        <w:spacing w:after="0" w:line="240" w:lineRule="auto"/>
        <w:jc w:val="left"/>
        <w:sectPr>
          <w:pgSz w:w="11910" w:h="16840"/>
          <w:pgMar w:header="747" w:footer="979" w:top="1060" w:bottom="1160" w:left="860" w:right="0"/>
        </w:sectPr>
      </w:pPr>
    </w:p>
    <w:p>
      <w:pPr>
        <w:spacing w:line="240" w:lineRule="auto" w:before="3"/>
        <w:rPr>
          <w:rFonts w:ascii="宋体" w:hAnsi="宋体" w:cs="宋体" w:eastAsia="宋体" w:hint="default"/>
          <w:sz w:val="25"/>
          <w:szCs w:val="25"/>
        </w:rPr>
      </w:pPr>
    </w:p>
    <w:p>
      <w:pPr>
        <w:spacing w:before="38"/>
        <w:ind w:left="153" w:right="0" w:firstLine="0"/>
        <w:jc w:val="left"/>
        <w:rPr>
          <w:rFonts w:ascii="宋体" w:hAnsi="宋体" w:cs="宋体" w:eastAsia="宋体" w:hint="default"/>
          <w:sz w:val="20"/>
          <w:szCs w:val="20"/>
        </w:rPr>
      </w:pPr>
      <w:bookmarkStart w:name="（7）公司报告期内业务、产品或服务发生重大变化或调整有关情况" w:id="35"/>
      <w:bookmarkEnd w:id="3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）公司报告期内业务、产品或服务发生重大变化或调整有关情况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30" w:firstLine="420"/>
        <w:jc w:val="both"/>
      </w:pPr>
      <w:r>
        <w:rPr>
          <w:spacing w:val="-1"/>
        </w:rPr>
        <w:t>报告期内，公司完成收购万圣伟业、微创时代。公司数字营销业务在数字营销服务和数字媒介代理服</w:t>
      </w:r>
      <w:r>
        <w:rPr/>
        <w:t> </w:t>
      </w:r>
      <w:r>
        <w:rPr>
          <w:spacing w:val="-1"/>
        </w:rPr>
        <w:t>务的基础上，增加了流量整合业务、精准营销业务。因万圣伟业、微创时代自</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月起纳入公司合并</w:t>
      </w:r>
      <w:r>
        <w:rPr>
          <w:spacing w:val="-84"/>
        </w:rPr>
        <w:t> </w:t>
      </w:r>
      <w:r>
        <w:rPr>
          <w:spacing w:val="-84"/>
        </w:rPr>
      </w:r>
      <w:r>
        <w:rPr/>
        <w:t>报表范围</w:t>
      </w:r>
      <w:r>
        <w:rPr>
          <w:rFonts w:ascii="宋体" w:hAnsi="宋体" w:cs="宋体" w:eastAsia="宋体" w:hint="default"/>
        </w:rPr>
        <w:t>,</w:t>
      </w:r>
      <w:r>
        <w:rPr/>
        <w:t>即公司合并利润表包含了其</w:t>
      </w:r>
      <w:r>
        <w:rPr>
          <w:rFonts w:ascii="宋体" w:hAnsi="宋体" w:cs="宋体" w:eastAsia="宋体" w:hint="default"/>
        </w:rPr>
        <w:t>12</w:t>
      </w:r>
      <w:r>
        <w:rPr/>
        <w:t>月当月的利润情况，故对公司</w:t>
      </w:r>
      <w:r>
        <w:rPr>
          <w:rFonts w:ascii="宋体" w:hAnsi="宋体" w:cs="宋体" w:eastAsia="宋体" w:hint="default"/>
        </w:rPr>
        <w:t>2015</w:t>
      </w:r>
      <w:r>
        <w:rPr/>
        <w:t>年度经营业绩的影响数较小。</w:t>
      </w: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20"/>
          <w:szCs w:val="20"/>
        </w:rPr>
      </w:pPr>
      <w:bookmarkStart w:name="（8）主要销售客户和主要供应商情况" w:id="36"/>
      <w:bookmarkEnd w:id="3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）主要销售客户和主要供应商情况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671,128,862.57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182,620,401.95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133,538,041.24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129,691,788.85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116,659,431.93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108,619,198.60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671,128,862.57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911,127,172.25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70"/>
              <w:jc w:val="righ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369,766,289.09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161,653,498.55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145,831,646.72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139,043,737.89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94,832,000.00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2.98%</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70"/>
              <w:jc w:val="righ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911,127,172.25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28.59%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spacing w:before="38"/>
        <w:ind w:left="153" w:right="0" w:firstLine="0"/>
        <w:jc w:val="left"/>
        <w:rPr>
          <w:rFonts w:ascii="宋体" w:hAnsi="宋体" w:cs="宋体" w:eastAsia="宋体" w:hint="default"/>
          <w:sz w:val="20"/>
          <w:szCs w:val="20"/>
        </w:rPr>
      </w:pPr>
      <w:bookmarkStart w:name="3、费用" w:id="37"/>
      <w:bookmarkEnd w:id="37"/>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、费用</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6246"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552"/>
        <w:gridCol w:w="1276"/>
        <w:gridCol w:w="3189"/>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298,273,509.39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205,911,655.74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44.86%</w:t>
            </w:r>
          </w:p>
        </w:tc>
        <w:tc>
          <w:tcPr>
            <w:tcW w:w="3189" w:type="dxa"/>
            <w:vMerge w:val="restart"/>
            <w:tcBorders>
              <w:top w:val="single" w:sz="4" w:space="0" w:color="000000"/>
              <w:left w:val="single" w:sz="4" w:space="0" w:color="000000"/>
              <w:right w:val="single" w:sz="4" w:space="0" w:color="000000"/>
            </w:tcBorders>
          </w:tcPr>
          <w:p>
            <w:pPr>
              <w:pStyle w:val="TableParagraph"/>
              <w:spacing w:line="319" w:lineRule="auto" w:before="97"/>
              <w:ind w:left="22" w:right="275"/>
              <w:jc w:val="left"/>
              <w:rPr>
                <w:rFonts w:ascii="宋体" w:hAnsi="宋体" w:cs="宋体" w:eastAsia="宋体" w:hint="default"/>
                <w:sz w:val="18"/>
                <w:szCs w:val="18"/>
              </w:rPr>
            </w:pPr>
            <w:r>
              <w:rPr>
                <w:rFonts w:ascii="宋体" w:hAnsi="宋体" w:cs="宋体" w:eastAsia="宋体" w:hint="default"/>
                <w:sz w:val="18"/>
                <w:szCs w:val="18"/>
              </w:rPr>
              <w:t>主要系本期因非同一控制下企业合并 入，导致职工薪酬等大幅增加所致。</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361,626,872.51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267,986,002.39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34.94%</w:t>
            </w:r>
          </w:p>
        </w:tc>
        <w:tc>
          <w:tcPr>
            <w:tcW w:w="3189" w:type="dxa"/>
            <w:vMerge/>
            <w:tcBorders>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27" w:right="0"/>
              <w:jc w:val="left"/>
              <w:rPr>
                <w:rFonts w:ascii="宋体" w:hAnsi="宋体" w:cs="宋体" w:eastAsia="宋体" w:hint="default"/>
                <w:sz w:val="18"/>
                <w:szCs w:val="18"/>
              </w:rPr>
            </w:pPr>
            <w:r>
              <w:rPr>
                <w:rFonts w:ascii="宋体"/>
                <w:sz w:val="18"/>
              </w:rPr>
              <w:t>10,620,156.36</w:t>
            </w:r>
          </w:p>
        </w:tc>
        <w:tc>
          <w:tcPr>
            <w:tcW w:w="1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48" w:right="0"/>
              <w:jc w:val="left"/>
              <w:rPr>
                <w:rFonts w:ascii="宋体" w:hAnsi="宋体" w:cs="宋体" w:eastAsia="宋体" w:hint="default"/>
                <w:sz w:val="18"/>
                <w:szCs w:val="18"/>
              </w:rPr>
            </w:pPr>
            <w:r>
              <w:rPr>
                <w:rFonts w:ascii="宋体"/>
                <w:sz w:val="18"/>
              </w:rPr>
              <w:t>16,778,195.06</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13" w:right="0"/>
              <w:jc w:val="left"/>
              <w:rPr>
                <w:rFonts w:ascii="宋体" w:hAnsi="宋体" w:cs="宋体" w:eastAsia="宋体" w:hint="default"/>
                <w:sz w:val="18"/>
                <w:szCs w:val="18"/>
              </w:rPr>
            </w:pPr>
            <w:r>
              <w:rPr>
                <w:rFonts w:ascii="宋体"/>
                <w:sz w:val="18"/>
              </w:rPr>
              <w:t>-36.70%</w:t>
            </w:r>
          </w:p>
        </w:tc>
        <w:tc>
          <w:tcPr>
            <w:tcW w:w="3189"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94"/>
              <w:jc w:val="both"/>
              <w:rPr>
                <w:rFonts w:ascii="宋体" w:hAnsi="宋体" w:cs="宋体" w:eastAsia="宋体" w:hint="default"/>
                <w:sz w:val="18"/>
                <w:szCs w:val="18"/>
              </w:rPr>
            </w:pPr>
            <w:r>
              <w:rPr>
                <w:rFonts w:ascii="宋体" w:hAnsi="宋体" w:cs="宋体" w:eastAsia="宋体" w:hint="default"/>
                <w:sz w:val="18"/>
                <w:szCs w:val="18"/>
              </w:rPr>
              <w:t>主要系本期非公开发行股票募集配套资 金到账，归还部分银行借款，利息支出 减少所致。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55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8"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55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bookmarkStart w:name="4、研发投入" w:id="38"/>
      <w:bookmarkEnd w:id="38"/>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、研发投入</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3" w:right="0"/>
        <w:jc w:val="left"/>
      </w:pPr>
      <w:r>
        <w:rPr/>
        <w:t>报告期内，公司立足战略目标，围绕主营业务，增强研发能力，通过技术创新提升公司核心竞争力。</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0.30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79,483,425.98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85,426,467.13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1.16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40" w:lineRule="auto" w:before="153"/>
        <w:ind w:left="573" w:right="0"/>
        <w:jc w:val="left"/>
      </w:pPr>
      <w:r>
        <w:rPr/>
        <w:t>主要系非同一控制下企业合并转入，本期公司数字营销业务营业收入大幅增加所致。</w:t>
      </w:r>
    </w:p>
    <w:p>
      <w:pPr>
        <w:spacing w:line="240" w:lineRule="auto" w:before="1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before="0"/>
        <w:ind w:left="153" w:right="0" w:firstLine="0"/>
        <w:jc w:val="left"/>
        <w:rPr>
          <w:rFonts w:ascii="宋体" w:hAnsi="宋体" w:cs="宋体" w:eastAsia="宋体" w:hint="default"/>
          <w:sz w:val="20"/>
          <w:szCs w:val="20"/>
        </w:rPr>
      </w:pPr>
      <w:bookmarkStart w:name="5、现金流" w:id="39"/>
      <w:bookmarkEnd w:id="39"/>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、现金流</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6246"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8"/>
        <w:gridCol w:w="2403"/>
        <w:gridCol w:w="2393"/>
        <w:gridCol w:w="2392"/>
      </w:tblGrid>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4,736,514,587.35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3,375,451,169.93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40.32%</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4,407,000,644.16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3,485,428,392.02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26.44%</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329,513,943.19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-109,977,222.09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399.62%</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203,137,992.46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331,584,114.95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-38.74%</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2490"/>
        <w:gridCol w:w="2392"/>
        <w:gridCol w:w="2393"/>
        <w:gridCol w:w="2392"/>
      </w:tblGrid>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1,583,096,240.80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593,485,245.02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166.75%</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-1,379,958,248.34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-261,901,130.07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-426.90%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3,044,684,568.85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1,272,815,566.16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139.21%</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1,428,338,432.69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1,224,587,825.12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16.64%</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1,616,346,136.16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48,227,741.04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3251.49%</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586,208,528.73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-313,292,747.37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287.11%</w:t>
            </w:r>
          </w:p>
        </w:tc>
      </w:tr>
    </w:tbl>
    <w:p>
      <w:pPr>
        <w:spacing w:before="51"/>
        <w:ind w:left="254" w:right="1119"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254"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253" w:right="1119" w:firstLine="420"/>
        <w:jc w:val="left"/>
      </w:pPr>
      <w:r>
        <w:rPr>
          <w:spacing w:val="-1"/>
        </w:rPr>
        <w:t>（</w:t>
      </w:r>
      <w:r>
        <w:rPr>
          <w:rFonts w:ascii="宋体" w:hAnsi="宋体" w:cs="宋体" w:eastAsia="宋体" w:hint="default"/>
          <w:spacing w:val="-1"/>
        </w:rPr>
        <w:t>1</w:t>
      </w:r>
      <w:r>
        <w:rPr>
          <w:spacing w:val="-1"/>
        </w:rPr>
        <w:t>）经营活动产生的现金流量净额较去年增加</w:t>
      </w:r>
      <w:r>
        <w:rPr>
          <w:rFonts w:ascii="宋体" w:hAnsi="宋体" w:cs="宋体" w:eastAsia="宋体" w:hint="default"/>
          <w:spacing w:val="-1"/>
        </w:rPr>
        <w:t>399.62%</w:t>
      </w:r>
      <w:r>
        <w:rPr>
          <w:spacing w:val="-1"/>
        </w:rPr>
        <w:t>，主要原因系本期销售商品、提供劳务收到的</w:t>
      </w:r>
      <w:r>
        <w:rPr/>
        <w:t> 现金增幅大于购买商品、接受劳务支付的现金增幅以及去年同期支付上海漫酷原股东的暂借款及支付 </w:t>
      </w:r>
      <w:r>
        <w:rPr>
          <w:rFonts w:ascii="宋体" w:hAnsi="宋体" w:cs="宋体" w:eastAsia="宋体" w:hint="default"/>
        </w:rPr>
        <w:t>MediaV(HK)</w:t>
      </w:r>
      <w:r>
        <w:rPr>
          <w:rFonts w:ascii="宋体" w:hAnsi="宋体" w:cs="宋体" w:eastAsia="宋体" w:hint="default"/>
          <w:spacing w:val="-5"/>
        </w:rPr>
        <w:t> </w:t>
      </w:r>
      <w:r>
        <w:rPr>
          <w:rFonts w:ascii="宋体" w:hAnsi="宋体" w:cs="宋体" w:eastAsia="宋体" w:hint="default"/>
        </w:rPr>
        <w:t>Limited</w:t>
      </w:r>
      <w:r>
        <w:rPr/>
        <w:t>和聚越信息技术</w:t>
      </w:r>
      <w:r>
        <w:rPr>
          <w:rFonts w:ascii="宋体" w:hAnsi="宋体" w:cs="宋体" w:eastAsia="宋体" w:hint="default"/>
        </w:rPr>
        <w:t>(</w:t>
      </w:r>
      <w:r>
        <w:rPr/>
        <w:t>上海</w:t>
      </w:r>
      <w:r>
        <w:rPr>
          <w:rFonts w:ascii="宋体" w:hAnsi="宋体" w:cs="宋体" w:eastAsia="宋体" w:hint="default"/>
        </w:rPr>
        <w:t>)</w:t>
      </w:r>
      <w:r>
        <w:rPr/>
        <w:t>有限公司的往来款所致。</w:t>
      </w:r>
    </w:p>
    <w:p>
      <w:pPr>
        <w:pStyle w:val="BodyText"/>
        <w:spacing w:line="408" w:lineRule="auto" w:before="46"/>
        <w:ind w:left="254" w:right="1119" w:firstLine="420"/>
        <w:jc w:val="left"/>
      </w:pPr>
      <w:r>
        <w:rPr>
          <w:spacing w:val="-1"/>
        </w:rPr>
        <w:t>（</w:t>
      </w:r>
      <w:r>
        <w:rPr>
          <w:rFonts w:ascii="宋体" w:hAnsi="宋体" w:cs="宋体" w:eastAsia="宋体" w:hint="default"/>
          <w:spacing w:val="-1"/>
        </w:rPr>
        <w:t>2</w:t>
      </w:r>
      <w:r>
        <w:rPr>
          <w:spacing w:val="-1"/>
        </w:rPr>
        <w:t>）投资活动产生的现金流量净额较去年同期减少</w:t>
      </w:r>
      <w:r>
        <w:rPr>
          <w:rFonts w:ascii="宋体" w:hAnsi="宋体" w:cs="宋体" w:eastAsia="宋体" w:hint="default"/>
          <w:spacing w:val="-1"/>
        </w:rPr>
        <w:t>426.90%</w:t>
      </w:r>
      <w:r>
        <w:rPr>
          <w:spacing w:val="-1"/>
        </w:rPr>
        <w:t>，主要原因系本期公司收购万圣伟业、微</w:t>
      </w:r>
      <w:r>
        <w:rPr/>
        <w:t> 创时代</w:t>
      </w:r>
      <w:r>
        <w:rPr>
          <w:rFonts w:ascii="宋体" w:hAnsi="宋体" w:cs="宋体" w:eastAsia="宋体" w:hint="default"/>
        </w:rPr>
        <w:t>2</w:t>
      </w:r>
      <w:r>
        <w:rPr/>
        <w:t>家公司及参股温岭农村合作银行、碧橙网络、异乡好居、亿嘉轮等多家公司支付投资款项所致。</w:t>
      </w:r>
    </w:p>
    <w:p>
      <w:pPr>
        <w:pStyle w:val="BodyText"/>
        <w:spacing w:line="408" w:lineRule="auto" w:before="46"/>
        <w:ind w:left="253" w:right="1198" w:firstLine="420"/>
        <w:jc w:val="left"/>
      </w:pPr>
      <w:r>
        <w:rPr/>
        <w:t>（</w:t>
      </w:r>
      <w:r>
        <w:rPr>
          <w:rFonts w:ascii="宋体" w:hAnsi="宋体" w:cs="宋体" w:eastAsia="宋体" w:hint="default"/>
        </w:rPr>
        <w:t>3</w:t>
      </w:r>
      <w:r>
        <w:rPr/>
        <w:t>）筹资活动产生的现金流量净额较去年同期增加</w:t>
      </w:r>
      <w:r>
        <w:rPr>
          <w:rFonts w:ascii="宋体" w:hAnsi="宋体" w:cs="宋体" w:eastAsia="宋体" w:hint="default"/>
        </w:rPr>
        <w:t>3251.49%</w:t>
      </w:r>
      <w:r>
        <w:rPr/>
        <w:t>，主要原因系本期公司收到非公开发行 股票募集配套资金款项所致。</w:t>
      </w:r>
    </w:p>
    <w:p>
      <w:pPr>
        <w:spacing w:before="34"/>
        <w:ind w:left="253" w:right="1119"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253"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253" w:right="1119"/>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253"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253" w:right="1119"/>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6"/>
        <w:rPr>
          <w:rFonts w:ascii="宋体" w:hAnsi="宋体" w:cs="宋体" w:eastAsia="宋体" w:hint="default"/>
          <w:b/>
          <w:bCs/>
          <w:sz w:val="25"/>
          <w:szCs w:val="25"/>
        </w:rPr>
      </w:pPr>
    </w:p>
    <w:p>
      <w:pPr>
        <w:spacing w:before="0"/>
        <w:ind w:left="253" w:right="1119" w:firstLine="0"/>
        <w:jc w:val="left"/>
        <w:rPr>
          <w:rFonts w:ascii="宋体" w:hAnsi="宋体" w:cs="宋体" w:eastAsia="宋体" w:hint="default"/>
          <w:sz w:val="20"/>
          <w:szCs w:val="20"/>
        </w:rPr>
      </w:pPr>
      <w:bookmarkStart w:name="1、资产构成重大变动情况" w:id="42"/>
      <w:bookmarkEnd w:id="42"/>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、资产构成重大变动情况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346"/>
        <w:gridCol w:w="1576"/>
        <w:gridCol w:w="754"/>
        <w:gridCol w:w="1701"/>
        <w:gridCol w:w="662"/>
        <w:gridCol w:w="898"/>
        <w:gridCol w:w="2976"/>
      </w:tblGrid>
      <w:tr>
        <w:trPr>
          <w:trHeight w:val="38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100" w:right="10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55" w:right="55"/>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8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4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vMerge/>
            <w:tcBorders>
              <w:left w:val="single" w:sz="4" w:space="0" w:color="000000"/>
              <w:right w:val="single" w:sz="4" w:space="0" w:color="000000"/>
            </w:tcBorders>
            <w:shd w:val="clear" w:color="auto" w:fill="D2D2D2"/>
          </w:tcPr>
          <w:p>
            <w:pPr/>
          </w:p>
        </w:tc>
        <w:tc>
          <w:tcPr>
            <w:tcW w:w="1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vMerge/>
            <w:tcBorders>
              <w:left w:val="single" w:sz="4" w:space="0" w:color="000000"/>
              <w:right w:val="single" w:sz="4" w:space="0" w:color="000000"/>
            </w:tcBorders>
            <w:shd w:val="clear" w:color="auto" w:fill="D2D2D2"/>
          </w:tcPr>
          <w:p>
            <w:pPr/>
          </w:p>
        </w:tc>
        <w:tc>
          <w:tcPr>
            <w:tcW w:w="898" w:type="dxa"/>
            <w:vMerge/>
            <w:tcBorders>
              <w:left w:val="single" w:sz="4" w:space="0" w:color="000000"/>
              <w:bottom w:val="nil" w:sz="6" w:space="0" w:color="auto"/>
              <w:right w:val="single" w:sz="4" w:space="0" w:color="000000"/>
            </w:tcBorders>
            <w:shd w:val="clear" w:color="auto" w:fill="D2D2D2"/>
          </w:tcPr>
          <w:p>
            <w:pPr/>
          </w:p>
        </w:tc>
        <w:tc>
          <w:tcPr>
            <w:tcW w:w="297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576"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right w:val="single" w:sz="4" w:space="0" w:color="000000"/>
            </w:tcBorders>
            <w:shd w:val="clear" w:color="auto" w:fill="D2D2D2"/>
          </w:tcPr>
          <w:p>
            <w:pPr/>
          </w:p>
        </w:tc>
        <w:tc>
          <w:tcPr>
            <w:tcW w:w="1701"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98" w:type="dxa"/>
            <w:vMerge w:val="restart"/>
            <w:tcBorders>
              <w:top w:val="nil" w:sz="6" w:space="0" w:color="auto"/>
              <w:left w:val="single" w:sz="4" w:space="0" w:color="000000"/>
              <w:right w:val="single" w:sz="4" w:space="0" w:color="000000"/>
            </w:tcBorders>
            <w:shd w:val="clear" w:color="auto" w:fill="D2D2D2"/>
          </w:tcPr>
          <w:p>
            <w:pPr/>
          </w:p>
        </w:tc>
        <w:tc>
          <w:tcPr>
            <w:tcW w:w="297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297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770,546,898.26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179,467,891.43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4.90%</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sz w:val="18"/>
              </w:rPr>
              <w:t>1,967,701,268.69</w:t>
            </w:r>
          </w:p>
        </w:tc>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sz w:val="18"/>
              </w:rPr>
              <w:t>23.42%</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sz w:val="18"/>
              </w:rPr>
              <w:t>1,461,078,437.28</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34.78%</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sz w:val="18"/>
              </w:rPr>
              <w:t>-11.36%</w:t>
            </w:r>
          </w:p>
        </w:tc>
        <w:tc>
          <w:tcPr>
            <w:tcW w:w="297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63"/>
              <w:jc w:val="left"/>
              <w:rPr>
                <w:rFonts w:ascii="宋体" w:hAnsi="宋体" w:cs="宋体" w:eastAsia="宋体" w:hint="default"/>
                <w:sz w:val="18"/>
                <w:szCs w:val="18"/>
              </w:rPr>
            </w:pPr>
            <w:r>
              <w:rPr>
                <w:rFonts w:ascii="宋体" w:hAnsi="宋体" w:cs="宋体" w:eastAsia="宋体" w:hint="default"/>
                <w:sz w:val="18"/>
                <w:szCs w:val="18"/>
              </w:rPr>
              <w:t>主要系万圣伟业、微创时代纳入公司 合并报表范围转入。</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6" w:type="dxa"/>
            <w:vMerge/>
            <w:tcBorders>
              <w:left w:val="single" w:sz="9" w:space="0" w:color="D2D2D2"/>
              <w:right w:val="single" w:sz="4" w:space="0" w:color="000000"/>
            </w:tcBorders>
          </w:tcPr>
          <w:p>
            <w:pPr/>
          </w:p>
        </w:tc>
        <w:tc>
          <w:tcPr>
            <w:tcW w:w="754"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6" w:type="dxa"/>
            <w:vMerge/>
            <w:tcBorders>
              <w:left w:val="single" w:sz="9" w:space="0" w:color="D2D2D2"/>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364,244,083.05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4.34%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448,763,042.75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10.68%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-6.34%</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3,589,412.75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3,794,178.95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-0.05%</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110,841,914.89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96,745,428.04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-0.98%</w:t>
            </w:r>
          </w:p>
        </w:tc>
        <w:tc>
          <w:tcPr>
            <w:tcW w:w="29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368"/>
        <w:gridCol w:w="1565"/>
        <w:gridCol w:w="754"/>
        <w:gridCol w:w="1701"/>
        <w:gridCol w:w="662"/>
        <w:gridCol w:w="898"/>
        <w:gridCol w:w="297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449,150,309.69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458,824,541.23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-5.57%</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261,561,520.65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114,058,618.60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0.40%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主要系本期公司东部产业聚集区项目 建设投入增加。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98,207,177.51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1.17%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414,116,792.07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9.86%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-8.69%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主要系本期公司非公开发行股份募集 配套资金款项到账，归还部分短期银 行借款。</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290,000,000.00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117,500,000.00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0.65%</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3,166,166,351.19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37.69%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762,100,191.70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18.14%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19.55%</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主要系本期公司支付万圣伟业、微创 时代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股权转让对价分别为 </w:t>
            </w:r>
            <w:r>
              <w:rPr>
                <w:rFonts w:ascii="Times New Roman" w:hAnsi="Times New Roman" w:cs="Times New Roman" w:eastAsia="Times New Roman" w:hint="default"/>
                <w:sz w:val="18"/>
                <w:szCs w:val="18"/>
              </w:rPr>
              <w:t>207,200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万元。公司于 购买日享有其可辨认净资产公允价值 的份额分别为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347,693,258.32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元和</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157,269,444.86</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元，与收购对价的差额</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1,724,306,741.68 </w:t>
            </w:r>
            <w:r>
              <w:rPr>
                <w:rFonts w:ascii="宋体" w:hAnsi="宋体" w:cs="宋体" w:eastAsia="宋体" w:hint="default"/>
                <w:sz w:val="18"/>
                <w:szCs w:val="18"/>
              </w:rPr>
              <w:t>元和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682,730,555.14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元确认为商誉。</w:t>
            </w:r>
          </w:p>
        </w:tc>
      </w:tr>
    </w:tbl>
    <w:p>
      <w:pPr>
        <w:spacing w:line="240" w:lineRule="auto" w:before="8"/>
        <w:rPr>
          <w:rFonts w:ascii="宋体" w:hAnsi="宋体" w:cs="宋体" w:eastAsia="宋体" w:hint="default"/>
          <w:sz w:val="19"/>
          <w:szCs w:val="19"/>
        </w:rPr>
      </w:pPr>
    </w:p>
    <w:p>
      <w:pPr>
        <w:spacing w:before="38"/>
        <w:ind w:left="254" w:right="1119" w:firstLine="0"/>
        <w:jc w:val="left"/>
        <w:rPr>
          <w:rFonts w:ascii="宋体" w:hAnsi="宋体" w:cs="宋体" w:eastAsia="宋体" w:hint="default"/>
          <w:sz w:val="20"/>
          <w:szCs w:val="20"/>
        </w:rPr>
      </w:pPr>
      <w:bookmarkStart w:name="2、以公允价值计量的资产和负债" w:id="43"/>
      <w:bookmarkEnd w:id="43"/>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、以公允价值计量的资产和负债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253"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220"/>
        <w:gridCol w:w="1315"/>
        <w:gridCol w:w="1207"/>
        <w:gridCol w:w="1214"/>
        <w:gridCol w:w="1208"/>
        <w:gridCol w:w="1218"/>
        <w:gridCol w:w="1213"/>
        <w:gridCol w:w="1289"/>
      </w:tblGrid>
      <w:tr>
        <w:trPr>
          <w:trHeight w:val="161"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289"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1" w:right="54"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8"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23"/>
              <w:jc w:val="right"/>
              <w:rPr>
                <w:rFonts w:ascii="宋体" w:hAnsi="宋体" w:cs="宋体" w:eastAsia="宋体" w:hint="default"/>
                <w:sz w:val="18"/>
                <w:szCs w:val="18"/>
              </w:rPr>
            </w:pPr>
            <w:r>
              <w:rPr>
                <w:rFonts w:ascii="宋体" w:hAnsi="宋体" w:cs="宋体" w:eastAsia="宋体" w:hint="default"/>
                <w:sz w:val="18"/>
                <w:szCs w:val="18"/>
              </w:rPr>
              <w:t>项目</w:t>
            </w:r>
          </w:p>
        </w:tc>
        <w:tc>
          <w:tcPr>
            <w:tcW w:w="1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2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289"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6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0.00</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2,333,342.50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宋体" w:hAnsi="宋体" w:cs="宋体" w:eastAsia="宋体" w:hint="default"/>
                <w:sz w:val="18"/>
                <w:szCs w:val="18"/>
              </w:rPr>
            </w:pPr>
            <w:r>
              <w:rPr>
                <w:rFonts w:ascii="宋体"/>
                <w:sz w:val="18"/>
              </w:rPr>
              <w:t>8,597,505.00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10,930,847.50</w:t>
            </w:r>
          </w:p>
        </w:tc>
      </w:tr>
    </w:tbl>
    <w:p>
      <w:pPr>
        <w:spacing w:before="51"/>
        <w:ind w:left="254" w:right="1119"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254"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left="253" w:right="1119"/>
        <w:jc w:val="left"/>
        <w:rPr>
          <w:b w:val="0"/>
          <w:bCs w:val="0"/>
        </w:rPr>
      </w:pPr>
      <w:bookmarkStart w:name="五、投资状况分析" w:id="44"/>
      <w:bookmarkEnd w:id="44"/>
      <w:r>
        <w:rPr>
          <w:b w:val="0"/>
          <w:bCs w:val="0"/>
        </w:rPr>
      </w:r>
      <w:r>
        <w:rPr/>
        <w:t>五、投资状况分析</w:t>
      </w:r>
      <w:r>
        <w:rPr>
          <w:b w:val="0"/>
          <w:bCs w:val="0"/>
        </w:rPr>
      </w:r>
    </w:p>
    <w:p>
      <w:pPr>
        <w:spacing w:line="240" w:lineRule="auto" w:before="6"/>
        <w:rPr>
          <w:rFonts w:ascii="宋体" w:hAnsi="宋体" w:cs="宋体" w:eastAsia="宋体" w:hint="default"/>
          <w:b/>
          <w:bCs/>
          <w:sz w:val="25"/>
          <w:szCs w:val="25"/>
        </w:rPr>
      </w:pPr>
    </w:p>
    <w:p>
      <w:pPr>
        <w:spacing w:before="0"/>
        <w:ind w:left="253" w:right="1119" w:firstLine="0"/>
        <w:jc w:val="left"/>
        <w:rPr>
          <w:rFonts w:ascii="宋体" w:hAnsi="宋体" w:cs="宋体" w:eastAsia="宋体" w:hint="default"/>
          <w:sz w:val="20"/>
          <w:szCs w:val="20"/>
        </w:rPr>
      </w:pPr>
      <w:bookmarkStart w:name="1、总体情况" w:id="45"/>
      <w:bookmarkEnd w:id="45"/>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、总体情况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253"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15" w:right="0"/>
              <w:jc w:val="left"/>
              <w:rPr>
                <w:rFonts w:ascii="宋体" w:hAnsi="宋体" w:cs="宋体" w:eastAsia="宋体" w:hint="default"/>
                <w:sz w:val="18"/>
                <w:szCs w:val="18"/>
              </w:rPr>
            </w:pPr>
            <w:r>
              <w:rPr>
                <w:rFonts w:ascii="宋体"/>
                <w:sz w:val="18"/>
              </w:rPr>
              <w:t>3,142,901,800.00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7" w:right="0"/>
              <w:jc w:val="left"/>
              <w:rPr>
                <w:rFonts w:ascii="宋体" w:hAnsi="宋体" w:cs="宋体" w:eastAsia="宋体" w:hint="default"/>
                <w:sz w:val="18"/>
                <w:szCs w:val="18"/>
              </w:rPr>
            </w:pPr>
            <w:r>
              <w:rPr>
                <w:rFonts w:ascii="宋体"/>
                <w:sz w:val="18"/>
              </w:rPr>
              <w:t>772,003,530.00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307.11%</w:t>
            </w:r>
          </w:p>
        </w:tc>
      </w:tr>
    </w:tbl>
    <w:p>
      <w:pPr>
        <w:spacing w:after="0" w:line="240" w:lineRule="auto"/>
        <w:jc w:val="right"/>
        <w:rPr>
          <w:rFonts w:ascii="宋体" w:hAnsi="宋体" w:cs="宋体" w:eastAsia="宋体" w:hint="default"/>
          <w:sz w:val="18"/>
          <w:szCs w:val="18"/>
        </w:rPr>
        <w:sectPr>
          <w:pgSz w:w="11910" w:h="16840"/>
          <w:pgMar w:header="747" w:footer="979" w:top="1060" w:bottom="1160" w:left="880" w:right="0"/>
        </w:sectPr>
      </w:pPr>
    </w:p>
    <w:p>
      <w:pPr>
        <w:spacing w:line="240" w:lineRule="auto" w:before="12"/>
        <w:rPr>
          <w:rFonts w:ascii="宋体" w:hAnsi="宋体" w:cs="宋体" w:eastAsia="宋体" w:hint="default"/>
          <w:sz w:val="2"/>
          <w:szCs w:val="2"/>
        </w:rPr>
      </w:pPr>
    </w:p>
    <w:p>
      <w:pPr>
        <w:spacing w:line="20" w:lineRule="exact"/>
        <w:ind w:left="5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4"/>
        <w:ind w:left="580" w:right="0" w:firstLine="0"/>
        <w:jc w:val="left"/>
        <w:rPr>
          <w:rFonts w:ascii="宋体" w:hAnsi="宋体" w:cs="宋体" w:eastAsia="宋体" w:hint="default"/>
          <w:sz w:val="20"/>
          <w:szCs w:val="20"/>
        </w:rPr>
      </w:pPr>
      <w:bookmarkStart w:name="2、报告期内获取的重大的股权投资情况" w:id="46"/>
      <w:bookmarkEnd w:id="46"/>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、报告期内获取的重大的股权投资情况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5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0" w:right="906" w:firstLine="0"/>
        <w:jc w:val="right"/>
        <w:rPr>
          <w:rFonts w:ascii="宋体" w:hAnsi="宋体" w:cs="宋体" w:eastAsia="宋体" w:hint="default"/>
          <w:sz w:val="18"/>
          <w:szCs w:val="18"/>
        </w:rPr>
      </w:pPr>
      <w:r>
        <w:rPr/>
        <w:pict>
          <v:shape style="position:absolute;margin-left:48.240002pt;margin-top:-114.568275pt;width:745.7pt;height:399.9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134"/>
                    <w:gridCol w:w="568"/>
                    <w:gridCol w:w="1495"/>
                    <w:gridCol w:w="589"/>
                    <w:gridCol w:w="1384"/>
                    <w:gridCol w:w="1029"/>
                    <w:gridCol w:w="616"/>
                    <w:gridCol w:w="384"/>
                    <w:gridCol w:w="851"/>
                    <w:gridCol w:w="426"/>
                    <w:gridCol w:w="1291"/>
                    <w:gridCol w:w="415"/>
                    <w:gridCol w:w="1040"/>
                    <w:gridCol w:w="2259"/>
                  </w:tblGrid>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9" w:right="10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7" w:right="95"/>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 w:right="2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4"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5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2"/>
                          <w:jc w:val="left"/>
                          <w:rPr>
                            <w:rFonts w:ascii="宋体" w:hAnsi="宋体" w:cs="宋体" w:eastAsia="宋体" w:hint="default"/>
                            <w:sz w:val="18"/>
                            <w:szCs w:val="18"/>
                          </w:rPr>
                        </w:pPr>
                        <w:r>
                          <w:rPr>
                            <w:rFonts w:ascii="宋体" w:hAnsi="宋体" w:cs="宋体" w:eastAsia="宋体" w:hint="default"/>
                            <w:sz w:val="18"/>
                            <w:szCs w:val="18"/>
                          </w:rPr>
                          <w:t>江苏万圣伟业网 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9"/>
                          <w:jc w:val="left"/>
                          <w:rPr>
                            <w:rFonts w:ascii="宋体" w:hAnsi="宋体" w:cs="宋体" w:eastAsia="宋体" w:hint="default"/>
                            <w:sz w:val="18"/>
                            <w:szCs w:val="18"/>
                          </w:rPr>
                        </w:pPr>
                        <w:r>
                          <w:rPr>
                            <w:rFonts w:ascii="宋体" w:hAnsi="宋体" w:cs="宋体" w:eastAsia="宋体" w:hint="default"/>
                            <w:sz w:val="18"/>
                            <w:szCs w:val="18"/>
                          </w:rPr>
                          <w:t>流量整合业 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2,072,000,000.00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9"/>
                          <w:jc w:val="left"/>
                          <w:rPr>
                            <w:rFonts w:ascii="宋体" w:hAnsi="宋体" w:cs="宋体" w:eastAsia="宋体" w:hint="default"/>
                            <w:sz w:val="18"/>
                            <w:szCs w:val="18"/>
                          </w:rPr>
                        </w:pPr>
                        <w:r>
                          <w:rPr>
                            <w:rFonts w:ascii="宋体" w:hAnsi="宋体" w:cs="宋体" w:eastAsia="宋体" w:hint="default"/>
                            <w:sz w:val="18"/>
                            <w:szCs w:val="18"/>
                          </w:rPr>
                          <w:t>非公开发行股份 募集配套资金</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12,206,845.54</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巨潮资讯网：《利欧集团股 份有限公司发行股份及支付 现金购买资产并募集配套资 </w:t>
                        </w:r>
                        <w:r>
                          <w:rPr>
                            <w:rFonts w:ascii="宋体" w:hAnsi="宋体" w:cs="宋体" w:eastAsia="宋体" w:hint="default"/>
                            <w:spacing w:val="-4"/>
                            <w:sz w:val="18"/>
                            <w:szCs w:val="18"/>
                          </w:rPr>
                          <w:t>金报告书（草案）及其摘要</w:t>
                        </w: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2"/>
                          <w:jc w:val="left"/>
                          <w:rPr>
                            <w:rFonts w:ascii="宋体" w:hAnsi="宋体" w:cs="宋体" w:eastAsia="宋体" w:hint="default"/>
                            <w:sz w:val="18"/>
                            <w:szCs w:val="18"/>
                          </w:rPr>
                        </w:pPr>
                        <w:r>
                          <w:rPr>
                            <w:rFonts w:ascii="宋体" w:hAnsi="宋体" w:cs="宋体" w:eastAsia="宋体" w:hint="default"/>
                            <w:sz w:val="18"/>
                            <w:szCs w:val="18"/>
                          </w:rPr>
                          <w:t>北京微创时代广 告有限公司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精准营销</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840,000,000.00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9"/>
                          <w:jc w:val="left"/>
                          <w:rPr>
                            <w:rFonts w:ascii="宋体" w:hAnsi="宋体" w:cs="宋体" w:eastAsia="宋体" w:hint="default"/>
                            <w:sz w:val="18"/>
                            <w:szCs w:val="18"/>
                          </w:rPr>
                        </w:pPr>
                        <w:r>
                          <w:rPr>
                            <w:rFonts w:ascii="宋体" w:hAnsi="宋体" w:cs="宋体" w:eastAsia="宋体" w:hint="default"/>
                            <w:sz w:val="18"/>
                            <w:szCs w:val="18"/>
                          </w:rPr>
                          <w:t>非公开发行股份 募集配套资金</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3,314,657.85</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巨潮资讯网：《利欧集团股 份有限公司发行股份及支付 现金购买资产并募集配套资 </w:t>
                        </w:r>
                        <w:r>
                          <w:rPr>
                            <w:rFonts w:ascii="宋体" w:hAnsi="宋体" w:cs="宋体" w:eastAsia="宋体" w:hint="default"/>
                            <w:spacing w:val="-4"/>
                            <w:sz w:val="18"/>
                            <w:szCs w:val="18"/>
                          </w:rPr>
                          <w:t>金报告书（草案）及其摘要</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浙江温岭农村合 作银行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71,151,800.00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2.33%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永久</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宋体" w:hAnsi="宋体" w:cs="宋体" w:eastAsia="宋体" w:hint="default"/>
                            <w:sz w:val="18"/>
                            <w:szCs w:val="18"/>
                          </w:rPr>
                        </w:pPr>
                        <w:r>
                          <w:rPr>
                            <w:rFonts w:ascii="宋体"/>
                            <w:sz w:val="18"/>
                          </w:rPr>
                          <w:t>406,560.00</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巨潮资讯网：《关于增加对 浙江温岭农村合作银行投资 的公告》</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22"/>
                          <w:jc w:val="left"/>
                          <w:rPr>
                            <w:rFonts w:ascii="宋体" w:hAnsi="宋体" w:cs="宋体" w:eastAsia="宋体" w:hint="default"/>
                            <w:sz w:val="18"/>
                            <w:szCs w:val="18"/>
                          </w:rPr>
                        </w:pPr>
                        <w:r>
                          <w:rPr>
                            <w:rFonts w:ascii="宋体" w:hAnsi="宋体" w:cs="宋体" w:eastAsia="宋体" w:hint="default"/>
                            <w:sz w:val="18"/>
                            <w:szCs w:val="18"/>
                          </w:rPr>
                          <w:t>杭州碧橙网络技 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为品牌企业 提供整体电 商解决方案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40,000,000.00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4"/>
                          <w:jc w:val="left"/>
                          <w:rPr>
                            <w:rFonts w:ascii="宋体" w:hAnsi="宋体" w:cs="宋体" w:eastAsia="宋体" w:hint="default"/>
                            <w:sz w:val="18"/>
                            <w:szCs w:val="18"/>
                          </w:rPr>
                        </w:pPr>
                        <w:r>
                          <w:rPr>
                            <w:rFonts w:ascii="宋体" w:hAnsi="宋体" w:cs="宋体" w:eastAsia="宋体" w:hint="default"/>
                            <w:sz w:val="18"/>
                            <w:szCs w:val="18"/>
                          </w:rPr>
                          <w:t>刘宏斌、杜 鹏、冯星</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永久</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2,040,344.07</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4"/>
                          <w:jc w:val="left"/>
                          <w:rPr>
                            <w:rFonts w:ascii="宋体" w:hAnsi="宋体" w:cs="宋体" w:eastAsia="宋体" w:hint="default"/>
                            <w:sz w:val="18"/>
                            <w:szCs w:val="18"/>
                          </w:rPr>
                        </w:pPr>
                        <w:r>
                          <w:rPr>
                            <w:rFonts w:ascii="宋体" w:hAnsi="宋体" w:cs="宋体" w:eastAsia="宋体" w:hint="default"/>
                            <w:sz w:val="18"/>
                            <w:szCs w:val="18"/>
                          </w:rPr>
                          <w:t>巨潮资讯网：《对外投资公 告》</w:t>
                        </w:r>
                      </w:p>
                    </w:tc>
                  </w:tr>
                  <w:tr>
                    <w:trPr>
                      <w:trHeight w:val="19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4" w:right="122"/>
                          <w:jc w:val="left"/>
                          <w:rPr>
                            <w:rFonts w:ascii="宋体" w:hAnsi="宋体" w:cs="宋体" w:eastAsia="宋体" w:hint="default"/>
                            <w:sz w:val="18"/>
                            <w:szCs w:val="18"/>
                          </w:rPr>
                        </w:pPr>
                        <w:r>
                          <w:rPr>
                            <w:rFonts w:ascii="宋体" w:hAnsi="宋体" w:cs="宋体" w:eastAsia="宋体" w:hint="default"/>
                            <w:sz w:val="18"/>
                            <w:szCs w:val="18"/>
                          </w:rPr>
                          <w:t>北京热源网络文 化传媒有限公司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201"/>
                          <w:jc w:val="both"/>
                          <w:rPr>
                            <w:rFonts w:ascii="宋体" w:hAnsi="宋体" w:cs="宋体" w:eastAsia="宋体" w:hint="default"/>
                            <w:sz w:val="18"/>
                            <w:szCs w:val="18"/>
                          </w:rPr>
                        </w:pPr>
                        <w:r>
                          <w:rPr>
                            <w:rFonts w:ascii="宋体" w:hAnsi="宋体" w:cs="宋体" w:eastAsia="宋体" w:hint="default"/>
                            <w:sz w:val="18"/>
                            <w:szCs w:val="18"/>
                          </w:rPr>
                          <w:t>互联网医疗 领域的流量 整合和精准 营销服务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z w:val="18"/>
                            <w:szCs w:val="18"/>
                          </w:rPr>
                          <w:t>增资、 收购</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84,000,000.00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20%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both"/>
                          <w:rPr>
                            <w:rFonts w:ascii="宋体" w:hAnsi="宋体" w:cs="宋体" w:eastAsia="宋体" w:hint="default"/>
                            <w:sz w:val="18"/>
                            <w:szCs w:val="18"/>
                          </w:rPr>
                        </w:pPr>
                        <w:r>
                          <w:rPr>
                            <w:rFonts w:ascii="宋体" w:hAnsi="宋体" w:cs="宋体" w:eastAsia="宋体" w:hint="default"/>
                            <w:sz w:val="18"/>
                            <w:szCs w:val="18"/>
                          </w:rPr>
                          <w:t>刘新成、林 燕琴、徐姝 博、许鑫、 邢云来、李 嬴胤、北京 聚力创新联</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永久</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进行中</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64"/>
                          <w:jc w:val="both"/>
                          <w:rPr>
                            <w:rFonts w:ascii="宋体" w:hAnsi="宋体" w:cs="宋体" w:eastAsia="宋体" w:hint="default"/>
                            <w:sz w:val="18"/>
                            <w:szCs w:val="18"/>
                          </w:rPr>
                        </w:pPr>
                        <w:r>
                          <w:rPr>
                            <w:rFonts w:ascii="宋体" w:hAnsi="宋体" w:cs="宋体" w:eastAsia="宋体" w:hint="default"/>
                            <w:sz w:val="18"/>
                            <w:szCs w:val="18"/>
                          </w:rPr>
                          <w:t>巨潮资讯网：《关于投资北 京热源网络文化传媒有限公 司的公告》</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90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15"/>
          <w:footerReference w:type="default" r:id="rId16"/>
          <w:pgSz w:w="16840" w:h="11910" w:orient="landscape"/>
          <w:pgMar w:header="867" w:footer="979" w:top="1060" w:bottom="1160" w:left="860" w:right="0"/>
          <w:pgNumType w:start="27"/>
        </w:sectPr>
      </w:pPr>
    </w:p>
    <w:p>
      <w:pPr>
        <w:spacing w:line="240" w:lineRule="auto" w:before="12"/>
        <w:rPr>
          <w:rFonts w:ascii="宋体" w:hAnsi="宋体" w:cs="宋体" w:eastAsia="宋体" w:hint="default"/>
          <w:sz w:val="2"/>
          <w:szCs w:val="2"/>
        </w:rPr>
      </w:pPr>
      <w:r>
        <w:rPr/>
        <w:pict>
          <v:group style="position:absolute;margin-left:192.559998pt;margin-top:298.300018pt;width:34.8pt;height:7.8pt;mso-position-horizontal-relative:page;mso-position-vertical-relative:page;z-index:-978496" coordorigin="3851,5966" coordsize="696,156">
            <v:shape style="position:absolute;left:3851;top:5966;width:696;height:156" coordorigin="3851,5966" coordsize="696,156" path="m3851,6122l4547,6122,4547,5966,3851,5966,3851,6122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418"/>
        <w:gridCol w:w="1134"/>
        <w:gridCol w:w="568"/>
        <w:gridCol w:w="1495"/>
        <w:gridCol w:w="589"/>
        <w:gridCol w:w="1384"/>
        <w:gridCol w:w="1029"/>
        <w:gridCol w:w="616"/>
        <w:gridCol w:w="384"/>
        <w:gridCol w:w="851"/>
        <w:gridCol w:w="426"/>
        <w:gridCol w:w="1291"/>
        <w:gridCol w:w="415"/>
        <w:gridCol w:w="1040"/>
        <w:gridCol w:w="2259"/>
      </w:tblGrid>
      <w:tr>
        <w:trPr>
          <w:trHeight w:val="1001" w:hRule="exact"/>
        </w:trPr>
        <w:tc>
          <w:tcPr>
            <w:tcW w:w="141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495" w:type="dxa"/>
            <w:tcBorders>
              <w:top w:val="single" w:sz="15" w:space="0" w:color="000000"/>
              <w:left w:val="single" w:sz="4" w:space="0" w:color="000000"/>
              <w:bottom w:val="single" w:sz="4" w:space="0" w:color="000000"/>
              <w:right w:val="single" w:sz="4" w:space="0" w:color="000000"/>
            </w:tcBorders>
          </w:tcPr>
          <w:p>
            <w:pPr/>
          </w:p>
        </w:tc>
        <w:tc>
          <w:tcPr>
            <w:tcW w:w="589" w:type="dxa"/>
            <w:tcBorders>
              <w:top w:val="single" w:sz="15" w:space="0" w:color="000000"/>
              <w:left w:val="single" w:sz="4" w:space="0" w:color="000000"/>
              <w:bottom w:val="single" w:sz="4" w:space="0" w:color="000000"/>
              <w:right w:val="single" w:sz="4" w:space="0" w:color="000000"/>
            </w:tcBorders>
          </w:tcPr>
          <w:p>
            <w:pPr/>
          </w:p>
        </w:tc>
        <w:tc>
          <w:tcPr>
            <w:tcW w:w="1384" w:type="dxa"/>
            <w:tcBorders>
              <w:top w:val="single" w:sz="15" w:space="0" w:color="000000"/>
              <w:left w:val="single" w:sz="4" w:space="0" w:color="000000"/>
              <w:bottom w:val="single" w:sz="4" w:space="0" w:color="000000"/>
              <w:right w:val="single" w:sz="4" w:space="0" w:color="000000"/>
            </w:tcBorders>
          </w:tcPr>
          <w:p>
            <w:pPr/>
          </w:p>
        </w:tc>
        <w:tc>
          <w:tcPr>
            <w:tcW w:w="102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94"/>
              <w:jc w:val="both"/>
              <w:rPr>
                <w:rFonts w:ascii="宋体" w:hAnsi="宋体" w:cs="宋体" w:eastAsia="宋体" w:hint="default"/>
                <w:sz w:val="18"/>
                <w:szCs w:val="18"/>
              </w:rPr>
            </w:pPr>
            <w:r>
              <w:rPr>
                <w:rFonts w:ascii="宋体" w:hAnsi="宋体" w:cs="宋体" w:eastAsia="宋体" w:hint="default"/>
                <w:sz w:val="18"/>
                <w:szCs w:val="18"/>
              </w:rPr>
              <w:t>合投资管理 中心（有限 合伙）</w:t>
            </w:r>
          </w:p>
        </w:tc>
        <w:tc>
          <w:tcPr>
            <w:tcW w:w="616" w:type="dxa"/>
            <w:tcBorders>
              <w:top w:val="single" w:sz="15" w:space="0" w:color="000000"/>
              <w:left w:val="single" w:sz="4" w:space="0" w:color="000000"/>
              <w:bottom w:val="single" w:sz="4" w:space="0" w:color="000000"/>
              <w:right w:val="single" w:sz="4" w:space="0" w:color="000000"/>
            </w:tcBorders>
          </w:tcPr>
          <w:p>
            <w:pPr/>
          </w:p>
        </w:tc>
        <w:tc>
          <w:tcPr>
            <w:tcW w:w="384"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291" w:type="dxa"/>
            <w:tcBorders>
              <w:top w:val="single" w:sz="15" w:space="0" w:color="000000"/>
              <w:left w:val="single" w:sz="4" w:space="0" w:color="000000"/>
              <w:bottom w:val="single" w:sz="4" w:space="0" w:color="000000"/>
              <w:right w:val="single" w:sz="4" w:space="0" w:color="000000"/>
            </w:tcBorders>
          </w:tcPr>
          <w:p>
            <w:pPr/>
          </w:p>
        </w:tc>
        <w:tc>
          <w:tcPr>
            <w:tcW w:w="415" w:type="dxa"/>
            <w:tcBorders>
              <w:top w:val="single" w:sz="15" w:space="0" w:color="000000"/>
              <w:left w:val="single" w:sz="4" w:space="0" w:color="000000"/>
              <w:bottom w:val="single" w:sz="4" w:space="0" w:color="000000"/>
              <w:right w:val="single" w:sz="4" w:space="0" w:color="000000"/>
            </w:tcBorders>
          </w:tcPr>
          <w:p>
            <w:pPr/>
          </w:p>
        </w:tc>
        <w:tc>
          <w:tcPr>
            <w:tcW w:w="1040" w:type="dxa"/>
            <w:tcBorders>
              <w:top w:val="single" w:sz="15" w:space="0" w:color="000000"/>
              <w:left w:val="single" w:sz="4" w:space="0" w:color="000000"/>
              <w:bottom w:val="single" w:sz="4" w:space="0" w:color="000000"/>
              <w:right w:val="single" w:sz="4" w:space="0" w:color="000000"/>
            </w:tcBorders>
          </w:tcPr>
          <w:p>
            <w:pPr/>
          </w:p>
        </w:tc>
        <w:tc>
          <w:tcPr>
            <w:tcW w:w="2259" w:type="dxa"/>
            <w:tcBorders>
              <w:top w:val="single" w:sz="15"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38"/>
        <w:ind w:left="580" w:right="0" w:firstLine="0"/>
        <w:jc w:val="left"/>
        <w:rPr>
          <w:rFonts w:ascii="宋体" w:hAnsi="宋体" w:cs="宋体" w:eastAsia="宋体" w:hint="default"/>
          <w:sz w:val="20"/>
          <w:szCs w:val="20"/>
        </w:rPr>
      </w:pPr>
      <w:bookmarkStart w:name="3、报告期内正在进行的重大的非股权投资情况" w:id="47"/>
      <w:bookmarkEnd w:id="47"/>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、报告期内正在进行的重大的非股权投资情况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5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57" w:type="dxa"/>
        <w:tblLayout w:type="fixed"/>
        <w:tblCellMar>
          <w:top w:w="0" w:type="dxa"/>
          <w:left w:w="0" w:type="dxa"/>
          <w:bottom w:w="0" w:type="dxa"/>
          <w:right w:w="0" w:type="dxa"/>
        </w:tblCellMar>
        <w:tblLook w:val="01E0"/>
      </w:tblPr>
      <w:tblGrid>
        <w:gridCol w:w="2724"/>
        <w:gridCol w:w="706"/>
        <w:gridCol w:w="737"/>
        <w:gridCol w:w="736"/>
        <w:gridCol w:w="1300"/>
        <w:gridCol w:w="1353"/>
        <w:gridCol w:w="956"/>
        <w:gridCol w:w="955"/>
        <w:gridCol w:w="498"/>
        <w:gridCol w:w="974"/>
        <w:gridCol w:w="736"/>
        <w:gridCol w:w="1722"/>
        <w:gridCol w:w="1199"/>
      </w:tblGrid>
      <w:tr>
        <w:trPr>
          <w:trHeight w:val="1650"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58" w:right="77"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64" w:right="103"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2" w:right="39"/>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4" w:right="6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2" w:right="30"/>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披露日期（如有）</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558"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87,097,592.20</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 w:right="0"/>
              <w:jc w:val="left"/>
              <w:rPr>
                <w:rFonts w:ascii="宋体" w:hAnsi="宋体" w:cs="宋体" w:eastAsia="宋体" w:hint="default"/>
                <w:sz w:val="18"/>
                <w:szCs w:val="18"/>
              </w:rPr>
            </w:pPr>
            <w:r>
              <w:rPr>
                <w:rFonts w:ascii="宋体"/>
                <w:sz w:val="18"/>
              </w:rPr>
              <w:t>187,253,063.63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75%</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272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5</w:t>
            </w:r>
            <w:r>
              <w:rPr>
                <w:rFonts w:ascii="宋体" w:hAnsi="宋体" w:cs="宋体" w:eastAsia="宋体" w:hint="default"/>
                <w:spacing w:val="-70"/>
                <w:sz w:val="18"/>
                <w:szCs w:val="18"/>
              </w:rPr>
              <w:t> </w:t>
            </w:r>
            <w:r>
              <w:rPr>
                <w:rFonts w:ascii="宋体" w:hAnsi="宋体" w:cs="宋体" w:eastAsia="宋体" w:hint="default"/>
                <w:sz w:val="18"/>
                <w:szCs w:val="18"/>
              </w:rPr>
              <w:t>万台高压和超高压清洗机及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台高压管道清洗车技改项目</w:t>
            </w:r>
          </w:p>
        </w:tc>
        <w:tc>
          <w:tcPr>
            <w:tcW w:w="70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45,630,204.31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sz w:val="18"/>
              </w:rPr>
              <w:t>45,630,204.31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34%</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22" w:type="dxa"/>
            <w:vMerge/>
            <w:tcBorders>
              <w:left w:val="single" w:sz="4" w:space="0" w:color="000000"/>
              <w:bottom w:val="single" w:sz="4" w:space="0" w:color="000000"/>
              <w:right w:val="single" w:sz="4" w:space="0" w:color="000000"/>
            </w:tcBorders>
          </w:tcPr>
          <w:p>
            <w:pPr/>
          </w:p>
        </w:tc>
        <w:tc>
          <w:tcPr>
            <w:tcW w:w="119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860" w:right="0"/>
        </w:sectPr>
      </w:pPr>
    </w:p>
    <w:p>
      <w:pPr>
        <w:spacing w:line="240" w:lineRule="auto" w:before="3"/>
        <w:rPr>
          <w:rFonts w:ascii="宋体" w:hAnsi="宋体" w:cs="宋体" w:eastAsia="宋体" w:hint="default"/>
          <w:sz w:val="21"/>
          <w:szCs w:val="21"/>
        </w:rPr>
      </w:pPr>
    </w:p>
    <w:p>
      <w:pPr>
        <w:spacing w:before="38"/>
        <w:ind w:left="353" w:right="0" w:firstLine="0"/>
        <w:jc w:val="left"/>
        <w:rPr>
          <w:rFonts w:ascii="宋体" w:hAnsi="宋体" w:cs="宋体" w:eastAsia="宋体" w:hint="default"/>
          <w:sz w:val="20"/>
          <w:szCs w:val="20"/>
        </w:rPr>
      </w:pPr>
      <w:bookmarkStart w:name="4、以公允价值计量的金融资产" w:id="48"/>
      <w:bookmarkEnd w:id="48"/>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、以公允价值计量的金融资产</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3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353" w:right="0" w:firstLine="0"/>
        <w:jc w:val="left"/>
        <w:rPr>
          <w:rFonts w:ascii="宋体" w:hAnsi="宋体" w:cs="宋体" w:eastAsia="宋体" w:hint="default"/>
          <w:sz w:val="20"/>
          <w:szCs w:val="20"/>
        </w:rPr>
      </w:pPr>
      <w:bookmarkStart w:name="5、募集资金使用情况" w:id="49"/>
      <w:bookmarkEnd w:id="49"/>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、募集资金使用情况</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3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before="0"/>
        <w:ind w:left="353" w:right="0" w:firstLine="0"/>
        <w:jc w:val="left"/>
        <w:rPr>
          <w:rFonts w:ascii="宋体" w:hAnsi="宋体" w:cs="宋体" w:eastAsia="宋体" w:hint="default"/>
          <w:sz w:val="20"/>
          <w:szCs w:val="20"/>
        </w:rPr>
      </w:pPr>
      <w:bookmarkStart w:name="（1）募集资金总体使用情况" w:id="50"/>
      <w:bookmarkEnd w:id="5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）募集资金总体使用情况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3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867"/>
        <w:gridCol w:w="965"/>
        <w:gridCol w:w="1030"/>
        <w:gridCol w:w="1021"/>
        <w:gridCol w:w="1023"/>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18" w:right="59"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5" w:right="54"/>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6" w:right="54"/>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非公开发行 股份募集配 套资金</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14,031.76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0.46</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8"/>
              <w:jc w:val="right"/>
              <w:rPr>
                <w:rFonts w:ascii="宋体" w:hAnsi="宋体" w:cs="宋体" w:eastAsia="宋体" w:hint="default"/>
                <w:sz w:val="18"/>
                <w:szCs w:val="18"/>
              </w:rPr>
            </w:pPr>
            <w:r>
              <w:rPr>
                <w:rFonts w:ascii="宋体"/>
                <w:sz w:val="18"/>
              </w:rPr>
              <w:t>14,031.76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非公开发行 股份募集配 套资金</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175,789.53</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159,133.53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4"/>
              <w:jc w:val="right"/>
              <w:rPr>
                <w:rFonts w:ascii="宋体" w:hAnsi="宋体" w:cs="宋体" w:eastAsia="宋体" w:hint="default"/>
                <w:sz w:val="18"/>
                <w:szCs w:val="18"/>
              </w:rPr>
            </w:pPr>
            <w:r>
              <w:rPr>
                <w:rFonts w:ascii="宋体"/>
                <w:sz w:val="18"/>
              </w:rPr>
              <w:t>159,133.53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16,656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存于银行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sz w:val="18"/>
              </w:rPr>
              <w:t>189,821.29</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159,133.99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right"/>
              <w:rPr>
                <w:rFonts w:ascii="宋体" w:hAnsi="宋体" w:cs="宋体" w:eastAsia="宋体" w:hint="default"/>
                <w:sz w:val="18"/>
                <w:szCs w:val="18"/>
              </w:rPr>
            </w:pPr>
            <w:r>
              <w:rPr>
                <w:rFonts w:ascii="宋体"/>
                <w:sz w:val="18"/>
              </w:rPr>
              <w:t>173,165.29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16,656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12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706" w:hRule="exact"/>
        </w:trPr>
        <w:tc>
          <w:tcPr>
            <w:tcW w:w="1012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1"/>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0"/>
                <w:sz w:val="18"/>
                <w:szCs w:val="18"/>
              </w:rPr>
              <w:t> </w:t>
            </w:r>
            <w:r>
              <w:rPr>
                <w:rFonts w:ascii="宋体" w:hAnsi="宋体" w:cs="宋体" w:eastAsia="宋体" w:hint="default"/>
                <w:b/>
                <w:bCs/>
                <w:spacing w:val="-2"/>
                <w:sz w:val="18"/>
                <w:szCs w:val="18"/>
              </w:rPr>
              <w:t>年度发行股份及支付现金购买资产并募集配套资金情况：</w:t>
            </w:r>
            <w:r>
              <w:rPr>
                <w:rFonts w:ascii="宋体" w:hAnsi="宋体" w:cs="宋体" w:eastAsia="宋体" w:hint="default"/>
                <w:spacing w:val="-2"/>
                <w:sz w:val="18"/>
                <w:szCs w:val="18"/>
              </w:rPr>
              <w:t>经中国证券监督管理委员会《关于核准利欧集团股份有限公司向詹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嘉等发行股份购买资产并募集配套资金的批复》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核准，本公司以发行股份及支付现金购买资产并募集 配套资金的方式向上海氩氪广告有限公司原股东詹嘉、李翔、张璐、李劼，以及银色琥珀文化传播</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有限公司原股东刘阳、 王英杰、孙唯一、田斌定向增发人民币普通股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)11,213,079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股，每股发行价格</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18.77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元，分别收购其所持上海氩氪和银色琥珀 </w:t>
            </w:r>
            <w:r>
              <w:rPr>
                <w:rFonts w:ascii="Times New Roman" w:hAnsi="Times New Roman" w:cs="Times New Roman" w:eastAsia="Times New Roman" w:hint="default"/>
                <w:sz w:val="18"/>
                <w:szCs w:val="18"/>
              </w:rPr>
              <w:t>50%</w:t>
            </w:r>
            <w:r>
              <w:rPr>
                <w:rFonts w:ascii="宋体" w:hAnsi="宋体" w:cs="宋体" w:eastAsia="宋体" w:hint="default"/>
                <w:sz w:val="18"/>
                <w:szCs w:val="18"/>
              </w:rPr>
              <w:t>的股权。同时公司分别以现金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11,296.95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万元为对价收购上海氩氪和琥珀传播原股东所持上海氩氪和琥珀传播</w:t>
            </w:r>
          </w:p>
          <w:p>
            <w:pPr>
              <w:pStyle w:val="TableParagraph"/>
              <w:spacing w:line="300" w:lineRule="auto" w:before="13"/>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的股权；另外，公司向自然人郑晓东、段永玲、郭海三名特定投资者定向增发人民币普通股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 7,475,380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股，每股发行价 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140,312,882.60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日，上海氩氪、琥珀传播上述股东以其所持有的上海氩氪、琥珀</w:t>
            </w:r>
          </w:p>
          <w:p>
            <w:pPr>
              <w:pStyle w:val="TableParagraph"/>
              <w:spacing w:line="300" w:lineRule="auto" w:before="13"/>
              <w:ind w:left="24" w:right="23"/>
              <w:jc w:val="both"/>
              <w:rPr>
                <w:rFonts w:ascii="宋体" w:hAnsi="宋体" w:cs="宋体" w:eastAsia="宋体" w:hint="default"/>
                <w:sz w:val="18"/>
                <w:szCs w:val="18"/>
              </w:rPr>
            </w:pPr>
            <w:r>
              <w:rPr>
                <w:rFonts w:ascii="宋体" w:hAnsi="宋体" w:cs="宋体" w:eastAsia="宋体" w:hint="default"/>
                <w:sz w:val="18"/>
                <w:szCs w:val="18"/>
              </w:rPr>
              <w:t>传播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股权作价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210,469,492.83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元及郑晓东、段永玲、郭海投入的货币资金人民币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140,312,882.60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元，合计认购本公司定向增 发人民币普通股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 18,688,459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股。上述上海氩氪、琥珀传播股权已按照法定方式转让给本公司；同日，主承销商中国民族证 券有限责任公司已将特定投资者郑晓东、段永玲、郭海投入的募集配套资金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140,312,882.60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元，坐扣财务顾问费</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后的募集金额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128,312,882.60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日汇入本公司募集资金监管账户。另扣除承销费、审计费、法定信息披露等</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其他发行费用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6,216,801.49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元后，公司本次合计募集配套资金净额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122,096,081.11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元。上述发行股份及支付现金购买资产并募集 配套资金到位情况业经天健会计师事务所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审验，并由其出具《验资报告》</w:t>
            </w:r>
            <w:r>
              <w:rPr>
                <w:rFonts w:ascii="Times New Roman" w:hAnsi="Times New Roman" w:cs="Times New Roman" w:eastAsia="Times New Roman" w:hint="default"/>
                <w:sz w:val="18"/>
                <w:szCs w:val="18"/>
              </w:rPr>
              <w:t>(</w:t>
            </w:r>
            <w:r>
              <w:rPr>
                <w:rFonts w:ascii="宋体" w:hAnsi="宋体" w:cs="宋体" w:eastAsia="宋体" w:hint="default"/>
                <w:sz w:val="18"/>
                <w:szCs w:val="18"/>
              </w:rPr>
              <w:t>天健验〔</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日，公司向上海氩氪、琥珀传播原股东和向三名特定投资者非公开发行的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18,688,459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股新增股份已在中国证券登记结算有限责</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任公司深圳分公司办妥登记存管手续，并于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日在深圳证券交易所上市。</w:t>
            </w:r>
          </w:p>
          <w:p>
            <w:pPr>
              <w:pStyle w:val="TableParagraph"/>
              <w:spacing w:line="300" w:lineRule="auto" w:before="102"/>
              <w:ind w:left="24" w:right="23"/>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0"/>
                <w:sz w:val="18"/>
                <w:szCs w:val="18"/>
              </w:rPr>
              <w:t> </w:t>
            </w:r>
            <w:r>
              <w:rPr>
                <w:rFonts w:ascii="宋体" w:hAnsi="宋体" w:cs="宋体" w:eastAsia="宋体" w:hint="default"/>
                <w:b/>
                <w:bCs/>
                <w:spacing w:val="-2"/>
                <w:sz w:val="18"/>
                <w:szCs w:val="18"/>
              </w:rPr>
              <w:t>年度发行股份及支付现金购买资产并募集配套资金情况：</w:t>
            </w:r>
            <w:r>
              <w:rPr>
                <w:rFonts w:ascii="宋体" w:hAnsi="宋体" w:cs="宋体" w:eastAsia="宋体" w:hint="default"/>
                <w:spacing w:val="-2"/>
                <w:sz w:val="18"/>
                <w:szCs w:val="18"/>
              </w:rPr>
              <w:t>经中国证券监督管理委员会《关于核准利欧集团股份有限公司向徐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先明等发行股份购买资产并募集配套资金的批复》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2395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核准，公司以发行股份及支付现金购买资产并募集 </w:t>
            </w:r>
            <w:r>
              <w:rPr>
                <w:rFonts w:ascii="宋体" w:hAnsi="宋体" w:cs="宋体" w:eastAsia="宋体" w:hint="default"/>
                <w:spacing w:val="-1"/>
                <w:sz w:val="18"/>
                <w:szCs w:val="18"/>
              </w:rPr>
              <w:t>配套资金的方式向江苏万圣伟业网络科技有限公司原股东徐先明、淮安明硕投利明信息咨询中心（有限合伙），以及北京微创时</w:t>
            </w:r>
          </w:p>
        </w:tc>
      </w:tr>
    </w:tbl>
    <w:p>
      <w:pPr>
        <w:spacing w:after="0" w:line="300" w:lineRule="auto"/>
        <w:jc w:val="both"/>
        <w:rPr>
          <w:rFonts w:ascii="宋体" w:hAnsi="宋体" w:cs="宋体" w:eastAsia="宋体" w:hint="default"/>
          <w:sz w:val="18"/>
          <w:szCs w:val="18"/>
        </w:rPr>
        <w:sectPr>
          <w:headerReference w:type="default" r:id="rId17"/>
          <w:footerReference w:type="default" r:id="rId18"/>
          <w:pgSz w:w="11910" w:h="16840"/>
          <w:pgMar w:header="877" w:footer="979" w:top="1100" w:bottom="1160" w:left="780" w:right="0"/>
          <w:pgNumType w:start="29"/>
        </w:sectPr>
      </w:pPr>
    </w:p>
    <w:p>
      <w:pPr>
        <w:spacing w:line="240" w:lineRule="auto" w:before="2"/>
        <w:rPr>
          <w:rFonts w:ascii="宋体" w:hAnsi="宋体" w:cs="宋体" w:eastAsia="宋体" w:hint="default"/>
          <w:sz w:val="24"/>
          <w:szCs w:val="24"/>
        </w:rPr>
      </w:pPr>
    </w:p>
    <w:p>
      <w:pPr>
        <w:spacing w:line="4438" w:lineRule="exact"/>
        <w:ind w:left="306" w:right="0" w:firstLine="0"/>
        <w:rPr>
          <w:rFonts w:ascii="宋体" w:hAnsi="宋体" w:cs="宋体" w:eastAsia="宋体" w:hint="default"/>
          <w:sz w:val="20"/>
          <w:szCs w:val="20"/>
        </w:rPr>
      </w:pPr>
      <w:r>
        <w:rPr>
          <w:rFonts w:ascii="宋体" w:hAnsi="宋体" w:cs="宋体" w:eastAsia="宋体" w:hint="default"/>
          <w:position w:val="-88"/>
          <w:sz w:val="20"/>
          <w:szCs w:val="20"/>
        </w:rPr>
        <w:pict>
          <v:group style="width:509.5pt;height:221.9pt;mso-position-horizontal-relative:char;mso-position-vertical-relative:line" coordorigin="0,0" coordsize="10190,4438">
            <v:group style="position:absolute;left:10;top:10;width:10114;height:2" coordorigin="10,10" coordsize="10114,2">
              <v:shape style="position:absolute;left:10;top:10;width:10114;height:2" coordorigin="10,10" coordsize="10114,0" path="m10,10l10123,10e" filled="false" stroked="true" strokeweight=".48pt" strokecolor="#000000">
                <v:path arrowok="t"/>
              </v:shape>
            </v:group>
            <v:group style="position:absolute;left:5;top:5;width:2;height:4429" coordorigin="5,5" coordsize="2,4429">
              <v:shape style="position:absolute;left:5;top:5;width:2;height:4429" coordorigin="5,5" coordsize="0,4429" path="m5,5l5,4433e" filled="false" stroked="true" strokeweight=".48pt" strokecolor="#000000">
                <v:path arrowok="t"/>
              </v:shape>
            </v:group>
            <v:group style="position:absolute;left:10;top:4428;width:10114;height:2" coordorigin="10,4428" coordsize="10114,2">
              <v:shape style="position:absolute;left:10;top:4428;width:10114;height:2" coordorigin="10,4428" coordsize="10114,0" path="m10,4428l10123,4428e" filled="false" stroked="true" strokeweight=".48pt" strokecolor="#000000">
                <v:path arrowok="t"/>
              </v:shape>
            </v:group>
            <v:group style="position:absolute;left:10128;top:5;width:2;height:4429" coordorigin="10128,5" coordsize="2,4429">
              <v:shape style="position:absolute;left:10128;top:5;width:2;height:4429" coordorigin="10128,5" coordsize="0,4429" path="m10128,5l10128,4433e" filled="false" stroked="true" strokeweight=".48pt" strokecolor="#000000">
                <v:path arrowok="t"/>
              </v:shape>
              <v:shape style="position:absolute;left:0;top:0;width:10190;height:4438" type="#_x0000_t202" filled="false" stroked="false">
                <v:textbox inset="0,0,0,0">
                  <w:txbxContent>
                    <w:p>
                      <w:pPr>
                        <w:spacing w:line="302" w:lineRule="auto" w:before="25"/>
                        <w:ind w:left="33" w:right="0" w:firstLine="0"/>
                        <w:jc w:val="left"/>
                        <w:rPr>
                          <w:rFonts w:ascii="宋体" w:hAnsi="宋体" w:cs="宋体" w:eastAsia="宋体" w:hint="default"/>
                          <w:sz w:val="18"/>
                          <w:szCs w:val="18"/>
                        </w:rPr>
                      </w:pPr>
                      <w:r>
                        <w:rPr>
                          <w:rFonts w:ascii="宋体" w:hAnsi="宋体" w:cs="宋体" w:eastAsia="宋体" w:hint="default"/>
                          <w:spacing w:val="-4"/>
                          <w:sz w:val="18"/>
                          <w:szCs w:val="18"/>
                        </w:rPr>
                        <w:t>代广告有限公司原股东刘璐、何若萌定向增发人民币普通股</w:t>
                      </w:r>
                      <w:r>
                        <w:rPr>
                          <w:rFonts w:ascii="Times New Roman" w:hAnsi="Times New Roman" w:cs="Times New Roman" w:eastAsia="Times New Roman" w:hint="default"/>
                          <w:spacing w:val="-4"/>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 235,731,223 </w:t>
                      </w:r>
                      <w:r>
                        <w:rPr>
                          <w:rFonts w:ascii="宋体" w:hAnsi="宋体" w:cs="宋体" w:eastAsia="宋体" w:hint="default"/>
                          <w:spacing w:val="-12"/>
                          <w:sz w:val="18"/>
                          <w:szCs w:val="18"/>
                        </w:rPr>
                        <w:t>股，每股发行价格 </w:t>
                      </w:r>
                      <w:r>
                        <w:rPr>
                          <w:rFonts w:ascii="Times New Roman" w:hAnsi="Times New Roman" w:cs="Times New Roman" w:eastAsia="Times New Roman" w:hint="default"/>
                          <w:sz w:val="18"/>
                          <w:szCs w:val="18"/>
                        </w:rPr>
                        <w:t>7.59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发行价格按本贵公司</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年半年度权益分派方案实施之后的情况进行了相应调整，下同</w:t>
                      </w:r>
                      <w:r>
                        <w:rPr>
                          <w:rFonts w:ascii="Times New Roman" w:hAnsi="Times New Roman" w:cs="Times New Roman" w:eastAsia="Times New Roman" w:hint="default"/>
                          <w:sz w:val="18"/>
                          <w:szCs w:val="18"/>
                        </w:rPr>
                        <w:t>)</w:t>
                      </w:r>
                      <w:r>
                        <w:rPr>
                          <w:rFonts w:ascii="宋体" w:hAnsi="宋体" w:cs="宋体" w:eastAsia="宋体" w:hint="default"/>
                          <w:sz w:val="18"/>
                          <w:szCs w:val="18"/>
                        </w:rPr>
                        <w:t>，分别收购其所持万圣伟业和微创时代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的股权。同时 公司分别以现金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82,880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29,400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万元为对价，收购万圣伟业和微创时代原股东所持万圣伟业和微创时代</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的股权； 另外，公司通过询价并最终确认向中欧盛世资产管理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有限公司、英大基金管理有限公司、中国北方工业公司、安信基金管 理有限责任公司、珠海中兵广发投资基金合伙企业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、云南卓晔投资管理有限公司等六名其他特定投资者定向增发人民 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99,423,076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股，每股发行价格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1,757,799,983.68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日，万圣伟业、 微创时代上述股东以其所持有的万圣伟业、微创时代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股权作价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1,789,199,982.57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元及六名其他特定投资者投入的货币 资金人民币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1,757,799,983.68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元，合计认购本公司定向增发人民币普通股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335,154,299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股。上述万圣伟业、微创时代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权已按照法定方式过户转让给本公司；同日，主承销商中国民族证券有限责任公司已将六名其他特定投资者投入的募集配套资金 </w:t>
                      </w:r>
                      <w:r>
                        <w:rPr>
                          <w:rFonts w:ascii="Times New Roman" w:hAnsi="Times New Roman" w:cs="Times New Roman" w:eastAsia="Times New Roman" w:hint="default"/>
                          <w:sz w:val="18"/>
                          <w:szCs w:val="18"/>
                        </w:rPr>
                        <w:t>1,757,799,983.68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元，坐扣承销费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元后的募集金额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1,731,299,983.68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 监管账户。上述发行股份及支付现金购买资产并募集配套资金到位情况业经天健会计师事务所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审验，并由其出具</w:t>
                      </w:r>
                    </w:p>
                    <w:p>
                      <w:pPr>
                        <w:spacing w:line="300" w:lineRule="auto" w:before="11"/>
                        <w:ind w:left="33" w:right="87" w:firstLine="0"/>
                        <w:jc w:val="both"/>
                        <w:rPr>
                          <w:rFonts w:ascii="宋体" w:hAnsi="宋体" w:cs="宋体" w:eastAsia="宋体" w:hint="default"/>
                          <w:sz w:val="18"/>
                          <w:szCs w:val="18"/>
                        </w:rPr>
                      </w:pPr>
                      <w:r>
                        <w:rPr>
                          <w:rFonts w:ascii="宋体" w:hAnsi="宋体" w:cs="宋体" w:eastAsia="宋体" w:hint="default"/>
                          <w:sz w:val="18"/>
                          <w:szCs w:val="18"/>
                        </w:rPr>
                        <w:t>《验资报告》</w:t>
                      </w:r>
                      <w:r>
                        <w:rPr>
                          <w:rFonts w:ascii="Times New Roman" w:hAnsi="Times New Roman" w:cs="Times New Roman" w:eastAsia="Times New Roman" w:hint="default"/>
                          <w:sz w:val="18"/>
                          <w:szCs w:val="18"/>
                        </w:rPr>
                        <w:t>(</w:t>
                      </w:r>
                      <w:r>
                        <w:rPr>
                          <w:rFonts w:ascii="宋体" w:hAnsi="宋体" w:cs="宋体" w:eastAsia="宋体" w:hint="default"/>
                          <w:sz w:val="18"/>
                          <w:szCs w:val="18"/>
                        </w:rPr>
                        <w:t>天健验〔</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485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日，公司向万圣伟业、微创时代原股东和向六名其他特定投资者非公开发 行的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335,154,299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股新增股份已在中国证券登记结算有限责任公司深圳分公司办妥登记存管手续，并于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日在深圳 证券交易所上市。</w:t>
                      </w:r>
                    </w:p>
                  </w:txbxContent>
                </v:textbox>
                <w10:wrap type="none"/>
              </v:shape>
            </v:group>
          </v:group>
        </w:pict>
      </w:r>
      <w:r>
        <w:rPr>
          <w:rFonts w:ascii="宋体" w:hAnsi="宋体" w:cs="宋体" w:eastAsia="宋体" w:hint="default"/>
          <w:position w:val="-88"/>
          <w:sz w:val="20"/>
          <w:szCs w:val="20"/>
        </w:rPr>
      </w:r>
    </w:p>
    <w:p>
      <w:pPr>
        <w:spacing w:line="240" w:lineRule="auto" w:before="4"/>
        <w:rPr>
          <w:rFonts w:ascii="宋体" w:hAnsi="宋体" w:cs="宋体" w:eastAsia="宋体" w:hint="default"/>
          <w:sz w:val="19"/>
          <w:szCs w:val="19"/>
        </w:rPr>
      </w:pPr>
    </w:p>
    <w:p>
      <w:pPr>
        <w:spacing w:line="288" w:lineRule="auto" w:before="38"/>
        <w:ind w:left="553" w:right="1121" w:firstLine="0"/>
        <w:jc w:val="left"/>
        <w:rPr>
          <w:rFonts w:ascii="仿宋" w:hAnsi="仿宋" w:cs="仿宋" w:eastAsia="仿宋" w:hint="default"/>
          <w:sz w:val="20"/>
          <w:szCs w:val="20"/>
        </w:rPr>
      </w:pPr>
      <w:r>
        <w:rPr>
          <w:rFonts w:ascii="仿宋" w:hAnsi="仿宋" w:cs="仿宋" w:eastAsia="仿宋" w:hint="default"/>
          <w:sz w:val="20"/>
          <w:szCs w:val="20"/>
        </w:rPr>
        <w:t>【注】：募集资金总额包含募集资金产生的银行存款利息。更详细的内容见公司《</w:t>
      </w:r>
      <w:r>
        <w:rPr>
          <w:rFonts w:ascii="仿宋" w:hAnsi="仿宋" w:cs="仿宋" w:eastAsia="仿宋" w:hint="default"/>
          <w:sz w:val="20"/>
          <w:szCs w:val="20"/>
        </w:rPr>
        <w:t>2015</w:t>
      </w:r>
      <w:r>
        <w:rPr>
          <w:rFonts w:ascii="仿宋" w:hAnsi="仿宋" w:cs="仿宋" w:eastAsia="仿宋" w:hint="default"/>
          <w:spacing w:val="-68"/>
          <w:sz w:val="20"/>
          <w:szCs w:val="20"/>
        </w:rPr>
        <w:t> </w:t>
      </w:r>
      <w:r>
        <w:rPr>
          <w:rFonts w:ascii="仿宋" w:hAnsi="仿宋" w:cs="仿宋" w:eastAsia="仿宋" w:hint="default"/>
          <w:sz w:val="20"/>
          <w:szCs w:val="20"/>
        </w:rPr>
        <w:t>年度募集资金年度存放</w:t>
      </w:r>
      <w:r>
        <w:rPr>
          <w:rFonts w:ascii="仿宋" w:hAnsi="仿宋" w:cs="仿宋" w:eastAsia="仿宋" w:hint="default"/>
          <w:w w:val="100"/>
          <w:sz w:val="20"/>
          <w:szCs w:val="20"/>
        </w:rPr>
        <w:t> </w:t>
      </w:r>
      <w:r>
        <w:rPr>
          <w:rFonts w:ascii="仿宋" w:hAnsi="仿宋" w:cs="仿宋" w:eastAsia="仿宋" w:hint="default"/>
          <w:sz w:val="20"/>
          <w:szCs w:val="20"/>
        </w:rPr>
        <w:t>与使用情况的专项报告》。</w:t>
      </w:r>
    </w:p>
    <w:p>
      <w:pPr>
        <w:spacing w:line="240" w:lineRule="auto" w:before="11"/>
        <w:rPr>
          <w:rFonts w:ascii="仿宋" w:hAnsi="仿宋" w:cs="仿宋" w:eastAsia="仿宋" w:hint="default"/>
          <w:sz w:val="23"/>
          <w:szCs w:val="23"/>
        </w:rPr>
      </w:pPr>
    </w:p>
    <w:p>
      <w:pPr>
        <w:spacing w:before="0"/>
        <w:ind w:left="554" w:right="1121" w:firstLine="0"/>
        <w:jc w:val="left"/>
        <w:rPr>
          <w:rFonts w:ascii="宋体" w:hAnsi="宋体" w:cs="宋体" w:eastAsia="宋体" w:hint="default"/>
          <w:sz w:val="20"/>
          <w:szCs w:val="20"/>
        </w:rPr>
      </w:pPr>
      <w:bookmarkStart w:name="（2）募集资金承诺项目情况" w:id="51"/>
      <w:bookmarkEnd w:id="5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）募集资金承诺项目情况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554" w:right="11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767"/>
        <w:gridCol w:w="783"/>
        <w:gridCol w:w="1031"/>
        <w:gridCol w:w="1008"/>
        <w:gridCol w:w="1007"/>
        <w:gridCol w:w="1008"/>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9" w:right="65"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59"/>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3" w:right="48"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8" w:right="47"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47"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1050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支付交易中的现金对 价及本次交易税费等 相关费用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sz w:val="18"/>
              </w:rPr>
              <w:t>14,031.76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sz w:val="18"/>
              </w:rPr>
              <w:t>14,031.76</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0.46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sz w:val="18"/>
              </w:rPr>
              <w:t>14,031.76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pacing w:val="-9"/>
                <w:sz w:val="18"/>
                <w:szCs w:val="18"/>
              </w:rPr>
              <w:t>补充流动资金、支付交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易中的现金对价及本 次交易税费等相关费 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175,789.53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sz w:val="18"/>
              </w:rPr>
              <w:t>175,789.53</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159,133.53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sz w:val="18"/>
              </w:rPr>
              <w:t>159,133.53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90.53%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1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189,821.29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189,821.29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159,133.99</w:t>
            </w:r>
          </w:p>
        </w:tc>
        <w:tc>
          <w:tcPr>
            <w:tcW w:w="10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173,165.29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1"/>
              <w:ind w:left="327"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397" w:hRule="exact"/>
        </w:trPr>
        <w:tc>
          <w:tcPr>
            <w:tcW w:w="1050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3"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10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189,821.29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189,821.29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center"/>
              <w:rPr>
                <w:rFonts w:ascii="宋体" w:hAnsi="宋体" w:cs="宋体" w:eastAsia="宋体" w:hint="default"/>
                <w:sz w:val="18"/>
                <w:szCs w:val="18"/>
              </w:rPr>
            </w:pPr>
            <w:r>
              <w:rPr>
                <w:rFonts w:ascii="宋体"/>
                <w:sz w:val="18"/>
              </w:rPr>
              <w:t>159,133.99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0"/>
              <w:jc w:val="left"/>
              <w:rPr>
                <w:rFonts w:ascii="宋体" w:hAnsi="宋体" w:cs="宋体" w:eastAsia="宋体" w:hint="default"/>
                <w:sz w:val="18"/>
                <w:szCs w:val="18"/>
              </w:rPr>
            </w:pPr>
            <w:r>
              <w:rPr>
                <w:rFonts w:ascii="宋体"/>
                <w:sz w:val="18"/>
              </w:rPr>
              <w:t>173,165.29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737"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580" w:right="0"/>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1770"/>
        <w:gridCol w:w="8733"/>
      </w:tblGrid>
      <w:tr>
        <w:trPr>
          <w:trHeight w:val="714"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73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873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7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87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7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87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8733"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73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873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日，公司以自筹资金预先投入募集配套资金项目的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16,245.28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万元尚未置换。</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73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8733"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73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73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存于银行</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19"/>
          <w:szCs w:val="19"/>
        </w:rPr>
      </w:pPr>
    </w:p>
    <w:p>
      <w:pPr>
        <w:spacing w:before="38"/>
        <w:ind w:left="554" w:right="1121" w:firstLine="0"/>
        <w:jc w:val="left"/>
        <w:rPr>
          <w:rFonts w:ascii="宋体" w:hAnsi="宋体" w:cs="宋体" w:eastAsia="宋体" w:hint="default"/>
          <w:sz w:val="20"/>
          <w:szCs w:val="20"/>
        </w:rPr>
      </w:pPr>
      <w:bookmarkStart w:name="（3）募集资金变更项目情况" w:id="52"/>
      <w:bookmarkEnd w:id="5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）募集资金变更项目情况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40" w:lineRule="auto" w:before="0"/>
        <w:ind w:left="5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left="553" w:right="1121"/>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6"/>
        <w:rPr>
          <w:rFonts w:ascii="宋体" w:hAnsi="宋体" w:cs="宋体" w:eastAsia="宋体" w:hint="default"/>
          <w:b/>
          <w:bCs/>
          <w:sz w:val="25"/>
          <w:szCs w:val="25"/>
        </w:rPr>
      </w:pPr>
    </w:p>
    <w:p>
      <w:pPr>
        <w:spacing w:before="0"/>
        <w:ind w:left="553" w:right="1121" w:firstLine="0"/>
        <w:jc w:val="left"/>
        <w:rPr>
          <w:rFonts w:ascii="宋体" w:hAnsi="宋体" w:cs="宋体" w:eastAsia="宋体" w:hint="default"/>
          <w:sz w:val="20"/>
          <w:szCs w:val="20"/>
        </w:rPr>
      </w:pPr>
      <w:bookmarkStart w:name="1、出售重大资产情况" w:id="54"/>
      <w:bookmarkEnd w:id="54"/>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、出售重大资产情况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38" w:lineRule="auto" w:before="0"/>
        <w:ind w:left="5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1"/>
          <w:szCs w:val="21"/>
        </w:rPr>
      </w:pPr>
    </w:p>
    <w:p>
      <w:pPr>
        <w:spacing w:before="0"/>
        <w:ind w:left="553" w:right="1121" w:firstLine="0"/>
        <w:jc w:val="left"/>
        <w:rPr>
          <w:rFonts w:ascii="宋体" w:hAnsi="宋体" w:cs="宋体" w:eastAsia="宋体" w:hint="default"/>
          <w:sz w:val="20"/>
          <w:szCs w:val="20"/>
        </w:rPr>
      </w:pPr>
      <w:bookmarkStart w:name="2、出售重大股权情况" w:id="55"/>
      <w:bookmarkEnd w:id="55"/>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、出售重大股权情况</w:t>
      </w:r>
      <w:r>
        <w:rPr>
          <w:rFonts w:ascii="宋体" w:hAnsi="宋体" w:cs="宋体" w:eastAsia="宋体" w:hint="default"/>
          <w:sz w:val="20"/>
          <w:szCs w:val="20"/>
        </w:rPr>
      </w:r>
    </w:p>
    <w:p>
      <w:pPr>
        <w:spacing w:line="240" w:lineRule="auto" w:before="13"/>
        <w:rPr>
          <w:rFonts w:ascii="宋体" w:hAnsi="宋体" w:cs="宋体" w:eastAsia="宋体" w:hint="default"/>
          <w:b/>
          <w:bCs/>
          <w:sz w:val="26"/>
          <w:szCs w:val="26"/>
        </w:rPr>
      </w:pPr>
    </w:p>
    <w:p>
      <w:pPr>
        <w:spacing w:before="0"/>
        <w:ind w:left="553" w:right="11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580" w:right="0"/>
        </w:sectPr>
      </w:pPr>
    </w:p>
    <w:p>
      <w:pPr>
        <w:spacing w:before="15"/>
        <w:ind w:left="0" w:right="1436" w:firstLine="0"/>
        <w:jc w:val="righ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2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left="320"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9"/>
          <w:footerReference w:type="default" r:id="rId20"/>
          <w:pgSz w:w="16840" w:h="11910" w:orient="landscape"/>
          <w:pgMar w:header="0" w:footer="0" w:top="800" w:bottom="0" w:left="1120" w:right="0"/>
        </w:sectPr>
      </w:pPr>
    </w:p>
    <w:p>
      <w:pPr>
        <w:spacing w:before="44"/>
        <w:ind w:left="32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320"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32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1120" w:right="0"/>
          <w:cols w:num="2" w:equalWidth="0">
            <w:col w:w="5015" w:space="8224"/>
            <w:col w:w="2481"/>
          </w:cols>
        </w:sectPr>
      </w:pP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877"/>
        <w:gridCol w:w="1195"/>
        <w:gridCol w:w="1676"/>
        <w:gridCol w:w="1497"/>
        <w:gridCol w:w="1513"/>
        <w:gridCol w:w="1361"/>
        <w:gridCol w:w="1513"/>
        <w:gridCol w:w="1388"/>
        <w:gridCol w:w="1348"/>
      </w:tblGrid>
      <w:tr>
        <w:trPr>
          <w:trHeight w:val="402" w:hRule="exact"/>
        </w:trPr>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农机具、泵及配件</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53,690,000.00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229,348,818.70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151,338,163.27</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179,408,578.50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31,872,014.55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27,939,468.83</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120,000,000.00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424,911,902.37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35,695,608.31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283,940,909.28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-13,174,685.85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-12,354,312.43</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湖南利欧天鹅工业泵有限公司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108,000,000.00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339,231,523.11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176,416,705.76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250,177,270.22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-26,399,931.53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-25,115,690.86</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103,690,000.00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178,325,772.20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38,432,287.12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104,347,422.58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-13,322,053.50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-10,500,776.91</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50,000,000.00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203,749,816.23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103,833,971.54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137,786,591.03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2,691,073.60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383,798.19</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数字媒介代理服务</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1,000,000.00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1,147,352,653.43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129,512,592.70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1,910,158,858.50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62,994,586.38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63,033,220.03</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1,800,180.00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198,740,674.29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148,585,449.61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174,042,282.10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34,126,242.30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25,477,744.77</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1,635,000.00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69,562,374.07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44,840,568.17</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128,633,986.49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27,823,223.93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20,648,525.42</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流量整合业务</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5,000,000.00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341,906,040.44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227,688,294.59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710,160,818.00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192,633,010.74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166,809,588.81</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精准营销服务</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5,000,000.00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332,346,681.08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107,748,102.71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702,162,494.74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76,464,214.46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67,980,155.45</w:t>
            </w:r>
          </w:p>
        </w:tc>
      </w:tr>
      <w:tr>
        <w:trPr>
          <w:trHeight w:val="402" w:hRule="exact"/>
        </w:trPr>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100,000,000.00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157,131,956.04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147,915,067.60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10,558,431.93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-745,748.42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-803,794.42</w:t>
            </w:r>
          </w:p>
        </w:tc>
      </w:tr>
    </w:tbl>
    <w:p>
      <w:pPr>
        <w:spacing w:before="88"/>
        <w:ind w:left="32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、上述各参控股公司以其各自的审计报告的数据列示。</w:t>
      </w:r>
    </w:p>
    <w:p>
      <w:pPr>
        <w:spacing w:line="240" w:lineRule="auto" w:before="10"/>
        <w:rPr>
          <w:rFonts w:ascii="宋体" w:hAnsi="宋体" w:cs="宋体" w:eastAsia="宋体" w:hint="default"/>
          <w:sz w:val="17"/>
          <w:szCs w:val="17"/>
        </w:rPr>
      </w:pPr>
    </w:p>
    <w:p>
      <w:pPr>
        <w:spacing w:before="0"/>
        <w:ind w:left="1039"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、万圣伟业、微创时代数据为</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日资产负债表及</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月利润表的数据。</w:t>
      </w:r>
    </w:p>
    <w:p>
      <w:pPr>
        <w:spacing w:line="548" w:lineRule="exact" w:before="4"/>
        <w:ind w:left="319" w:right="7729" w:firstLine="72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、上海漫酷、上海氩氪、琥珀传播、万圣伟业和微创时代的净利润均已计提超额奖励。 报告期内取得和处置子公司的情况</w:t>
      </w:r>
    </w:p>
    <w:p>
      <w:pPr>
        <w:spacing w:before="33"/>
        <w:ind w:left="31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5"/>
          <w:szCs w:val="15"/>
        </w:rPr>
      </w:pPr>
    </w:p>
    <w:p>
      <w:pPr>
        <w:spacing w:before="76"/>
        <w:ind w:left="7190" w:right="8307" w:firstLine="0"/>
        <w:jc w:val="center"/>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1312" type="#_x0000_t75" stroked="false">
            <v:imagedata r:id="rId21" o:title=""/>
          </v:shape>
        </w:pict>
      </w:r>
      <w:r>
        <w:rPr>
          <w:rFonts w:ascii="Times New Roman"/>
          <w:sz w:val="18"/>
        </w:rPr>
        <w:t>32</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160" w:left="11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江苏万圣伟业有限公司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增加经营业绩</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北京微创时代有限公司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增加经营业绩</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利欧集团数字科技上海有限公司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资产整合需要</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上海利柯网络科技有限公司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业务发展需要</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CrystalWater Products</w:t>
            </w:r>
            <w:r>
              <w:rPr>
                <w:rFonts w:ascii="Times New Roman"/>
                <w:spacing w:val="-5"/>
                <w:sz w:val="18"/>
              </w:rPr>
              <w:t> </w:t>
            </w:r>
            <w:r>
              <w:rPr>
                <w:rFonts w:ascii="Times New Roman"/>
                <w:sz w:val="18"/>
              </w:rPr>
              <w:t>Inc.</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LEO ITALIA</w:t>
            </w:r>
            <w:r>
              <w:rPr>
                <w:rFonts w:ascii="Times New Roman"/>
                <w:spacing w:val="-5"/>
                <w:sz w:val="18"/>
              </w:rPr>
              <w:t> </w:t>
            </w:r>
            <w:r>
              <w:rPr>
                <w:rFonts w:ascii="Times New Roman"/>
                <w:sz w:val="18"/>
              </w:rPr>
              <w:t>S.R.L</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利普诺持之水泵系统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316" w:lineRule="auto" w:before="51"/>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注：为了开拓国内市场，控股子公司浙江利欧环境科技有限公司投资设立成都利欧环境科技有限公司、陕西利欧环境科技有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限公司、深圳利欧环境科技有限公司、天津利欧艾瑞环境科技有限公司、安徽利欧环境科技有限公司和北京利欧永大环境科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技有限公司等公司；湖南利欧天鹅工业泵有限公司投资设立湖南晟廷科技有限公司、湖南同安贸易有限公司。</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3"/>
        <w:spacing w:line="240" w:lineRule="auto" w:before="0"/>
        <w:ind w:right="0"/>
        <w:jc w:val="left"/>
        <w:rPr>
          <w:b w:val="0"/>
          <w:bCs w:val="0"/>
        </w:rPr>
      </w:pPr>
      <w:r>
        <w:rPr/>
        <w:t>（一）公司发展战略</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left="154" w:right="1023" w:firstLine="420"/>
        <w:jc w:val="left"/>
      </w:pPr>
      <w:r>
        <w:rPr/>
        <w:t>未来，在保持机械制造业务稳步发展、适度增长的基础上，公司将坚定不移执行向互联网产业转型的 </w:t>
      </w:r>
      <w:r>
        <w:rPr>
          <w:spacing w:val="-3"/>
        </w:rPr>
        <w:t>战略。目前，公司数字营销服务已覆盖营销策略和创意、媒体投放和执行、效果监测和优化、社会化营销、</w:t>
      </w:r>
      <w:r>
        <w:rPr>
          <w:spacing w:val="-93"/>
        </w:rPr>
        <w:t> </w:t>
      </w:r>
      <w:r>
        <w:rPr>
          <w:spacing w:val="-93"/>
        </w:rPr>
      </w:r>
      <w:r>
        <w:rPr/>
        <w:t>精准营销、流量整合等完整的服务链条，成功建立了从基础的互联网流量整合到全方位精准数字营销服务</w:t>
      </w:r>
      <w:r>
        <w:rPr/>
        <w:t> 于一体的整合营销平台。</w:t>
      </w:r>
    </w:p>
    <w:p>
      <w:pPr>
        <w:pStyle w:val="BodyText"/>
        <w:spacing w:line="408" w:lineRule="auto" w:before="46"/>
        <w:ind w:right="1130" w:firstLine="420"/>
        <w:jc w:val="both"/>
      </w:pPr>
      <w:r>
        <w:rPr>
          <w:spacing w:val="-1"/>
        </w:rPr>
        <w:t>随着互联网、移动互联网深入到社会的每一个角落，娱乐产业与互联网的关系愈加紧密，由此催生了</w:t>
      </w:r>
      <w:r>
        <w:rPr/>
        <w:t> </w:t>
      </w:r>
      <w:r>
        <w:rPr>
          <w:spacing w:val="-1"/>
        </w:rPr>
        <w:t>基于互联网平台的新互动娱乐模式，也使得</w:t>
      </w:r>
      <w:r>
        <w:rPr>
          <w:rFonts w:ascii="宋体" w:hAnsi="宋体" w:cs="宋体" w:eastAsia="宋体" w:hint="default"/>
          <w:spacing w:val="-1"/>
        </w:rPr>
        <w:t>2015</w:t>
      </w:r>
      <w:r>
        <w:rPr>
          <w:spacing w:val="-1"/>
        </w:rPr>
        <w:t>年成为中国互动娱乐的元年。同时基于互联网巨大的传播</w:t>
      </w:r>
      <w:r>
        <w:rPr>
          <w:spacing w:val="-81"/>
        </w:rPr>
        <w:t> </w:t>
      </w:r>
      <w:r>
        <w:rPr>
          <w:spacing w:val="-81"/>
        </w:rPr>
      </w:r>
      <w:r>
        <w:rPr>
          <w:spacing w:val="-1"/>
        </w:rPr>
        <w:t>效应，中国影视行业也出现飞速发展，基于</w:t>
      </w:r>
      <w:r>
        <w:rPr>
          <w:rFonts w:ascii="宋体" w:hAnsi="宋体" w:cs="宋体" w:eastAsia="宋体" w:hint="default"/>
          <w:spacing w:val="-1"/>
        </w:rPr>
        <w:t>IP</w:t>
      </w:r>
      <w:r>
        <w:rPr>
          <w:spacing w:val="-1"/>
        </w:rPr>
        <w:t>的影视作品层出不穷，影视行业呈现出百花齐放、百家争鸣</w:t>
      </w:r>
      <w:r>
        <w:rPr>
          <w:spacing w:val="-86"/>
        </w:rPr>
        <w:t> </w:t>
      </w:r>
      <w:r>
        <w:rPr>
          <w:spacing w:val="-86"/>
        </w:rPr>
      </w:r>
      <w:r>
        <w:rPr>
          <w:spacing w:val="-1"/>
        </w:rPr>
        <w:t>的繁荣景象。面对这一新的形势，越来越多的品牌广告主希望加大在互动娱乐领域的广告预算投入。但与</w:t>
      </w:r>
      <w:r>
        <w:rPr>
          <w:spacing w:val="-83"/>
        </w:rPr>
        <w:t> </w:t>
      </w:r>
      <w:r>
        <w:rPr>
          <w:spacing w:val="-83"/>
        </w:rPr>
      </w:r>
      <w:r>
        <w:rPr>
          <w:spacing w:val="-1"/>
        </w:rPr>
        <w:t>此相对应的是，目前国产影视剧植入方式较为简单、低级、生硬，文化互娱公司本身希望在为广告主服务</w:t>
      </w:r>
      <w:r>
        <w:rPr>
          <w:spacing w:val="-86"/>
        </w:rPr>
        <w:t> </w:t>
      </w:r>
      <w:r>
        <w:rPr>
          <w:spacing w:val="-86"/>
        </w:rPr>
      </w:r>
      <w:r>
        <w:rPr/>
        <w:t>时能够得到专业的营销服务机构的帮助，使得其与广告主的对接能力能够得到进一步的提升。</w:t>
      </w:r>
    </w:p>
    <w:p>
      <w:pPr>
        <w:pStyle w:val="BodyText"/>
        <w:spacing w:line="408" w:lineRule="auto" w:before="46"/>
        <w:ind w:right="1024" w:firstLine="420"/>
        <w:jc w:val="left"/>
      </w:pPr>
      <w:r>
        <w:rPr/>
        <w:t>公司清楚的认识到互联网对娱乐产业的巨大冲击以及带来的机遇，</w:t>
      </w:r>
      <w:r>
        <w:rPr>
          <w:rFonts w:ascii="宋体" w:hAnsi="宋体" w:cs="宋体" w:eastAsia="宋体" w:hint="default"/>
        </w:rPr>
        <w:t>2016</w:t>
      </w:r>
      <w:r>
        <w:rPr/>
        <w:t>年，利欧股份将在内容和娱乐 </w:t>
      </w:r>
      <w:r>
        <w:rPr>
          <w:spacing w:val="-3"/>
        </w:rPr>
        <w:t>营销上进行持续的布局，包括影视剧植入公司、网生内容公司、影视剧制作公司以及其他的互动娱乐产业，</w:t>
      </w:r>
      <w:r>
        <w:rPr>
          <w:spacing w:val="-90"/>
        </w:rPr>
        <w:t> </w:t>
      </w:r>
      <w:r>
        <w:rPr>
          <w:spacing w:val="-90"/>
        </w:rPr>
      </w:r>
      <w:r>
        <w:rPr/>
        <w:t>在</w:t>
      </w:r>
      <w:r>
        <w:rPr>
          <w:rFonts w:ascii="宋体" w:hAnsi="宋体" w:cs="宋体" w:eastAsia="宋体" w:hint="default"/>
        </w:rPr>
        <w:t>2016</w:t>
      </w:r>
      <w:r>
        <w:rPr/>
        <w:t>年打造专业的“利欧互娱”品牌业务。基于这一战略，</w:t>
      </w:r>
      <w:r>
        <w:rPr>
          <w:rFonts w:ascii="宋体" w:hAnsi="宋体" w:cs="宋体" w:eastAsia="宋体" w:hint="default"/>
        </w:rPr>
        <w:t>2016</w:t>
      </w:r>
      <w:r>
        <w:rPr/>
        <w:t>年伊始，公司相继投资了专业的影视剧</w:t>
      </w:r>
    </w:p>
    <w:p>
      <w:pPr>
        <w:spacing w:after="0" w:line="408" w:lineRule="auto"/>
        <w:jc w:val="left"/>
        <w:sectPr>
          <w:footerReference w:type="default" r:id="rId22"/>
          <w:pgSz w:w="11910" w:h="16840"/>
          <w:pgMar w:footer="979" w:header="0" w:top="1100" w:bottom="1160" w:left="980" w:right="0"/>
          <w:pgNumType w:start="33"/>
        </w:sectPr>
      </w:pPr>
    </w:p>
    <w:p>
      <w:pPr>
        <w:spacing w:line="240" w:lineRule="auto" w:before="8"/>
        <w:rPr>
          <w:rFonts w:ascii="宋体" w:hAnsi="宋体" w:cs="宋体" w:eastAsia="宋体" w:hint="default"/>
          <w:sz w:val="26"/>
          <w:szCs w:val="26"/>
        </w:rPr>
      </w:pPr>
    </w:p>
    <w:p>
      <w:pPr>
        <w:pStyle w:val="BodyText"/>
        <w:spacing w:line="408" w:lineRule="auto" w:before="35"/>
        <w:ind w:right="1130"/>
        <w:jc w:val="both"/>
      </w:pPr>
      <w:r>
        <w:rPr>
          <w:spacing w:val="-1"/>
        </w:rPr>
        <w:t>植入公司北京世纪鲲鹏国际传媒广告有限公司和影视剧制作公司北京盛夏星空影视传媒股份有限公司，实</w:t>
      </w:r>
      <w:r>
        <w:rPr>
          <w:spacing w:val="-81"/>
        </w:rPr>
        <w:t> </w:t>
      </w:r>
      <w:r>
        <w:rPr>
          <w:spacing w:val="-81"/>
        </w:rPr>
      </w:r>
      <w:r>
        <w:rPr>
          <w:spacing w:val="-1"/>
        </w:rPr>
        <w:t>现在互动娱乐产业的初步布局。公司除依靠资本市场积极在互联网娱乐领域进行布局之外，也通过体外培</w:t>
      </w:r>
      <w:r>
        <w:rPr>
          <w:spacing w:val="-81"/>
        </w:rPr>
        <w:t> </w:t>
      </w:r>
      <w:r>
        <w:rPr>
          <w:spacing w:val="-81"/>
        </w:rPr>
      </w:r>
      <w:r>
        <w:rPr>
          <w:spacing w:val="-1"/>
        </w:rPr>
        <w:t>育的方式进行项目储备。公司的关联公司淮安利欧影视投资合伙企业，目前已经投资并设立了上海利欧元</w:t>
      </w:r>
      <w:r>
        <w:rPr>
          <w:spacing w:val="-81"/>
        </w:rPr>
        <w:t> </w:t>
      </w:r>
      <w:r>
        <w:rPr>
          <w:spacing w:val="-81"/>
        </w:rPr>
      </w:r>
      <w:r>
        <w:rPr/>
        <w:t>力影业有限公司和上海利欧心动影业有限公司。</w:t>
      </w:r>
    </w:p>
    <w:p>
      <w:pPr>
        <w:pStyle w:val="BodyText"/>
        <w:spacing w:line="408" w:lineRule="auto" w:before="46"/>
        <w:ind w:left="154" w:right="1131" w:firstLine="420"/>
        <w:jc w:val="both"/>
      </w:pPr>
      <w:r>
        <w:rPr>
          <w:spacing w:val="-1"/>
        </w:rPr>
        <w:t>未来，公司将继续充分利用上市公司的资本平台，借助收购兼并手段，高效率、高质量地并购市场上</w:t>
      </w:r>
      <w:r>
        <w:rPr/>
        <w:t> </w:t>
      </w:r>
      <w:r>
        <w:rPr>
          <w:spacing w:val="-1"/>
        </w:rPr>
        <w:t>的优质公司，在做大业务体量的同时不断提升技术能力和专业服务能力，确保数字营销业务板块的整体市</w:t>
      </w:r>
      <w:r>
        <w:rPr>
          <w:spacing w:val="-81"/>
        </w:rPr>
        <w:t> </w:t>
      </w:r>
      <w:r>
        <w:rPr>
          <w:spacing w:val="-81"/>
        </w:rPr>
      </w:r>
      <w:r>
        <w:rPr/>
        <w:t>场竞争力不断提升，为公司业绩提升奠定坚实基础。</w:t>
      </w:r>
    </w:p>
    <w:p>
      <w:pPr>
        <w:pStyle w:val="Heading3"/>
        <w:spacing w:line="240" w:lineRule="auto"/>
        <w:ind w:right="0"/>
        <w:jc w:val="left"/>
        <w:rPr>
          <w:b w:val="0"/>
          <w:bCs w:val="0"/>
        </w:rPr>
      </w:pPr>
      <w:r>
        <w:rPr/>
        <w:t>（二）公司</w:t>
      </w:r>
      <w:r>
        <w:rPr>
          <w:rFonts w:ascii="仿宋" w:hAnsi="仿宋" w:cs="仿宋" w:eastAsia="仿宋" w:hint="default"/>
        </w:rPr>
        <w:t>2016</w:t>
      </w:r>
      <w:r>
        <w:rPr/>
        <w:t>年的经营计划</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right="1129" w:firstLine="420"/>
        <w:jc w:val="both"/>
      </w:pPr>
      <w:r>
        <w:rPr>
          <w:spacing w:val="-1"/>
        </w:rPr>
        <w:t>按照公司制订的预算目标，基于公司目前的业务结构和资产规模，公司计划</w:t>
      </w:r>
      <w:r>
        <w:rPr>
          <w:rFonts w:ascii="宋体" w:hAnsi="宋体" w:cs="宋体" w:eastAsia="宋体" w:hint="default"/>
          <w:spacing w:val="-1"/>
        </w:rPr>
        <w:t>2016</w:t>
      </w:r>
      <w:r>
        <w:rPr>
          <w:spacing w:val="-1"/>
        </w:rPr>
        <w:t>年实现销售收入</w:t>
      </w:r>
      <w:r>
        <w:rPr>
          <w:rFonts w:ascii="宋体" w:hAnsi="宋体" w:cs="宋体" w:eastAsia="宋体" w:hint="default"/>
          <w:spacing w:val="-1"/>
        </w:rPr>
        <w:t>68</w:t>
      </w:r>
      <w:r>
        <w:rPr>
          <w:spacing w:val="-1"/>
        </w:rPr>
        <w:t>亿</w:t>
      </w:r>
      <w:r>
        <w:rPr/>
        <w:t> </w:t>
      </w:r>
      <w:r>
        <w:rPr>
          <w:spacing w:val="-1"/>
        </w:rPr>
        <w:t>元。（上述经营目标并不代表公司对</w:t>
      </w:r>
      <w:r>
        <w:rPr>
          <w:rFonts w:ascii="宋体" w:hAnsi="宋体" w:cs="宋体" w:eastAsia="宋体" w:hint="default"/>
          <w:spacing w:val="-1"/>
        </w:rPr>
        <w:t>2016</w:t>
      </w:r>
      <w:r>
        <w:rPr>
          <w:spacing w:val="-1"/>
        </w:rPr>
        <w:t>年度的盈利预测，能否实现取决于市场状况变化、经营团队的努</w:t>
      </w:r>
      <w:r>
        <w:rPr>
          <w:spacing w:val="-83"/>
        </w:rPr>
        <w:t> </w:t>
      </w:r>
      <w:r>
        <w:rPr>
          <w:spacing w:val="-83"/>
        </w:rPr>
      </w:r>
      <w:r>
        <w:rPr/>
        <w:t>力程度等多种因素，存在很大的不确定性，请投资者特别注意）。</w:t>
      </w:r>
    </w:p>
    <w:p>
      <w:pPr>
        <w:pStyle w:val="BodyText"/>
        <w:spacing w:line="240" w:lineRule="auto" w:before="46"/>
        <w:ind w:left="573" w:right="0"/>
        <w:jc w:val="left"/>
      </w:pPr>
      <w:r>
        <w:rPr>
          <w:rFonts w:ascii="宋体" w:hAnsi="宋体" w:cs="宋体" w:eastAsia="宋体" w:hint="default"/>
        </w:rPr>
        <w:t>2016</w:t>
      </w:r>
      <w:r>
        <w:rPr/>
        <w:t>年，除了继续做好日常经营的各项工作外，公司将重点做好以下几个方面的工作：</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rFonts w:ascii="宋体" w:hAnsi="宋体" w:cs="宋体" w:eastAsia="宋体" w:hint="default"/>
          <w:spacing w:val="-1"/>
        </w:rPr>
        <w:t>1</w:t>
      </w:r>
      <w:r>
        <w:rPr>
          <w:spacing w:val="-1"/>
        </w:rPr>
        <w:t>、完成公司各业务板块资产整合。为进一步理顺、明确和完善公司各业务板块的特性和权责，强化、</w:t>
      </w:r>
      <w:r>
        <w:rPr/>
        <w:t> 突出母公司对子公司管控的职能要求，不断提升管理决策的执行效率，以及为将来公司可能涉及到的机械 制造板块有关资产的剥离和重组奠定基础，公司将对现有各业务板块的资产在母子公司之间、子公司和子 公司之间进行股权关系调整和重新组合。</w:t>
      </w:r>
    </w:p>
    <w:p>
      <w:pPr>
        <w:pStyle w:val="BodyText"/>
        <w:spacing w:line="408" w:lineRule="auto" w:before="46"/>
        <w:ind w:right="0" w:firstLine="420"/>
        <w:jc w:val="left"/>
      </w:pPr>
      <w:r>
        <w:rPr>
          <w:rFonts w:ascii="宋体" w:hAnsi="宋体" w:cs="宋体" w:eastAsia="宋体" w:hint="default"/>
          <w:spacing w:val="-1"/>
        </w:rPr>
        <w:t>2</w:t>
      </w:r>
      <w:r>
        <w:rPr>
          <w:spacing w:val="-1"/>
        </w:rPr>
        <w:t>、将继续推进和完善上海漫酷、上海氩氪、银色琥珀、万圣伟业和微创时代在业务上的协同与整合，</w:t>
      </w:r>
      <w:r>
        <w:rPr/>
        <w:t> 充分发挥各家公司的竞争优势，进一步扩大和增强利欧数字网络在业内的影响力；</w:t>
      </w:r>
    </w:p>
    <w:p>
      <w:pPr>
        <w:pStyle w:val="BodyText"/>
        <w:spacing w:line="408" w:lineRule="auto" w:before="46"/>
        <w:ind w:right="1198" w:firstLine="420"/>
        <w:jc w:val="left"/>
      </w:pPr>
      <w:r>
        <w:rPr>
          <w:rFonts w:ascii="宋体" w:hAnsi="宋体" w:cs="宋体" w:eastAsia="宋体" w:hint="default"/>
        </w:rPr>
        <w:t>3</w:t>
      </w:r>
      <w:r>
        <w:rPr/>
        <w:t>、统筹规划，围绕东海塘新厂区的搬迁，做好人员使用的配置计划和各项资源的配置，稳定员工队 伍，保证温岭基地生产经营稳定有序。</w:t>
      </w:r>
    </w:p>
    <w:p>
      <w:pPr>
        <w:spacing w:line="408" w:lineRule="auto" w:before="46"/>
        <w:ind w:left="573" w:right="7393" w:firstLine="2"/>
        <w:jc w:val="left"/>
        <w:rPr>
          <w:rFonts w:ascii="宋体" w:hAnsi="宋体" w:cs="宋体" w:eastAsia="宋体" w:hint="default"/>
          <w:sz w:val="21"/>
          <w:szCs w:val="21"/>
        </w:rPr>
      </w:pPr>
      <w:r>
        <w:rPr>
          <w:rFonts w:ascii="仿宋" w:hAnsi="仿宋" w:cs="仿宋" w:eastAsia="仿宋" w:hint="default"/>
          <w:b/>
          <w:bCs/>
          <w:sz w:val="21"/>
          <w:szCs w:val="21"/>
        </w:rPr>
        <w:t>（三）风险因素</w:t>
      </w:r>
      <w:r>
        <w:rPr>
          <w:rFonts w:ascii="仿宋" w:hAnsi="仿宋" w:cs="仿宋" w:eastAsia="仿宋" w:hint="default"/>
          <w:b/>
          <w:bCs/>
          <w:w w:val="99"/>
          <w:sz w:val="21"/>
          <w:szCs w:val="21"/>
        </w:rPr>
        <w:t> </w:t>
      </w:r>
      <w:r>
        <w:rPr>
          <w:rFonts w:ascii="宋体" w:hAnsi="宋体" w:cs="宋体" w:eastAsia="宋体" w:hint="default"/>
          <w:sz w:val="21"/>
          <w:szCs w:val="21"/>
        </w:rPr>
        <w:t>公司面临的主要经营风险如下： </w:t>
      </w:r>
      <w:r>
        <w:rPr>
          <w:rFonts w:ascii="宋体" w:hAnsi="宋体" w:cs="宋体" w:eastAsia="宋体" w:hint="default"/>
          <w:sz w:val="21"/>
          <w:szCs w:val="21"/>
        </w:rPr>
        <w:t>1</w:t>
      </w:r>
      <w:r>
        <w:rPr>
          <w:rFonts w:ascii="宋体" w:hAnsi="宋体" w:cs="宋体" w:eastAsia="宋体" w:hint="default"/>
          <w:sz w:val="21"/>
          <w:szCs w:val="21"/>
        </w:rPr>
        <w:t>、机械制造板块风险提示</w:t>
      </w:r>
    </w:p>
    <w:p>
      <w:pPr>
        <w:pStyle w:val="BodyText"/>
        <w:spacing w:line="408" w:lineRule="auto" w:before="46"/>
        <w:ind w:left="573" w:right="0"/>
        <w:jc w:val="left"/>
      </w:pPr>
      <w:r>
        <w:rPr/>
        <w:t>（</w:t>
      </w:r>
      <w:r>
        <w:rPr>
          <w:rFonts w:ascii="宋体" w:hAnsi="宋体" w:cs="宋体" w:eastAsia="宋体" w:hint="default"/>
        </w:rPr>
        <w:t>1</w:t>
      </w:r>
      <w:r>
        <w:rPr/>
        <w:t>）市场波动风险 </w:t>
      </w:r>
      <w:r>
        <w:rPr>
          <w:spacing w:val="-1"/>
        </w:rPr>
        <w:t>公司产品以出口为主。近年来，在国际市场开拓过程中，公司依靠产品良好的性价比优势，与世界知</w:t>
      </w:r>
    </w:p>
    <w:p>
      <w:pPr>
        <w:pStyle w:val="BodyText"/>
        <w:spacing w:line="408" w:lineRule="auto" w:before="46"/>
        <w:ind w:left="573" w:right="1093" w:hanging="420"/>
        <w:jc w:val="left"/>
      </w:pPr>
      <w:r>
        <w:rPr/>
        <w:t>名的微型小型水泵和园林机械制造商、经销商及国外连锁超市建立了稳定的合作关系。 目前，全球经济复苏依然缓慢，并且存在诸多不确定因素，可能影响公司产品出口收入的稳定增长。</w:t>
      </w:r>
    </w:p>
    <w:p>
      <w:pPr>
        <w:pStyle w:val="BodyText"/>
        <w:spacing w:line="408" w:lineRule="auto" w:before="46"/>
        <w:ind w:right="1131"/>
        <w:jc w:val="both"/>
      </w:pPr>
      <w:r>
        <w:rPr>
          <w:spacing w:val="-1"/>
        </w:rPr>
        <w:t>如公司主要客户所在国的政治经济环境、贸易政策等发生重大变化，也将对公司的经营产生一定影响。因</w:t>
      </w:r>
      <w:r>
        <w:rPr>
          <w:spacing w:val="-83"/>
        </w:rPr>
        <w:t> </w:t>
      </w:r>
      <w:r>
        <w:rPr>
          <w:spacing w:val="-83"/>
        </w:rPr>
      </w:r>
      <w:r>
        <w:rPr/>
        <w:t>此，公司存在市场波动风险。</w:t>
      </w:r>
    </w:p>
    <w:p>
      <w:pPr>
        <w:pStyle w:val="BodyText"/>
        <w:spacing w:line="240" w:lineRule="auto" w:before="46"/>
        <w:ind w:left="574" w:right="0"/>
        <w:jc w:val="left"/>
      </w:pPr>
      <w:r>
        <w:rPr/>
        <w:t>（</w:t>
      </w:r>
      <w:r>
        <w:rPr>
          <w:rFonts w:ascii="宋体" w:hAnsi="宋体" w:cs="宋体" w:eastAsia="宋体" w:hint="default"/>
        </w:rPr>
        <w:t>2</w:t>
      </w:r>
      <w:r>
        <w:rPr/>
        <w:t>）原材料价格波动风险</w:t>
      </w:r>
    </w:p>
    <w:p>
      <w:pPr>
        <w:spacing w:after="0" w:line="240" w:lineRule="auto"/>
        <w:jc w:val="left"/>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023" w:firstLine="420"/>
        <w:jc w:val="left"/>
      </w:pPr>
      <w:r>
        <w:rPr>
          <w:spacing w:val="-1"/>
        </w:rPr>
        <w:t>公司产品生产所用的主要原材料包括铜漆包线、铝锭、硅钢片、</w:t>
      </w:r>
      <w:r>
        <w:rPr>
          <w:rFonts w:ascii="宋体" w:hAnsi="宋体" w:cs="宋体" w:eastAsia="宋体" w:hint="default"/>
          <w:spacing w:val="-1"/>
        </w:rPr>
        <w:t>PP</w:t>
      </w:r>
      <w:r>
        <w:rPr>
          <w:spacing w:val="-1"/>
        </w:rPr>
        <w:t>及</w:t>
      </w:r>
      <w:r>
        <w:rPr>
          <w:rFonts w:ascii="宋体" w:hAnsi="宋体" w:cs="宋体" w:eastAsia="宋体" w:hint="default"/>
          <w:spacing w:val="-1"/>
        </w:rPr>
        <w:t>ABS</w:t>
      </w:r>
      <w:r>
        <w:rPr>
          <w:spacing w:val="-1"/>
        </w:rPr>
        <w:t>塑料、轴料、生铁和钢材等，</w:t>
      </w:r>
      <w:r>
        <w:rPr/>
        <w:t> 材料成本占主营业务成本很大一部分。由于原材料成本在公司产品成本中所占比重较大，因此原材料价格 的波动将直接影响公司的营业成本，进而对公司的经营业绩带来影响。因此，公司存在主要原材料价格波 动风险。</w:t>
      </w:r>
    </w:p>
    <w:p>
      <w:pPr>
        <w:pStyle w:val="BodyText"/>
        <w:spacing w:line="408" w:lineRule="auto" w:before="46"/>
        <w:ind w:left="574" w:right="0"/>
        <w:jc w:val="left"/>
      </w:pPr>
      <w:r>
        <w:rPr/>
        <w:t>（</w:t>
      </w:r>
      <w:r>
        <w:rPr>
          <w:rFonts w:ascii="宋体" w:hAnsi="宋体" w:cs="宋体" w:eastAsia="宋体" w:hint="default"/>
        </w:rPr>
        <w:t>3</w:t>
      </w:r>
      <w:r>
        <w:rPr/>
        <w:t>）人力资源风险 </w:t>
      </w:r>
      <w:r>
        <w:rPr>
          <w:spacing w:val="-1"/>
        </w:rPr>
        <w:t>近年来，国内许多地区都出现了“用工荒”现象，由于劳动力短缺导致用工成本持续上升，尤其在制</w:t>
      </w:r>
    </w:p>
    <w:p>
      <w:pPr>
        <w:pStyle w:val="BodyText"/>
        <w:spacing w:line="408" w:lineRule="auto" w:before="46"/>
        <w:ind w:left="574" w:right="0" w:hanging="420"/>
        <w:jc w:val="left"/>
      </w:pPr>
      <w:r>
        <w:rPr/>
        <w:t>造业发达地区较为明显。 </w:t>
      </w:r>
      <w:r>
        <w:rPr>
          <w:spacing w:val="-1"/>
        </w:rPr>
        <w:t>虽然公司通过优化产品结构、提高设备自动化程度、优化工艺流程、提高产品售价等措施，部分抵消</w:t>
      </w:r>
    </w:p>
    <w:p>
      <w:pPr>
        <w:pStyle w:val="BodyText"/>
        <w:spacing w:line="408" w:lineRule="auto" w:before="46"/>
        <w:ind w:left="154" w:right="1132"/>
        <w:jc w:val="both"/>
      </w:pPr>
      <w:r>
        <w:rPr>
          <w:spacing w:val="-1"/>
        </w:rPr>
        <w:t>了劳动力短缺和劳动力成本上升对公司的不利影响，但是如果劳动力短缺和劳动力价格上涨的状况持续存</w:t>
      </w:r>
      <w:r>
        <w:rPr>
          <w:spacing w:val="-81"/>
        </w:rPr>
        <w:t> </w:t>
      </w:r>
      <w:r>
        <w:rPr>
          <w:spacing w:val="-81"/>
        </w:rPr>
      </w:r>
      <w:r>
        <w:rPr/>
        <w:t>在，将对公司进一步扩大经营规模形成较大制约。因此，公司存在人力资源风险。</w:t>
      </w:r>
    </w:p>
    <w:p>
      <w:pPr>
        <w:pStyle w:val="BodyText"/>
        <w:spacing w:line="408" w:lineRule="auto" w:before="46"/>
        <w:ind w:left="574" w:right="0"/>
        <w:jc w:val="left"/>
      </w:pPr>
      <w:r>
        <w:rPr/>
        <w:t>（</w:t>
      </w:r>
      <w:r>
        <w:rPr>
          <w:rFonts w:ascii="宋体" w:hAnsi="宋体" w:cs="宋体" w:eastAsia="宋体" w:hint="default"/>
        </w:rPr>
        <w:t>4</w:t>
      </w:r>
      <w:r>
        <w:rPr/>
        <w:t>）出口退税率变化导致公司业绩波动的风险 </w:t>
      </w:r>
      <w:r>
        <w:rPr>
          <w:spacing w:val="-1"/>
        </w:rPr>
        <w:t>目前，公司产品的出口退税率主要为</w:t>
      </w:r>
      <w:r>
        <w:rPr>
          <w:rFonts w:ascii="宋体" w:hAnsi="宋体" w:cs="宋体" w:eastAsia="宋体" w:hint="default"/>
          <w:spacing w:val="-1"/>
        </w:rPr>
        <w:t>5%</w:t>
      </w:r>
      <w:r>
        <w:rPr>
          <w:spacing w:val="-1"/>
        </w:rPr>
        <w:t>、</w:t>
      </w:r>
      <w:r>
        <w:rPr>
          <w:rFonts w:ascii="宋体" w:hAnsi="宋体" w:cs="宋体" w:eastAsia="宋体" w:hint="default"/>
          <w:spacing w:val="-1"/>
        </w:rPr>
        <w:t>9%</w:t>
      </w:r>
      <w:r>
        <w:rPr>
          <w:spacing w:val="-1"/>
        </w:rPr>
        <w:t>、</w:t>
      </w:r>
      <w:r>
        <w:rPr>
          <w:rFonts w:ascii="宋体" w:hAnsi="宋体" w:cs="宋体" w:eastAsia="宋体" w:hint="default"/>
          <w:spacing w:val="-1"/>
        </w:rPr>
        <w:t>13%</w:t>
      </w:r>
      <w:r>
        <w:rPr>
          <w:spacing w:val="-1"/>
        </w:rPr>
        <w:t>、</w:t>
      </w:r>
      <w:r>
        <w:rPr>
          <w:rFonts w:ascii="宋体" w:hAnsi="宋体" w:cs="宋体" w:eastAsia="宋体" w:hint="default"/>
          <w:spacing w:val="-1"/>
        </w:rPr>
        <w:t>15%</w:t>
      </w:r>
      <w:r>
        <w:rPr>
          <w:spacing w:val="-1"/>
        </w:rPr>
        <w:t>和</w:t>
      </w:r>
      <w:r>
        <w:rPr>
          <w:rFonts w:ascii="宋体" w:hAnsi="宋体" w:cs="宋体" w:eastAsia="宋体" w:hint="default"/>
          <w:spacing w:val="-1"/>
        </w:rPr>
        <w:t>17%</w:t>
      </w:r>
      <w:r>
        <w:rPr>
          <w:spacing w:val="-1"/>
        </w:rPr>
        <w:t>，出口货物实行“免、抵、退”税政策。</w:t>
      </w:r>
    </w:p>
    <w:p>
      <w:pPr>
        <w:pStyle w:val="BodyText"/>
        <w:spacing w:line="408" w:lineRule="auto" w:before="46"/>
        <w:ind w:right="1024"/>
        <w:jc w:val="left"/>
      </w:pPr>
      <w:r>
        <w:rPr>
          <w:spacing w:val="-3"/>
        </w:rPr>
        <w:t>国家出口退税率的上调，短期来看，有利于增强公司产品的出口竞争力，有助于公司进一步扩大出口销售，</w:t>
      </w:r>
      <w:r>
        <w:rPr>
          <w:spacing w:val="-90"/>
        </w:rPr>
        <w:t> </w:t>
      </w:r>
      <w:r>
        <w:rPr>
          <w:spacing w:val="-90"/>
        </w:rPr>
      </w:r>
      <w:r>
        <w:rPr/>
        <w:t>拓展国际市场，长期来看，有助于产业的转型升级。</w:t>
      </w:r>
    </w:p>
    <w:p>
      <w:pPr>
        <w:pStyle w:val="BodyText"/>
        <w:spacing w:line="408" w:lineRule="auto" w:before="46"/>
        <w:ind w:left="154" w:right="0" w:firstLine="420"/>
        <w:jc w:val="left"/>
      </w:pPr>
      <w:r>
        <w:rPr>
          <w:spacing w:val="-1"/>
        </w:rPr>
        <w:t>但是，若未来出口退税率下调，将直接影响产品销售毛利率，对公司产品的出口竞争力和经营业绩产</w:t>
      </w:r>
      <w:r>
        <w:rPr/>
        <w:t> 生不利影响。</w:t>
      </w:r>
    </w:p>
    <w:p>
      <w:pPr>
        <w:pStyle w:val="BodyText"/>
        <w:spacing w:line="240" w:lineRule="auto" w:before="46"/>
        <w:ind w:left="574" w:right="0"/>
        <w:jc w:val="left"/>
      </w:pPr>
      <w:r>
        <w:rPr>
          <w:rFonts w:ascii="宋体" w:hAnsi="宋体" w:cs="宋体" w:eastAsia="宋体" w:hint="default"/>
        </w:rPr>
        <w:t>2</w:t>
      </w:r>
      <w:r>
        <w:rPr/>
        <w:t>、数字营销板块风险提示</w:t>
      </w:r>
    </w:p>
    <w:p>
      <w:pPr>
        <w:spacing w:line="240" w:lineRule="auto" w:before="10"/>
        <w:rPr>
          <w:rFonts w:ascii="宋体" w:hAnsi="宋体" w:cs="宋体" w:eastAsia="宋体" w:hint="default"/>
          <w:sz w:val="14"/>
          <w:szCs w:val="14"/>
        </w:rPr>
      </w:pPr>
    </w:p>
    <w:p>
      <w:pPr>
        <w:pStyle w:val="BodyText"/>
        <w:spacing w:line="408" w:lineRule="auto"/>
        <w:ind w:left="574" w:right="1197"/>
        <w:jc w:val="left"/>
      </w:pPr>
      <w:r>
        <w:rPr/>
        <w:t>（</w:t>
      </w:r>
      <w:r>
        <w:rPr>
          <w:rFonts w:ascii="宋体" w:hAnsi="宋体" w:cs="宋体" w:eastAsia="宋体" w:hint="default"/>
        </w:rPr>
        <w:t>1</w:t>
      </w:r>
      <w:r>
        <w:rPr/>
        <w:t>）整合风险 公司原有业务属于传统制造业，近两年公司收购的</w:t>
      </w:r>
      <w:r>
        <w:rPr>
          <w:rFonts w:ascii="宋体" w:hAnsi="宋体" w:cs="宋体" w:eastAsia="宋体" w:hint="default"/>
        </w:rPr>
        <w:t>5</w:t>
      </w:r>
      <w:r>
        <w:rPr/>
        <w:t>家公司属于互联网新兴行业，公司管理层在互联</w:t>
      </w:r>
    </w:p>
    <w:p>
      <w:pPr>
        <w:pStyle w:val="BodyText"/>
        <w:spacing w:line="408" w:lineRule="auto" w:before="46"/>
        <w:ind w:right="1131"/>
        <w:jc w:val="both"/>
      </w:pPr>
      <w:r>
        <w:rPr>
          <w:spacing w:val="-1"/>
        </w:rPr>
        <w:t>网业务领域的管理经验尚待加强。为发挥资产及业务之间的协同效应，提高公司竞争力，公司原有业务与</w:t>
      </w:r>
      <w:r>
        <w:rPr>
          <w:spacing w:val="-83"/>
        </w:rPr>
        <w:t> </w:t>
      </w:r>
      <w:r>
        <w:rPr>
          <w:spacing w:val="-83"/>
        </w:rPr>
      </w:r>
      <w:r>
        <w:rPr>
          <w:spacing w:val="-1"/>
        </w:rPr>
        <w:t>新收购资产的相关业务需进行一定程度的整合。公司在互联网企业经营管理、组织设置、团队磨合、内部</w:t>
      </w:r>
      <w:r>
        <w:rPr>
          <w:spacing w:val="-86"/>
        </w:rPr>
        <w:t> </w:t>
      </w:r>
      <w:r>
        <w:rPr>
          <w:spacing w:val="-86"/>
        </w:rPr>
      </w:r>
      <w:r>
        <w:rPr/>
        <w:t>控制和人才引进等方面存在一定的风险和挑战。</w:t>
      </w:r>
    </w:p>
    <w:p>
      <w:pPr>
        <w:pStyle w:val="BodyText"/>
        <w:spacing w:line="408" w:lineRule="auto" w:before="46"/>
        <w:ind w:left="574" w:right="0"/>
        <w:jc w:val="left"/>
      </w:pPr>
      <w:r>
        <w:rPr/>
        <w:t>（</w:t>
      </w:r>
      <w:r>
        <w:rPr>
          <w:rFonts w:ascii="宋体" w:hAnsi="宋体" w:cs="宋体" w:eastAsia="宋体" w:hint="default"/>
        </w:rPr>
        <w:t>2</w:t>
      </w:r>
      <w:r>
        <w:rPr/>
        <w:t>）人才流失风险 </w:t>
      </w:r>
      <w:r>
        <w:rPr>
          <w:spacing w:val="-1"/>
        </w:rPr>
        <w:t>人力资源是数字营销公司的核心资源，是保持和提升公司竞争力的关键要素。数字营销公司管理团队</w:t>
      </w:r>
    </w:p>
    <w:p>
      <w:pPr>
        <w:pStyle w:val="BodyText"/>
        <w:spacing w:line="408" w:lineRule="auto" w:before="46"/>
        <w:ind w:left="154" w:right="1110"/>
        <w:jc w:val="both"/>
      </w:pPr>
      <w:r>
        <w:rPr/>
        <w:t>及业务人员的稳定性，将直接影响公司数字营销业务的发展和业绩。若不能很好地控制人才流失的风险， 则会对公司数字营销领域的经营和业务发展造成不利影响。</w:t>
      </w:r>
    </w:p>
    <w:p>
      <w:pPr>
        <w:pStyle w:val="BodyText"/>
        <w:spacing w:line="408" w:lineRule="auto" w:before="46"/>
        <w:ind w:left="154" w:right="1092" w:firstLine="420"/>
        <w:jc w:val="left"/>
      </w:pPr>
      <w:r>
        <w:rPr/>
        <w:t>为避免核心团队成员流失造成不利影响，公司在股权收购合同中约定了一系列的的奖励和惩罚措施， 确保核心团队成员的稳定。</w:t>
      </w:r>
    </w:p>
    <w:p>
      <w:pPr>
        <w:pStyle w:val="BodyText"/>
        <w:spacing w:line="408" w:lineRule="auto" w:before="46"/>
        <w:ind w:left="574" w:right="0"/>
        <w:jc w:val="left"/>
      </w:pPr>
      <w:r>
        <w:rPr/>
        <w:t>（</w:t>
      </w:r>
      <w:r>
        <w:rPr>
          <w:rFonts w:ascii="宋体" w:hAnsi="宋体" w:cs="宋体" w:eastAsia="宋体" w:hint="default"/>
        </w:rPr>
        <w:t>3</w:t>
      </w:r>
      <w:r>
        <w:rPr/>
        <w:t>）公司客户集中的风险 </w:t>
      </w:r>
      <w:r>
        <w:rPr>
          <w:spacing w:val="-1"/>
        </w:rPr>
        <w:t>上海漫酷、上海氩氪、琥珀传播、万圣伟业和微创时代的销售规模不断扩大，但客户集中度较高，存</w:t>
      </w:r>
    </w:p>
    <w:p>
      <w:pPr>
        <w:spacing w:after="0" w:line="408" w:lineRule="auto"/>
        <w:jc w:val="left"/>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093"/>
        <w:jc w:val="left"/>
      </w:pPr>
      <w:r>
        <w:rPr>
          <w:spacing w:val="-1"/>
        </w:rPr>
        <w:t>在对主要客户依赖的风险。一方面，较高的客户集中度导致其对客户的议价能力较低；另一方面，若主要</w:t>
      </w:r>
      <w:r>
        <w:rPr>
          <w:spacing w:val="-86"/>
        </w:rPr>
        <w:t> </w:t>
      </w:r>
      <w:r>
        <w:rPr>
          <w:spacing w:val="-86"/>
        </w:rPr>
      </w:r>
      <w:r>
        <w:rPr/>
        <w:t>客户流失，而又没有足够的新增客户补充，营业收入可能出现下滑，从而对净利润的实现造成不利影响。</w:t>
      </w:r>
    </w:p>
    <w:p>
      <w:pPr>
        <w:pStyle w:val="BodyText"/>
        <w:spacing w:line="408" w:lineRule="auto" w:before="46"/>
        <w:ind w:left="574" w:right="0"/>
        <w:jc w:val="left"/>
      </w:pPr>
      <w:r>
        <w:rPr/>
        <w:t>（</w:t>
      </w:r>
      <w:r>
        <w:rPr>
          <w:rFonts w:ascii="宋体" w:hAnsi="宋体" w:cs="宋体" w:eastAsia="宋体" w:hint="default"/>
        </w:rPr>
        <w:t>4</w:t>
      </w:r>
      <w:r>
        <w:rPr/>
        <w:t>）市场竞争加剧风险 </w:t>
      </w:r>
      <w:r>
        <w:rPr>
          <w:spacing w:val="-1"/>
        </w:rPr>
        <w:t>现阶段，我国数字营销领域基本处于完全竞争状态，行业内公司数量众多，市场竞争激烈。随着我国</w:t>
      </w:r>
    </w:p>
    <w:p>
      <w:pPr>
        <w:pStyle w:val="BodyText"/>
        <w:spacing w:line="408" w:lineRule="auto" w:before="46"/>
        <w:ind w:left="154" w:right="1131"/>
        <w:jc w:val="both"/>
      </w:pPr>
      <w:r>
        <w:rPr>
          <w:spacing w:val="-1"/>
        </w:rPr>
        <w:t>经济的快速稳定发展，企业品牌意识不断加强，我国数字营销行业步入上升周期，各类数字营销公司纷纷</w:t>
      </w:r>
      <w:r>
        <w:rPr>
          <w:spacing w:val="-83"/>
        </w:rPr>
        <w:t> </w:t>
      </w:r>
      <w:r>
        <w:rPr>
          <w:spacing w:val="-83"/>
        </w:rPr>
      </w:r>
      <w:r>
        <w:rPr>
          <w:spacing w:val="-1"/>
        </w:rPr>
        <w:t>抓住这一良好时机，不断提升自身的经营实力，力争维持较高的市场份额。在日新月异不断升级的市场竞</w:t>
      </w:r>
      <w:r>
        <w:rPr>
          <w:spacing w:val="-83"/>
        </w:rPr>
        <w:t> </w:t>
      </w:r>
      <w:r>
        <w:rPr>
          <w:spacing w:val="-83"/>
        </w:rPr>
      </w:r>
      <w:r>
        <w:rPr>
          <w:spacing w:val="-1"/>
        </w:rPr>
        <w:t>争态势中，尽管各家子公司不断提升自身业务水平和创新能力，以保持其经营业绩的稳定发展，但面对大</w:t>
      </w:r>
      <w:r>
        <w:rPr>
          <w:spacing w:val="-84"/>
        </w:rPr>
        <w:t> </w:t>
      </w:r>
      <w:r>
        <w:rPr>
          <w:spacing w:val="-84"/>
        </w:rPr>
      </w:r>
      <w:r>
        <w:rPr/>
        <w:t>量竞争对手，不排除上述</w:t>
      </w:r>
      <w:r>
        <w:rPr>
          <w:rFonts w:ascii="宋体" w:hAnsi="宋体" w:cs="宋体" w:eastAsia="宋体" w:hint="default"/>
        </w:rPr>
        <w:t>5</w:t>
      </w:r>
      <w:r>
        <w:rPr/>
        <w:t>家公司的业务、财务状况及经营业绩将会受到不利影响。</w:t>
      </w:r>
    </w:p>
    <w:p>
      <w:pPr>
        <w:pStyle w:val="BodyText"/>
        <w:spacing w:line="408" w:lineRule="auto" w:before="46"/>
        <w:ind w:left="574" w:right="0"/>
        <w:jc w:val="left"/>
      </w:pPr>
      <w:r>
        <w:rPr/>
        <w:t>（</w:t>
      </w:r>
      <w:r>
        <w:rPr>
          <w:rFonts w:ascii="宋体" w:hAnsi="宋体" w:cs="宋体" w:eastAsia="宋体" w:hint="default"/>
        </w:rPr>
        <w:t>5</w:t>
      </w:r>
      <w:r>
        <w:rPr/>
        <w:t>）政策风险 </w:t>
      </w:r>
      <w:r>
        <w:rPr>
          <w:spacing w:val="-1"/>
        </w:rPr>
        <w:t>我国数字营销行业的主管部门是工业和信息化部以及国家工商行政管理总局等。数字营销行业属于互</w:t>
      </w:r>
    </w:p>
    <w:p>
      <w:pPr>
        <w:pStyle w:val="BodyText"/>
        <w:spacing w:line="408" w:lineRule="auto" w:before="46"/>
        <w:ind w:left="154" w:right="0"/>
        <w:jc w:val="left"/>
      </w:pPr>
      <w:r>
        <w:rPr>
          <w:spacing w:val="-1"/>
        </w:rPr>
        <w:t>联网服务行业的新生分支，自诞生以来一直没有统一的行业规范和标准。随着相关监管部门对数字营销行</w:t>
      </w:r>
      <w:r>
        <w:rPr>
          <w:spacing w:val="-81"/>
        </w:rPr>
        <w:t> </w:t>
      </w:r>
      <w:r>
        <w:rPr>
          <w:spacing w:val="-81"/>
        </w:rPr>
      </w:r>
      <w:r>
        <w:rPr/>
        <w:t>业持续增强的监管力度，数字营销行业的准入门槛可能会有所提高，若上述</w:t>
      </w:r>
      <w:r>
        <w:rPr>
          <w:rFonts w:ascii="宋体" w:hAnsi="宋体" w:cs="宋体" w:eastAsia="宋体" w:hint="default"/>
        </w:rPr>
        <w:t>5</w:t>
      </w:r>
      <w:r>
        <w:rPr/>
        <w:t>家公司在未来不能达到新政 策的要求，则将对其持续经营产生不利影响。</w:t>
      </w:r>
    </w:p>
    <w:p>
      <w:pPr>
        <w:pStyle w:val="BodyText"/>
        <w:spacing w:line="408" w:lineRule="auto" w:before="46"/>
        <w:ind w:left="574" w:right="1197"/>
        <w:jc w:val="left"/>
      </w:pPr>
      <w:r>
        <w:rPr/>
        <w:t>（</w:t>
      </w:r>
      <w:r>
        <w:rPr>
          <w:rFonts w:ascii="宋体" w:hAnsi="宋体" w:cs="宋体" w:eastAsia="宋体" w:hint="default"/>
        </w:rPr>
        <w:t>6</w:t>
      </w:r>
      <w:r>
        <w:rPr/>
        <w:t>）交易形成的商誉将影响公司未来业绩及财务指标风险 公司现金购买上海漫酷</w:t>
      </w:r>
      <w:r>
        <w:rPr>
          <w:rFonts w:ascii="宋体" w:hAnsi="宋体" w:cs="宋体" w:eastAsia="宋体" w:hint="default"/>
        </w:rPr>
        <w:t>85%</w:t>
      </w:r>
      <w:r>
        <w:rPr/>
        <w:t>股权以及发行股份及支付现金购买上海氩氪、琥珀传播、万圣伟业和微创</w:t>
      </w:r>
    </w:p>
    <w:p>
      <w:pPr>
        <w:pStyle w:val="BodyText"/>
        <w:spacing w:line="408" w:lineRule="auto" w:before="46"/>
        <w:ind w:right="0"/>
        <w:jc w:val="left"/>
      </w:pPr>
      <w:r>
        <w:rPr>
          <w:spacing w:val="-1"/>
        </w:rPr>
        <w:t>时代</w:t>
      </w:r>
      <w:r>
        <w:rPr>
          <w:rFonts w:ascii="宋体" w:hAnsi="宋体" w:cs="宋体" w:eastAsia="宋体" w:hint="default"/>
          <w:spacing w:val="-1"/>
        </w:rPr>
        <w:t>100%</w:t>
      </w:r>
      <w:r>
        <w:rPr>
          <w:spacing w:val="-1"/>
        </w:rPr>
        <w:t>股权，形成非同一控制下企业合并，会在公司合并资产负债表形成较大金额的商誉。根据《企业</w:t>
      </w:r>
      <w:r>
        <w:rPr>
          <w:spacing w:val="-85"/>
        </w:rPr>
        <w:t> </w:t>
      </w:r>
      <w:r>
        <w:rPr>
          <w:spacing w:val="-85"/>
        </w:rPr>
      </w:r>
      <w:r>
        <w:rPr/>
        <w:t>会计准则》规定，本次交易形成的商誉不作摊销处理，但需在未来每年年度终了做减值测试。如果上述</w:t>
      </w:r>
      <w:r>
        <w:rPr>
          <w:rFonts w:ascii="宋体" w:hAnsi="宋体" w:cs="宋体" w:eastAsia="宋体" w:hint="default"/>
        </w:rPr>
        <w:t>5 </w:t>
      </w:r>
      <w:r>
        <w:rPr/>
        <w:t>家公司未来经营状况恶化，将有可能出现商誉减值，从而影响公司合并报表利润。</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bookmarkStart w:name="1、报告期内接待调研、沟通、采访等活动登记表" w:id="60"/>
      <w:bookmarkEnd w:id="60"/>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、报告期内接待调研、沟通、采访等活动登记表</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介绍公司基本情况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介绍公司及并购标的公司基本情况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介绍公司及并购标的公司基本情况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介绍公司及并购标的公司基本情况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介绍公司及并购标的公司基本情况</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介绍公司及并购标的公司基本情况</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31" w:firstLine="420"/>
        <w:jc w:val="left"/>
      </w:pPr>
      <w:r>
        <w:rPr>
          <w:spacing w:val="-1"/>
        </w:rPr>
        <w:t>公司严格按照《公司章程》和《股东分红回报规划》的相关要求进行利润分配。本报告期，公司第四</w:t>
      </w:r>
      <w:r>
        <w:rPr/>
        <w:t> 届董事会第七次会议和</w:t>
      </w:r>
      <w:r>
        <w:rPr>
          <w:rFonts w:ascii="宋体" w:hAnsi="宋体" w:cs="宋体" w:eastAsia="宋体" w:hint="default"/>
        </w:rPr>
        <w:t>2014</w:t>
      </w:r>
      <w:r>
        <w:rPr/>
        <w:t>年度股东大会审议通过了《未来三年（</w:t>
      </w:r>
      <w:r>
        <w:rPr>
          <w:rFonts w:ascii="宋体" w:hAnsi="宋体" w:cs="宋体" w:eastAsia="宋体" w:hint="default"/>
        </w:rPr>
        <w:t>2015-2017</w:t>
      </w:r>
      <w:r>
        <w:rPr/>
        <w:t>年）股东回报规划》。</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4"/>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4"/>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报告期内现金分红政策未进行调整和变更。</w:t>
            </w:r>
          </w:p>
        </w:tc>
      </w:tr>
    </w:tbl>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年（包括本报告期）的普通股股利分配方案（预案）、资本公积金转增股本方案（预案）情况</w:t>
      </w:r>
    </w:p>
    <w:p>
      <w:pPr>
        <w:pStyle w:val="BodyText"/>
        <w:spacing w:line="408" w:lineRule="auto" w:before="155"/>
        <w:ind w:right="0" w:firstLine="420"/>
        <w:jc w:val="left"/>
      </w:pPr>
      <w:r>
        <w:rPr>
          <w:rFonts w:ascii="宋体" w:hAnsi="宋体" w:cs="宋体" w:eastAsia="宋体" w:hint="default"/>
          <w:spacing w:val="-5"/>
        </w:rPr>
        <w:t>1</w:t>
      </w:r>
      <w:r>
        <w:rPr>
          <w:spacing w:val="-5"/>
        </w:rPr>
        <w:t>、</w:t>
      </w:r>
      <w:r>
        <w:rPr>
          <w:rFonts w:ascii="宋体" w:hAnsi="宋体" w:cs="宋体" w:eastAsia="宋体" w:hint="default"/>
          <w:spacing w:val="-5"/>
        </w:rPr>
        <w:t>2015</w:t>
      </w:r>
      <w:r>
        <w:rPr>
          <w:spacing w:val="-5"/>
        </w:rPr>
        <w:t>年度利润分配预案为：以</w:t>
      </w:r>
      <w:r>
        <w:rPr>
          <w:rFonts w:ascii="宋体" w:hAnsi="宋体" w:cs="宋体" w:eastAsia="宋体" w:hint="default"/>
          <w:spacing w:val="-5"/>
        </w:rPr>
        <w:t>1,509,427,649</w:t>
      </w:r>
      <w:r>
        <w:rPr>
          <w:spacing w:val="-5"/>
        </w:rPr>
        <w:t>股为基数，向股东每</w:t>
      </w:r>
      <w:r>
        <w:rPr>
          <w:rFonts w:ascii="宋体" w:hAnsi="宋体" w:cs="宋体" w:eastAsia="宋体" w:hint="default"/>
          <w:spacing w:val="-5"/>
        </w:rPr>
        <w:t>10</w:t>
      </w:r>
      <w:r>
        <w:rPr>
          <w:spacing w:val="-5"/>
        </w:rPr>
        <w:t>股派发现金股利</w:t>
      </w:r>
      <w:r>
        <w:rPr>
          <w:rFonts w:ascii="宋体" w:hAnsi="宋体" w:cs="宋体" w:eastAsia="宋体" w:hint="default"/>
          <w:spacing w:val="-5"/>
        </w:rPr>
        <w:t>0.3</w:t>
      </w:r>
      <w:r>
        <w:rPr>
          <w:spacing w:val="-5"/>
        </w:rPr>
        <w:t>元（含税），</w:t>
      </w:r>
      <w:r>
        <w:rPr/>
        <w:t> 送红股</w:t>
      </w:r>
      <w:r>
        <w:rPr>
          <w:rFonts w:ascii="宋体" w:hAnsi="宋体" w:cs="宋体" w:eastAsia="宋体" w:hint="default"/>
        </w:rPr>
        <w:t>0</w:t>
      </w:r>
      <w:r>
        <w:rPr/>
        <w:t>股（含税），不以公积金转增股本。共分配现金股利</w:t>
      </w:r>
      <w:r>
        <w:rPr>
          <w:rFonts w:ascii="宋体" w:hAnsi="宋体" w:cs="宋体" w:eastAsia="宋体" w:hint="default"/>
        </w:rPr>
        <w:t>45,282,829.47</w:t>
      </w:r>
      <w:r>
        <w:rPr/>
        <w:t>元（含税）。</w:t>
      </w:r>
    </w:p>
    <w:p>
      <w:pPr>
        <w:pStyle w:val="BodyText"/>
        <w:spacing w:line="408" w:lineRule="auto" w:before="46"/>
        <w:ind w:right="0" w:firstLine="420"/>
        <w:jc w:val="left"/>
      </w:pPr>
      <w:r>
        <w:rPr>
          <w:rFonts w:ascii="宋体" w:hAnsi="宋体" w:cs="宋体" w:eastAsia="宋体" w:hint="default"/>
          <w:spacing w:val="-1"/>
        </w:rPr>
        <w:t>2</w:t>
      </w:r>
      <w:r>
        <w:rPr>
          <w:spacing w:val="-1"/>
        </w:rPr>
        <w:t>、</w:t>
      </w:r>
      <w:r>
        <w:rPr>
          <w:rFonts w:ascii="宋体" w:hAnsi="宋体" w:cs="宋体" w:eastAsia="宋体" w:hint="default"/>
          <w:spacing w:val="-1"/>
        </w:rPr>
        <w:t>2015</w:t>
      </w:r>
      <w:r>
        <w:rPr>
          <w:spacing w:val="-1"/>
        </w:rPr>
        <w:t>年半年度利润分配方案为：以</w:t>
      </w:r>
      <w:r>
        <w:rPr>
          <w:rFonts w:ascii="宋体" w:hAnsi="宋体" w:cs="宋体" w:eastAsia="宋体" w:hint="default"/>
          <w:spacing w:val="-1"/>
        </w:rPr>
        <w:t>391,424,450</w:t>
      </w:r>
      <w:r>
        <w:rPr>
          <w:spacing w:val="-1"/>
        </w:rPr>
        <w:t>股为基数，以资本公积金向全体股东每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20</w:t>
      </w:r>
      <w:r>
        <w:rPr>
          <w:rFonts w:ascii="宋体" w:hAnsi="宋体" w:cs="宋体" w:eastAsia="宋体" w:hint="default"/>
        </w:rPr>
        <w:t> </w:t>
      </w:r>
      <w:r>
        <w:rPr/>
        <w:t>股，本次分配不送红股、不进行现金分红。</w:t>
      </w:r>
    </w:p>
    <w:p>
      <w:pPr>
        <w:pStyle w:val="BodyText"/>
        <w:spacing w:line="408" w:lineRule="auto" w:before="46"/>
        <w:ind w:right="0" w:firstLine="420"/>
        <w:jc w:val="left"/>
      </w:pPr>
      <w:r>
        <w:rPr>
          <w:rFonts w:ascii="宋体" w:hAnsi="宋体" w:cs="宋体" w:eastAsia="宋体" w:hint="default"/>
          <w:spacing w:val="-1"/>
        </w:rPr>
        <w:t>3</w:t>
      </w:r>
      <w:r>
        <w:rPr>
          <w:spacing w:val="-1"/>
        </w:rPr>
        <w:t>、</w:t>
      </w:r>
      <w:r>
        <w:rPr>
          <w:rFonts w:ascii="宋体" w:hAnsi="宋体" w:cs="宋体" w:eastAsia="宋体" w:hint="default"/>
          <w:spacing w:val="-1"/>
        </w:rPr>
        <w:t>2014</w:t>
      </w:r>
      <w:r>
        <w:rPr>
          <w:spacing w:val="-1"/>
        </w:rPr>
        <w:t>年度利润分配方案为：以</w:t>
      </w:r>
      <w:r>
        <w:rPr>
          <w:rFonts w:ascii="宋体" w:hAnsi="宋体" w:cs="宋体" w:eastAsia="宋体" w:hint="default"/>
          <w:spacing w:val="-1"/>
        </w:rPr>
        <w:t>391,424,450</w:t>
      </w:r>
      <w:r>
        <w:rPr>
          <w:spacing w:val="-1"/>
        </w:rPr>
        <w:t>股为基数，向股东每</w:t>
      </w:r>
      <w:r>
        <w:rPr>
          <w:rFonts w:ascii="宋体" w:hAnsi="宋体" w:cs="宋体" w:eastAsia="宋体" w:hint="default"/>
          <w:spacing w:val="-1"/>
        </w:rPr>
        <w:t>10</w:t>
      </w:r>
      <w:r>
        <w:rPr>
          <w:spacing w:val="-1"/>
        </w:rPr>
        <w:t>股派发现金股利</w:t>
      </w:r>
      <w:r>
        <w:rPr>
          <w:rFonts w:ascii="宋体" w:hAnsi="宋体" w:cs="宋体" w:eastAsia="宋体" w:hint="default"/>
          <w:spacing w:val="-1"/>
        </w:rPr>
        <w:t>0.5</w:t>
      </w:r>
      <w:r>
        <w:rPr>
          <w:spacing w:val="-1"/>
        </w:rPr>
        <w:t>元（含税），</w:t>
      </w:r>
      <w:r>
        <w:rPr/>
        <w:t> 送红股</w:t>
      </w:r>
      <w:r>
        <w:rPr>
          <w:rFonts w:ascii="宋体" w:hAnsi="宋体" w:cs="宋体" w:eastAsia="宋体" w:hint="default"/>
        </w:rPr>
        <w:t>0</w:t>
      </w:r>
      <w:r>
        <w:rPr/>
        <w:t>股（含税），不以公积金转增股本。共分配现金股利</w:t>
      </w:r>
      <w:r>
        <w:rPr>
          <w:rFonts w:ascii="宋体" w:hAnsi="宋体" w:cs="宋体" w:eastAsia="宋体" w:hint="default"/>
        </w:rPr>
        <w:t>19,571,222.50</w:t>
      </w:r>
      <w:r>
        <w:rPr/>
        <w:t>元（含税）。</w:t>
      </w:r>
    </w:p>
    <w:p>
      <w:pPr>
        <w:pStyle w:val="BodyText"/>
        <w:spacing w:line="408" w:lineRule="auto" w:before="46"/>
        <w:ind w:right="1023" w:firstLine="420"/>
        <w:jc w:val="left"/>
      </w:pPr>
      <w:r>
        <w:rPr>
          <w:rFonts w:ascii="宋体" w:hAnsi="宋体" w:cs="宋体" w:eastAsia="宋体" w:hint="default"/>
          <w:spacing w:val="-3"/>
        </w:rPr>
        <w:t>4</w:t>
      </w:r>
      <w:r>
        <w:rPr>
          <w:spacing w:val="-3"/>
        </w:rPr>
        <w:t>、截至</w:t>
      </w:r>
      <w:r>
        <w:rPr>
          <w:rFonts w:ascii="宋体" w:hAnsi="宋体" w:cs="宋体" w:eastAsia="宋体" w:hint="default"/>
          <w:spacing w:val="-3"/>
        </w:rPr>
        <w:t>2013</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日，公司总股本为</w:t>
      </w:r>
      <w:r>
        <w:rPr>
          <w:rFonts w:ascii="宋体" w:hAnsi="宋体" w:cs="宋体" w:eastAsia="宋体" w:hint="default"/>
          <w:spacing w:val="-3"/>
        </w:rPr>
        <w:t>375,588,388</w:t>
      </w:r>
      <w:r>
        <w:rPr>
          <w:spacing w:val="-3"/>
        </w:rPr>
        <w:t>股。因利欧天鹅</w:t>
      </w:r>
      <w:r>
        <w:rPr>
          <w:rFonts w:ascii="宋体" w:hAnsi="宋体" w:cs="宋体" w:eastAsia="宋体" w:hint="default"/>
          <w:spacing w:val="-3"/>
        </w:rPr>
        <w:t>2013</w:t>
      </w:r>
      <w:r>
        <w:rPr>
          <w:spacing w:val="-3"/>
        </w:rPr>
        <w:t>年度经营业绩未达盈利预测，</w:t>
      </w:r>
      <w:r>
        <w:rPr/>
        <w:t> 利欧天鹅原股东需以其持有利欧股份的</w:t>
      </w:r>
      <w:r>
        <w:rPr>
          <w:rFonts w:ascii="宋体" w:hAnsi="宋体" w:cs="宋体" w:eastAsia="宋体" w:hint="default"/>
        </w:rPr>
        <w:t>2,852,397</w:t>
      </w:r>
      <w:r>
        <w:rPr/>
        <w:t>股股份进行补偿（该部分股份不拥有表决权且不享有股 </w:t>
      </w:r>
      <w:r>
        <w:rPr>
          <w:spacing w:val="-3"/>
        </w:rPr>
        <w:t>利分配的权利），公司总股本扣除该部分股份后，实际可参与</w:t>
      </w:r>
      <w:r>
        <w:rPr>
          <w:rFonts w:ascii="宋体" w:hAnsi="宋体" w:cs="宋体" w:eastAsia="宋体" w:hint="default"/>
          <w:spacing w:val="-3"/>
        </w:rPr>
        <w:t>2013</w:t>
      </w:r>
      <w:r>
        <w:rPr>
          <w:spacing w:val="-3"/>
        </w:rPr>
        <w:t>年度利润分配的股份数量为</w:t>
      </w:r>
      <w:r>
        <w:rPr>
          <w:rFonts w:ascii="宋体" w:hAnsi="宋体" w:cs="宋体" w:eastAsia="宋体" w:hint="default"/>
          <w:spacing w:val="-3"/>
        </w:rPr>
        <w:t>372,735,991</w:t>
      </w:r>
      <w:r>
        <w:rPr>
          <w:rFonts w:ascii="宋体" w:hAnsi="宋体" w:cs="宋体" w:eastAsia="宋体" w:hint="default"/>
          <w:spacing w:val="-72"/>
        </w:rPr>
        <w:t> </w:t>
      </w:r>
      <w:r>
        <w:rPr>
          <w:rFonts w:ascii="宋体" w:hAnsi="宋体" w:cs="宋体" w:eastAsia="宋体" w:hint="default"/>
          <w:spacing w:val="-72"/>
        </w:rPr>
      </w:r>
      <w:r>
        <w:rPr/>
        <w:t>股。</w:t>
      </w:r>
    </w:p>
    <w:p>
      <w:pPr>
        <w:pStyle w:val="BodyText"/>
        <w:spacing w:line="408" w:lineRule="auto" w:before="46"/>
        <w:ind w:right="0" w:firstLine="420"/>
        <w:jc w:val="left"/>
      </w:pPr>
      <w:r>
        <w:rPr>
          <w:rFonts w:ascii="宋体" w:hAnsi="宋体" w:cs="宋体" w:eastAsia="宋体" w:hint="default"/>
          <w:spacing w:val="-1"/>
        </w:rPr>
        <w:t>2013</w:t>
      </w:r>
      <w:r>
        <w:rPr>
          <w:spacing w:val="-1"/>
        </w:rPr>
        <w:t>年度利润分配方案为：以</w:t>
      </w:r>
      <w:r>
        <w:rPr>
          <w:rFonts w:ascii="宋体" w:hAnsi="宋体" w:cs="宋体" w:eastAsia="宋体" w:hint="default"/>
          <w:spacing w:val="-1"/>
        </w:rPr>
        <w:t>372,735,991</w:t>
      </w:r>
      <w:r>
        <w:rPr>
          <w:spacing w:val="-1"/>
        </w:rPr>
        <w:t>股为基数，向股东每</w:t>
      </w:r>
      <w:r>
        <w:rPr>
          <w:rFonts w:ascii="宋体" w:hAnsi="宋体" w:cs="宋体" w:eastAsia="宋体" w:hint="default"/>
          <w:spacing w:val="-1"/>
        </w:rPr>
        <w:t>10</w:t>
      </w:r>
      <w:r>
        <w:rPr>
          <w:spacing w:val="-1"/>
        </w:rPr>
        <w:t>股派发现金股利</w:t>
      </w:r>
      <w:r>
        <w:rPr>
          <w:rFonts w:ascii="宋体" w:hAnsi="宋体" w:cs="宋体" w:eastAsia="宋体" w:hint="default"/>
          <w:spacing w:val="-1"/>
        </w:rPr>
        <w:t>0.5</w:t>
      </w:r>
      <w:r>
        <w:rPr>
          <w:spacing w:val="-1"/>
        </w:rPr>
        <w:t>元（含税），送</w:t>
      </w:r>
      <w:r>
        <w:rPr/>
        <w:t> 红股</w:t>
      </w:r>
      <w:r>
        <w:rPr>
          <w:rFonts w:ascii="宋体" w:hAnsi="宋体" w:cs="宋体" w:eastAsia="宋体" w:hint="default"/>
        </w:rPr>
        <w:t>0</w:t>
      </w:r>
      <w:r>
        <w:rPr/>
        <w:t>股（含税），不以公积金转增股本。共分配现金股利</w:t>
      </w:r>
      <w:r>
        <w:rPr>
          <w:rFonts w:ascii="宋体" w:hAnsi="宋体" w:cs="宋体" w:eastAsia="宋体" w:hint="default"/>
        </w:rPr>
        <w:t>18,636,799.55</w:t>
      </w:r>
      <w:r>
        <w:rPr/>
        <w:t>元（含税）。</w:t>
      </w:r>
    </w:p>
    <w:p>
      <w:pPr>
        <w:spacing w:line="240" w:lineRule="auto" w:before="2"/>
        <w:rPr>
          <w:rFonts w:ascii="宋体" w:hAnsi="宋体" w:cs="宋体" w:eastAsia="宋体" w:hint="default"/>
          <w:sz w:val="8"/>
          <w:szCs w:val="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6246"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sz w:val="18"/>
              </w:rPr>
              <w:t>45,282,829.47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sz w:val="18"/>
              </w:rPr>
              <w:t>225,410,543.63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sz w:val="18"/>
              </w:rPr>
              <w:t>19,571,222.50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sz w:val="18"/>
              </w:rPr>
              <w:t>179,916,115.75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sz w:val="18"/>
              </w:rPr>
              <w:t>18,636,799.55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宋体" w:hAnsi="宋体" w:cs="宋体" w:eastAsia="宋体" w:hint="default"/>
                <w:sz w:val="18"/>
                <w:szCs w:val="18"/>
              </w:rPr>
            </w:pPr>
            <w:r>
              <w:rPr>
                <w:rFonts w:ascii="宋体"/>
                <w:sz w:val="18"/>
              </w:rPr>
              <w:t>55,990,125.47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1,509,427,649</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45,282,829.47</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798,002,664.68</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46"/>
                <w:sz w:val="18"/>
                <w:szCs w:val="18"/>
              </w:rPr>
              <w:t> </w:t>
            </w:r>
            <w:r>
              <w:rPr>
                <w:rFonts w:ascii="宋体" w:hAnsi="宋体" w:cs="宋体" w:eastAsia="宋体" w:hint="default"/>
                <w:sz w:val="18"/>
                <w:szCs w:val="18"/>
              </w:rPr>
              <w:t>1,509,427,649</w:t>
            </w:r>
            <w:r>
              <w:rPr>
                <w:rFonts w:ascii="宋体" w:hAnsi="宋体" w:cs="宋体" w:eastAsia="宋体" w:hint="default"/>
                <w:spacing w:val="-46"/>
                <w:sz w:val="18"/>
                <w:szCs w:val="18"/>
              </w:rPr>
              <w:t> </w:t>
            </w:r>
            <w:r>
              <w:rPr>
                <w:rFonts w:ascii="宋体" w:hAnsi="宋体" w:cs="宋体" w:eastAsia="宋体" w:hint="default"/>
                <w:sz w:val="18"/>
                <w:szCs w:val="18"/>
              </w:rPr>
              <w:t>股为基数，向股东每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元（含税），送红股</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股（含</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税），不以公积金转增股本。共分配现金股利 </w:t>
            </w:r>
            <w:r>
              <w:rPr>
                <w:rFonts w:ascii="宋体" w:hAnsi="宋体" w:cs="宋体" w:eastAsia="宋体" w:hint="default"/>
                <w:sz w:val="18"/>
                <w:szCs w:val="18"/>
              </w:rPr>
              <w:t>45,282,829.47</w:t>
            </w:r>
            <w:r>
              <w:rPr>
                <w:rFonts w:ascii="宋体" w:hAnsi="宋体" w:cs="宋体" w:eastAsia="宋体" w:hint="default"/>
                <w:spacing w:val="-46"/>
                <w:sz w:val="18"/>
                <w:szCs w:val="18"/>
              </w:rPr>
              <w:t> </w:t>
            </w:r>
            <w:r>
              <w:rPr>
                <w:rFonts w:ascii="宋体" w:hAnsi="宋体" w:cs="宋体" w:eastAsia="宋体" w:hint="default"/>
                <w:sz w:val="18"/>
                <w:szCs w:val="18"/>
              </w:rPr>
              <w:t>元（含税）。</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4"/>
        <w:rPr>
          <w:rFonts w:ascii="宋体" w:hAnsi="宋体" w:cs="宋体" w:eastAsia="宋体" w:hint="default"/>
          <w:b/>
          <w:bCs/>
          <w:sz w:val="25"/>
          <w:szCs w:val="25"/>
        </w:rPr>
      </w:pPr>
    </w:p>
    <w:p>
      <w:pPr>
        <w:spacing w:line="271" w:lineRule="auto" w:before="0"/>
        <w:ind w:left="153" w:right="0" w:firstLine="0"/>
        <w:jc w:val="left"/>
        <w:rPr>
          <w:rFonts w:ascii="宋体" w:hAnsi="宋体" w:cs="宋体" w:eastAsia="宋体" w:hint="default"/>
          <w:sz w:val="20"/>
          <w:szCs w:val="20"/>
        </w:rPr>
      </w:pPr>
      <w:bookmarkStart w:name="1、公司、股东、实际控制人、收购人、董事、监事、高级管理人员或其他关联方在报告期" w:id="66"/>
      <w:bookmarkEnd w:id="66"/>
      <w:r>
        <w:rPr/>
      </w:r>
      <w:r>
        <w:rPr>
          <w:rFonts w:ascii="Times New Roman" w:hAnsi="Times New Roman" w:cs="Times New Roman" w:eastAsia="Times New Roman" w:hint="default"/>
          <w:b/>
          <w:bCs/>
          <w:spacing w:val="-2"/>
          <w:w w:val="95"/>
          <w:sz w:val="20"/>
          <w:szCs w:val="20"/>
        </w:rPr>
        <w:t>1</w:t>
      </w:r>
      <w:r>
        <w:rPr>
          <w:rFonts w:ascii="宋体" w:hAnsi="宋体" w:cs="宋体" w:eastAsia="宋体" w:hint="default"/>
          <w:b/>
          <w:bCs/>
          <w:spacing w:val="-2"/>
          <w:w w:val="95"/>
          <w:sz w:val="20"/>
          <w:szCs w:val="20"/>
        </w:rPr>
        <w:t>、公司、股东、实际控制人、收购人、董事、监事、高级管理人员或其他关联方在报告期内履行完毕及截至报</w:t>
      </w:r>
      <w:r>
        <w:rPr>
          <w:rFonts w:ascii="宋体" w:hAnsi="宋体" w:cs="宋体" w:eastAsia="宋体" w:hint="default"/>
          <w:b/>
          <w:bCs/>
          <w:spacing w:val="93"/>
          <w:w w:val="95"/>
          <w:sz w:val="20"/>
          <w:szCs w:val="20"/>
        </w:rPr>
        <w:t> </w:t>
      </w:r>
      <w:r>
        <w:rPr>
          <w:rFonts w:ascii="宋体" w:hAnsi="宋体" w:cs="宋体" w:eastAsia="宋体" w:hint="default"/>
          <w:b/>
          <w:bCs/>
          <w:spacing w:val="93"/>
          <w:w w:val="95"/>
          <w:sz w:val="20"/>
          <w:szCs w:val="20"/>
        </w:rPr>
      </w:r>
      <w:r>
        <w:rPr>
          <w:rFonts w:ascii="宋体" w:hAnsi="宋体" w:cs="宋体" w:eastAsia="宋体" w:hint="default"/>
          <w:b/>
          <w:bCs/>
          <w:sz w:val="20"/>
          <w:szCs w:val="20"/>
        </w:rPr>
        <w:t>告期末尚未履行完毕的承诺事项</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8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316" w:lineRule="auto" w:before="71"/>
              <w:ind w:left="28" w:right="10"/>
              <w:jc w:val="left"/>
              <w:rPr>
                <w:rFonts w:ascii="宋体" w:hAnsi="宋体" w:cs="宋体" w:eastAsia="宋体" w:hint="default"/>
                <w:sz w:val="18"/>
                <w:szCs w:val="18"/>
              </w:rPr>
            </w:pPr>
            <w:r>
              <w:rPr>
                <w:rFonts w:ascii="宋体" w:hAnsi="宋体" w:cs="宋体" w:eastAsia="宋体" w:hint="default"/>
                <w:sz w:val="18"/>
                <w:szCs w:val="18"/>
              </w:rPr>
              <w:t>欧亚云、欧亚 峰、罗兵辉、</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91"/>
              <w:jc w:val="left"/>
              <w:rPr>
                <w:rFonts w:ascii="宋体" w:hAnsi="宋体" w:cs="宋体" w:eastAsia="宋体" w:hint="default"/>
                <w:sz w:val="18"/>
                <w:szCs w:val="18"/>
              </w:rPr>
            </w:pPr>
            <w:r>
              <w:rPr>
                <w:rFonts w:ascii="宋体" w:hAnsi="宋体" w:cs="宋体" w:eastAsia="宋体" w:hint="default"/>
                <w:sz w:val="18"/>
                <w:szCs w:val="18"/>
              </w:rPr>
              <w:t>股票锁定期 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71"/>
              <w:ind w:left="22" w:right="192"/>
              <w:jc w:val="left"/>
              <w:rPr>
                <w:rFonts w:ascii="宋体" w:hAnsi="宋体" w:cs="宋体" w:eastAsia="宋体" w:hint="default"/>
                <w:sz w:val="18"/>
                <w:szCs w:val="18"/>
              </w:rPr>
            </w:pPr>
            <w:r>
              <w:rPr>
                <w:rFonts w:ascii="宋体" w:hAnsi="宋体" w:cs="宋体" w:eastAsia="宋体" w:hint="default"/>
                <w:sz w:val="18"/>
                <w:szCs w:val="18"/>
              </w:rPr>
              <w:t>非公开发行 股份购买资</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vMerge w:val="restart"/>
            <w:tcBorders>
              <w:top w:val="single" w:sz="4" w:space="0" w:color="000000"/>
              <w:left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pacing w:val="-5"/>
                <w:sz w:val="18"/>
                <w:szCs w:val="18"/>
              </w:rPr>
              <w:t>履行结束，未</w:t>
            </w:r>
            <w:r>
              <w:rPr>
                <w:rFonts w:ascii="宋体" w:hAnsi="宋体" w:cs="宋体" w:eastAsia="宋体" w:hint="default"/>
                <w:sz w:val="18"/>
                <w:szCs w:val="18"/>
              </w:rPr>
              <w:t> 有违反承诺</w:t>
            </w:r>
          </w:p>
        </w:tc>
      </w:tr>
      <w:tr>
        <w:trPr>
          <w:trHeight w:val="391"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62"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李洪辉、朱平 正、胡观辉、 周海蓉、吴 波、郭华定和 长沙瑞鹅投 资管理有限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产取得的公 </w:t>
            </w:r>
            <w:r>
              <w:rPr>
                <w:rFonts w:ascii="宋体" w:hAnsi="宋体" w:cs="宋体" w:eastAsia="宋体" w:hint="default"/>
                <w:spacing w:val="-2"/>
                <w:sz w:val="18"/>
                <w:szCs w:val="18"/>
              </w:rPr>
              <w:t>司股份，自发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行结束之日 起三十六个 月内不得转 </w:t>
            </w:r>
            <w:r>
              <w:rPr>
                <w:rFonts w:ascii="宋体" w:hAnsi="宋体" w:cs="宋体" w:eastAsia="宋体" w:hint="default"/>
                <w:spacing w:val="-2"/>
                <w:sz w:val="18"/>
                <w:szCs w:val="18"/>
              </w:rPr>
              <w:t>让，之后按中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国证监会及 交易所有关 规定执行。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601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郑晓东、段永</w:t>
            </w:r>
            <w:r>
              <w:rPr>
                <w:rFonts w:ascii="宋体" w:hAnsi="宋体" w:cs="宋体" w:eastAsia="宋体" w:hint="default"/>
                <w:sz w:val="18"/>
                <w:szCs w:val="18"/>
              </w:rPr>
              <w:t> 玲、郭海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p>
          <w:p>
            <w:pPr>
              <w:pStyle w:val="TableParagraph"/>
              <w:spacing w:line="314"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会计年 度实现的年 度审核税后 净利润应分 别不少于人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元，若上海漫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酷的税后净 利润没有达 到上述该年 度业绩承诺 </w:t>
            </w:r>
            <w:r>
              <w:rPr>
                <w:rFonts w:ascii="宋体" w:hAnsi="宋体" w:cs="宋体" w:eastAsia="宋体" w:hint="default"/>
                <w:spacing w:val="-2"/>
                <w:sz w:val="18"/>
                <w:szCs w:val="18"/>
              </w:rPr>
              <w:t>指标，则须按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向上市公司 支付现金补 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正在履行中， 未出现违反 承诺的情况</w:t>
            </w: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3" w:right="10"/>
              <w:jc w:val="left"/>
              <w:rPr>
                <w:rFonts w:ascii="宋体" w:hAnsi="宋体" w:cs="宋体" w:eastAsia="宋体" w:hint="default"/>
                <w:sz w:val="18"/>
                <w:szCs w:val="18"/>
              </w:rPr>
            </w:pPr>
            <w:r>
              <w:rPr>
                <w:rFonts w:ascii="宋体" w:hAnsi="宋体" w:cs="宋体" w:eastAsia="宋体" w:hint="default"/>
                <w:sz w:val="18"/>
                <w:szCs w:val="18"/>
              </w:rPr>
              <w:t>詹嘉、李翔、 张璐、李劼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p>
            <w:pPr>
              <w:pStyle w:val="TableParagraph"/>
              <w:spacing w:line="309" w:lineRule="auto" w:before="63"/>
              <w:ind w:left="22" w:right="103"/>
              <w:jc w:val="left"/>
              <w:rPr>
                <w:rFonts w:ascii="宋体" w:hAnsi="宋体" w:cs="宋体" w:eastAsia="宋体" w:hint="default"/>
                <w:sz w:val="18"/>
                <w:szCs w:val="18"/>
              </w:rPr>
            </w:pP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实现的经审 计的净利润</w:t>
            </w:r>
          </w:p>
          <w:p>
            <w:pPr>
              <w:pStyle w:val="TableParagraph"/>
              <w:spacing w:line="316" w:lineRule="auto" w:before="24"/>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（指经具有 证券从业资 格的会计师 事务所审计 确认的扣除 非经常性损 益的净利润） 分别不少于 人民币 </w:t>
            </w:r>
            <w:r>
              <w:rPr>
                <w:rFonts w:ascii="Times New Roman" w:hAnsi="Times New Roman" w:cs="Times New Roman" w:eastAsia="Times New Roman" w:hint="default"/>
                <w:sz w:val="18"/>
                <w:szCs w:val="18"/>
              </w:rPr>
              <w:t>1,801.96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2,378.75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3,004.98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元；否则詹 </w:t>
            </w:r>
            <w:r>
              <w:rPr>
                <w:rFonts w:ascii="宋体" w:hAnsi="宋体" w:cs="宋体" w:eastAsia="宋体" w:hint="default"/>
                <w:spacing w:val="-2"/>
                <w:sz w:val="18"/>
                <w:szCs w:val="18"/>
              </w:rPr>
              <w:t>嘉、李翔、张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璐、李劼将按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照《氩氪业绩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补偿协议》的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约定对上市 公司进行补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8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刘阳、王英 杰、孙唯一、 田斌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琥珀传播</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p>
            <w:pPr>
              <w:pStyle w:val="TableParagraph"/>
              <w:spacing w:line="309" w:lineRule="auto" w:before="63"/>
              <w:ind w:left="22" w:right="103"/>
              <w:jc w:val="left"/>
              <w:rPr>
                <w:rFonts w:ascii="宋体" w:hAnsi="宋体" w:cs="宋体" w:eastAsia="宋体" w:hint="default"/>
                <w:sz w:val="18"/>
                <w:szCs w:val="18"/>
              </w:rPr>
            </w:pP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实现的经审 计的净利润</w:t>
            </w:r>
          </w:p>
          <w:p>
            <w:pPr>
              <w:pStyle w:val="TableParagraph"/>
              <w:spacing w:line="316" w:lineRule="auto" w:before="24"/>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（指经具有 证券从业资 格的会计师 事务所审计 确认的扣除 非经常性损 益的净利润） 分别不少于 人民币 </w:t>
            </w:r>
            <w:r>
              <w:rPr>
                <w:rFonts w:ascii="Times New Roman" w:hAnsi="Times New Roman" w:cs="Times New Roman" w:eastAsia="Times New Roman" w:hint="default"/>
                <w:sz w:val="18"/>
                <w:szCs w:val="18"/>
              </w:rPr>
              <w:t>1,501.47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1,950.13</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2,550.02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4"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预测净利 </w:t>
            </w:r>
            <w:r>
              <w:rPr>
                <w:rFonts w:ascii="宋体" w:hAnsi="宋体" w:cs="宋体" w:eastAsia="宋体" w:hint="default"/>
                <w:spacing w:val="-13"/>
                <w:sz w:val="18"/>
                <w:szCs w:val="18"/>
              </w:rPr>
              <w:t>润</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）；否则刘</w:t>
            </w:r>
            <w:r>
              <w:rPr>
                <w:rFonts w:ascii="宋体" w:hAnsi="宋体" w:cs="宋体" w:eastAsia="宋体" w:hint="default"/>
                <w:sz w:val="18"/>
                <w:szCs w:val="18"/>
              </w:rPr>
              <w:t> 阳、王英杰、 孙唯一、田斌 将按照《琥珀 业绩补偿协 议》的约定对 上市公司进 行补偿。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詹嘉、李翔、 张璐、李劼、 刘阳、王英 杰、孙唯一、 田斌、郑晓 东、段永玲、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股票锁定期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9"/>
              <w:jc w:val="both"/>
              <w:rPr>
                <w:rFonts w:ascii="宋体" w:hAnsi="宋体" w:cs="宋体" w:eastAsia="宋体" w:hint="default"/>
                <w:sz w:val="18"/>
                <w:szCs w:val="18"/>
              </w:rPr>
            </w:pPr>
            <w:r>
              <w:rPr>
                <w:rFonts w:ascii="宋体" w:hAnsi="宋体" w:cs="宋体" w:eastAsia="宋体" w:hint="default"/>
                <w:sz w:val="18"/>
                <w:szCs w:val="18"/>
              </w:rPr>
              <w:t>取得的上市 公司股份自 该部分股份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正在履行中， 未出现违反 承诺的情况</w:t>
            </w:r>
          </w:p>
        </w:tc>
      </w:tr>
    </w:tbl>
    <w:p>
      <w:pPr>
        <w:spacing w:after="0" w:line="319"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郭海</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对外转让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82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徐先明、淮安</w:t>
            </w:r>
            <w:r>
              <w:rPr>
                <w:rFonts w:ascii="宋体" w:hAnsi="宋体" w:cs="宋体" w:eastAsia="宋体" w:hint="default"/>
                <w:sz w:val="18"/>
                <w:szCs w:val="18"/>
              </w:rPr>
              <w:t> 明硕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万圣伟业于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6"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年度应 实现的年度 经审核税后 </w:t>
            </w:r>
            <w:r>
              <w:rPr>
                <w:rFonts w:ascii="宋体" w:hAnsi="宋体" w:cs="宋体" w:eastAsia="宋体" w:hint="default"/>
                <w:spacing w:val="-2"/>
                <w:sz w:val="18"/>
                <w:szCs w:val="18"/>
              </w:rPr>
              <w:t>净利润（指经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具有证券从 业资格的会 计师事务所 审计确认的 扣除非经常 性损益后归 属于母公司 股东的净利 </w:t>
            </w:r>
            <w:r>
              <w:rPr>
                <w:rFonts w:ascii="宋体" w:hAnsi="宋体" w:cs="宋体" w:eastAsia="宋体" w:hint="default"/>
                <w:spacing w:val="-2"/>
                <w:sz w:val="18"/>
                <w:szCs w:val="18"/>
              </w:rPr>
              <w:t>润）分别不低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18,561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23,125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元。否则徐先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明、淮安明硕</w:t>
            </w:r>
            <w:r>
              <w:rPr>
                <w:rFonts w:ascii="宋体" w:hAnsi="宋体" w:cs="宋体" w:eastAsia="宋体" w:hint="default"/>
                <w:sz w:val="18"/>
                <w:szCs w:val="18"/>
              </w:rPr>
              <w:t> </w:t>
            </w:r>
            <w:r>
              <w:rPr>
                <w:rFonts w:ascii="宋体" w:hAnsi="宋体" w:cs="宋体" w:eastAsia="宋体" w:hint="default"/>
                <w:spacing w:val="-2"/>
                <w:sz w:val="18"/>
                <w:szCs w:val="18"/>
              </w:rPr>
              <w:t>将按照《万圣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伟业业绩补 </w:t>
            </w:r>
            <w:r>
              <w:rPr>
                <w:rFonts w:ascii="宋体" w:hAnsi="宋体" w:cs="宋体" w:eastAsia="宋体" w:hint="default"/>
                <w:spacing w:val="-2"/>
                <w:sz w:val="18"/>
                <w:szCs w:val="18"/>
              </w:rPr>
              <w:t>偿协议》及其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补充协议的 约定对上市 公司进行补 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7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刘璐、何若萌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微创时代于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6" w:lineRule="auto" w:before="63"/>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年度应 实现的年度 审核税后净 利润（指经具 有证券从业 资格的会计 师事务所审 计确认的扣 除非经常性 损益后归属 于母公司股 东的净利润）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分别不低于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9,360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2"/>
                <w:sz w:val="18"/>
                <w:szCs w:val="18"/>
              </w:rPr>
              <w:t>否则刘璐、何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若萌将按照</w:t>
            </w:r>
          </w:p>
          <w:p>
            <w:pPr>
              <w:pStyle w:val="TableParagraph"/>
              <w:spacing w:line="319" w:lineRule="auto" w:before="24"/>
              <w:ind w:left="22" w:right="21"/>
              <w:jc w:val="left"/>
              <w:rPr>
                <w:rFonts w:ascii="宋体" w:hAnsi="宋体" w:cs="宋体" w:eastAsia="宋体" w:hint="default"/>
                <w:sz w:val="18"/>
                <w:szCs w:val="18"/>
              </w:rPr>
            </w:pPr>
            <w:r>
              <w:rPr>
                <w:rFonts w:ascii="宋体" w:hAnsi="宋体" w:cs="宋体" w:eastAsia="宋体" w:hint="default"/>
                <w:sz w:val="18"/>
                <w:szCs w:val="18"/>
              </w:rPr>
              <w:t>《微创时代 业绩补偿协 </w:t>
            </w:r>
            <w:r>
              <w:rPr>
                <w:rFonts w:ascii="宋体" w:hAnsi="宋体" w:cs="宋体" w:eastAsia="宋体" w:hint="default"/>
                <w:spacing w:val="-2"/>
                <w:sz w:val="18"/>
                <w:szCs w:val="18"/>
              </w:rPr>
              <w:t>议》及其补充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协议的约定 对上市公司 进行补偿。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徐先明、淮安 明硕、刘璐、 何若萌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1"/>
              <w:jc w:val="left"/>
              <w:rPr>
                <w:rFonts w:ascii="宋体" w:hAnsi="宋体" w:cs="宋体" w:eastAsia="宋体" w:hint="default"/>
                <w:sz w:val="18"/>
                <w:szCs w:val="18"/>
              </w:rPr>
            </w:pPr>
            <w:r>
              <w:rPr>
                <w:rFonts w:ascii="宋体" w:hAnsi="宋体" w:cs="宋体" w:eastAsia="宋体" w:hint="default"/>
                <w:sz w:val="18"/>
                <w:szCs w:val="18"/>
              </w:rPr>
              <w:t>股票锁定期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在本次交易 中认购的上 市公司向其 发行的股份 自新增股份 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正在履行中， 未出现违反 承诺的情况</w:t>
            </w:r>
          </w:p>
        </w:tc>
      </w:tr>
      <w:tr>
        <w:trPr>
          <w:trHeight w:val="508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中欧盛世资 产管理（上 海）有限公 </w:t>
            </w:r>
            <w:r>
              <w:rPr>
                <w:rFonts w:ascii="宋体" w:hAnsi="宋体" w:cs="宋体" w:eastAsia="宋体" w:hint="default"/>
                <w:spacing w:val="-2"/>
                <w:sz w:val="18"/>
                <w:szCs w:val="18"/>
              </w:rPr>
              <w:t>司、英大基金</w:t>
            </w:r>
            <w:r>
              <w:rPr>
                <w:rFonts w:ascii="宋体" w:hAnsi="宋体" w:cs="宋体" w:eastAsia="宋体" w:hint="default"/>
                <w:sz w:val="18"/>
                <w:szCs w:val="18"/>
              </w:rPr>
              <w:t> 管理有限公 </w:t>
            </w:r>
            <w:r>
              <w:rPr>
                <w:rFonts w:ascii="宋体" w:hAnsi="宋体" w:cs="宋体" w:eastAsia="宋体" w:hint="default"/>
                <w:spacing w:val="-2"/>
                <w:sz w:val="18"/>
                <w:szCs w:val="18"/>
              </w:rPr>
              <w:t>司、珠海中兵</w:t>
            </w:r>
            <w:r>
              <w:rPr>
                <w:rFonts w:ascii="宋体" w:hAnsi="宋体" w:cs="宋体" w:eastAsia="宋体" w:hint="default"/>
                <w:sz w:val="18"/>
                <w:szCs w:val="18"/>
              </w:rPr>
              <w:t> 广发投资基 金合伙企业</w:t>
            </w:r>
          </w:p>
          <w:p>
            <w:pPr>
              <w:pStyle w:val="TableParagraph"/>
              <w:spacing w:line="319"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（有限合 伙）、中国北 方工业公司、 云南卓晔投 资管理有限 公司、安信基 金管理有限 责任公司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股票锁定期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4" w:lineRule="auto"/>
              <w:ind w:left="22" w:right="149"/>
              <w:jc w:val="both"/>
              <w:rPr>
                <w:rFonts w:ascii="宋体" w:hAnsi="宋体" w:cs="宋体" w:eastAsia="宋体" w:hint="default"/>
                <w:sz w:val="18"/>
                <w:szCs w:val="18"/>
              </w:rPr>
            </w:pPr>
            <w:r>
              <w:rPr>
                <w:rFonts w:ascii="宋体" w:hAnsi="宋体" w:cs="宋体" w:eastAsia="宋体" w:hint="default"/>
                <w:sz w:val="18"/>
                <w:szCs w:val="18"/>
              </w:rPr>
              <w:t>在本次交易 中认购的上 市公司向其 发行的股份 自新增股份 上市日起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 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正在履行中， 未出现违反 承诺的情况</w:t>
            </w:r>
          </w:p>
        </w:tc>
      </w:tr>
      <w:tr>
        <w:trPr>
          <w:trHeight w:val="223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王相荣、王壮</w:t>
            </w:r>
            <w:r>
              <w:rPr>
                <w:rFonts w:ascii="宋体" w:hAnsi="宋体" w:cs="宋体" w:eastAsia="宋体" w:hint="default"/>
                <w:sz w:val="18"/>
                <w:szCs w:val="18"/>
              </w:rPr>
              <w:t> 利、颜土富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王相荣承诺：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、在公司任 职期间，每年 转让的股份 不超过其所 持有的公司 股份总数的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z w:val="18"/>
                <w:szCs w:val="18"/>
              </w:rPr>
              <w:t>正在履行中， 未出现违反 承诺的情况</w:t>
            </w:r>
          </w:p>
        </w:tc>
      </w:tr>
    </w:tbl>
    <w:p>
      <w:pPr>
        <w:spacing w:after="0" w:line="319"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百分之二十 五，且离职后 半年内不转 让其所持有 的公司股份。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、关于避免 同业竞争的 承诺。王壮 利、颜土富承 诺：在公司任 职期间，每年 转让的股份 不超过其所 持有的公司 股份总数的 百分之二十 五，且离职后 半年内不转 让其所持有 的公司股份。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both"/>
              <w:rPr>
                <w:rFonts w:ascii="宋体" w:hAnsi="宋体" w:cs="宋体" w:eastAsia="宋体" w:hint="default"/>
                <w:sz w:val="18"/>
                <w:szCs w:val="18"/>
              </w:rPr>
            </w:pPr>
            <w:r>
              <w:rPr>
                <w:rFonts w:ascii="宋体" w:hAnsi="宋体" w:cs="宋体" w:eastAsia="宋体" w:hint="default"/>
                <w:sz w:val="18"/>
                <w:szCs w:val="18"/>
              </w:rPr>
              <w:t>王相荣、王壮 利、王洪仁、 梁小恩、林夏 满、金纬资本</w:t>
            </w:r>
          </w:p>
          <w:p>
            <w:pPr>
              <w:pStyle w:val="TableParagraph"/>
              <w:spacing w:line="319" w:lineRule="auto" w:before="19"/>
              <w:ind w:left="23" w:right="21"/>
              <w:jc w:val="left"/>
              <w:rPr>
                <w:rFonts w:ascii="宋体" w:hAnsi="宋体" w:cs="宋体" w:eastAsia="宋体" w:hint="default"/>
                <w:sz w:val="18"/>
                <w:szCs w:val="18"/>
              </w:rPr>
            </w:pPr>
            <w:r>
              <w:rPr>
                <w:rFonts w:ascii="宋体" w:hAnsi="宋体" w:cs="宋体" w:eastAsia="宋体" w:hint="default"/>
                <w:spacing w:val="-2"/>
                <w:sz w:val="18"/>
                <w:szCs w:val="18"/>
              </w:rPr>
              <w:t>（山南）一期</w:t>
            </w:r>
            <w:r>
              <w:rPr>
                <w:rFonts w:ascii="宋体" w:hAnsi="宋体" w:cs="宋体" w:eastAsia="宋体" w:hint="default"/>
                <w:sz w:val="18"/>
                <w:szCs w:val="18"/>
              </w:rPr>
              <w:t> </w:t>
            </w:r>
            <w:r>
              <w:rPr>
                <w:rFonts w:ascii="宋体" w:hAnsi="宋体" w:cs="宋体" w:eastAsia="宋体" w:hint="default"/>
                <w:spacing w:val="-2"/>
                <w:sz w:val="18"/>
                <w:szCs w:val="18"/>
              </w:rPr>
              <w:t>合伙企业（有</w:t>
            </w:r>
            <w:r>
              <w:rPr>
                <w:rFonts w:ascii="宋体" w:hAnsi="宋体" w:cs="宋体" w:eastAsia="宋体" w:hint="default"/>
                <w:sz w:val="18"/>
                <w:szCs w:val="18"/>
              </w:rPr>
              <w:t> </w:t>
            </w:r>
            <w:r>
              <w:rPr>
                <w:rFonts w:ascii="宋体" w:hAnsi="宋体" w:cs="宋体" w:eastAsia="宋体" w:hint="default"/>
                <w:spacing w:val="-2"/>
                <w:sz w:val="18"/>
                <w:szCs w:val="18"/>
              </w:rPr>
              <w:t>限合伙）、中</w:t>
            </w:r>
            <w:r>
              <w:rPr>
                <w:rFonts w:ascii="宋体" w:hAnsi="宋体" w:cs="宋体" w:eastAsia="宋体" w:hint="default"/>
                <w:sz w:val="18"/>
                <w:szCs w:val="18"/>
              </w:rPr>
              <w:t> 国水务投资 有限公司及 西安海联房 屋建设开发 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2" w:right="12"/>
              <w:jc w:val="left"/>
              <w:rPr>
                <w:rFonts w:ascii="宋体" w:hAnsi="宋体" w:cs="宋体" w:eastAsia="宋体" w:hint="default"/>
                <w:sz w:val="18"/>
                <w:szCs w:val="18"/>
              </w:rPr>
            </w:pPr>
            <w:r>
              <w:rPr>
                <w:rFonts w:ascii="宋体" w:hAnsi="宋体" w:cs="宋体" w:eastAsia="宋体" w:hint="default"/>
                <w:sz w:val="18"/>
                <w:szCs w:val="18"/>
              </w:rPr>
              <w:t>认购的股份 自本次发行 股份上市之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内不得上市 交易或转让。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正在履行中， 未出现违反 承诺的情况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Times New Roman" w:hAnsi="Times New Roman" w:cs="Times New Roman" w:eastAsia="Times New Roman" w:hint="default"/>
          <w:sz w:val="22"/>
          <w:szCs w:val="22"/>
        </w:rPr>
      </w:pPr>
    </w:p>
    <w:p>
      <w:pPr>
        <w:spacing w:line="271" w:lineRule="auto" w:before="38"/>
        <w:ind w:left="154" w:right="1118" w:firstLine="0"/>
        <w:jc w:val="left"/>
        <w:rPr>
          <w:rFonts w:ascii="宋体" w:hAnsi="宋体" w:cs="宋体" w:eastAsia="宋体" w:hint="default"/>
          <w:sz w:val="20"/>
          <w:szCs w:val="20"/>
        </w:rPr>
      </w:pPr>
      <w:bookmarkStart w:name="2、公司资产或项目存在盈利预测，且报告期仍处在盈利预测期间，公司就资产或项目达到" w:id="67"/>
      <w:bookmarkEnd w:id="67"/>
      <w:r>
        <w:rPr/>
      </w:r>
      <w:r>
        <w:rPr>
          <w:rFonts w:ascii="Times New Roman" w:hAnsi="Times New Roman" w:cs="Times New Roman" w:eastAsia="Times New Roman" w:hint="default"/>
          <w:b/>
          <w:bCs/>
          <w:spacing w:val="-2"/>
          <w:w w:val="95"/>
          <w:sz w:val="20"/>
          <w:szCs w:val="20"/>
        </w:rPr>
        <w:t>2</w:t>
      </w:r>
      <w:r>
        <w:rPr>
          <w:rFonts w:ascii="宋体" w:hAnsi="宋体" w:cs="宋体" w:eastAsia="宋体" w:hint="default"/>
          <w:b/>
          <w:bCs/>
          <w:spacing w:val="-2"/>
          <w:w w:val="95"/>
          <w:sz w:val="20"/>
          <w:szCs w:val="20"/>
        </w:rPr>
        <w:t>、公司资产或项目存在盈利预测，且报告期仍处在盈利预测期间，公司就资产或项目达到原盈利预测及其原因</w:t>
      </w:r>
      <w:r>
        <w:rPr>
          <w:rFonts w:ascii="宋体" w:hAnsi="宋体" w:cs="宋体" w:eastAsia="宋体" w:hint="default"/>
          <w:b/>
          <w:bCs/>
          <w:w w:val="95"/>
          <w:sz w:val="20"/>
          <w:szCs w:val="20"/>
        </w:rPr>
        <w:t> </w:t>
      </w:r>
      <w:r>
        <w:rPr>
          <w:rFonts w:ascii="宋体" w:hAnsi="宋体" w:cs="宋体" w:eastAsia="宋体" w:hint="default"/>
          <w:b/>
          <w:bCs/>
          <w:spacing w:val="1"/>
          <w:w w:val="95"/>
          <w:sz w:val="20"/>
          <w:szCs w:val="20"/>
        </w:rPr>
        <w:t> </w:t>
      </w:r>
      <w:r>
        <w:rPr>
          <w:rFonts w:ascii="宋体" w:hAnsi="宋体" w:cs="宋体" w:eastAsia="宋体" w:hint="default"/>
          <w:b/>
          <w:bCs/>
          <w:spacing w:val="1"/>
          <w:w w:val="95"/>
          <w:sz w:val="20"/>
          <w:szCs w:val="20"/>
        </w:rPr>
      </w:r>
      <w:r>
        <w:rPr>
          <w:rFonts w:ascii="宋体" w:hAnsi="宋体" w:cs="宋体" w:eastAsia="宋体" w:hint="default"/>
          <w:b/>
          <w:bCs/>
          <w:sz w:val="20"/>
          <w:szCs w:val="20"/>
        </w:rPr>
        <w:t>做出说明</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67"/>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32"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16"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44"/>
        <w:ind w:left="6246" w:right="1142" w:firstLine="0"/>
        <w:jc w:val="right"/>
        <w:rPr>
          <w:rFonts w:ascii="宋体" w:hAnsi="宋体" w:cs="宋体" w:eastAsia="宋体" w:hint="default"/>
          <w:sz w:val="18"/>
          <w:szCs w:val="18"/>
        </w:rPr>
      </w:pPr>
      <w:r>
        <w:rPr/>
        <w:pict>
          <v:shape style="position:absolute;margin-left:56.459999pt;margin-top:-94.52829pt;width:479.05pt;height:569.0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22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6,373.14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4" w:lineRule="auto" w:before="76"/>
                          <w:ind w:left="22" w:right="49"/>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《关于收购上 海漫酷广告有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 权暨复牌的公 告》（公告编 号：</w:t>
                        </w:r>
                        <w:r>
                          <w:rPr>
                            <w:rFonts w:ascii="Times New Roman" w:hAnsi="Times New Roman" w:cs="Times New Roman" w:eastAsia="Times New Roman" w:hint="default"/>
                            <w:sz w:val="18"/>
                            <w:szCs w:val="18"/>
                          </w:rPr>
                          <w:t>2014-033</w:t>
                        </w:r>
                      </w:p>
                    </w:tc>
                  </w:tr>
                  <w:tr>
                    <w:trPr>
                      <w:trHeight w:val="22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2,378.75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2,628.24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2" w:right="65"/>
                          <w:jc w:val="both"/>
                          <w:rPr>
                            <w:rFonts w:ascii="宋体" w:hAnsi="宋体" w:cs="宋体" w:eastAsia="宋体" w:hint="default"/>
                            <w:sz w:val="18"/>
                            <w:szCs w:val="18"/>
                          </w:rPr>
                        </w:pPr>
                        <w:r>
                          <w:rPr>
                            <w:rFonts w:ascii="宋体" w:hAnsi="宋体" w:cs="宋体" w:eastAsia="宋体" w:hint="default"/>
                            <w:sz w:val="18"/>
                            <w:szCs w:val="18"/>
                          </w:rPr>
                          <w:t>《发行股份及 支付现金购买 资产并募集配 套资金暨关联 交易报告书</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（草案）》</w:t>
                        </w:r>
                      </w:p>
                    </w:tc>
                  </w:tr>
                  <w:tr>
                    <w:trPr>
                      <w:trHeight w:val="22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1,950.13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2,137.23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2" w:right="65"/>
                          <w:jc w:val="both"/>
                          <w:rPr>
                            <w:rFonts w:ascii="宋体" w:hAnsi="宋体" w:cs="宋体" w:eastAsia="宋体" w:hint="default"/>
                            <w:sz w:val="18"/>
                            <w:szCs w:val="18"/>
                          </w:rPr>
                        </w:pPr>
                        <w:r>
                          <w:rPr>
                            <w:rFonts w:ascii="宋体" w:hAnsi="宋体" w:cs="宋体" w:eastAsia="宋体" w:hint="default"/>
                            <w:sz w:val="18"/>
                            <w:szCs w:val="18"/>
                          </w:rPr>
                          <w:t>《发行股份及 支付现金购买 资产并募集配 套资金暨关联 交易报告书</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（草案）》</w:t>
                        </w:r>
                      </w:p>
                    </w:tc>
                  </w:tr>
                  <w:tr>
                    <w:trPr>
                      <w:trHeight w:val="22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万圣伟业</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17,926.38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2" w:right="65"/>
                          <w:jc w:val="both"/>
                          <w:rPr>
                            <w:rFonts w:ascii="宋体" w:hAnsi="宋体" w:cs="宋体" w:eastAsia="宋体" w:hint="default"/>
                            <w:sz w:val="18"/>
                            <w:szCs w:val="18"/>
                          </w:rPr>
                        </w:pPr>
                        <w:r>
                          <w:rPr>
                            <w:rFonts w:ascii="宋体" w:hAnsi="宋体" w:cs="宋体" w:eastAsia="宋体" w:hint="default"/>
                            <w:sz w:val="18"/>
                            <w:szCs w:val="18"/>
                          </w:rPr>
                          <w:t>《发行股份及 支付现金购买 资产并募集配 套资金暨关联 交易报告书</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（草案）》</w:t>
                        </w:r>
                      </w:p>
                    </w:tc>
                  </w:tr>
                  <w:tr>
                    <w:trPr>
                      <w:trHeight w:val="227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6,985.57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2" w:right="65"/>
                          <w:jc w:val="both"/>
                          <w:rPr>
                            <w:rFonts w:ascii="宋体" w:hAnsi="宋体" w:cs="宋体" w:eastAsia="宋体" w:hint="default"/>
                            <w:sz w:val="18"/>
                            <w:szCs w:val="18"/>
                          </w:rPr>
                        </w:pPr>
                        <w:r>
                          <w:rPr>
                            <w:rFonts w:ascii="宋体" w:hAnsi="宋体" w:cs="宋体" w:eastAsia="宋体" w:hint="default"/>
                            <w:sz w:val="18"/>
                            <w:szCs w:val="18"/>
                          </w:rPr>
                          <w:t>《发行股份及 支付现金购买 资产并募集配 套资金暨关联 交易报告书</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（草案）》</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3" w:lineRule="auto" w:before="153"/>
        <w:ind w:right="0" w:firstLine="360"/>
        <w:jc w:val="left"/>
      </w:pPr>
      <w:r>
        <w:rPr>
          <w:rFonts w:ascii="Times New Roman" w:hAnsi="Times New Roman" w:cs="Times New Roman" w:eastAsia="Times New Roman" w:hint="default"/>
          <w:spacing w:val="-2"/>
          <w:sz w:val="18"/>
          <w:szCs w:val="18"/>
        </w:rPr>
        <w:t>1</w:t>
      </w:r>
      <w:r>
        <w:rPr>
          <w:spacing w:val="-2"/>
        </w:rPr>
        <w:t>、郑晓东、段永玲、郭海承诺上海漫酷于</w:t>
      </w:r>
      <w:r>
        <w:rPr>
          <w:rFonts w:ascii="宋体" w:hAnsi="宋体" w:cs="宋体" w:eastAsia="宋体" w:hint="default"/>
          <w:spacing w:val="-2"/>
        </w:rPr>
        <w:t>2014</w:t>
      </w:r>
      <w:r>
        <w:rPr>
          <w:spacing w:val="-2"/>
        </w:rPr>
        <w:t>、</w:t>
      </w:r>
      <w:r>
        <w:rPr>
          <w:rFonts w:ascii="宋体" w:hAnsi="宋体" w:cs="宋体" w:eastAsia="宋体" w:hint="default"/>
          <w:spacing w:val="-2"/>
        </w:rPr>
        <w:t>2015</w:t>
      </w:r>
      <w:r>
        <w:rPr>
          <w:spacing w:val="-2"/>
        </w:rPr>
        <w:t>、</w:t>
      </w:r>
      <w:r>
        <w:rPr>
          <w:rFonts w:ascii="宋体" w:hAnsi="宋体" w:cs="宋体" w:eastAsia="宋体" w:hint="default"/>
          <w:spacing w:val="-2"/>
        </w:rPr>
        <w:t>2016</w:t>
      </w:r>
      <w:r>
        <w:rPr>
          <w:spacing w:val="-2"/>
        </w:rPr>
        <w:t>会计年度实现的年度审核税后净利润（指</w:t>
      </w:r>
      <w:r>
        <w:rPr/>
        <w:t> 经具有证券从业资格的会计师事务所审计确认的扣除非经常性损益的净利润）应分别不少于人民币</w:t>
      </w:r>
      <w:r>
        <w:rPr>
          <w:rFonts w:ascii="宋体" w:hAnsi="宋体" w:cs="宋体" w:eastAsia="宋体" w:hint="default"/>
        </w:rPr>
        <w:t>4,700 </w:t>
      </w:r>
      <w:r>
        <w:rPr>
          <w:spacing w:val="-1"/>
        </w:rPr>
        <w:t>万元、</w:t>
      </w:r>
      <w:r>
        <w:rPr>
          <w:rFonts w:ascii="宋体" w:hAnsi="宋体" w:cs="宋体" w:eastAsia="宋体" w:hint="default"/>
          <w:spacing w:val="-1"/>
        </w:rPr>
        <w:t>6,000</w:t>
      </w:r>
      <w:r>
        <w:rPr>
          <w:spacing w:val="-1"/>
        </w:rPr>
        <w:t>万元、</w:t>
      </w:r>
      <w:r>
        <w:rPr>
          <w:rFonts w:ascii="宋体" w:hAnsi="宋体" w:cs="宋体" w:eastAsia="宋体" w:hint="default"/>
          <w:spacing w:val="-1"/>
        </w:rPr>
        <w:t>7,300</w:t>
      </w:r>
      <w:r>
        <w:rPr>
          <w:spacing w:val="-1"/>
        </w:rPr>
        <w:t>万元，若上海漫酷的税后净利润没有达到上述该年度业绩承诺指标，则须按向上</w:t>
      </w:r>
      <w:r>
        <w:rPr>
          <w:spacing w:val="-80"/>
        </w:rPr>
        <w:t> </w:t>
      </w:r>
      <w:r>
        <w:rPr>
          <w:spacing w:val="-80"/>
        </w:rPr>
      </w:r>
      <w:r>
        <w:rPr>
          <w:spacing w:val="-1"/>
        </w:rPr>
        <w:t>市公司支付现金补偿。</w:t>
      </w:r>
      <w:r>
        <w:rPr>
          <w:rFonts w:ascii="宋体" w:hAnsi="宋体" w:cs="宋体" w:eastAsia="宋体" w:hint="default"/>
          <w:spacing w:val="-1"/>
        </w:rPr>
        <w:t>2015</w:t>
      </w:r>
      <w:r>
        <w:rPr>
          <w:spacing w:val="-1"/>
        </w:rPr>
        <w:t>年度，上海漫酷实现扣除非经常性损益后的净利润为</w:t>
      </w:r>
      <w:r>
        <w:rPr>
          <w:rFonts w:ascii="宋体" w:hAnsi="宋体" w:cs="宋体" w:eastAsia="宋体" w:hint="default"/>
          <w:spacing w:val="-1"/>
        </w:rPr>
        <w:t>6,373.14</w:t>
      </w:r>
      <w:r>
        <w:rPr>
          <w:spacing w:val="-1"/>
        </w:rPr>
        <w:t>万元。上海漫酷</w:t>
      </w:r>
    </w:p>
    <w:p>
      <w:pPr>
        <w:spacing w:after="0" w:line="403" w:lineRule="auto"/>
        <w:jc w:val="left"/>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是否实现业绩承诺及计算现金补偿金额时，以公司指定的符合资格的会计师事务所出具的专项审核报告确</w:t>
      </w:r>
      <w:r>
        <w:rPr>
          <w:spacing w:val="-81"/>
        </w:rPr>
        <w:t> </w:t>
      </w:r>
      <w:r>
        <w:rPr>
          <w:spacing w:val="-81"/>
        </w:rPr>
      </w:r>
      <w:r>
        <w:rPr/>
        <w:t>认的税后净利润数据</w:t>
      </w:r>
      <w:r>
        <w:rPr>
          <w:rFonts w:ascii="宋体" w:hAnsi="宋体" w:cs="宋体" w:eastAsia="宋体" w:hint="default"/>
        </w:rPr>
        <w:t>(</w:t>
      </w:r>
      <w:r>
        <w:rPr/>
        <w:t>即“审核税后净利润”</w:t>
      </w:r>
      <w:r>
        <w:rPr>
          <w:rFonts w:ascii="宋体" w:hAnsi="宋体" w:cs="宋体" w:eastAsia="宋体" w:hint="default"/>
        </w:rPr>
        <w:t>)</w:t>
      </w:r>
      <w:r>
        <w:rPr/>
        <w:t>为准。</w:t>
      </w:r>
    </w:p>
    <w:p>
      <w:pPr>
        <w:pStyle w:val="BodyText"/>
        <w:spacing w:line="408" w:lineRule="auto" w:before="46"/>
        <w:ind w:right="0" w:firstLine="420"/>
        <w:jc w:val="left"/>
      </w:pPr>
      <w:r>
        <w:rPr>
          <w:rFonts w:ascii="宋体" w:hAnsi="宋体" w:cs="宋体" w:eastAsia="宋体" w:hint="default"/>
        </w:rPr>
        <w:t>2</w:t>
      </w:r>
      <w:r>
        <w:rPr/>
        <w:t>、詹嘉、李翔、张璐、李劼承诺上海氩氪</w:t>
      </w:r>
      <w:r>
        <w:rPr>
          <w:rFonts w:ascii="宋体" w:hAnsi="宋体" w:cs="宋体" w:eastAsia="宋体" w:hint="default"/>
        </w:rPr>
        <w:t>2014</w:t>
      </w:r>
      <w:r>
        <w:rPr/>
        <w:t>年、</w:t>
      </w:r>
      <w:r>
        <w:rPr>
          <w:rFonts w:ascii="宋体" w:hAnsi="宋体" w:cs="宋体" w:eastAsia="宋体" w:hint="default"/>
        </w:rPr>
        <w:t>2015</w:t>
      </w:r>
      <w:r>
        <w:rPr/>
        <w:t>年和</w:t>
      </w:r>
      <w:r>
        <w:rPr>
          <w:rFonts w:ascii="宋体" w:hAnsi="宋体" w:cs="宋体" w:eastAsia="宋体" w:hint="default"/>
        </w:rPr>
        <w:t>2016</w:t>
      </w:r>
      <w:r>
        <w:rPr/>
        <w:t>年实现的经审计的净利润（指经具 有证券从业资格的会计师事务所审计确认的扣除非经常性损益的净利润）分别不少于人民币</w:t>
      </w:r>
      <w:r>
        <w:rPr>
          <w:rFonts w:ascii="宋体" w:hAnsi="宋体" w:cs="宋体" w:eastAsia="宋体" w:hint="default"/>
        </w:rPr>
        <w:t>1,801.96</w:t>
      </w:r>
      <w:r>
        <w:rPr/>
        <w:t>万 </w:t>
      </w:r>
      <w:r>
        <w:rPr>
          <w:spacing w:val="-1"/>
        </w:rPr>
        <w:t>元、</w:t>
      </w:r>
      <w:r>
        <w:rPr>
          <w:rFonts w:ascii="宋体" w:hAnsi="宋体" w:cs="宋体" w:eastAsia="宋体" w:hint="default"/>
          <w:spacing w:val="-1"/>
        </w:rPr>
        <w:t>2,378.75</w:t>
      </w:r>
      <w:r>
        <w:rPr>
          <w:spacing w:val="-1"/>
        </w:rPr>
        <w:t>万元、</w:t>
      </w:r>
      <w:r>
        <w:rPr>
          <w:rFonts w:ascii="宋体" w:hAnsi="宋体" w:cs="宋体" w:eastAsia="宋体" w:hint="default"/>
          <w:spacing w:val="-1"/>
        </w:rPr>
        <w:t>3,004.98</w:t>
      </w:r>
      <w:r>
        <w:rPr>
          <w:spacing w:val="-1"/>
        </w:rPr>
        <w:t>万元。否则詹嘉、李翔、张璐、李劼将按照《氩氪业绩补偿协议》的约定对</w:t>
      </w:r>
      <w:r>
        <w:rPr>
          <w:spacing w:val="-77"/>
        </w:rPr>
        <w:t> </w:t>
      </w:r>
      <w:r>
        <w:rPr>
          <w:spacing w:val="-77"/>
        </w:rPr>
      </w:r>
      <w:r>
        <w:rPr>
          <w:spacing w:val="-1"/>
        </w:rPr>
        <w:t>上市公司进行补偿。上海氩氪</w:t>
      </w:r>
      <w:r>
        <w:rPr>
          <w:rFonts w:ascii="宋体" w:hAnsi="宋体" w:cs="宋体" w:eastAsia="宋体" w:hint="default"/>
          <w:spacing w:val="-1"/>
        </w:rPr>
        <w:t>2015</w:t>
      </w:r>
      <w:r>
        <w:rPr>
          <w:spacing w:val="-1"/>
        </w:rPr>
        <w:t>年度经审计的扣除非经常性损益后的净利润为</w:t>
      </w:r>
      <w:r>
        <w:rPr>
          <w:rFonts w:ascii="宋体" w:hAnsi="宋体" w:cs="宋体" w:eastAsia="宋体" w:hint="default"/>
          <w:spacing w:val="-1"/>
        </w:rPr>
        <w:t>2,628.24</w:t>
      </w:r>
      <w:r>
        <w:rPr>
          <w:spacing w:val="-1"/>
        </w:rPr>
        <w:t>万元，已完成盈</w:t>
      </w:r>
      <w:r>
        <w:rPr>
          <w:spacing w:val="-78"/>
        </w:rPr>
        <w:t> </w:t>
      </w:r>
      <w:r>
        <w:rPr>
          <w:spacing w:val="-78"/>
        </w:rPr>
      </w:r>
      <w:r>
        <w:rPr/>
        <w:t>利预测的业绩承诺。</w:t>
      </w:r>
    </w:p>
    <w:p>
      <w:pPr>
        <w:pStyle w:val="BodyText"/>
        <w:spacing w:line="408" w:lineRule="auto" w:before="46"/>
        <w:ind w:right="0" w:firstLine="420"/>
        <w:jc w:val="left"/>
      </w:pPr>
      <w:r>
        <w:rPr>
          <w:rFonts w:ascii="宋体" w:hAnsi="宋体" w:cs="宋体" w:eastAsia="宋体" w:hint="default"/>
        </w:rPr>
        <w:t>3</w:t>
      </w:r>
      <w:r>
        <w:rPr/>
        <w:t>、刘阳、王英杰、孙唯一、田斌承诺琥珀传播</w:t>
      </w:r>
      <w:r>
        <w:rPr>
          <w:rFonts w:ascii="宋体" w:hAnsi="宋体" w:cs="宋体" w:eastAsia="宋体" w:hint="default"/>
        </w:rPr>
        <w:t>2014</w:t>
      </w:r>
      <w:r>
        <w:rPr/>
        <w:t>年、</w:t>
      </w:r>
      <w:r>
        <w:rPr>
          <w:rFonts w:ascii="宋体" w:hAnsi="宋体" w:cs="宋体" w:eastAsia="宋体" w:hint="default"/>
        </w:rPr>
        <w:t>2015</w:t>
      </w:r>
      <w:r>
        <w:rPr/>
        <w:t>年和</w:t>
      </w:r>
      <w:r>
        <w:rPr>
          <w:rFonts w:ascii="宋体" w:hAnsi="宋体" w:cs="宋体" w:eastAsia="宋体" w:hint="default"/>
        </w:rPr>
        <w:t>2016</w:t>
      </w:r>
      <w:r>
        <w:rPr/>
        <w:t>年实现的经审计的净利润（指 </w:t>
      </w:r>
      <w:r>
        <w:rPr>
          <w:spacing w:val="-1"/>
        </w:rPr>
        <w:t>经具有证券从业资格的会计师事务所审计确认的扣除非经常性损益的净利润）分别不少于人民币</w:t>
      </w:r>
      <w:r>
        <w:rPr>
          <w:rFonts w:ascii="宋体" w:hAnsi="宋体" w:cs="宋体" w:eastAsia="宋体" w:hint="default"/>
          <w:spacing w:val="-1"/>
        </w:rPr>
        <w:t>1,501.47</w:t>
      </w:r>
      <w:r>
        <w:rPr>
          <w:rFonts w:ascii="宋体" w:hAnsi="宋体" w:cs="宋体" w:eastAsia="宋体" w:hint="default"/>
          <w:spacing w:val="-76"/>
        </w:rPr>
        <w:t> </w:t>
      </w:r>
      <w:r>
        <w:rPr>
          <w:spacing w:val="-1"/>
        </w:rPr>
        <w:t>万元、</w:t>
      </w:r>
      <w:r>
        <w:rPr>
          <w:rFonts w:ascii="宋体" w:hAnsi="宋体" w:cs="宋体" w:eastAsia="宋体" w:hint="default"/>
          <w:spacing w:val="-1"/>
        </w:rPr>
        <w:t>1,950.13</w:t>
      </w:r>
      <w:r>
        <w:rPr>
          <w:spacing w:val="-1"/>
        </w:rPr>
        <w:t>万元、</w:t>
      </w:r>
      <w:r>
        <w:rPr>
          <w:rFonts w:ascii="宋体" w:hAnsi="宋体" w:cs="宋体" w:eastAsia="宋体" w:hint="default"/>
          <w:spacing w:val="-1"/>
        </w:rPr>
        <w:t>2,550.02</w:t>
      </w:r>
      <w:r>
        <w:rPr>
          <w:spacing w:val="-1"/>
        </w:rPr>
        <w:t>万元；否则刘阳、王英杰、孙唯一、田斌将按照《琥珀业绩补偿协议》的</w:t>
      </w:r>
      <w:r>
        <w:rPr>
          <w:spacing w:val="-77"/>
        </w:rPr>
        <w:t> </w:t>
      </w:r>
      <w:r>
        <w:rPr>
          <w:spacing w:val="-77"/>
        </w:rPr>
      </w:r>
      <w:r>
        <w:rPr>
          <w:spacing w:val="-1"/>
        </w:rPr>
        <w:t>约定对上市公司进行补偿。琥珀传播</w:t>
      </w:r>
      <w:r>
        <w:rPr>
          <w:rFonts w:ascii="宋体" w:hAnsi="宋体" w:cs="宋体" w:eastAsia="宋体" w:hint="default"/>
          <w:spacing w:val="-1"/>
        </w:rPr>
        <w:t>2015</w:t>
      </w:r>
      <w:r>
        <w:rPr>
          <w:spacing w:val="-1"/>
        </w:rPr>
        <w:t>年度经审计的扣除非经常性损益后的净利润为</w:t>
      </w:r>
      <w:r>
        <w:rPr>
          <w:rFonts w:ascii="宋体" w:hAnsi="宋体" w:cs="宋体" w:eastAsia="宋体" w:hint="default"/>
          <w:spacing w:val="-1"/>
        </w:rPr>
        <w:t>2,137.23</w:t>
      </w:r>
      <w:r>
        <w:rPr>
          <w:spacing w:val="-1"/>
        </w:rPr>
        <w:t>万元，已</w:t>
      </w:r>
      <w:r>
        <w:rPr>
          <w:spacing w:val="-76"/>
        </w:rPr>
        <w:t> </w:t>
      </w:r>
      <w:r>
        <w:rPr>
          <w:spacing w:val="-76"/>
        </w:rPr>
      </w:r>
      <w:r>
        <w:rPr/>
        <w:t>完成盈利预测的业绩承诺。</w:t>
      </w:r>
    </w:p>
    <w:p>
      <w:pPr>
        <w:pStyle w:val="BodyText"/>
        <w:spacing w:line="408" w:lineRule="auto" w:before="46"/>
        <w:ind w:right="1093" w:firstLine="420"/>
        <w:jc w:val="left"/>
      </w:pPr>
      <w:r>
        <w:rPr>
          <w:rFonts w:ascii="宋体" w:hAnsi="宋体" w:cs="宋体" w:eastAsia="宋体" w:hint="default"/>
        </w:rPr>
        <w:t>4</w:t>
      </w:r>
      <w:r>
        <w:rPr/>
        <w:t>、徐先明、淮安明硕承诺万圣伟业于</w:t>
      </w:r>
      <w:r>
        <w:rPr>
          <w:rFonts w:ascii="宋体" w:hAnsi="宋体" w:cs="宋体" w:eastAsia="宋体" w:hint="default"/>
        </w:rPr>
        <w:t>2015</w:t>
      </w:r>
      <w:r>
        <w:rPr/>
        <w:t>年度、</w:t>
      </w:r>
      <w:r>
        <w:rPr>
          <w:rFonts w:ascii="宋体" w:hAnsi="宋体" w:cs="宋体" w:eastAsia="宋体" w:hint="default"/>
        </w:rPr>
        <w:t>2016</w:t>
      </w:r>
      <w:r>
        <w:rPr/>
        <w:t>年度、</w:t>
      </w:r>
      <w:r>
        <w:rPr>
          <w:rFonts w:ascii="宋体" w:hAnsi="宋体" w:cs="宋体" w:eastAsia="宋体" w:hint="default"/>
        </w:rPr>
        <w:t>2017</w:t>
      </w:r>
      <w:r>
        <w:rPr/>
        <w:t>年度应实现的年度经审核税后净利 润（指经具有证券从业资格的会计师事务所审计确认的扣除非经常性损益后归属于母公司股东的净利润） </w:t>
      </w:r>
      <w:r>
        <w:rPr>
          <w:spacing w:val="-1"/>
        </w:rPr>
        <w:t>分别不低于</w:t>
      </w:r>
      <w:r>
        <w:rPr>
          <w:rFonts w:ascii="宋体" w:hAnsi="宋体" w:cs="宋体" w:eastAsia="宋体" w:hint="default"/>
          <w:spacing w:val="-1"/>
        </w:rPr>
        <w:t>14,800</w:t>
      </w:r>
      <w:r>
        <w:rPr>
          <w:spacing w:val="-1"/>
        </w:rPr>
        <w:t>万元、</w:t>
      </w:r>
      <w:r>
        <w:rPr>
          <w:rFonts w:ascii="宋体" w:hAnsi="宋体" w:cs="宋体" w:eastAsia="宋体" w:hint="default"/>
          <w:spacing w:val="-1"/>
        </w:rPr>
        <w:t>18,561</w:t>
      </w:r>
      <w:r>
        <w:rPr>
          <w:spacing w:val="-1"/>
        </w:rPr>
        <w:t>万元、</w:t>
      </w:r>
      <w:r>
        <w:rPr>
          <w:rFonts w:ascii="宋体" w:hAnsi="宋体" w:cs="宋体" w:eastAsia="宋体" w:hint="default"/>
          <w:spacing w:val="-1"/>
        </w:rPr>
        <w:t>23,125</w:t>
      </w:r>
      <w:r>
        <w:rPr>
          <w:spacing w:val="-1"/>
        </w:rPr>
        <w:t>万元。否则徐先明、淮安明硕将按照《万圣伟业业绩补偿协</w:t>
      </w:r>
      <w:r>
        <w:rPr>
          <w:spacing w:val="-76"/>
        </w:rPr>
        <w:t> </w:t>
      </w:r>
      <w:r>
        <w:rPr>
          <w:spacing w:val="-76"/>
        </w:rPr>
      </w:r>
      <w:r>
        <w:rPr>
          <w:spacing w:val="-1"/>
        </w:rPr>
        <w:t>议》及其补充协议的约定对上市公司进行补偿。万圣伟业</w:t>
      </w:r>
      <w:r>
        <w:rPr>
          <w:rFonts w:ascii="宋体" w:hAnsi="宋体" w:cs="宋体" w:eastAsia="宋体" w:hint="default"/>
          <w:spacing w:val="-1"/>
        </w:rPr>
        <w:t>2015</w:t>
      </w:r>
      <w:r>
        <w:rPr>
          <w:spacing w:val="-1"/>
        </w:rPr>
        <w:t>年度经审计的扣除非经常性损益后的净利润</w:t>
      </w:r>
      <w:r>
        <w:rPr>
          <w:spacing w:val="-81"/>
        </w:rPr>
        <w:t> </w:t>
      </w:r>
      <w:r>
        <w:rPr>
          <w:spacing w:val="-81"/>
        </w:rPr>
      </w:r>
      <w:r>
        <w:rPr/>
        <w:t>为</w:t>
      </w:r>
      <w:r>
        <w:rPr>
          <w:rFonts w:ascii="宋体" w:hAnsi="宋体" w:cs="宋体" w:eastAsia="宋体" w:hint="default"/>
        </w:rPr>
        <w:t>17,926.38</w:t>
      </w:r>
      <w:r>
        <w:rPr/>
        <w:t>万元。万圣伟业是否实现业绩承诺及计算现金补偿金额时，以公司指定的符合资格的会计师 事务所出具的专项审核报告确认的税后净利润数据</w:t>
      </w:r>
      <w:r>
        <w:rPr>
          <w:rFonts w:ascii="宋体" w:hAnsi="宋体" w:cs="宋体" w:eastAsia="宋体" w:hint="default"/>
        </w:rPr>
        <w:t>(</w:t>
      </w:r>
      <w:r>
        <w:rPr/>
        <w:t>即“审核税后净利润”</w:t>
      </w:r>
      <w:r>
        <w:rPr>
          <w:rFonts w:ascii="宋体" w:hAnsi="宋体" w:cs="宋体" w:eastAsia="宋体" w:hint="default"/>
        </w:rPr>
        <w:t>)</w:t>
      </w:r>
      <w:r>
        <w:rPr/>
        <w:t>为准。</w:t>
      </w:r>
    </w:p>
    <w:p>
      <w:pPr>
        <w:pStyle w:val="BodyText"/>
        <w:spacing w:line="408" w:lineRule="auto" w:before="46"/>
        <w:ind w:right="0" w:firstLine="420"/>
        <w:jc w:val="left"/>
      </w:pPr>
      <w:r>
        <w:rPr>
          <w:rFonts w:ascii="宋体" w:hAnsi="宋体" w:cs="宋体" w:eastAsia="宋体" w:hint="default"/>
        </w:rPr>
        <w:t>5</w:t>
      </w:r>
      <w:r>
        <w:rPr/>
        <w:t>、刘璐、何若萌承诺微创时代于</w:t>
      </w:r>
      <w:r>
        <w:rPr>
          <w:rFonts w:ascii="宋体" w:hAnsi="宋体" w:cs="宋体" w:eastAsia="宋体" w:hint="default"/>
        </w:rPr>
        <w:t>2015</w:t>
      </w:r>
      <w:r>
        <w:rPr/>
        <w:t>年度、</w:t>
      </w:r>
      <w:r>
        <w:rPr>
          <w:rFonts w:ascii="宋体" w:hAnsi="宋体" w:cs="宋体" w:eastAsia="宋体" w:hint="default"/>
        </w:rPr>
        <w:t>2016</w:t>
      </w:r>
      <w:r>
        <w:rPr/>
        <w:t>年度、</w:t>
      </w:r>
      <w:r>
        <w:rPr>
          <w:rFonts w:ascii="宋体" w:hAnsi="宋体" w:cs="宋体" w:eastAsia="宋体" w:hint="default"/>
        </w:rPr>
        <w:t>2017</w:t>
      </w:r>
      <w:r>
        <w:rPr/>
        <w:t>年度应实现的年度审核税后净利润（指 </w:t>
      </w:r>
      <w:r>
        <w:rPr>
          <w:spacing w:val="-1"/>
        </w:rPr>
        <w:t>经具有证券从业资格的会计师事务所审计确认的扣除非经常性损益后归属于母公司股东的净利润）分别不</w:t>
      </w:r>
      <w:r>
        <w:rPr>
          <w:spacing w:val="-81"/>
        </w:rPr>
        <w:t> </w:t>
      </w:r>
      <w:r>
        <w:rPr>
          <w:spacing w:val="-81"/>
        </w:rPr>
      </w:r>
      <w:r>
        <w:rPr/>
        <w:t>低于</w:t>
      </w:r>
      <w:r>
        <w:rPr>
          <w:rFonts w:ascii="宋体" w:hAnsi="宋体" w:cs="宋体" w:eastAsia="宋体" w:hint="default"/>
        </w:rPr>
        <w:t>6,000</w:t>
      </w:r>
      <w:r>
        <w:rPr/>
        <w:t>万元、</w:t>
      </w:r>
      <w:r>
        <w:rPr>
          <w:rFonts w:ascii="宋体" w:hAnsi="宋体" w:cs="宋体" w:eastAsia="宋体" w:hint="default"/>
        </w:rPr>
        <w:t>7,200</w:t>
      </w:r>
      <w:r>
        <w:rPr/>
        <w:t>万元、</w:t>
      </w:r>
      <w:r>
        <w:rPr>
          <w:rFonts w:ascii="宋体" w:hAnsi="宋体" w:cs="宋体" w:eastAsia="宋体" w:hint="default"/>
        </w:rPr>
        <w:t>9,360</w:t>
      </w:r>
      <w:r>
        <w:rPr/>
        <w:t>万元。否则刘璐、何若萌将按照《微创时代业绩补偿协议》及其补充 </w:t>
      </w:r>
      <w:r>
        <w:rPr>
          <w:spacing w:val="-1"/>
        </w:rPr>
        <w:t>协议的约定对上市公司进行补偿。微创时代</w:t>
      </w:r>
      <w:r>
        <w:rPr>
          <w:rFonts w:ascii="宋体" w:hAnsi="宋体" w:cs="宋体" w:eastAsia="宋体" w:hint="default"/>
          <w:spacing w:val="-1"/>
        </w:rPr>
        <w:t>2015</w:t>
      </w:r>
      <w:r>
        <w:rPr>
          <w:spacing w:val="-1"/>
        </w:rPr>
        <w:t>年度经审计的扣除非经常性损益后的净利润为</w:t>
      </w:r>
      <w:r>
        <w:rPr>
          <w:rFonts w:ascii="宋体" w:hAnsi="宋体" w:cs="宋体" w:eastAsia="宋体" w:hint="default"/>
          <w:spacing w:val="-1"/>
        </w:rPr>
        <w:t>6,985.57</w:t>
      </w:r>
      <w:r>
        <w:rPr>
          <w:spacing w:val="-1"/>
        </w:rPr>
        <w:t>万</w:t>
      </w:r>
      <w:r>
        <w:rPr>
          <w:spacing w:val="-76"/>
        </w:rPr>
        <w:t> </w:t>
      </w:r>
      <w:r>
        <w:rPr>
          <w:spacing w:val="-1"/>
        </w:rPr>
        <w:t>元。微创时代是否实现业绩承诺及计算现金补偿金额时，以公司指定的符合资格的会计师事务所出具的专</w:t>
      </w:r>
      <w:r>
        <w:rPr>
          <w:spacing w:val="-81"/>
        </w:rPr>
        <w:t> </w:t>
      </w:r>
      <w:r>
        <w:rPr>
          <w:spacing w:val="-81"/>
        </w:rPr>
      </w:r>
      <w:r>
        <w:rPr/>
        <w:t>项审核报告确认的税后净利润数据</w:t>
      </w:r>
      <w:r>
        <w:rPr>
          <w:rFonts w:ascii="宋体" w:hAnsi="宋体" w:cs="宋体" w:eastAsia="宋体" w:hint="default"/>
        </w:rPr>
        <w:t>(</w:t>
      </w:r>
      <w:r>
        <w:rPr/>
        <w:t>即“审核税后净利润”</w:t>
      </w:r>
      <w:r>
        <w:rPr>
          <w:rFonts w:ascii="宋体" w:hAnsi="宋体" w:cs="宋体" w:eastAsia="宋体" w:hint="default"/>
        </w:rPr>
        <w:t>)</w:t>
      </w:r>
      <w:r>
        <w:rPr/>
        <w:t>为准。</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after="0" w:line="338"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3" w:right="1198"/>
        <w:jc w:val="left"/>
      </w:pPr>
      <w:r>
        <w:rPr/>
        <w:t>合并范围增加： </w:t>
      </w:r>
      <w:r>
        <w:rPr>
          <w:rFonts w:ascii="宋体" w:hAnsi="宋体" w:cs="宋体" w:eastAsia="宋体" w:hint="default"/>
        </w:rPr>
        <w:t>1</w:t>
      </w:r>
      <w:r>
        <w:rPr/>
        <w:t>）本报告期，公司完成收购万圣伟业、微创时代。故自购买日起，上述公司及其控股子公司纳入合</w:t>
      </w:r>
    </w:p>
    <w:p>
      <w:pPr>
        <w:pStyle w:val="BodyText"/>
        <w:spacing w:line="408" w:lineRule="auto" w:before="46"/>
        <w:ind w:left="573" w:right="1198" w:hanging="420"/>
        <w:jc w:val="left"/>
      </w:pPr>
      <w:r>
        <w:rPr/>
        <w:t>并财务报表范围。 </w:t>
      </w:r>
      <w:r>
        <w:rPr>
          <w:rFonts w:ascii="宋体" w:hAnsi="宋体" w:cs="宋体" w:eastAsia="宋体" w:hint="default"/>
        </w:rPr>
        <w:t>2</w:t>
      </w:r>
      <w:r>
        <w:rPr/>
        <w:t>）本报告期，公司出资设立了利欧集团数字科技上海有限公司、上海利柯网络科技有限公司、利欧</w:t>
      </w:r>
    </w:p>
    <w:p>
      <w:pPr>
        <w:pStyle w:val="BodyText"/>
        <w:spacing w:line="408" w:lineRule="auto" w:before="46"/>
        <w:ind w:right="1024"/>
        <w:jc w:val="left"/>
      </w:pPr>
      <w:r>
        <w:rPr/>
        <w:t>集团浙江泵业有限公司。公司控股子公司浙江利欧环境科技有限公司出资设立了成都利欧环境科技有限公 司、陕西利欧环境科技有限公司、深圳利欧环境科技有限公司、天津利欧艾瑞环境科技有限公司、安徽利 欧环境科技有限公司、北京利欧永大环境科技有限公司等公司，公司全资子公司湖南利欧天鹅工业泵有限 </w:t>
      </w:r>
      <w:r>
        <w:rPr>
          <w:spacing w:val="-3"/>
        </w:rPr>
        <w:t>公司出资设立了湖南同安贸易有限公司、湖南晟廷科技有限公司，并均在报告期内完成工商设立登记手续。</w:t>
      </w:r>
      <w:r>
        <w:rPr>
          <w:spacing w:val="-92"/>
        </w:rPr>
        <w:t> </w:t>
      </w:r>
      <w:r>
        <w:rPr>
          <w:spacing w:val="-92"/>
        </w:rPr>
      </w:r>
      <w:r>
        <w:rPr/>
        <w:t>故上述公司自成立之日起，纳入合并财务报表范围。</w:t>
      </w:r>
    </w:p>
    <w:p>
      <w:pPr>
        <w:pStyle w:val="BodyText"/>
        <w:spacing w:line="408" w:lineRule="auto" w:before="46"/>
        <w:ind w:left="573" w:right="1200"/>
        <w:jc w:val="left"/>
        <w:rPr>
          <w:rFonts w:ascii="宋体" w:hAnsi="宋体" w:cs="宋体" w:eastAsia="宋体" w:hint="default"/>
        </w:rPr>
      </w:pPr>
      <w:r>
        <w:rPr/>
        <w:t>合并范围减少： 本报告期，上海利泵流体科技发展有限公司、温岭利欧园林机械有限公司、</w:t>
      </w:r>
      <w:r>
        <w:rPr>
          <w:rFonts w:ascii="宋体" w:hAnsi="宋体" w:cs="宋体" w:eastAsia="宋体" w:hint="default"/>
        </w:rPr>
        <w:t>CrystalWater</w:t>
      </w:r>
      <w:r>
        <w:rPr>
          <w:rFonts w:ascii="宋体" w:hAnsi="宋体" w:cs="宋体" w:eastAsia="宋体" w:hint="default"/>
          <w:spacing w:val="-2"/>
        </w:rPr>
        <w:t> </w:t>
      </w:r>
      <w:r>
        <w:rPr>
          <w:rFonts w:ascii="宋体" w:hAnsi="宋体" w:cs="宋体" w:eastAsia="宋体" w:hint="default"/>
        </w:rPr>
        <w:t>Products</w:t>
      </w:r>
    </w:p>
    <w:p>
      <w:pPr>
        <w:pStyle w:val="BodyText"/>
        <w:spacing w:line="408" w:lineRule="auto" w:before="46"/>
        <w:ind w:left="574" w:right="1125" w:hanging="420"/>
        <w:jc w:val="left"/>
      </w:pPr>
      <w:r>
        <w:rPr>
          <w:rFonts w:ascii="宋体" w:hAnsi="宋体" w:cs="宋体" w:eastAsia="宋体" w:hint="default"/>
        </w:rPr>
        <w:t>Inc.</w:t>
      </w:r>
      <w:r>
        <w:rPr/>
        <w:t>、</w:t>
      </w:r>
      <w:r>
        <w:rPr>
          <w:rFonts w:ascii="宋体" w:hAnsi="宋体" w:cs="宋体" w:eastAsia="宋体" w:hint="default"/>
        </w:rPr>
        <w:t>LEO ITALIA</w:t>
      </w:r>
      <w:r>
        <w:rPr>
          <w:rFonts w:ascii="宋体" w:hAnsi="宋体" w:cs="宋体" w:eastAsia="宋体" w:hint="default"/>
          <w:spacing w:val="-1"/>
        </w:rPr>
        <w:t> </w:t>
      </w:r>
      <w:r>
        <w:rPr>
          <w:rFonts w:ascii="宋体" w:hAnsi="宋体" w:cs="宋体" w:eastAsia="宋体" w:hint="default"/>
        </w:rPr>
        <w:t>S.R.L</w:t>
      </w:r>
      <w:r>
        <w:rPr/>
        <w:t>完成清算注销。 </w:t>
      </w:r>
      <w:r>
        <w:rPr>
          <w:spacing w:val="-3"/>
        </w:rPr>
        <w:t>本报告期，利普诺持之水泵系统</w:t>
      </w:r>
      <w:r>
        <w:rPr>
          <w:rFonts w:ascii="宋体" w:hAnsi="宋体" w:cs="宋体" w:eastAsia="宋体" w:hint="default"/>
          <w:spacing w:val="-3"/>
        </w:rPr>
        <w:t>(</w:t>
      </w:r>
      <w:r>
        <w:rPr>
          <w:spacing w:val="-3"/>
        </w:rPr>
        <w:t>上海</w:t>
      </w:r>
      <w:r>
        <w:rPr>
          <w:rFonts w:ascii="宋体" w:hAnsi="宋体" w:cs="宋体" w:eastAsia="宋体" w:hint="default"/>
          <w:spacing w:val="-3"/>
        </w:rPr>
        <w:t>)</w:t>
      </w:r>
      <w:r>
        <w:rPr>
          <w:spacing w:val="-3"/>
        </w:rPr>
        <w:t>有限公司完成股权转让，公司不再持有利普诺持之水泵系统</w:t>
      </w:r>
      <w:r>
        <w:rPr>
          <w:rFonts w:ascii="宋体" w:hAnsi="宋体" w:cs="宋体" w:eastAsia="宋体" w:hint="default"/>
          <w:spacing w:val="-3"/>
        </w:rPr>
        <w:t>(</w:t>
      </w:r>
      <w:r>
        <w:rPr>
          <w:spacing w:val="-3"/>
        </w:rPr>
        <w:t>上</w:t>
      </w:r>
    </w:p>
    <w:p>
      <w:pPr>
        <w:pStyle w:val="BodyText"/>
        <w:spacing w:line="240" w:lineRule="auto" w:before="46"/>
        <w:ind w:right="0"/>
        <w:jc w:val="left"/>
      </w:pPr>
      <w:r>
        <w:rPr/>
        <w:t>海</w:t>
      </w:r>
      <w:r>
        <w:rPr>
          <w:rFonts w:ascii="宋体" w:hAnsi="宋体" w:cs="宋体" w:eastAsia="宋体" w:hint="default"/>
        </w:rPr>
        <w:t>)</w:t>
      </w:r>
      <w:r>
        <w:rPr/>
        <w:t>有限公司股权。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left="154"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沃巍勇、罗联玬</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024" w:firstLine="420"/>
        <w:jc w:val="left"/>
      </w:pPr>
      <w:r>
        <w:rPr>
          <w:spacing w:val="-3"/>
        </w:rPr>
        <w:t>报告期内，公司</w:t>
      </w:r>
      <w:r>
        <w:rPr>
          <w:rFonts w:ascii="宋体" w:hAnsi="宋体" w:cs="宋体" w:eastAsia="宋体" w:hint="default"/>
          <w:spacing w:val="-3"/>
        </w:rPr>
        <w:t>2014</w:t>
      </w:r>
      <w:r>
        <w:rPr>
          <w:spacing w:val="-3"/>
        </w:rPr>
        <w:t>年度完成非公开发行股票事项，广发证券股份有限公司为保荐代表人。本报告期，</w:t>
      </w:r>
      <w:r>
        <w:rPr/>
        <w:t> 广发证券对公司进行持续督导。</w:t>
      </w:r>
    </w:p>
    <w:p>
      <w:pPr>
        <w:pStyle w:val="BodyText"/>
        <w:spacing w:line="408" w:lineRule="auto" w:before="46"/>
        <w:ind w:left="154" w:right="1302" w:firstLine="420"/>
        <w:jc w:val="left"/>
      </w:pPr>
      <w:r>
        <w:rPr/>
        <w:t>因非公开发行股份及支付现金购买资产并募集配套资金项目聘请中国民族证券有限责任公司为独立 财务顾问。</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大连深蓝诉讼事项</w:t>
            </w:r>
          </w:p>
        </w:tc>
        <w:tc>
          <w:tcPr>
            <w:tcW w:w="10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327" w:right="0"/>
              <w:jc w:val="left"/>
              <w:rPr>
                <w:rFonts w:ascii="Times New Roman" w:hAnsi="Times New Roman" w:cs="Times New Roman" w:eastAsia="Times New Roman" w:hint="default"/>
                <w:sz w:val="18"/>
                <w:szCs w:val="18"/>
              </w:rPr>
            </w:pPr>
            <w:r>
              <w:rPr>
                <w:rFonts w:ascii="Times New Roman"/>
                <w:sz w:val="18"/>
              </w:rPr>
              <w:t>24.09</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结案</w:t>
            </w:r>
          </w:p>
        </w:tc>
        <w:tc>
          <w:tcPr>
            <w:tcW w:w="13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双方和解，有利 于尽快了结诉讼 案纠纷</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《关于诉讼 事项的公告》</w:t>
            </w:r>
          </w:p>
          <w:p>
            <w:pPr>
              <w:pStyle w:val="TableParagraph"/>
              <w:spacing w:line="240" w:lineRule="auto" w:before="19"/>
              <w:ind w:left="22" w:right="-5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2013-031</w:t>
            </w:r>
            <w:r>
              <w:rPr>
                <w:rFonts w:ascii="宋体" w:hAnsi="宋体" w:cs="宋体" w:eastAsia="宋体" w:hint="default"/>
                <w:sz w:val="18"/>
                <w:szCs w:val="18"/>
              </w:rPr>
              <w:t>）</w:t>
            </w:r>
          </w:p>
        </w:tc>
      </w:tr>
      <w:tr>
        <w:trPr>
          <w:trHeight w:val="1650"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《关于诉讼 事项进展公 </w:t>
            </w:r>
            <w:r>
              <w:rPr>
                <w:rFonts w:ascii="宋体" w:hAnsi="宋体" w:cs="宋体" w:eastAsia="宋体" w:hint="default"/>
                <w:spacing w:val="-12"/>
                <w:sz w:val="18"/>
                <w:szCs w:val="18"/>
              </w:rPr>
              <w:t>告》（公告编</w:t>
            </w:r>
            <w:r>
              <w:rPr>
                <w:rFonts w:ascii="宋体" w:hAnsi="宋体" w:cs="宋体" w:eastAsia="宋体" w:hint="default"/>
                <w:sz w:val="18"/>
                <w:szCs w:val="18"/>
              </w:rPr>
              <w:t> 号：</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2014-116</w:t>
            </w:r>
            <w:r>
              <w:rPr>
                <w:rFonts w:ascii="宋体" w:hAnsi="宋体" w:cs="宋体" w:eastAsia="宋体" w:hint="default"/>
                <w:sz w:val="18"/>
                <w:szCs w:val="18"/>
              </w:rPr>
              <w:t>）</w:t>
            </w:r>
          </w:p>
        </w:tc>
      </w:tr>
      <w:tr>
        <w:trPr>
          <w:trHeight w:val="1299" w:hRule="exact"/>
        </w:trPr>
        <w:tc>
          <w:tcPr>
            <w:tcW w:w="1560" w:type="dxa"/>
            <w:vMerge/>
            <w:tcBorders>
              <w:left w:val="single" w:sz="4" w:space="0" w:color="000000"/>
              <w:bottom w:val="single" w:sz="4" w:space="0" w:color="000000"/>
              <w:right w:val="single" w:sz="4" w:space="0" w:color="000000"/>
            </w:tcBorders>
          </w:tcPr>
          <w:p>
            <w:pPr/>
          </w:p>
        </w:tc>
        <w:tc>
          <w:tcPr>
            <w:tcW w:w="1072"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38" w:type="dxa"/>
            <w:vMerge/>
            <w:tcBorders>
              <w:left w:val="single" w:sz="4" w:space="0" w:color="000000"/>
              <w:bottom w:val="single" w:sz="4" w:space="0" w:color="000000"/>
              <w:right w:val="single" w:sz="4" w:space="0" w:color="000000"/>
            </w:tcBorders>
          </w:tcPr>
          <w:p>
            <w:pPr/>
          </w:p>
        </w:tc>
        <w:tc>
          <w:tcPr>
            <w:tcW w:w="1374"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《关于诉讼 事项的进展 </w:t>
            </w:r>
            <w:r>
              <w:rPr>
                <w:rFonts w:ascii="宋体" w:hAnsi="宋体" w:cs="宋体" w:eastAsia="宋体" w:hint="default"/>
                <w:spacing w:val="-12"/>
                <w:sz w:val="18"/>
                <w:szCs w:val="18"/>
              </w:rPr>
              <w:t>公告》（公告</w:t>
            </w:r>
            <w:r>
              <w:rPr>
                <w:rFonts w:ascii="宋体" w:hAnsi="宋体" w:cs="宋体" w:eastAsia="宋体" w:hint="default"/>
                <w:sz w:val="18"/>
                <w:szCs w:val="18"/>
              </w:rPr>
              <w:t> 编号：</w:t>
            </w:r>
          </w:p>
        </w:tc>
      </w:tr>
    </w:tbl>
    <w:p>
      <w:pPr>
        <w:spacing w:after="0" w:line="316"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2"/>
        <w:rPr>
          <w:rFonts w:ascii="宋体" w:hAnsi="宋体" w:cs="宋体" w:eastAsia="宋体" w:hint="default"/>
          <w:sz w:val="24"/>
          <w:szCs w:val="24"/>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560;top:10;width:1072;height:2" coordorigin="1560,10" coordsize="1072,2">
              <v:shape style="position:absolute;left:1560;top:10;width:1072;height:2" coordorigin="1560,10" coordsize="1072,0" path="m1560,10l2632,10e" filled="false" stroked="true" strokeweight=".48pt" strokecolor="#ffffff">
                <v:path arrowok="t"/>
              </v:shape>
            </v:group>
            <v:group style="position:absolute;left:2632;top:10;width:1249;height:2" coordorigin="2632,10" coordsize="1249,2">
              <v:shape style="position:absolute;left:2632;top:10;width:1249;height:2" coordorigin="2632,10" coordsize="1249,0" path="m2632,10l3880,10e" filled="false" stroked="true" strokeweight=".48pt" strokecolor="#ffffff">
                <v:path arrowok="t"/>
              </v:shape>
            </v:group>
            <v:group style="position:absolute;left:3880;top:10;width:939;height:2" coordorigin="3880,10" coordsize="939,2">
              <v:shape style="position:absolute;left:3880;top:10;width:939;height:2" coordorigin="3880,10" coordsize="939,0" path="m3880,10l4819,10e" filled="false" stroked="true" strokeweight=".48pt" strokecolor="#ffffff">
                <v:path arrowok="t"/>
              </v:shape>
            </v:group>
            <v:group style="position:absolute;left:4819;top:10;width:1374;height:2" coordorigin="4819,10" coordsize="1374,2">
              <v:shape style="position:absolute;left:4819;top:10;width:1374;height:2" coordorigin="4819,10" coordsize="1374,0" path="m4819,10l6193,10e" filled="false" stroked="true" strokeweight=".48pt" strokecolor="#ffffff">
                <v:path arrowok="t"/>
              </v:shape>
            </v:group>
            <v:group style="position:absolute;left:6193;top:10;width:1249;height:2" coordorigin="6193,10" coordsize="1249,2">
              <v:shape style="position:absolute;left:6193;top:10;width:1249;height:2" coordorigin="6193,10" coordsize="1249,0" path="m6193,10l7441,10e" filled="false" stroked="true" strokeweight=".48pt" strokecolor="#ffffff">
                <v:path arrowok="t"/>
              </v:shape>
            </v:group>
            <v:group style="position:absolute;left:7451;top:10;width:1055;height:2" coordorigin="7451,10" coordsize="1055,2">
              <v:shape style="position:absolute;left:7451;top:10;width:1055;height:2" coordorigin="7451,10" coordsize="1055,0" path="m7451,10l8506,10e" filled="false" stroked="true" strokeweight=".48pt" strokecolor="#000000">
                <v:path arrowok="t"/>
              </v:shape>
            </v:group>
            <v:group style="position:absolute;left:8515;top:10;width:1054;height:2" coordorigin="8515,10" coordsize="1054,2">
              <v:shape style="position:absolute;left:8515;top:10;width:1054;height:2" coordorigin="8515,10" coordsize="1054,0" path="m8515,10l9569,10e" filled="false" stroked="true" strokeweight=".48pt" strokecolor="#000000">
                <v:path arrowok="t"/>
              </v:shape>
            </v:group>
            <v:group style="position:absolute;left:5;top:14;width:2;height:363" coordorigin="5,14" coordsize="2,363">
              <v:shape style="position:absolute;left:5;top:14;width:2;height:363" coordorigin="5,14" coordsize="0,363" path="m5,14l5,377e" filled="false" stroked="true" strokeweight=".48pt" strokecolor="#000000">
                <v:path arrowok="t"/>
              </v:shape>
            </v:group>
            <v:group style="position:absolute;left:10;top:372;width:1551;height:2" coordorigin="10,372" coordsize="1551,2">
              <v:shape style="position:absolute;left:10;top:372;width:1551;height:2" coordorigin="10,372" coordsize="1551,0" path="m10,372l1560,372e" filled="false" stroked="true" strokeweight=".48pt" strokecolor="#000000">
                <v:path arrowok="t"/>
              </v:shape>
            </v:group>
            <v:group style="position:absolute;left:1565;top:5;width:2;height:372" coordorigin="1565,5" coordsize="2,372">
              <v:shape style="position:absolute;left:1565;top:5;width:2;height:372" coordorigin="1565,5" coordsize="0,372" path="m1565,5l1565,377e" filled="false" stroked="true" strokeweight=".48pt" strokecolor="#000000">
                <v:path arrowok="t"/>
              </v:shape>
            </v:group>
            <v:group style="position:absolute;left:1570;top:372;width:1062;height:2" coordorigin="1570,372" coordsize="1062,2">
              <v:shape style="position:absolute;left:1570;top:372;width:1062;height:2" coordorigin="1570,372" coordsize="1062,0" path="m1570,372l2632,372e" filled="false" stroked="true" strokeweight=".48pt" strokecolor="#000000">
                <v:path arrowok="t"/>
              </v:shape>
            </v:group>
            <v:group style="position:absolute;left:2637;top:5;width:2;height:372" coordorigin="2637,5" coordsize="2,372">
              <v:shape style="position:absolute;left:2637;top:5;width:2;height:372" coordorigin="2637,5" coordsize="0,372" path="m2637,5l2637,377e" filled="false" stroked="true" strokeweight=".48pt" strokecolor="#000000">
                <v:path arrowok="t"/>
              </v:shape>
            </v:group>
            <v:group style="position:absolute;left:2642;top:372;width:1239;height:2" coordorigin="2642,372" coordsize="1239,2">
              <v:shape style="position:absolute;left:2642;top:372;width:1239;height:2" coordorigin="2642,372" coordsize="1239,0" path="m2642,372l3880,372e" filled="false" stroked="true" strokeweight=".48pt" strokecolor="#000000">
                <v:path arrowok="t"/>
              </v:shape>
            </v:group>
            <v:group style="position:absolute;left:3885;top:5;width:2;height:372" coordorigin="3885,5" coordsize="2,372">
              <v:shape style="position:absolute;left:3885;top:5;width:2;height:372" coordorigin="3885,5" coordsize="0,372" path="m3885,5l3885,377e" filled="false" stroked="true" strokeweight=".48pt" strokecolor="#000000">
                <v:path arrowok="t"/>
              </v:shape>
            </v:group>
            <v:group style="position:absolute;left:3890;top:372;width:929;height:2" coordorigin="3890,372" coordsize="929,2">
              <v:shape style="position:absolute;left:3890;top:372;width:929;height:2" coordorigin="3890,372" coordsize="929,0" path="m3890,372l4819,372e" filled="false" stroked="true" strokeweight=".48pt" strokecolor="#000000">
                <v:path arrowok="t"/>
              </v:shape>
            </v:group>
            <v:group style="position:absolute;left:4824;top:5;width:2;height:372" coordorigin="4824,5" coordsize="2,372">
              <v:shape style="position:absolute;left:4824;top:5;width:2;height:372" coordorigin="4824,5" coordsize="0,372" path="m4824,5l4824,377e" filled="false" stroked="true" strokeweight=".48pt" strokecolor="#000000">
                <v:path arrowok="t"/>
              </v:shape>
            </v:group>
            <v:group style="position:absolute;left:4828;top:372;width:1365;height:2" coordorigin="4828,372" coordsize="1365,2">
              <v:shape style="position:absolute;left:4828;top:372;width:1365;height:2" coordorigin="4828,372" coordsize="1365,0" path="m4828,372l6193,372e" filled="false" stroked="true" strokeweight=".48pt" strokecolor="#000000">
                <v:path arrowok="t"/>
              </v:shape>
            </v:group>
            <v:group style="position:absolute;left:6198;top:5;width:2;height:372" coordorigin="6198,5" coordsize="2,372">
              <v:shape style="position:absolute;left:6198;top:5;width:2;height:372" coordorigin="6198,5" coordsize="0,372" path="m6198,5l6198,377e" filled="false" stroked="true" strokeweight=".48pt" strokecolor="#000000">
                <v:path arrowok="t"/>
              </v:shape>
            </v:group>
            <v:group style="position:absolute;left:6202;top:372;width:1239;height:2" coordorigin="6202,372" coordsize="1239,2">
              <v:shape style="position:absolute;left:6202;top:372;width:1239;height:2" coordorigin="6202,372" coordsize="1239,0" path="m6202,372l7441,372e" filled="false" stroked="true" strokeweight=".48pt" strokecolor="#000000">
                <v:path arrowok="t"/>
              </v:shape>
            </v:group>
            <v:group style="position:absolute;left:7446;top:5;width:2;height:372" coordorigin="7446,5" coordsize="2,372">
              <v:shape style="position:absolute;left:7446;top:5;width:2;height:372" coordorigin="7446,5" coordsize="0,372" path="m7446,5l7446,377e" filled="false" stroked="true" strokeweight=".48pt" strokecolor="#000000">
                <v:path arrowok="t"/>
              </v:shape>
            </v:group>
            <v:group style="position:absolute;left:7451;top:372;width:1055;height:2" coordorigin="7451,372" coordsize="1055,2">
              <v:shape style="position:absolute;left:7451;top:372;width:1055;height:2" coordorigin="7451,372" coordsize="1055,0" path="m7451,372l8506,372e" filled="false" stroked="true" strokeweight=".48pt" strokecolor="#000000">
                <v:path arrowok="t"/>
              </v:shape>
            </v:group>
            <v:group style="position:absolute;left:8510;top:5;width:2;height:372" coordorigin="8510,5" coordsize="2,372">
              <v:shape style="position:absolute;left:8510;top:5;width:2;height:372" coordorigin="8510,5" coordsize="0,372" path="m8510,5l8510,377e" filled="false" stroked="true" strokeweight=".48pt" strokecolor="#000000">
                <v:path arrowok="t"/>
              </v:shape>
            </v:group>
            <v:group style="position:absolute;left:8515;top:372;width:1054;height:2" coordorigin="8515,372" coordsize="1054,2">
              <v:shape style="position:absolute;left:8515;top:372;width:1054;height:2" coordorigin="8515,372" coordsize="1054,0" path="m851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8510;top:10;width:1064;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2015-124</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4"/>
          <w:szCs w:val="4"/>
        </w:rPr>
      </w:pPr>
    </w:p>
    <w:p>
      <w:pPr>
        <w:pStyle w:val="BodyText"/>
        <w:spacing w:line="240" w:lineRule="auto" w:before="35"/>
        <w:ind w:left="574" w:right="0"/>
        <w:jc w:val="left"/>
      </w:pPr>
      <w:r>
        <w:rPr/>
        <w:t>公司于</w:t>
      </w:r>
      <w:r>
        <w:rPr>
          <w:spacing w:val="-40"/>
        </w:rPr>
        <w:t> </w:t>
      </w:r>
      <w:r>
        <w:rPr>
          <w:rFonts w:ascii="宋体" w:hAnsi="宋体" w:cs="宋体" w:eastAsia="宋体" w:hint="default"/>
        </w:rPr>
        <w:t>2013</w:t>
      </w:r>
      <w:r>
        <w:rPr>
          <w:rFonts w:ascii="宋体" w:hAnsi="宋体" w:cs="宋体" w:eastAsia="宋体" w:hint="default"/>
          <w:spacing w:val="-41"/>
        </w:rPr>
        <w:t> </w:t>
      </w:r>
      <w:r>
        <w:rPr/>
        <w:t>年</w:t>
      </w:r>
      <w:r>
        <w:rPr>
          <w:spacing w:val="-40"/>
        </w:rPr>
        <w:t> </w:t>
      </w:r>
      <w:r>
        <w:rPr>
          <w:rFonts w:ascii="宋体" w:hAnsi="宋体" w:cs="宋体" w:eastAsia="宋体" w:hint="default"/>
        </w:rPr>
        <w:t>5</w:t>
      </w:r>
      <w:r>
        <w:rPr>
          <w:rFonts w:ascii="宋体" w:hAnsi="宋体" w:cs="宋体" w:eastAsia="宋体" w:hint="default"/>
          <w:spacing w:val="-40"/>
        </w:rPr>
        <w:t> </w:t>
      </w:r>
      <w:r>
        <w:rPr/>
        <w:t>月</w:t>
      </w:r>
      <w:r>
        <w:rPr>
          <w:spacing w:val="-40"/>
        </w:rPr>
        <w:t> </w:t>
      </w:r>
      <w:r>
        <w:rPr>
          <w:rFonts w:ascii="宋体" w:hAnsi="宋体" w:cs="宋体" w:eastAsia="宋体" w:hint="default"/>
        </w:rPr>
        <w:t>20</w:t>
      </w:r>
      <w:r>
        <w:rPr>
          <w:rFonts w:ascii="宋体" w:hAnsi="宋体" w:cs="宋体" w:eastAsia="宋体" w:hint="default"/>
          <w:spacing w:val="-40"/>
        </w:rPr>
        <w:t> </w:t>
      </w:r>
      <w:r>
        <w:rPr/>
        <w:t>日收到辽宁省大连市中级人民法院出具的《应诉通知书》</w:t>
      </w:r>
      <w:r>
        <w:rPr>
          <w:rFonts w:ascii="宋体" w:hAnsi="宋体" w:cs="宋体" w:eastAsia="宋体" w:hint="default"/>
        </w:rPr>
        <w:t>[</w:t>
      </w:r>
      <w:r>
        <w:rPr/>
        <w:t>（</w:t>
      </w:r>
      <w:r>
        <w:rPr>
          <w:rFonts w:ascii="宋体" w:hAnsi="宋体" w:cs="宋体" w:eastAsia="宋体" w:hint="default"/>
        </w:rPr>
        <w:t>2013</w:t>
      </w:r>
      <w:r>
        <w:rPr/>
        <w:t>）大民四初</w:t>
      </w:r>
    </w:p>
    <w:p>
      <w:pPr>
        <w:spacing w:line="240" w:lineRule="auto" w:before="10"/>
        <w:rPr>
          <w:rFonts w:ascii="宋体" w:hAnsi="宋体" w:cs="宋体" w:eastAsia="宋体" w:hint="default"/>
          <w:sz w:val="14"/>
          <w:szCs w:val="14"/>
        </w:rPr>
      </w:pPr>
    </w:p>
    <w:p>
      <w:pPr>
        <w:pStyle w:val="BodyText"/>
        <w:spacing w:line="444" w:lineRule="auto"/>
        <w:ind w:left="573" w:right="0" w:hanging="420"/>
        <w:jc w:val="left"/>
      </w:pPr>
      <w:r>
        <w:rPr/>
        <w:t>字第</w:t>
      </w:r>
      <w:r>
        <w:rPr>
          <w:rFonts w:ascii="宋体" w:hAnsi="宋体" w:cs="宋体" w:eastAsia="宋体" w:hint="default"/>
        </w:rPr>
        <w:t>51</w:t>
      </w:r>
      <w:r>
        <w:rPr>
          <w:rFonts w:ascii="宋体" w:hAnsi="宋体" w:cs="宋体" w:eastAsia="宋体" w:hint="default"/>
          <w:spacing w:val="-53"/>
        </w:rPr>
        <w:t> </w:t>
      </w:r>
      <w:r>
        <w:rPr/>
        <w:t>号</w:t>
      </w:r>
      <w:r>
        <w:rPr>
          <w:rFonts w:ascii="宋体" w:hAnsi="宋体" w:cs="宋体" w:eastAsia="宋体" w:hint="default"/>
        </w:rPr>
        <w:t>]</w:t>
      </w:r>
      <w:r>
        <w:rPr/>
        <w:t>、大连深蓝泵业有限公司《起诉状》及相关诉讼材料。 </w:t>
      </w:r>
      <w:r>
        <w:rPr>
          <w:spacing w:val="-6"/>
        </w:rPr>
        <w:t>大连深蓝泵业有限公司向辽宁省大连市中级人民法院提起诉讼，认为利欧集团股份有限公司、利欧（大</w:t>
      </w:r>
    </w:p>
    <w:p>
      <w:pPr>
        <w:pStyle w:val="BodyText"/>
        <w:spacing w:line="410" w:lineRule="auto" w:before="14"/>
        <w:ind w:right="1132"/>
        <w:jc w:val="both"/>
      </w:pPr>
      <w:r>
        <w:rPr>
          <w:spacing w:val="-1"/>
        </w:rPr>
        <w:t>连）工业泵技术中心有限公司、大连华能耐酸泵厂有限责任公司（现已更名为“大连利欧华能泵业有限公</w:t>
      </w:r>
      <w:r>
        <w:rPr>
          <w:spacing w:val="-84"/>
        </w:rPr>
        <w:t> </w:t>
      </w:r>
      <w:r>
        <w:rPr>
          <w:spacing w:val="-84"/>
        </w:rPr>
      </w:r>
      <w:r>
        <w:rPr>
          <w:spacing w:val="-1"/>
        </w:rPr>
        <w:t>司”）（以上三方合称为“被告公司”）侵犯了大连深蓝泵业有限公司的商业秘密，请求判令被告公司停</w:t>
      </w:r>
      <w:r>
        <w:rPr>
          <w:spacing w:val="-85"/>
        </w:rPr>
        <w:t> </w:t>
      </w:r>
      <w:r>
        <w:rPr>
          <w:spacing w:val="-85"/>
        </w:rPr>
      </w:r>
      <w:r>
        <w:rPr/>
        <w:t>止侵权行为；判令被告公司连带支付损害赔偿款</w:t>
      </w:r>
      <w:r>
        <w:rPr>
          <w:spacing w:val="-53"/>
        </w:rPr>
        <w:t> </w:t>
      </w:r>
      <w:r>
        <w:rPr>
          <w:rFonts w:ascii="宋体" w:hAnsi="宋体" w:cs="宋体" w:eastAsia="宋体" w:hint="default"/>
        </w:rPr>
        <w:t>2,000</w:t>
      </w:r>
      <w:r>
        <w:rPr>
          <w:rFonts w:ascii="宋体" w:hAnsi="宋体" w:cs="宋体" w:eastAsia="宋体" w:hint="default"/>
          <w:spacing w:val="-53"/>
        </w:rPr>
        <w:t> </w:t>
      </w:r>
      <w:r>
        <w:rPr/>
        <w:t>万元；诉讼费由被告公司承担。</w:t>
      </w:r>
    </w:p>
    <w:p>
      <w:pPr>
        <w:pStyle w:val="BodyText"/>
        <w:spacing w:line="441" w:lineRule="auto" w:before="83"/>
        <w:ind w:left="574" w:right="1092"/>
        <w:jc w:val="left"/>
      </w:pPr>
      <w:r>
        <w:rPr/>
        <w:t>公司在提交答辩状期间对案件管辖权提出异议，请求将案件移送至浙江省台州市中级人民法院管辖。 辽宁省大连市中级人民法院于</w:t>
      </w:r>
      <w:r>
        <w:rPr>
          <w:spacing w:val="-44"/>
        </w:rPr>
        <w:t> </w:t>
      </w:r>
      <w:r>
        <w:rPr>
          <w:rFonts w:ascii="宋体" w:hAnsi="宋体" w:cs="宋体" w:eastAsia="宋体" w:hint="default"/>
        </w:rPr>
        <w:t>2013</w:t>
      </w:r>
      <w:r>
        <w:rPr>
          <w:rFonts w:ascii="宋体" w:hAnsi="宋体" w:cs="宋体" w:eastAsia="宋体" w:hint="default"/>
          <w:spacing w:val="-45"/>
        </w:rPr>
        <w:t> </w:t>
      </w:r>
      <w:r>
        <w:rPr/>
        <w:t>年</w:t>
      </w:r>
      <w:r>
        <w:rPr>
          <w:spacing w:val="-44"/>
        </w:rPr>
        <w:t> </w:t>
      </w:r>
      <w:r>
        <w:rPr>
          <w:rFonts w:ascii="宋体" w:hAnsi="宋体" w:cs="宋体" w:eastAsia="宋体" w:hint="default"/>
        </w:rPr>
        <w:t>6</w:t>
      </w:r>
      <w:r>
        <w:rPr>
          <w:rFonts w:ascii="宋体" w:hAnsi="宋体" w:cs="宋体" w:eastAsia="宋体" w:hint="default"/>
          <w:spacing w:val="-43"/>
        </w:rPr>
        <w:t> </w:t>
      </w:r>
      <w:r>
        <w:rPr/>
        <w:t>月</w:t>
      </w:r>
      <w:r>
        <w:rPr>
          <w:spacing w:val="-44"/>
        </w:rPr>
        <w:t> </w:t>
      </w:r>
      <w:r>
        <w:rPr>
          <w:rFonts w:ascii="宋体" w:hAnsi="宋体" w:cs="宋体" w:eastAsia="宋体" w:hint="default"/>
        </w:rPr>
        <w:t>27</w:t>
      </w:r>
      <w:r>
        <w:rPr>
          <w:rFonts w:ascii="宋体" w:hAnsi="宋体" w:cs="宋体" w:eastAsia="宋体" w:hint="default"/>
          <w:spacing w:val="-43"/>
        </w:rPr>
        <w:t> </w:t>
      </w:r>
      <w:r>
        <w:rPr/>
        <w:t>日出具了“（</w:t>
      </w:r>
      <w:r>
        <w:rPr>
          <w:rFonts w:ascii="宋体" w:hAnsi="宋体" w:cs="宋体" w:eastAsia="宋体" w:hint="default"/>
        </w:rPr>
        <w:t>2013</w:t>
      </w:r>
      <w:r>
        <w:rPr/>
        <w:t>）大民四初字第</w:t>
      </w:r>
      <w:r>
        <w:rPr>
          <w:spacing w:val="-44"/>
        </w:rPr>
        <w:t> </w:t>
      </w:r>
      <w:r>
        <w:rPr>
          <w:rFonts w:ascii="宋体" w:hAnsi="宋体" w:cs="宋体" w:eastAsia="宋体" w:hint="default"/>
        </w:rPr>
        <w:t>51</w:t>
      </w:r>
      <w:r>
        <w:rPr>
          <w:rFonts w:ascii="宋体" w:hAnsi="宋体" w:cs="宋体" w:eastAsia="宋体" w:hint="default"/>
          <w:spacing w:val="-43"/>
        </w:rPr>
        <w:t> </w:t>
      </w:r>
      <w:r>
        <w:rPr/>
        <w:t>号”《民事裁定</w:t>
      </w:r>
    </w:p>
    <w:p>
      <w:pPr>
        <w:pStyle w:val="BodyText"/>
        <w:spacing w:line="240" w:lineRule="auto" w:before="18"/>
        <w:ind w:right="0"/>
        <w:jc w:val="both"/>
      </w:pPr>
      <w:r>
        <w:rPr/>
        <w:t>书》。辽宁省大连市中级人民法院裁定：驳回公司对本案管辖权提出的异议。</w:t>
      </w:r>
    </w:p>
    <w:p>
      <w:pPr>
        <w:spacing w:line="240" w:lineRule="auto" w:before="10"/>
        <w:rPr>
          <w:rFonts w:ascii="宋体" w:hAnsi="宋体" w:cs="宋体" w:eastAsia="宋体" w:hint="default"/>
          <w:sz w:val="17"/>
          <w:szCs w:val="17"/>
        </w:rPr>
      </w:pPr>
    </w:p>
    <w:p>
      <w:pPr>
        <w:pStyle w:val="BodyText"/>
        <w:spacing w:line="410" w:lineRule="auto"/>
        <w:ind w:left="154" w:right="1022" w:firstLine="420"/>
        <w:jc w:val="left"/>
      </w:pP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spacing w:val="-5"/>
        </w:rPr>
        <w:t>月，公司收到辽宁省大连市中级人民法院《民事判决书》“（</w:t>
      </w:r>
      <w:r>
        <w:rPr>
          <w:rFonts w:ascii="宋体" w:hAnsi="宋体" w:cs="宋体" w:eastAsia="宋体" w:hint="default"/>
          <w:spacing w:val="-5"/>
        </w:rPr>
        <w:t>2013</w:t>
      </w:r>
      <w:r>
        <w:rPr>
          <w:spacing w:val="-5"/>
        </w:rPr>
        <w:t>）大民四初字第</w:t>
      </w:r>
      <w:r>
        <w:rPr>
          <w:spacing w:val="-48"/>
        </w:rPr>
        <w:t> </w:t>
      </w:r>
      <w:r>
        <w:rPr>
          <w:rFonts w:ascii="宋体" w:hAnsi="宋体" w:cs="宋体" w:eastAsia="宋体" w:hint="default"/>
        </w:rPr>
        <w:t>51</w:t>
      </w:r>
      <w:r>
        <w:rPr>
          <w:rFonts w:ascii="宋体" w:hAnsi="宋体" w:cs="宋体" w:eastAsia="宋体" w:hint="default"/>
          <w:spacing w:val="-48"/>
        </w:rPr>
        <w:t> </w:t>
      </w:r>
      <w:r>
        <w:rPr>
          <w:spacing w:val="-9"/>
        </w:rPr>
        <w:t>号”。</w:t>
      </w:r>
      <w:r>
        <w:rPr/>
        <w:t> 判决如下：</w:t>
      </w:r>
    </w:p>
    <w:p>
      <w:pPr>
        <w:pStyle w:val="BodyText"/>
        <w:spacing w:line="408" w:lineRule="auto" w:before="82"/>
        <w:ind w:left="154" w:right="1130" w:firstLine="420"/>
        <w:jc w:val="both"/>
      </w:pPr>
      <w:r>
        <w:rPr>
          <w:rFonts w:ascii="宋体" w:hAnsi="宋体" w:cs="宋体" w:eastAsia="宋体" w:hint="default"/>
        </w:rPr>
        <w:t>1</w:t>
      </w:r>
      <w:r>
        <w:rPr/>
        <w:t>、被告利欧（大连）工业泵技术中心有限公司、被告大连利欧华能泵业有限公司于本判决发生法律 效力之日起立即停止使用原告大连深蓝泵业有限公司所拥有的</w:t>
      </w:r>
      <w:r>
        <w:rPr>
          <w:spacing w:val="-44"/>
        </w:rPr>
        <w:t> </w:t>
      </w:r>
      <w:r>
        <w:rPr>
          <w:rFonts w:ascii="宋体" w:hAnsi="宋体" w:cs="宋体" w:eastAsia="宋体" w:hint="default"/>
        </w:rPr>
        <w:t>265HDD125</w:t>
      </w:r>
      <w:r>
        <w:rPr>
          <w:rFonts w:ascii="宋体" w:hAnsi="宋体" w:cs="宋体" w:eastAsia="宋体" w:hint="default"/>
          <w:spacing w:val="-43"/>
        </w:rPr>
        <w:t> </w:t>
      </w:r>
      <w:r>
        <w:rPr/>
        <w:t>总装配图及附图、</w:t>
      </w:r>
      <w:r>
        <w:rPr>
          <w:rFonts w:ascii="宋体" w:hAnsi="宋体" w:cs="宋体" w:eastAsia="宋体" w:hint="default"/>
        </w:rPr>
        <w:t>1800HDD45</w:t>
      </w:r>
      <w:r>
        <w:rPr>
          <w:rFonts w:ascii="宋体" w:hAnsi="宋体" w:cs="宋体" w:eastAsia="宋体" w:hint="default"/>
          <w:spacing w:val="-43"/>
        </w:rPr>
        <w:t> </w:t>
      </w:r>
      <w:r>
        <w:rPr/>
        <w:t>装 </w:t>
      </w:r>
      <w:r>
        <w:rPr>
          <w:spacing w:val="-1"/>
        </w:rPr>
        <w:t>配图纸及附图所承载的工业泵的全部尺寸与结构信息的商业秘密，停止使用的时间持续到前述商业秘密为</w:t>
      </w:r>
      <w:r>
        <w:rPr>
          <w:spacing w:val="-81"/>
        </w:rPr>
        <w:t> </w:t>
      </w:r>
      <w:r>
        <w:rPr>
          <w:spacing w:val="-81"/>
        </w:rPr>
      </w:r>
      <w:r>
        <w:rPr/>
        <w:t>公众知悉为止。</w:t>
      </w:r>
    </w:p>
    <w:p>
      <w:pPr>
        <w:pStyle w:val="BodyText"/>
        <w:spacing w:line="410" w:lineRule="auto" w:before="84"/>
        <w:ind w:left="154" w:right="0" w:firstLine="420"/>
        <w:jc w:val="left"/>
      </w:pPr>
      <w:r>
        <w:rPr>
          <w:rFonts w:ascii="宋体" w:hAnsi="宋体" w:cs="宋体" w:eastAsia="宋体" w:hint="default"/>
        </w:rPr>
        <w:t>2</w:t>
      </w:r>
      <w:r>
        <w:rPr/>
        <w:t>、被告利欧（大连）工业泵技术中心有限公司、被告大连利欧华能泵业有限公司于本判决发生法律 效力之日三十日内连带赔偿原告大连深蓝泵业有限公司人民币</w:t>
      </w:r>
      <w:r>
        <w:rPr>
          <w:spacing w:val="-54"/>
        </w:rPr>
        <w:t> </w:t>
      </w:r>
      <w:r>
        <w:rPr>
          <w:rFonts w:ascii="宋体" w:hAnsi="宋体" w:cs="宋体" w:eastAsia="宋体" w:hint="default"/>
        </w:rPr>
        <w:t>30</w:t>
      </w:r>
      <w:r>
        <w:rPr>
          <w:rFonts w:ascii="宋体" w:hAnsi="宋体" w:cs="宋体" w:eastAsia="宋体" w:hint="default"/>
          <w:spacing w:val="-54"/>
        </w:rPr>
        <w:t> </w:t>
      </w:r>
      <w:r>
        <w:rPr/>
        <w:t>万元。</w:t>
      </w:r>
    </w:p>
    <w:p>
      <w:pPr>
        <w:pStyle w:val="BodyText"/>
        <w:spacing w:line="410" w:lineRule="auto" w:before="83"/>
        <w:ind w:right="0" w:firstLine="420"/>
        <w:jc w:val="left"/>
      </w:pPr>
      <w:r>
        <w:rPr>
          <w:spacing w:val="-1"/>
        </w:rPr>
        <w:t>如果未按本判决指定的期间履行给付金钱义务，应当按照《中华人民共和国民事诉讼法》第二百五十</w:t>
      </w:r>
      <w:r>
        <w:rPr/>
        <w:t> 三条之规定，加倍支付延迟履行期间的债务利息。</w:t>
      </w:r>
    </w:p>
    <w:p>
      <w:pPr>
        <w:pStyle w:val="BodyText"/>
        <w:spacing w:line="240" w:lineRule="auto" w:before="83"/>
        <w:ind w:left="574" w:right="0"/>
        <w:jc w:val="left"/>
      </w:pPr>
      <w:r>
        <w:rPr>
          <w:rFonts w:ascii="宋体" w:hAnsi="宋体" w:cs="宋体" w:eastAsia="宋体" w:hint="default"/>
        </w:rPr>
        <w:t>3</w:t>
      </w:r>
      <w:r>
        <w:rPr/>
        <w:t>、驳回原告大连深蓝泵业有限公司对被告利欧集团股份有限公司的诉讼请求。</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4</w:t>
      </w:r>
      <w:r>
        <w:rPr/>
        <w:t>、驳回原告大连深蓝泵业有限公司的其他诉讼请求。</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t>案件受理费</w:t>
      </w:r>
      <w:r>
        <w:rPr>
          <w:spacing w:val="-53"/>
        </w:rPr>
        <w:t> </w:t>
      </w:r>
      <w:r>
        <w:rPr>
          <w:rFonts w:ascii="宋体" w:hAnsi="宋体" w:cs="宋体" w:eastAsia="宋体" w:hint="default"/>
        </w:rPr>
        <w:t>14,1800</w:t>
      </w:r>
      <w:r>
        <w:rPr>
          <w:rFonts w:ascii="宋体" w:hAnsi="宋体" w:cs="宋体" w:eastAsia="宋体" w:hint="default"/>
          <w:spacing w:val="-53"/>
        </w:rPr>
        <w:t> </w:t>
      </w:r>
      <w:r>
        <w:rPr/>
        <w:t>元（原告大连深蓝泵业有限公司已预交），因原告当庭变更诉请为</w:t>
      </w:r>
      <w:r>
        <w:rPr>
          <w:spacing w:val="-53"/>
        </w:rPr>
        <w:t> </w:t>
      </w:r>
      <w:r>
        <w:rPr>
          <w:rFonts w:ascii="宋体" w:hAnsi="宋体" w:cs="宋体" w:eastAsia="宋体" w:hint="default"/>
        </w:rPr>
        <w:t>1,000</w:t>
      </w:r>
      <w:r>
        <w:rPr>
          <w:rFonts w:ascii="宋体" w:hAnsi="宋体" w:cs="宋体" w:eastAsia="宋体" w:hint="default"/>
          <w:spacing w:val="-54"/>
        </w:rPr>
        <w:t> </w:t>
      </w:r>
      <w:r>
        <w:rPr/>
        <w:t>万元，</w:t>
      </w:r>
    </w:p>
    <w:p>
      <w:pPr>
        <w:spacing w:line="240" w:lineRule="auto" w:before="10"/>
        <w:rPr>
          <w:rFonts w:ascii="宋体" w:hAnsi="宋体" w:cs="宋体" w:eastAsia="宋体" w:hint="default"/>
          <w:sz w:val="14"/>
          <w:szCs w:val="14"/>
        </w:rPr>
      </w:pPr>
    </w:p>
    <w:p>
      <w:pPr>
        <w:pStyle w:val="BodyText"/>
        <w:spacing w:line="240" w:lineRule="auto"/>
        <w:ind w:left="154" w:right="0"/>
        <w:jc w:val="both"/>
      </w:pPr>
      <w:r>
        <w:rPr/>
        <w:t>故诉讼费为</w:t>
      </w:r>
      <w:r>
        <w:rPr>
          <w:spacing w:val="-60"/>
        </w:rPr>
        <w:t> </w:t>
      </w:r>
      <w:r>
        <w:rPr>
          <w:rFonts w:ascii="宋体" w:hAnsi="宋体" w:cs="宋体" w:eastAsia="宋体" w:hint="default"/>
        </w:rPr>
        <w:t>81,800</w:t>
      </w:r>
      <w:r>
        <w:rPr>
          <w:rFonts w:ascii="宋体" w:hAnsi="宋体" w:cs="宋体" w:eastAsia="宋体" w:hint="default"/>
          <w:spacing w:val="-60"/>
        </w:rPr>
        <w:t> </w:t>
      </w:r>
      <w:r>
        <w:rPr/>
        <w:t>元，由原告大连深蓝泵业有限公司负担</w:t>
      </w:r>
      <w:r>
        <w:rPr>
          <w:spacing w:val="-60"/>
        </w:rPr>
        <w:t> </w:t>
      </w:r>
      <w:r>
        <w:rPr>
          <w:rFonts w:ascii="宋体" w:hAnsi="宋体" w:cs="宋体" w:eastAsia="宋体" w:hint="default"/>
        </w:rPr>
        <w:t>50,000</w:t>
      </w:r>
      <w:r>
        <w:rPr>
          <w:rFonts w:ascii="宋体" w:hAnsi="宋体" w:cs="宋体" w:eastAsia="宋体" w:hint="default"/>
          <w:spacing w:val="-60"/>
        </w:rPr>
        <w:t> </w:t>
      </w:r>
      <w:r>
        <w:rPr/>
        <w:t>元，由被告利欧（大连）工业泵技术中</w:t>
      </w:r>
    </w:p>
    <w:p>
      <w:pPr>
        <w:spacing w:line="240" w:lineRule="auto" w:before="10"/>
        <w:rPr>
          <w:rFonts w:ascii="宋体" w:hAnsi="宋体" w:cs="宋体" w:eastAsia="宋体" w:hint="default"/>
          <w:sz w:val="14"/>
          <w:szCs w:val="14"/>
        </w:rPr>
      </w:pPr>
    </w:p>
    <w:p>
      <w:pPr>
        <w:pStyle w:val="BodyText"/>
        <w:spacing w:line="240" w:lineRule="auto"/>
        <w:ind w:left="154" w:right="0"/>
        <w:jc w:val="both"/>
      </w:pPr>
      <w:r>
        <w:rPr/>
        <w:t>心有限公司和大连利欧华能泵业有限公司负担</w:t>
      </w:r>
      <w:r>
        <w:rPr>
          <w:spacing w:val="-53"/>
        </w:rPr>
        <w:t> </w:t>
      </w:r>
      <w:r>
        <w:rPr>
          <w:rFonts w:ascii="宋体" w:hAnsi="宋体" w:cs="宋体" w:eastAsia="宋体" w:hint="default"/>
        </w:rPr>
        <w:t>31,800</w:t>
      </w:r>
      <w:r>
        <w:rPr>
          <w:rFonts w:ascii="宋体" w:hAnsi="宋体" w:cs="宋体" w:eastAsia="宋体" w:hint="default"/>
          <w:spacing w:val="-54"/>
        </w:rPr>
        <w:t> </w:t>
      </w:r>
      <w:r>
        <w:rPr>
          <w:spacing w:val="-4"/>
        </w:rPr>
        <w:t>元。多缴纳的</w:t>
      </w:r>
      <w:r>
        <w:rPr>
          <w:spacing w:val="-54"/>
        </w:rPr>
        <w:t> </w:t>
      </w:r>
      <w:r>
        <w:rPr>
          <w:rFonts w:ascii="宋体" w:hAnsi="宋体" w:cs="宋体" w:eastAsia="宋体" w:hint="default"/>
        </w:rPr>
        <w:t>60,000</w:t>
      </w:r>
      <w:r>
        <w:rPr>
          <w:rFonts w:ascii="宋体" w:hAnsi="宋体" w:cs="宋体" w:eastAsia="宋体" w:hint="default"/>
          <w:spacing w:val="-54"/>
        </w:rPr>
        <w:t> </w:t>
      </w:r>
      <w:r>
        <w:rPr/>
        <w:t>元诉讼费退还原告大连深蓝泵</w:t>
      </w:r>
    </w:p>
    <w:p>
      <w:pPr>
        <w:spacing w:line="240" w:lineRule="auto" w:before="10"/>
        <w:rPr>
          <w:rFonts w:ascii="宋体" w:hAnsi="宋体" w:cs="宋体" w:eastAsia="宋体" w:hint="default"/>
          <w:sz w:val="14"/>
          <w:szCs w:val="14"/>
        </w:rPr>
      </w:pPr>
    </w:p>
    <w:p>
      <w:pPr>
        <w:pStyle w:val="BodyText"/>
        <w:spacing w:line="410" w:lineRule="auto"/>
        <w:ind w:left="154" w:right="1133"/>
        <w:jc w:val="both"/>
      </w:pPr>
      <w:r>
        <w:rPr/>
        <w:t>业有限公司；鉴定费</w:t>
      </w:r>
      <w:r>
        <w:rPr>
          <w:spacing w:val="-66"/>
        </w:rPr>
        <w:t> </w:t>
      </w:r>
      <w:r>
        <w:rPr>
          <w:rFonts w:ascii="宋体" w:hAnsi="宋体" w:cs="宋体" w:eastAsia="宋体" w:hint="default"/>
        </w:rPr>
        <w:t>100,000</w:t>
      </w:r>
      <w:r>
        <w:rPr>
          <w:rFonts w:ascii="宋体" w:hAnsi="宋体" w:cs="宋体" w:eastAsia="宋体" w:hint="default"/>
          <w:spacing w:val="-66"/>
        </w:rPr>
        <w:t> </w:t>
      </w:r>
      <w:r>
        <w:rPr/>
        <w:t>元，由被告利欧（大连）工业泵技术中心有限公司和大连利欧华能泵业有限 公司负担，由被告在给付原告上述款项时一并支付。</w:t>
      </w:r>
    </w:p>
    <w:p>
      <w:pPr>
        <w:pStyle w:val="BodyText"/>
        <w:spacing w:line="410" w:lineRule="auto" w:before="82"/>
        <w:ind w:left="154" w:right="0" w:firstLine="420"/>
        <w:jc w:val="left"/>
      </w:pPr>
      <w:r>
        <w:rPr>
          <w:spacing w:val="3"/>
        </w:rPr>
        <w:t>如不服本判决，各方当事人可在判决书送达之日起十五日内向辽宁省大连市中级人民法院递交上诉</w:t>
      </w:r>
      <w:r>
        <w:rPr/>
        <w:t> 状，并按对方当事人的人数提出副本，上诉于辽宁省高级人民法院。</w:t>
      </w:r>
    </w:p>
    <w:p>
      <w:pPr>
        <w:spacing w:after="0" w:line="410" w:lineRule="auto"/>
        <w:jc w:val="left"/>
        <w:sectPr>
          <w:pgSz w:w="11910" w:h="16840"/>
          <w:pgMar w:header="0" w:footer="979"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5"/>
        <w:ind w:left="573" w:right="0"/>
        <w:jc w:val="left"/>
      </w:pPr>
      <w:r>
        <w:rPr/>
        <w:t>公司对于一审判决不服，向辽宁省高级人民法院提起上诉。</w:t>
      </w:r>
    </w:p>
    <w:p>
      <w:pPr>
        <w:spacing w:line="240" w:lineRule="auto" w:before="9"/>
        <w:rPr>
          <w:rFonts w:ascii="宋体" w:hAnsi="宋体" w:cs="宋体" w:eastAsia="宋体" w:hint="default"/>
          <w:sz w:val="17"/>
          <w:szCs w:val="17"/>
        </w:rPr>
      </w:pPr>
    </w:p>
    <w:p>
      <w:pPr>
        <w:pStyle w:val="BodyText"/>
        <w:spacing w:line="410" w:lineRule="auto"/>
        <w:ind w:right="1127" w:firstLine="420"/>
        <w:jc w:val="left"/>
      </w:pP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21</w:t>
      </w:r>
      <w:r>
        <w:rPr>
          <w:rFonts w:ascii="宋体" w:hAnsi="宋体" w:cs="宋体" w:eastAsia="宋体" w:hint="default"/>
          <w:spacing w:val="-47"/>
        </w:rPr>
        <w:t> </w:t>
      </w:r>
      <w:r>
        <w:rPr>
          <w:spacing w:val="-3"/>
        </w:rPr>
        <w:t>日，公司、利欧（大连）工业泵技术中心有限公司和大连利欧华能泵业有限公司与大</w:t>
      </w:r>
      <w:r>
        <w:rPr/>
        <w:t> 连深蓝泵业有限公司签署了《和解协议》。</w:t>
      </w:r>
    </w:p>
    <w:p>
      <w:pPr>
        <w:pStyle w:val="BodyText"/>
        <w:spacing w:line="441" w:lineRule="auto" w:before="85"/>
        <w:ind w:left="573" w:right="1120"/>
        <w:jc w:val="left"/>
      </w:pPr>
      <w:r>
        <w:rPr/>
        <w:t>和解协议内容如下： </w:t>
      </w:r>
      <w:r>
        <w:rPr>
          <w:rFonts w:ascii="宋体" w:hAnsi="宋体" w:cs="宋体" w:eastAsia="宋体" w:hint="default"/>
        </w:rPr>
        <w:t>1</w:t>
      </w:r>
      <w:r>
        <w:rPr/>
        <w:t>、被上诉人于本协议生效当日向辽宁高院提出撤回对大连中院（</w:t>
      </w:r>
      <w:r>
        <w:rPr>
          <w:rFonts w:ascii="宋体" w:hAnsi="宋体" w:cs="宋体" w:eastAsia="宋体" w:hint="default"/>
        </w:rPr>
        <w:t>2013</w:t>
      </w:r>
      <w:r>
        <w:rPr/>
        <w:t>）大民四初字第</w:t>
      </w:r>
      <w:r>
        <w:rPr>
          <w:spacing w:val="-66"/>
        </w:rPr>
        <w:t> </w:t>
      </w:r>
      <w:r>
        <w:rPr>
          <w:rFonts w:ascii="宋体" w:hAnsi="宋体" w:cs="宋体" w:eastAsia="宋体" w:hint="default"/>
        </w:rPr>
        <w:t>51</w:t>
      </w:r>
      <w:r>
        <w:rPr>
          <w:rFonts w:ascii="宋体" w:hAnsi="宋体" w:cs="宋体" w:eastAsia="宋体" w:hint="default"/>
          <w:spacing w:val="-66"/>
        </w:rPr>
        <w:t> </w:t>
      </w:r>
      <w:r>
        <w:rPr/>
        <w:t>号案的起诉</w:t>
      </w:r>
    </w:p>
    <w:p>
      <w:pPr>
        <w:pStyle w:val="BodyText"/>
        <w:spacing w:line="441" w:lineRule="auto" w:before="18"/>
        <w:ind w:left="574" w:right="0" w:hanging="420"/>
        <w:jc w:val="left"/>
      </w:pPr>
      <w:r>
        <w:rPr/>
        <w:t>申请；上诉人于本协议生效当日向辽宁高院提出撤回对（</w:t>
      </w:r>
      <w:r>
        <w:rPr>
          <w:rFonts w:ascii="宋体" w:hAnsi="宋体" w:cs="宋体" w:eastAsia="宋体" w:hint="default"/>
        </w:rPr>
        <w:t>2015</w:t>
      </w:r>
      <w:r>
        <w:rPr/>
        <w:t>）辽民三终字第</w:t>
      </w:r>
      <w:r>
        <w:rPr>
          <w:spacing w:val="-53"/>
        </w:rPr>
        <w:t> </w:t>
      </w:r>
      <w:r>
        <w:rPr>
          <w:rFonts w:ascii="宋体" w:hAnsi="宋体" w:cs="宋体" w:eastAsia="宋体" w:hint="default"/>
        </w:rPr>
        <w:t>107</w:t>
      </w:r>
      <w:r>
        <w:rPr>
          <w:rFonts w:ascii="宋体" w:hAnsi="宋体" w:cs="宋体" w:eastAsia="宋体" w:hint="default"/>
          <w:spacing w:val="-54"/>
        </w:rPr>
        <w:t> </w:t>
      </w:r>
      <w:r>
        <w:rPr/>
        <w:t>号案的上诉申请。 </w:t>
      </w:r>
      <w:r>
        <w:rPr>
          <w:rFonts w:ascii="宋体" w:hAnsi="宋体" w:cs="宋体" w:eastAsia="宋体" w:hint="default"/>
        </w:rPr>
        <w:t>2</w:t>
      </w:r>
      <w:r>
        <w:rPr/>
        <w:t>、上诉人向被上诉人支付和解款人民币壹拾万元，自收到辽宁高院二审裁定之日起三日内支付至被</w:t>
      </w:r>
    </w:p>
    <w:p>
      <w:pPr>
        <w:pStyle w:val="BodyText"/>
        <w:spacing w:line="444" w:lineRule="auto" w:before="18"/>
        <w:ind w:left="574" w:right="0" w:hanging="420"/>
        <w:jc w:val="left"/>
      </w:pPr>
      <w:r>
        <w:rPr/>
        <w:t>上诉人指定的账户。 </w:t>
      </w:r>
      <w:r>
        <w:rPr>
          <w:rFonts w:ascii="宋体" w:hAnsi="宋体" w:cs="宋体" w:eastAsia="宋体" w:hint="default"/>
        </w:rPr>
        <w:t>3</w:t>
      </w:r>
      <w:r>
        <w:rPr/>
        <w:t>、上诉人另行向被上诉人支付被上诉人先行支付的鉴定费壹拾万元，自收到辽宁高院二审裁定之日</w:t>
      </w:r>
    </w:p>
    <w:p>
      <w:pPr>
        <w:pStyle w:val="BodyText"/>
        <w:spacing w:line="444" w:lineRule="auto" w:before="16"/>
        <w:ind w:left="574" w:right="3507" w:hanging="420"/>
        <w:jc w:val="left"/>
      </w:pPr>
      <w:r>
        <w:rPr/>
        <w:t>起十日内支付至被上诉人指定的账户。 </w:t>
      </w:r>
      <w:r>
        <w:rPr>
          <w:rFonts w:ascii="宋体" w:hAnsi="宋体" w:cs="宋体" w:eastAsia="宋体" w:hint="default"/>
        </w:rPr>
        <w:t>4</w:t>
      </w:r>
      <w:r>
        <w:rPr/>
        <w:t>、本案一审案件受理费由被上诉人承担，二审案件受理费由上诉人承担。</w:t>
      </w:r>
    </w:p>
    <w:p>
      <w:pPr>
        <w:pStyle w:val="BodyText"/>
        <w:spacing w:line="240" w:lineRule="auto" w:before="54"/>
        <w:ind w:left="574" w:right="0"/>
        <w:jc w:val="left"/>
      </w:pPr>
      <w:r>
        <w:rPr>
          <w:rFonts w:ascii="宋体" w:hAnsi="宋体" w:cs="宋体" w:eastAsia="宋体" w:hint="default"/>
        </w:rPr>
        <w:t>5</w:t>
      </w:r>
      <w:r>
        <w:rPr/>
        <w:t>、本协议履行完毕后，各方对本案纠纷再无争议，各方均不得以本案事由再追究对方的任何责任。</w:t>
      </w:r>
    </w:p>
    <w:p>
      <w:pPr>
        <w:spacing w:line="240" w:lineRule="auto" w:before="10"/>
        <w:rPr>
          <w:rFonts w:ascii="宋体" w:hAnsi="宋体" w:cs="宋体" w:eastAsia="宋体" w:hint="default"/>
          <w:sz w:val="17"/>
          <w:szCs w:val="17"/>
        </w:rPr>
      </w:pPr>
    </w:p>
    <w:p>
      <w:pPr>
        <w:pStyle w:val="BodyText"/>
        <w:spacing w:line="410" w:lineRule="auto"/>
        <w:ind w:right="1121" w:firstLine="420"/>
        <w:jc w:val="left"/>
      </w:pPr>
      <w:r>
        <w:rPr>
          <w:rFonts w:ascii="宋体" w:hAnsi="宋体" w:cs="宋体" w:eastAsia="宋体" w:hint="default"/>
        </w:rPr>
        <w:t>2015</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月，公司收到辽宁省高级人民法院《民事裁定书》“（</w:t>
      </w:r>
      <w:r>
        <w:rPr>
          <w:rFonts w:ascii="宋体" w:hAnsi="宋体" w:cs="宋体" w:eastAsia="宋体" w:hint="default"/>
        </w:rPr>
        <w:t>2015</w:t>
      </w:r>
      <w:r>
        <w:rPr/>
        <w:t>）辽民三终字第</w:t>
      </w:r>
      <w:r>
        <w:rPr>
          <w:spacing w:val="-48"/>
        </w:rPr>
        <w:t> </w:t>
      </w:r>
      <w:r>
        <w:rPr>
          <w:rFonts w:ascii="宋体" w:hAnsi="宋体" w:cs="宋体" w:eastAsia="宋体" w:hint="default"/>
        </w:rPr>
        <w:t>00107</w:t>
      </w:r>
      <w:r>
        <w:rPr>
          <w:rFonts w:ascii="宋体" w:hAnsi="宋体" w:cs="宋体" w:eastAsia="宋体" w:hint="default"/>
          <w:spacing w:val="-48"/>
        </w:rPr>
        <w:t> </w:t>
      </w:r>
      <w:r>
        <w:rPr/>
        <w:t>号”。 裁定如下：</w:t>
      </w:r>
    </w:p>
    <w:p>
      <w:pPr>
        <w:pStyle w:val="BodyText"/>
        <w:spacing w:line="240" w:lineRule="auto" w:before="84"/>
        <w:ind w:left="574" w:right="0"/>
        <w:jc w:val="left"/>
      </w:pPr>
      <w:r>
        <w:rPr>
          <w:rFonts w:ascii="宋体" w:hAnsi="宋体" w:cs="宋体" w:eastAsia="宋体" w:hint="default"/>
        </w:rPr>
        <w:t>1</w:t>
      </w:r>
      <w:r>
        <w:rPr/>
        <w:t>、准许利欧（大连）工业泵技术中心有限公司、大连利欧华能泵业有限公司撤回上述；</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w:t>
      </w:r>
      <w:r>
        <w:rPr/>
        <w:t>、准许大连深蓝泵业有限公司撤回起诉；</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3</w:t>
      </w:r>
      <w:r>
        <w:rPr/>
        <w:t>、撤销大连市中级人民法院（</w:t>
      </w:r>
      <w:r>
        <w:rPr>
          <w:rFonts w:ascii="宋体" w:hAnsi="宋体" w:cs="宋体" w:eastAsia="宋体" w:hint="default"/>
        </w:rPr>
        <w:t>2013</w:t>
      </w:r>
      <w:r>
        <w:rPr/>
        <w:t>）大民四初字第</w:t>
      </w:r>
      <w:r>
        <w:rPr>
          <w:spacing w:val="-54"/>
        </w:rPr>
        <w:t> </w:t>
      </w:r>
      <w:r>
        <w:rPr>
          <w:rFonts w:ascii="宋体" w:hAnsi="宋体" w:cs="宋体" w:eastAsia="宋体" w:hint="default"/>
        </w:rPr>
        <w:t>51</w:t>
      </w:r>
      <w:r>
        <w:rPr>
          <w:rFonts w:ascii="宋体" w:hAnsi="宋体" w:cs="宋体" w:eastAsia="宋体" w:hint="default"/>
          <w:spacing w:val="-54"/>
        </w:rPr>
        <w:t> </w:t>
      </w:r>
      <w:r>
        <w:rPr/>
        <w:t>号民事判决书；</w:t>
      </w:r>
    </w:p>
    <w:p>
      <w:pPr>
        <w:spacing w:line="240" w:lineRule="auto" w:before="9"/>
        <w:rPr>
          <w:rFonts w:ascii="宋体" w:hAnsi="宋体" w:cs="宋体" w:eastAsia="宋体" w:hint="default"/>
          <w:sz w:val="17"/>
          <w:szCs w:val="17"/>
        </w:rPr>
      </w:pPr>
    </w:p>
    <w:p>
      <w:pPr>
        <w:pStyle w:val="BodyText"/>
        <w:spacing w:line="240" w:lineRule="auto"/>
        <w:ind w:left="574" w:right="0"/>
        <w:jc w:val="left"/>
        <w:rPr>
          <w:rFonts w:ascii="宋体" w:hAnsi="宋体" w:cs="宋体" w:eastAsia="宋体" w:hint="default"/>
        </w:rPr>
      </w:pPr>
      <w:r>
        <w:rPr/>
        <w:t>一审案件受理费</w:t>
      </w:r>
      <w:r>
        <w:rPr>
          <w:spacing w:val="-48"/>
        </w:rPr>
        <w:t> </w:t>
      </w:r>
      <w:r>
        <w:rPr>
          <w:rFonts w:ascii="宋体" w:hAnsi="宋体" w:cs="宋体" w:eastAsia="宋体" w:hint="default"/>
        </w:rPr>
        <w:t>81800</w:t>
      </w:r>
      <w:r>
        <w:rPr>
          <w:rFonts w:ascii="宋体" w:hAnsi="宋体" w:cs="宋体" w:eastAsia="宋体" w:hint="default"/>
          <w:spacing w:val="-50"/>
        </w:rPr>
        <w:t> </w:t>
      </w:r>
      <w:r>
        <w:rPr>
          <w:spacing w:val="-11"/>
        </w:rPr>
        <w:t>元，减半收取</w:t>
      </w:r>
      <w:r>
        <w:rPr>
          <w:spacing w:val="-48"/>
        </w:rPr>
        <w:t> </w:t>
      </w:r>
      <w:r>
        <w:rPr>
          <w:rFonts w:ascii="宋体" w:hAnsi="宋体" w:cs="宋体" w:eastAsia="宋体" w:hint="default"/>
        </w:rPr>
        <w:t>40900</w:t>
      </w:r>
      <w:r>
        <w:rPr>
          <w:rFonts w:ascii="宋体" w:hAnsi="宋体" w:cs="宋体" w:eastAsia="宋体" w:hint="default"/>
          <w:spacing w:val="-48"/>
        </w:rPr>
        <w:t> </w:t>
      </w:r>
      <w:r>
        <w:rPr>
          <w:spacing w:val="-6"/>
        </w:rPr>
        <w:t>元，由大连深蓝泵业有限公司负担；二审案件受理费</w:t>
      </w:r>
      <w:r>
        <w:rPr>
          <w:spacing w:val="-48"/>
        </w:rPr>
        <w:t> </w:t>
      </w:r>
      <w:r>
        <w:rPr>
          <w:rFonts w:ascii="宋体" w:hAnsi="宋体" w:cs="宋体" w:eastAsia="宋体" w:hint="default"/>
        </w:rPr>
        <w:t>81800</w:t>
      </w:r>
    </w:p>
    <w:p>
      <w:pPr>
        <w:spacing w:line="240" w:lineRule="auto" w:before="10"/>
        <w:rPr>
          <w:rFonts w:ascii="宋体" w:hAnsi="宋体" w:cs="宋体" w:eastAsia="宋体" w:hint="default"/>
          <w:sz w:val="14"/>
          <w:szCs w:val="14"/>
        </w:rPr>
      </w:pPr>
    </w:p>
    <w:p>
      <w:pPr>
        <w:pStyle w:val="BodyText"/>
        <w:spacing w:line="408" w:lineRule="auto"/>
        <w:ind w:left="574" w:right="1015" w:hanging="420"/>
        <w:jc w:val="left"/>
      </w:pPr>
      <w:r>
        <w:rPr>
          <w:spacing w:val="-5"/>
        </w:rPr>
        <w:t>元，减半收取</w:t>
      </w:r>
      <w:r>
        <w:rPr>
          <w:spacing w:val="-47"/>
        </w:rPr>
        <w:t> </w:t>
      </w:r>
      <w:r>
        <w:rPr>
          <w:rFonts w:ascii="宋体" w:hAnsi="宋体" w:cs="宋体" w:eastAsia="宋体" w:hint="default"/>
        </w:rPr>
        <w:t>40900</w:t>
      </w:r>
      <w:r>
        <w:rPr>
          <w:rFonts w:ascii="宋体" w:hAnsi="宋体" w:cs="宋体" w:eastAsia="宋体" w:hint="default"/>
          <w:spacing w:val="-47"/>
        </w:rPr>
        <w:t> </w:t>
      </w:r>
      <w:r>
        <w:rPr>
          <w:spacing w:val="-3"/>
        </w:rPr>
        <w:t>元，由利欧（大连）工业泵技术中心有限公司、大连利欧华能泵业有限公司共同负担。</w:t>
      </w:r>
      <w:r>
        <w:rPr/>
        <w:t> 至此，大连深蓝诉讼事项正式了结。</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Heading3"/>
        <w:spacing w:line="240" w:lineRule="auto" w:before="35"/>
        <w:ind w:right="0"/>
        <w:jc w:val="left"/>
        <w:rPr>
          <w:b w:val="0"/>
          <w:bCs w:val="0"/>
        </w:rPr>
      </w:pPr>
      <w:r>
        <w:rPr/>
        <w:t>第一期员工持股计划</w:t>
      </w:r>
      <w:r>
        <w:rPr>
          <w:b w:val="0"/>
          <w:bCs w:val="0"/>
        </w:rPr>
      </w:r>
    </w:p>
    <w:p>
      <w:pPr>
        <w:spacing w:line="240" w:lineRule="auto" w:before="10"/>
        <w:rPr>
          <w:rFonts w:ascii="仿宋" w:hAnsi="仿宋" w:cs="仿宋" w:eastAsia="仿宋" w:hint="default"/>
          <w:b/>
          <w:bCs/>
          <w:sz w:val="14"/>
          <w:szCs w:val="14"/>
        </w:rPr>
      </w:pPr>
    </w:p>
    <w:p>
      <w:pPr>
        <w:pStyle w:val="BodyText"/>
        <w:spacing w:line="408" w:lineRule="auto"/>
        <w:ind w:right="1016" w:firstLine="420"/>
        <w:jc w:val="left"/>
      </w:pPr>
      <w:r>
        <w:rPr/>
        <w:t>公司分别于</w:t>
      </w:r>
      <w:r>
        <w:rPr>
          <w:spacing w:val="-56"/>
        </w:rPr>
        <w:t> </w:t>
      </w:r>
      <w:r>
        <w:rPr>
          <w:rFonts w:ascii="宋体" w:hAnsi="宋体" w:cs="宋体" w:eastAsia="宋体" w:hint="default"/>
        </w:rPr>
        <w:t>2014</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30</w:t>
      </w:r>
      <w:r>
        <w:rPr>
          <w:rFonts w:ascii="宋体" w:hAnsi="宋体" w:cs="宋体" w:eastAsia="宋体" w:hint="default"/>
          <w:spacing w:val="-55"/>
        </w:rPr>
        <w:t> </w:t>
      </w:r>
      <w:r>
        <w:rPr/>
        <w:t>日召开第四届董事会第五次会议和</w:t>
      </w:r>
      <w:r>
        <w:rPr>
          <w:spacing w:val="-56"/>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15</w:t>
      </w:r>
      <w:r>
        <w:rPr>
          <w:rFonts w:ascii="宋体" w:hAnsi="宋体" w:cs="宋体" w:eastAsia="宋体" w:hint="default"/>
          <w:spacing w:val="-55"/>
        </w:rPr>
        <w:t> </w:t>
      </w:r>
      <w:r>
        <w:rPr/>
        <w:t>日召开</w:t>
      </w:r>
      <w:r>
        <w:rPr>
          <w:spacing w:val="-56"/>
        </w:rPr>
        <w:t> </w:t>
      </w:r>
      <w:r>
        <w:rPr>
          <w:rFonts w:ascii="宋体" w:hAnsi="宋体" w:cs="宋体" w:eastAsia="宋体" w:hint="default"/>
        </w:rPr>
        <w:t>2015</w:t>
      </w:r>
      <w:r>
        <w:rPr>
          <w:rFonts w:ascii="宋体" w:hAnsi="宋体" w:cs="宋体" w:eastAsia="宋体" w:hint="default"/>
          <w:spacing w:val="-55"/>
        </w:rPr>
        <w:t> </w:t>
      </w:r>
      <w:r>
        <w:rPr/>
        <w:t>年第一次 </w:t>
      </w:r>
      <w:r>
        <w:rPr>
          <w:spacing w:val="-7"/>
        </w:rPr>
        <w:t>临时股东大会，审议通过了《关于</w:t>
      </w:r>
      <w:r>
        <w:rPr>
          <w:rFonts w:ascii="宋体" w:hAnsi="宋体" w:cs="宋体" w:eastAsia="宋体" w:hint="default"/>
          <w:spacing w:val="-7"/>
        </w:rPr>
        <w:t>&lt;</w:t>
      </w:r>
      <w:r>
        <w:rPr>
          <w:spacing w:val="-7"/>
        </w:rPr>
        <w:t>利欧集团股份有限公司第一期员工持股计划（草案）</w:t>
      </w:r>
      <w:r>
        <w:rPr>
          <w:rFonts w:ascii="宋体" w:hAnsi="宋体" w:cs="宋体" w:eastAsia="宋体" w:hint="default"/>
          <w:spacing w:val="-7"/>
        </w:rPr>
        <w:t>&gt;</w:t>
      </w:r>
      <w:r>
        <w:rPr>
          <w:spacing w:val="-7"/>
        </w:rPr>
        <w:t>及其摘要的议案》。</w:t>
      </w:r>
    </w:p>
    <w:p>
      <w:pPr>
        <w:pStyle w:val="BodyText"/>
        <w:spacing w:line="408" w:lineRule="auto" w:before="46"/>
        <w:ind w:right="1130" w:firstLine="420"/>
        <w:jc w:val="both"/>
      </w:pPr>
      <w:r>
        <w:rPr>
          <w:spacing w:val="-1"/>
        </w:rPr>
        <w:t>本员工持股计划委托广发证券资产管理（广东）有限公司管理，并全额认购由广发证券资产管理（广</w:t>
      </w:r>
      <w:r>
        <w:rPr/>
        <w:t> 东）有限公司设立的广发资管利欧投资</w:t>
      </w:r>
      <w:r>
        <w:rPr>
          <w:spacing w:val="-58"/>
        </w:rPr>
        <w:t> </w:t>
      </w:r>
      <w:r>
        <w:rPr>
          <w:rFonts w:ascii="宋体" w:hAnsi="宋体" w:cs="宋体" w:eastAsia="宋体" w:hint="default"/>
        </w:rPr>
        <w:t>1</w:t>
      </w:r>
      <w:r>
        <w:rPr>
          <w:rFonts w:ascii="宋体" w:hAnsi="宋体" w:cs="宋体" w:eastAsia="宋体" w:hint="default"/>
          <w:spacing w:val="-57"/>
        </w:rPr>
        <w:t> </w:t>
      </w:r>
      <w:r>
        <w:rPr/>
        <w:t>号集合资产管理计划（以下简称“利欧投资</w:t>
      </w:r>
      <w:r>
        <w:rPr>
          <w:spacing w:val="-57"/>
        </w:rPr>
        <w:t> </w:t>
      </w:r>
      <w:r>
        <w:rPr>
          <w:rFonts w:ascii="宋体" w:hAnsi="宋体" w:cs="宋体" w:eastAsia="宋体" w:hint="default"/>
        </w:rPr>
        <w:t>1</w:t>
      </w:r>
      <w:r>
        <w:rPr>
          <w:rFonts w:ascii="宋体" w:hAnsi="宋体" w:cs="宋体" w:eastAsia="宋体" w:hint="default"/>
          <w:spacing w:val="-57"/>
        </w:rPr>
        <w:t> </w:t>
      </w:r>
      <w:r>
        <w:rPr/>
        <w:t>号”）的次级</w:t>
      </w:r>
      <w:r>
        <w:rPr>
          <w:spacing w:val="-58"/>
        </w:rPr>
        <w:t> </w:t>
      </w:r>
      <w:r>
        <w:rPr>
          <w:rFonts w:ascii="宋体" w:hAnsi="宋体" w:cs="宋体" w:eastAsia="宋体" w:hint="default"/>
        </w:rPr>
        <w:t>B</w:t>
      </w:r>
      <w:r>
        <w:rPr>
          <w:rFonts w:ascii="宋体" w:hAnsi="宋体" w:cs="宋体" w:eastAsia="宋体" w:hint="default"/>
          <w:spacing w:val="-57"/>
        </w:rPr>
        <w:t> </w:t>
      </w:r>
      <w:r>
        <w:rPr/>
        <w:t>份 额。利欧投资</w:t>
      </w:r>
      <w:r>
        <w:rPr>
          <w:spacing w:val="-43"/>
        </w:rPr>
        <w:t> </w:t>
      </w:r>
      <w:r>
        <w:rPr>
          <w:rFonts w:ascii="宋体" w:hAnsi="宋体" w:cs="宋体" w:eastAsia="宋体" w:hint="default"/>
        </w:rPr>
        <w:t>1</w:t>
      </w:r>
      <w:r>
        <w:rPr>
          <w:rFonts w:ascii="宋体" w:hAnsi="宋体" w:cs="宋体" w:eastAsia="宋体" w:hint="default"/>
          <w:spacing w:val="-42"/>
        </w:rPr>
        <w:t> </w:t>
      </w:r>
      <w:r>
        <w:rPr/>
        <w:t>号份额上限为</w:t>
      </w:r>
      <w:r>
        <w:rPr>
          <w:spacing w:val="-43"/>
        </w:rPr>
        <w:t> </w:t>
      </w:r>
      <w:r>
        <w:rPr>
          <w:rFonts w:ascii="宋体" w:hAnsi="宋体" w:cs="宋体" w:eastAsia="宋体" w:hint="default"/>
        </w:rPr>
        <w:t>11,250</w:t>
      </w:r>
      <w:r>
        <w:rPr>
          <w:rFonts w:ascii="宋体" w:hAnsi="宋体" w:cs="宋体" w:eastAsia="宋体" w:hint="default"/>
          <w:spacing w:val="-43"/>
        </w:rPr>
        <w:t> </w:t>
      </w:r>
      <w:r>
        <w:rPr/>
        <w:t>万份，按照不超过</w:t>
      </w:r>
      <w:r>
        <w:rPr>
          <w:spacing w:val="-43"/>
        </w:rPr>
        <w:t> </w:t>
      </w:r>
      <w:r>
        <w:rPr>
          <w:rFonts w:ascii="宋体" w:hAnsi="宋体" w:cs="宋体" w:eastAsia="宋体" w:hint="default"/>
        </w:rPr>
        <w:t>2:1</w:t>
      </w:r>
      <w:r>
        <w:rPr>
          <w:rFonts w:ascii="宋体" w:hAnsi="宋体" w:cs="宋体" w:eastAsia="宋体" w:hint="default"/>
          <w:spacing w:val="-44"/>
        </w:rPr>
        <w:t> </w:t>
      </w:r>
      <w:r>
        <w:rPr/>
        <w:t>的比例设立优先级</w:t>
      </w:r>
      <w:r>
        <w:rPr>
          <w:spacing w:val="-43"/>
        </w:rPr>
        <w:t> </w:t>
      </w:r>
      <w:r>
        <w:rPr>
          <w:rFonts w:ascii="宋体" w:hAnsi="宋体" w:cs="宋体" w:eastAsia="宋体" w:hint="default"/>
        </w:rPr>
        <w:t>A</w:t>
      </w:r>
      <w:r>
        <w:rPr>
          <w:rFonts w:ascii="宋体" w:hAnsi="宋体" w:cs="宋体" w:eastAsia="宋体" w:hint="default"/>
          <w:spacing w:val="-42"/>
        </w:rPr>
        <w:t> </w:t>
      </w:r>
      <w:r>
        <w:rPr/>
        <w:t>份额和次级份额，次级 份额又分为次级</w:t>
      </w:r>
      <w:r>
        <w:rPr>
          <w:spacing w:val="-57"/>
        </w:rPr>
        <w:t> </w:t>
      </w:r>
      <w:r>
        <w:rPr>
          <w:rFonts w:ascii="宋体" w:hAnsi="宋体" w:cs="宋体" w:eastAsia="宋体" w:hint="default"/>
        </w:rPr>
        <w:t>B</w:t>
      </w:r>
      <w:r>
        <w:rPr>
          <w:rFonts w:ascii="宋体" w:hAnsi="宋体" w:cs="宋体" w:eastAsia="宋体" w:hint="default"/>
          <w:spacing w:val="-57"/>
        </w:rPr>
        <w:t> </w:t>
      </w:r>
      <w:r>
        <w:rPr/>
        <w:t>份额和次级</w:t>
      </w:r>
      <w:r>
        <w:rPr>
          <w:spacing w:val="-58"/>
        </w:rPr>
        <w:t> </w:t>
      </w:r>
      <w:r>
        <w:rPr>
          <w:rFonts w:ascii="宋体" w:hAnsi="宋体" w:cs="宋体" w:eastAsia="宋体" w:hint="default"/>
        </w:rPr>
        <w:t>C</w:t>
      </w:r>
      <w:r>
        <w:rPr>
          <w:rFonts w:ascii="宋体" w:hAnsi="宋体" w:cs="宋体" w:eastAsia="宋体" w:hint="default"/>
          <w:spacing w:val="-57"/>
        </w:rPr>
        <w:t> </w:t>
      </w:r>
      <w:r>
        <w:rPr/>
        <w:t>份额。公司控股股东、实际控制人王相荣先生以</w:t>
      </w:r>
      <w:r>
        <w:rPr>
          <w:spacing w:val="-57"/>
        </w:rPr>
        <w:t> </w:t>
      </w:r>
      <w:r>
        <w:rPr>
          <w:rFonts w:ascii="宋体" w:hAnsi="宋体" w:cs="宋体" w:eastAsia="宋体" w:hint="default"/>
        </w:rPr>
        <w:t>2,500</w:t>
      </w:r>
      <w:r>
        <w:rPr>
          <w:rFonts w:ascii="宋体" w:hAnsi="宋体" w:cs="宋体" w:eastAsia="宋体" w:hint="default"/>
          <w:spacing w:val="-57"/>
        </w:rPr>
        <w:t> </w:t>
      </w:r>
      <w:r>
        <w:rPr/>
        <w:t>万元全额认购利欧 投资</w:t>
      </w:r>
      <w:r>
        <w:rPr>
          <w:spacing w:val="-54"/>
        </w:rPr>
        <w:t> </w:t>
      </w:r>
      <w:r>
        <w:rPr>
          <w:rFonts w:ascii="宋体" w:hAnsi="宋体" w:cs="宋体" w:eastAsia="宋体" w:hint="default"/>
        </w:rPr>
        <w:t>1</w:t>
      </w:r>
      <w:r>
        <w:rPr>
          <w:rFonts w:ascii="宋体" w:hAnsi="宋体" w:cs="宋体" w:eastAsia="宋体" w:hint="default"/>
          <w:spacing w:val="-53"/>
        </w:rPr>
        <w:t> </w:t>
      </w:r>
      <w:r>
        <w:rPr/>
        <w:t>号次级</w:t>
      </w:r>
      <w:r>
        <w:rPr>
          <w:spacing w:val="-54"/>
        </w:rPr>
        <w:t> </w:t>
      </w:r>
      <w:r>
        <w:rPr>
          <w:rFonts w:ascii="宋体" w:hAnsi="宋体" w:cs="宋体" w:eastAsia="宋体" w:hint="default"/>
        </w:rPr>
        <w:t>C</w:t>
      </w:r>
      <w:r>
        <w:rPr>
          <w:rFonts w:ascii="宋体" w:hAnsi="宋体" w:cs="宋体" w:eastAsia="宋体" w:hint="default"/>
          <w:spacing w:val="-53"/>
        </w:rPr>
        <w:t> </w:t>
      </w:r>
      <w:r>
        <w:rPr>
          <w:spacing w:val="-4"/>
        </w:rPr>
        <w:t>份额，与次级</w:t>
      </w:r>
      <w:r>
        <w:rPr>
          <w:spacing w:val="-54"/>
        </w:rPr>
        <w:t> </w:t>
      </w:r>
      <w:r>
        <w:rPr>
          <w:rFonts w:ascii="宋体" w:hAnsi="宋体" w:cs="宋体" w:eastAsia="宋体" w:hint="default"/>
        </w:rPr>
        <w:t>B</w:t>
      </w:r>
      <w:r>
        <w:rPr>
          <w:rFonts w:ascii="宋体" w:hAnsi="宋体" w:cs="宋体" w:eastAsia="宋体" w:hint="default"/>
          <w:spacing w:val="-53"/>
        </w:rPr>
        <w:t> </w:t>
      </w:r>
      <w:r>
        <w:rPr/>
        <w:t>份额投资者认购的</w:t>
      </w:r>
      <w:r>
        <w:rPr>
          <w:spacing w:val="-53"/>
        </w:rPr>
        <w:t> </w:t>
      </w:r>
      <w:r>
        <w:rPr>
          <w:rFonts w:ascii="宋体" w:hAnsi="宋体" w:cs="宋体" w:eastAsia="宋体" w:hint="default"/>
        </w:rPr>
        <w:t>1,250</w:t>
      </w:r>
      <w:r>
        <w:rPr>
          <w:rFonts w:ascii="宋体" w:hAnsi="宋体" w:cs="宋体" w:eastAsia="宋体" w:hint="default"/>
          <w:spacing w:val="-54"/>
        </w:rPr>
        <w:t> </w:t>
      </w:r>
      <w:r>
        <w:rPr/>
        <w:t>万元共同以出资额为限承担对优先级</w:t>
      </w:r>
      <w:r>
        <w:rPr>
          <w:spacing w:val="-53"/>
        </w:rPr>
        <w:t> </w:t>
      </w:r>
      <w:r>
        <w:rPr>
          <w:rFonts w:ascii="宋体" w:hAnsi="宋体" w:cs="宋体" w:eastAsia="宋体" w:hint="default"/>
        </w:rPr>
        <w:t>A</w:t>
      </w:r>
      <w:r>
        <w:rPr>
          <w:rFonts w:ascii="宋体" w:hAnsi="宋体" w:cs="宋体" w:eastAsia="宋体" w:hint="default"/>
          <w:spacing w:val="-53"/>
        </w:rPr>
        <w:t> </w:t>
      </w:r>
      <w:r>
        <w:rPr/>
        <w:t>份额本金 </w:t>
      </w:r>
      <w:r>
        <w:rPr>
          <w:spacing w:val="-1"/>
        </w:rPr>
        <w:t>及预期年化收益的担保责任。同时，公司控股股东、实际控制人王相荣先生承诺差额补足，提供连带担保</w:t>
      </w:r>
      <w:r>
        <w:rPr>
          <w:spacing w:val="-86"/>
        </w:rPr>
        <w:t> </w:t>
      </w:r>
      <w:r>
        <w:rPr>
          <w:spacing w:val="-86"/>
        </w:rPr>
      </w:r>
      <w:r>
        <w:rPr/>
        <w:t>责任。本员工持股计划存续期为不超过</w:t>
      </w:r>
      <w:r>
        <w:rPr>
          <w:spacing w:val="-54"/>
        </w:rPr>
        <w:t> </w:t>
      </w:r>
      <w:r>
        <w:rPr>
          <w:rFonts w:ascii="宋体" w:hAnsi="宋体" w:cs="宋体" w:eastAsia="宋体" w:hint="default"/>
        </w:rPr>
        <w:t>18</w:t>
      </w:r>
      <w:r>
        <w:rPr>
          <w:rFonts w:ascii="宋体" w:hAnsi="宋体" w:cs="宋体" w:eastAsia="宋体" w:hint="default"/>
          <w:spacing w:val="-54"/>
        </w:rPr>
        <w:t> </w:t>
      </w:r>
      <w:r>
        <w:rPr/>
        <w:t>个月，所获标的股票的锁定期为</w:t>
      </w:r>
      <w:r>
        <w:rPr>
          <w:spacing w:val="-55"/>
        </w:rPr>
        <w:t> </w:t>
      </w:r>
      <w:r>
        <w:rPr>
          <w:rFonts w:ascii="宋体" w:hAnsi="宋体" w:cs="宋体" w:eastAsia="宋体" w:hint="default"/>
        </w:rPr>
        <w:t>12</w:t>
      </w:r>
      <w:r>
        <w:rPr>
          <w:rFonts w:ascii="宋体" w:hAnsi="宋体" w:cs="宋体" w:eastAsia="宋体" w:hint="default"/>
          <w:spacing w:val="-54"/>
        </w:rPr>
        <w:t> </w:t>
      </w:r>
      <w:r>
        <w:rPr/>
        <w:t>个月。</w:t>
      </w:r>
    </w:p>
    <w:p>
      <w:pPr>
        <w:pStyle w:val="BodyText"/>
        <w:spacing w:line="240" w:lineRule="auto" w:before="46"/>
        <w:ind w:left="573" w:right="0"/>
        <w:jc w:val="left"/>
      </w:pPr>
      <w:r>
        <w:rPr/>
        <w:t>截至</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日，公司第一期员工持股计划通过深圳证券交易所证券交易系统完成股票购买，</w:t>
      </w:r>
    </w:p>
    <w:p>
      <w:pPr>
        <w:spacing w:line="240" w:lineRule="auto" w:before="10"/>
        <w:rPr>
          <w:rFonts w:ascii="宋体" w:hAnsi="宋体" w:cs="宋体" w:eastAsia="宋体" w:hint="default"/>
          <w:sz w:val="14"/>
          <w:szCs w:val="14"/>
        </w:rPr>
      </w:pPr>
    </w:p>
    <w:p>
      <w:pPr>
        <w:pStyle w:val="BodyText"/>
        <w:spacing w:line="240" w:lineRule="auto"/>
        <w:ind w:right="0"/>
        <w:jc w:val="left"/>
      </w:pPr>
      <w:r>
        <w:rPr/>
        <w:t>购买均价</w:t>
      </w:r>
      <w:r>
        <w:rPr>
          <w:spacing w:val="-54"/>
        </w:rPr>
        <w:t> </w:t>
      </w:r>
      <w:r>
        <w:rPr>
          <w:rFonts w:ascii="宋体" w:hAnsi="宋体" w:cs="宋体" w:eastAsia="宋体" w:hint="default"/>
        </w:rPr>
        <w:t>25.57</w:t>
      </w:r>
      <w:r>
        <w:rPr>
          <w:rFonts w:ascii="宋体" w:hAnsi="宋体" w:cs="宋体" w:eastAsia="宋体" w:hint="default"/>
          <w:spacing w:val="-54"/>
        </w:rPr>
        <w:t> </w:t>
      </w:r>
      <w:r>
        <w:rPr/>
        <w:t>元</w:t>
      </w:r>
      <w:r>
        <w:rPr>
          <w:rFonts w:ascii="宋体" w:hAnsi="宋体" w:cs="宋体" w:eastAsia="宋体" w:hint="default"/>
        </w:rPr>
        <w:t>/</w:t>
      </w:r>
      <w:r>
        <w:rPr/>
        <w:t>股，购买数量</w:t>
      </w:r>
      <w:r>
        <w:rPr>
          <w:spacing w:val="-55"/>
        </w:rPr>
        <w:t> </w:t>
      </w:r>
      <w:r>
        <w:rPr>
          <w:rFonts w:ascii="宋体" w:hAnsi="宋体" w:cs="宋体" w:eastAsia="宋体" w:hint="default"/>
        </w:rPr>
        <w:t>4,351,500</w:t>
      </w:r>
      <w:r>
        <w:rPr>
          <w:rFonts w:ascii="宋体" w:hAnsi="宋体" w:cs="宋体" w:eastAsia="宋体" w:hint="default"/>
          <w:spacing w:val="-54"/>
        </w:rPr>
        <w:t> </w:t>
      </w:r>
      <w:r>
        <w:rPr/>
        <w:t>股</w:t>
      </w:r>
      <w:r>
        <w:rPr>
          <w:rFonts w:ascii="宋体" w:hAnsi="宋体" w:cs="宋体" w:eastAsia="宋体" w:hint="default"/>
        </w:rPr>
        <w:t>,</w:t>
      </w:r>
      <w:r>
        <w:rPr/>
        <w:t>占公司总股本的比例为</w:t>
      </w:r>
      <w:r>
        <w:rPr>
          <w:spacing w:val="-55"/>
        </w:rPr>
        <w:t> </w:t>
      </w:r>
      <w:r>
        <w:rPr>
          <w:rFonts w:ascii="宋体" w:hAnsi="宋体" w:cs="宋体" w:eastAsia="宋体" w:hint="default"/>
        </w:rPr>
        <w:t>1.11%</w:t>
      </w:r>
      <w:r>
        <w:rPr/>
        <w:t>。</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w:t>
      </w:r>
      <w:r>
        <w:rPr>
          <w:spacing w:val="-54"/>
        </w:rPr>
        <w:t> </w:t>
      </w:r>
      <w:r>
        <w:rPr>
          <w:rFonts w:ascii="宋体" w:hAnsi="宋体" w:cs="宋体" w:eastAsia="宋体" w:hint="default"/>
        </w:rPr>
        <w:t>21</w:t>
      </w:r>
      <w:r>
        <w:rPr>
          <w:rFonts w:ascii="宋体" w:hAnsi="宋体" w:cs="宋体" w:eastAsia="宋体" w:hint="default"/>
          <w:spacing w:val="-52"/>
        </w:rPr>
        <w:t> </w:t>
      </w:r>
      <w:r>
        <w:rPr/>
        <w:t>日</w:t>
      </w:r>
      <w:r>
        <w:rPr>
          <w:spacing w:val="-91"/>
        </w:rPr>
        <w:t>，</w:t>
      </w:r>
      <w:r>
        <w:rPr/>
        <w:t>公司</w:t>
      </w:r>
      <w:r>
        <w:rPr>
          <w:spacing w:val="-2"/>
        </w:rPr>
        <w:t>实</w:t>
      </w:r>
      <w:r>
        <w:rPr/>
        <w:t>施了</w:t>
      </w:r>
      <w:r>
        <w:rPr>
          <w:spacing w:val="-53"/>
        </w:rPr>
        <w:t> </w:t>
      </w:r>
      <w:r>
        <w:rPr>
          <w:rFonts w:ascii="宋体" w:hAnsi="宋体" w:cs="宋体" w:eastAsia="宋体" w:hint="default"/>
        </w:rPr>
        <w:t>2015</w:t>
      </w:r>
      <w:r>
        <w:rPr>
          <w:rFonts w:ascii="宋体" w:hAnsi="宋体" w:cs="宋体" w:eastAsia="宋体" w:hint="default"/>
          <w:spacing w:val="-52"/>
        </w:rPr>
        <w:t> </w:t>
      </w:r>
      <w:r>
        <w:rPr>
          <w:spacing w:val="-2"/>
        </w:rPr>
        <w:t>年</w:t>
      </w:r>
      <w:r>
        <w:rPr/>
        <w:t>半年度权益分派</w:t>
      </w:r>
      <w:r>
        <w:rPr>
          <w:spacing w:val="-91"/>
        </w:rPr>
        <w:t>，</w:t>
      </w:r>
      <w:r>
        <w:rPr/>
        <w:t>以资本公积金向全体股东每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3"/>
        </w:rPr>
        <w:t> </w:t>
      </w:r>
      <w:r>
        <w:rPr/>
        <w:t>股转增</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51"/>
        </w:rPr>
        <w:t> </w:t>
      </w:r>
      <w:r>
        <w:rPr/>
        <w:t>股。</w:t>
      </w:r>
    </w:p>
    <w:p>
      <w:pPr>
        <w:spacing w:line="240" w:lineRule="auto" w:before="10"/>
        <w:rPr>
          <w:rFonts w:ascii="宋体" w:hAnsi="宋体" w:cs="宋体" w:eastAsia="宋体" w:hint="default"/>
          <w:sz w:val="14"/>
          <w:szCs w:val="14"/>
        </w:rPr>
      </w:pPr>
    </w:p>
    <w:p>
      <w:pPr>
        <w:pStyle w:val="BodyText"/>
        <w:spacing w:line="408" w:lineRule="auto"/>
        <w:ind w:right="1118"/>
        <w:jc w:val="left"/>
      </w:pPr>
      <w:r>
        <w:rPr/>
        <w:t>权益分派实施完毕后，利欧投资</w:t>
      </w:r>
      <w:r>
        <w:rPr>
          <w:spacing w:val="-33"/>
        </w:rPr>
        <w:t> </w:t>
      </w:r>
      <w:r>
        <w:rPr>
          <w:rFonts w:ascii="宋体" w:hAnsi="宋体" w:cs="宋体" w:eastAsia="宋体" w:hint="default"/>
        </w:rPr>
        <w:t>1</w:t>
      </w:r>
      <w:r>
        <w:rPr>
          <w:rFonts w:ascii="宋体" w:hAnsi="宋体" w:cs="宋体" w:eastAsia="宋体" w:hint="default"/>
          <w:spacing w:val="-33"/>
        </w:rPr>
        <w:t> </w:t>
      </w:r>
      <w:r>
        <w:rPr/>
        <w:t>号资产管理计划持有的公司股票增加至</w:t>
      </w:r>
      <w:r>
        <w:rPr>
          <w:spacing w:val="-33"/>
        </w:rPr>
        <w:t> </w:t>
      </w:r>
      <w:r>
        <w:rPr>
          <w:rFonts w:ascii="宋体" w:hAnsi="宋体" w:cs="宋体" w:eastAsia="宋体" w:hint="default"/>
        </w:rPr>
        <w:t>13,054,500</w:t>
      </w:r>
      <w:r>
        <w:rPr>
          <w:rFonts w:ascii="宋体" w:hAnsi="宋体" w:cs="宋体" w:eastAsia="宋体" w:hint="default"/>
          <w:spacing w:val="-31"/>
        </w:rPr>
        <w:t> </w:t>
      </w:r>
      <w:r>
        <w:rPr/>
        <w:t>股，占公司股本总 额的</w:t>
      </w:r>
      <w:r>
        <w:rPr>
          <w:spacing w:val="-52"/>
        </w:rPr>
        <w:t> </w:t>
      </w:r>
      <w:r>
        <w:rPr>
          <w:rFonts w:ascii="宋体" w:hAnsi="宋体" w:cs="宋体" w:eastAsia="宋体" w:hint="default"/>
        </w:rPr>
        <w:t>0.86%</w:t>
      </w:r>
      <w:r>
        <w:rPr/>
        <w:t>。</w:t>
      </w:r>
    </w:p>
    <w:p>
      <w:pPr>
        <w:pStyle w:val="BodyText"/>
        <w:spacing w:line="240" w:lineRule="auto" w:before="46"/>
        <w:ind w:left="573" w:right="0"/>
        <w:jc w:val="left"/>
      </w:pP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月，利欧投资</w:t>
      </w:r>
      <w:r>
        <w:rPr>
          <w:spacing w:val="-54"/>
        </w:rPr>
        <w:t> </w:t>
      </w:r>
      <w:r>
        <w:rPr>
          <w:rFonts w:ascii="宋体" w:hAnsi="宋体" w:cs="宋体" w:eastAsia="宋体" w:hint="default"/>
        </w:rPr>
        <w:t>1</w:t>
      </w:r>
      <w:r>
        <w:rPr>
          <w:rFonts w:ascii="宋体" w:hAnsi="宋体" w:cs="宋体" w:eastAsia="宋体" w:hint="default"/>
          <w:spacing w:val="-53"/>
        </w:rPr>
        <w:t> </w:t>
      </w:r>
      <w:r>
        <w:rPr/>
        <w:t>号资产管理计划所持公司股票</w:t>
      </w:r>
      <w:r>
        <w:rPr>
          <w:spacing w:val="-53"/>
        </w:rPr>
        <w:t> </w:t>
      </w:r>
      <w:r>
        <w:rPr>
          <w:rFonts w:ascii="宋体" w:hAnsi="宋体" w:cs="宋体" w:eastAsia="宋体" w:hint="default"/>
        </w:rPr>
        <w:t>13,054,500</w:t>
      </w:r>
      <w:r>
        <w:rPr>
          <w:rFonts w:ascii="宋体" w:hAnsi="宋体" w:cs="宋体" w:eastAsia="宋体" w:hint="default"/>
          <w:spacing w:val="-54"/>
        </w:rPr>
        <w:t> </w:t>
      </w:r>
      <w:r>
        <w:rPr/>
        <w:t>股已全部出售。</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bookmarkStart w:name="1、与日常经营相关的关联交易" w:id="81"/>
      <w:bookmarkEnd w:id="81"/>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、与日常经营相关的关联交易</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38"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公司报告期未发生与日常经营相关的重大关联交易。</w:t>
      </w:r>
    </w:p>
    <w:p>
      <w:pPr>
        <w:spacing w:line="240" w:lineRule="auto" w:before="12"/>
        <w:rPr>
          <w:rFonts w:ascii="宋体" w:hAnsi="宋体" w:cs="宋体" w:eastAsia="宋体" w:hint="default"/>
          <w:sz w:val="21"/>
          <w:szCs w:val="21"/>
        </w:rPr>
      </w:pPr>
    </w:p>
    <w:p>
      <w:pPr>
        <w:spacing w:before="0"/>
        <w:ind w:left="154" w:right="0" w:firstLine="0"/>
        <w:jc w:val="left"/>
        <w:rPr>
          <w:rFonts w:ascii="宋体" w:hAnsi="宋体" w:cs="宋体" w:eastAsia="宋体" w:hint="default"/>
          <w:sz w:val="20"/>
          <w:szCs w:val="20"/>
        </w:rPr>
      </w:pPr>
      <w:bookmarkStart w:name="2、资产或股权收购、出售发生的关联交易" w:id="82"/>
      <w:bookmarkEnd w:id="82"/>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、资产或股权收购、出售发生的关联交易</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40"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9"/>
        <w:rPr>
          <w:rFonts w:ascii="宋体" w:hAnsi="宋体" w:cs="宋体" w:eastAsia="宋体" w:hint="default"/>
          <w:sz w:val="21"/>
          <w:szCs w:val="21"/>
        </w:rPr>
      </w:pPr>
    </w:p>
    <w:p>
      <w:pPr>
        <w:spacing w:before="0"/>
        <w:ind w:left="154" w:right="0" w:firstLine="0"/>
        <w:jc w:val="left"/>
        <w:rPr>
          <w:rFonts w:ascii="宋体" w:hAnsi="宋体" w:cs="宋体" w:eastAsia="宋体" w:hint="default"/>
          <w:sz w:val="20"/>
          <w:szCs w:val="20"/>
        </w:rPr>
      </w:pPr>
      <w:bookmarkStart w:name="3、共同对外投资的关联交易" w:id="83"/>
      <w:bookmarkEnd w:id="83"/>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、共同对外投资的关联交易</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after="0" w:line="338"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
        <w:rPr>
          <w:rFonts w:ascii="宋体" w:hAnsi="宋体" w:cs="宋体" w:eastAsia="宋体" w:hint="default"/>
          <w:sz w:val="21"/>
          <w:szCs w:val="21"/>
        </w:rPr>
      </w:pPr>
    </w:p>
    <w:p>
      <w:pPr>
        <w:spacing w:before="38"/>
        <w:ind w:left="153" w:right="0" w:firstLine="0"/>
        <w:jc w:val="left"/>
        <w:rPr>
          <w:rFonts w:ascii="宋体" w:hAnsi="宋体" w:cs="宋体" w:eastAsia="宋体" w:hint="default"/>
          <w:sz w:val="20"/>
          <w:szCs w:val="20"/>
        </w:rPr>
      </w:pPr>
      <w:bookmarkStart w:name="4、关联债权债务往来" w:id="84"/>
      <w:bookmarkEnd w:id="84"/>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、关联债权债务往来</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1"/>
          <w:szCs w:val="21"/>
        </w:rPr>
      </w:pPr>
    </w:p>
    <w:p>
      <w:pPr>
        <w:spacing w:before="0"/>
        <w:ind w:left="153" w:right="0" w:firstLine="0"/>
        <w:jc w:val="left"/>
        <w:rPr>
          <w:rFonts w:ascii="宋体" w:hAnsi="宋体" w:cs="宋体" w:eastAsia="宋体" w:hint="default"/>
          <w:sz w:val="20"/>
          <w:szCs w:val="20"/>
        </w:rPr>
      </w:pPr>
      <w:bookmarkStart w:name="5、其他重大关联交易" w:id="85"/>
      <w:bookmarkEnd w:id="85"/>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、其他重大关联交易</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573" w:right="0"/>
        <w:jc w:val="left"/>
      </w:pPr>
      <w:r>
        <w:rPr>
          <w:rFonts w:ascii="宋体" w:hAnsi="宋体" w:cs="宋体" w:eastAsia="宋体" w:hint="default"/>
        </w:rPr>
        <w:t>1</w:t>
      </w:r>
      <w:r>
        <w:rPr/>
        <w:t>、公司</w:t>
      </w:r>
      <w:r>
        <w:rPr>
          <w:spacing w:val="-39"/>
        </w:rPr>
        <w:t> </w:t>
      </w:r>
      <w:r>
        <w:rPr>
          <w:rFonts w:ascii="宋体" w:hAnsi="宋体" w:cs="宋体" w:eastAsia="宋体" w:hint="default"/>
        </w:rPr>
        <w:t>2015</w:t>
      </w:r>
      <w:r>
        <w:rPr>
          <w:rFonts w:ascii="宋体" w:hAnsi="宋体" w:cs="宋体" w:eastAsia="宋体" w:hint="default"/>
          <w:spacing w:val="-39"/>
        </w:rPr>
        <w:t> </w:t>
      </w:r>
      <w:r>
        <w:rPr/>
        <w:t>年</w:t>
      </w:r>
      <w:r>
        <w:rPr>
          <w:spacing w:val="-39"/>
        </w:rPr>
        <w:t> </w:t>
      </w:r>
      <w:r>
        <w:rPr>
          <w:rFonts w:ascii="宋体" w:hAnsi="宋体" w:cs="宋体" w:eastAsia="宋体" w:hint="default"/>
        </w:rPr>
        <w:t>3</w:t>
      </w:r>
      <w:r>
        <w:rPr>
          <w:rFonts w:ascii="宋体" w:hAnsi="宋体" w:cs="宋体" w:eastAsia="宋体" w:hint="default"/>
          <w:spacing w:val="-39"/>
        </w:rPr>
        <w:t> </w:t>
      </w:r>
      <w:r>
        <w:rPr/>
        <w:t>月</w:t>
      </w:r>
      <w:r>
        <w:rPr>
          <w:spacing w:val="-39"/>
        </w:rPr>
        <w:t> </w:t>
      </w:r>
      <w:r>
        <w:rPr>
          <w:rFonts w:ascii="宋体" w:hAnsi="宋体" w:cs="宋体" w:eastAsia="宋体" w:hint="default"/>
        </w:rPr>
        <w:t>30</w:t>
      </w:r>
      <w:r>
        <w:rPr>
          <w:rFonts w:ascii="宋体" w:hAnsi="宋体" w:cs="宋体" w:eastAsia="宋体" w:hint="default"/>
          <w:spacing w:val="-40"/>
        </w:rPr>
        <w:t> </w:t>
      </w:r>
      <w:r>
        <w:rPr/>
        <w:t>日召开的第四届董事会第八次会议审议通过了《关于参股公司温岭市利欧小</w:t>
      </w:r>
    </w:p>
    <w:p>
      <w:pPr>
        <w:spacing w:line="240" w:lineRule="auto" w:before="10"/>
        <w:rPr>
          <w:rFonts w:ascii="宋体" w:hAnsi="宋体" w:cs="宋体" w:eastAsia="宋体" w:hint="default"/>
          <w:sz w:val="14"/>
          <w:szCs w:val="14"/>
        </w:rPr>
      </w:pPr>
    </w:p>
    <w:p>
      <w:pPr>
        <w:pStyle w:val="BodyText"/>
        <w:spacing w:line="240" w:lineRule="auto"/>
        <w:ind w:left="154" w:right="0"/>
        <w:jc w:val="left"/>
      </w:pPr>
      <w:r>
        <w:rPr/>
        <w:t>额贷款有限公司减少注册资本暨关联交易的议案》，温岭市利欧小额贷款有限公司将其注册资本从</w:t>
      </w:r>
      <w:r>
        <w:rPr>
          <w:spacing w:val="-65"/>
        </w:rPr>
        <w:t> </w:t>
      </w:r>
      <w:r>
        <w:rPr>
          <w:rFonts w:ascii="宋体" w:hAnsi="宋体" w:cs="宋体" w:eastAsia="宋体" w:hint="default"/>
        </w:rPr>
        <w:t>2</w:t>
      </w:r>
      <w:r>
        <w:rPr>
          <w:rFonts w:ascii="宋体" w:hAnsi="宋体" w:cs="宋体" w:eastAsia="宋体" w:hint="default"/>
          <w:spacing w:val="-65"/>
        </w:rPr>
        <w:t> </w:t>
      </w:r>
      <w:r>
        <w:rPr/>
        <w:t>亿元</w:t>
      </w:r>
    </w:p>
    <w:p>
      <w:pPr>
        <w:spacing w:line="240" w:lineRule="auto" w:before="10"/>
        <w:rPr>
          <w:rFonts w:ascii="宋体" w:hAnsi="宋体" w:cs="宋体" w:eastAsia="宋体" w:hint="default"/>
          <w:sz w:val="14"/>
          <w:szCs w:val="14"/>
        </w:rPr>
      </w:pPr>
    </w:p>
    <w:p>
      <w:pPr>
        <w:pStyle w:val="BodyText"/>
        <w:spacing w:line="408" w:lineRule="auto"/>
        <w:ind w:right="1119"/>
        <w:jc w:val="left"/>
      </w:pPr>
      <w:r>
        <w:rPr/>
        <w:t>减少为人民币</w:t>
      </w:r>
      <w:r>
        <w:rPr>
          <w:spacing w:val="-59"/>
        </w:rPr>
        <w:t> </w:t>
      </w:r>
      <w:r>
        <w:rPr>
          <w:rFonts w:ascii="宋体" w:hAnsi="宋体" w:cs="宋体" w:eastAsia="宋体" w:hint="default"/>
        </w:rPr>
        <w:t>1</w:t>
      </w:r>
      <w:r>
        <w:rPr>
          <w:rFonts w:ascii="宋体" w:hAnsi="宋体" w:cs="宋体" w:eastAsia="宋体" w:hint="default"/>
          <w:spacing w:val="-59"/>
        </w:rPr>
        <w:t> </w:t>
      </w:r>
      <w:r>
        <w:rPr/>
        <w:t>亿元，各股东同比例减资，其中，本公司减少出资额</w:t>
      </w:r>
      <w:r>
        <w:rPr>
          <w:spacing w:val="-59"/>
        </w:rPr>
        <w:t> </w:t>
      </w:r>
      <w:r>
        <w:rPr>
          <w:rFonts w:ascii="宋体" w:hAnsi="宋体" w:cs="宋体" w:eastAsia="宋体" w:hint="default"/>
        </w:rPr>
        <w:t>3,000</w:t>
      </w:r>
      <w:r>
        <w:rPr>
          <w:rFonts w:ascii="宋体" w:hAnsi="宋体" w:cs="宋体" w:eastAsia="宋体" w:hint="default"/>
          <w:spacing w:val="-59"/>
        </w:rPr>
        <w:t> </w:t>
      </w:r>
      <w:r>
        <w:rPr/>
        <w:t>万元。减资完成后，公司占温</w:t>
      </w:r>
      <w:r>
        <w:rPr>
          <w:spacing w:val="1"/>
        </w:rPr>
        <w:t> </w:t>
      </w:r>
      <w:r>
        <w:rPr/>
        <w:t>岭市利欧小额贷款有限公司的出资比例不变，为</w:t>
      </w:r>
      <w:r>
        <w:rPr>
          <w:spacing w:val="-54"/>
        </w:rPr>
        <w:t> </w:t>
      </w:r>
      <w:r>
        <w:rPr>
          <w:rFonts w:ascii="宋体" w:hAnsi="宋体" w:cs="宋体" w:eastAsia="宋体" w:hint="default"/>
        </w:rPr>
        <w:t>30%</w:t>
      </w:r>
      <w:r>
        <w:rPr/>
        <w:t>，仍为第一大股东。</w:t>
      </w:r>
    </w:p>
    <w:p>
      <w:pPr>
        <w:pStyle w:val="BodyText"/>
        <w:spacing w:line="408" w:lineRule="auto" w:before="46"/>
        <w:ind w:right="1111" w:firstLine="420"/>
        <w:jc w:val="both"/>
      </w:pPr>
      <w:r>
        <w:rPr>
          <w:rFonts w:ascii="宋体" w:hAnsi="宋体" w:cs="宋体" w:eastAsia="宋体" w:hint="default"/>
          <w:spacing w:val="-19"/>
        </w:rPr>
        <w:t>2</w:t>
      </w:r>
      <w:r>
        <w:rPr>
          <w:spacing w:val="-19"/>
        </w:rPr>
        <w:t>、公司</w:t>
      </w:r>
      <w:r>
        <w:rPr>
          <w:spacing w:val="-54"/>
        </w:rPr>
        <w:t> </w:t>
      </w:r>
      <w:r>
        <w:rPr>
          <w:rFonts w:ascii="宋体" w:hAnsi="宋体" w:cs="宋体" w:eastAsia="宋体" w:hint="default"/>
        </w:rPr>
        <w:t>2015</w:t>
      </w:r>
      <w:r>
        <w:rPr>
          <w:rFonts w:ascii="宋体" w:hAnsi="宋体" w:cs="宋体" w:eastAsia="宋体" w:hint="default"/>
          <w:spacing w:val="-2"/>
        </w:rPr>
        <w:t> </w:t>
      </w:r>
      <w:r>
        <w:rPr/>
        <w:t>年</w:t>
      </w:r>
      <w:r>
        <w:rPr>
          <w:spacing w:val="-2"/>
        </w:rPr>
        <w:t> </w:t>
      </w:r>
      <w:r>
        <w:rPr>
          <w:rFonts w:ascii="宋体" w:hAnsi="宋体" w:cs="宋体" w:eastAsia="宋体" w:hint="default"/>
        </w:rPr>
        <w:t>6 </w:t>
      </w:r>
      <w:r>
        <w:rPr/>
        <w:t>月</w:t>
      </w:r>
      <w:r>
        <w:rPr>
          <w:spacing w:val="-2"/>
        </w:rPr>
        <w:t> </w:t>
      </w:r>
      <w:r>
        <w:rPr>
          <w:rFonts w:ascii="宋体" w:hAnsi="宋体" w:cs="宋体" w:eastAsia="宋体" w:hint="default"/>
        </w:rPr>
        <w:t>18</w:t>
      </w:r>
      <w:r>
        <w:rPr>
          <w:rFonts w:ascii="宋体" w:hAnsi="宋体" w:cs="宋体" w:eastAsia="宋体" w:hint="default"/>
          <w:spacing w:val="-1"/>
        </w:rPr>
        <w:t> </w:t>
      </w:r>
      <w:r>
        <w:rPr/>
        <w:t>日召开的第四届董事会第十一次会议和</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日召开的</w:t>
      </w:r>
      <w:r>
        <w:rPr>
          <w:spacing w:val="-54"/>
        </w:rPr>
        <w:t> </w:t>
      </w:r>
      <w:r>
        <w:rPr>
          <w:rFonts w:ascii="宋体" w:hAnsi="宋体" w:cs="宋体" w:eastAsia="宋体" w:hint="default"/>
        </w:rPr>
        <w:t>2015</w:t>
      </w:r>
      <w:r>
        <w:rPr>
          <w:rFonts w:ascii="宋体" w:hAnsi="宋体" w:cs="宋体" w:eastAsia="宋体" w:hint="default"/>
          <w:spacing w:val="-54"/>
        </w:rPr>
        <w:t> </w:t>
      </w:r>
      <w:r>
        <w:rPr/>
        <w:t>年第 </w:t>
      </w:r>
      <w:r>
        <w:rPr>
          <w:spacing w:val="-1"/>
        </w:rPr>
        <w:t>三次临时股东大会审议通过了《关于向控股股东借款暨关联交易的议案》，控股股东、实际控制人王相荣</w:t>
      </w:r>
      <w:r>
        <w:rPr>
          <w:spacing w:val="-86"/>
        </w:rPr>
        <w:t> </w:t>
      </w:r>
      <w:r>
        <w:rPr>
          <w:spacing w:val="-86"/>
        </w:rPr>
      </w:r>
      <w:r>
        <w:rPr/>
        <w:t>先生拟为公司提供不超过人民币</w:t>
      </w:r>
      <w:r>
        <w:rPr>
          <w:spacing w:val="-53"/>
        </w:rPr>
        <w:t> </w:t>
      </w:r>
      <w:r>
        <w:rPr>
          <w:rFonts w:ascii="宋体" w:hAnsi="宋体" w:cs="宋体" w:eastAsia="宋体" w:hint="default"/>
        </w:rPr>
        <w:t>6</w:t>
      </w:r>
      <w:r>
        <w:rPr>
          <w:rFonts w:ascii="宋体" w:hAnsi="宋体" w:cs="宋体" w:eastAsia="宋体" w:hint="default"/>
          <w:spacing w:val="-53"/>
        </w:rPr>
        <w:t> </w:t>
      </w:r>
      <w:r>
        <w:rPr/>
        <w:t>亿元的借款，免收利息，借款期限为三年，用于补充公司的流动资金。 截止本报告期末，王相荣先生实际提供的借款金额为</w:t>
      </w:r>
      <w:r>
        <w:rPr>
          <w:spacing w:val="-52"/>
        </w:rPr>
        <w:t> </w:t>
      </w:r>
      <w:r>
        <w:rPr>
          <w:rFonts w:ascii="宋体" w:hAnsi="宋体" w:cs="宋体" w:eastAsia="宋体" w:hint="default"/>
        </w:rPr>
        <w:t>0</w:t>
      </w:r>
      <w:r>
        <w:rPr/>
        <w:t>。</w:t>
      </w:r>
    </w:p>
    <w:p>
      <w:pPr>
        <w:spacing w:line="240" w:lineRule="auto" w:before="6"/>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关于向控股股东借款暨关联交易的公告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关于参股公司温岭市利欧小额贷款有限公 司减少注册资本暨关联交易的公告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bookmarkStart w:name="1、托管、承包、租赁事项情况" w:id="87"/>
      <w:bookmarkEnd w:id="87"/>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、托管、承包、租赁事项情况</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bookmarkStart w:name="（1）托管情况" w:id="88"/>
      <w:bookmarkEnd w:id="8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）托管情况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1"/>
          <w:szCs w:val="21"/>
        </w:rPr>
      </w:pPr>
    </w:p>
    <w:p>
      <w:pPr>
        <w:spacing w:before="0"/>
        <w:ind w:left="154" w:right="0" w:firstLine="0"/>
        <w:jc w:val="left"/>
        <w:rPr>
          <w:rFonts w:ascii="宋体" w:hAnsi="宋体" w:cs="宋体" w:eastAsia="宋体" w:hint="default"/>
          <w:sz w:val="20"/>
          <w:szCs w:val="20"/>
        </w:rPr>
      </w:pPr>
      <w:bookmarkStart w:name="（2）承包情况" w:id="89"/>
      <w:bookmarkEnd w:id="8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）承包情况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after="0" w:line="3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
        <w:rPr>
          <w:rFonts w:ascii="宋体" w:hAnsi="宋体" w:cs="宋体" w:eastAsia="宋体" w:hint="default"/>
          <w:sz w:val="21"/>
          <w:szCs w:val="21"/>
        </w:rPr>
      </w:pPr>
    </w:p>
    <w:p>
      <w:pPr>
        <w:spacing w:before="38"/>
        <w:ind w:left="153" w:right="0" w:firstLine="0"/>
        <w:jc w:val="left"/>
        <w:rPr>
          <w:rFonts w:ascii="宋体" w:hAnsi="宋体" w:cs="宋体" w:eastAsia="宋体" w:hint="default"/>
          <w:sz w:val="20"/>
          <w:szCs w:val="20"/>
        </w:rPr>
      </w:pPr>
      <w:bookmarkStart w:name="（3）租赁情况" w:id="90"/>
      <w:bookmarkEnd w:id="9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）租赁情况</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1"/>
          <w:szCs w:val="21"/>
        </w:rPr>
      </w:pPr>
    </w:p>
    <w:p>
      <w:pPr>
        <w:spacing w:before="0"/>
        <w:ind w:left="153" w:right="0" w:firstLine="0"/>
        <w:jc w:val="left"/>
        <w:rPr>
          <w:rFonts w:ascii="宋体" w:hAnsi="宋体" w:cs="宋体" w:eastAsia="宋体" w:hint="default"/>
          <w:sz w:val="20"/>
          <w:szCs w:val="20"/>
        </w:rPr>
      </w:pPr>
      <w:bookmarkStart w:name="2、重大担保" w:id="91"/>
      <w:bookmarkEnd w:id="91"/>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、重大担保</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53" w:right="0" w:firstLine="0"/>
        <w:jc w:val="left"/>
        <w:rPr>
          <w:rFonts w:ascii="宋体" w:hAnsi="宋体" w:cs="宋体" w:eastAsia="宋体" w:hint="default"/>
          <w:sz w:val="20"/>
          <w:szCs w:val="20"/>
        </w:rPr>
      </w:pPr>
      <w:bookmarkStart w:name="（1）担保情况" w:id="92"/>
      <w:bookmarkEnd w:id="9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）担保情况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6246"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15"/>
        <w:gridCol w:w="914"/>
        <w:gridCol w:w="937"/>
        <w:gridCol w:w="1536"/>
        <w:gridCol w:w="1081"/>
        <w:gridCol w:w="1035"/>
        <w:gridCol w:w="1054"/>
        <w:gridCol w:w="787"/>
        <w:gridCol w:w="762"/>
      </w:tblGrid>
      <w:tr>
        <w:trPr>
          <w:trHeight w:val="397" w:hRule="exact"/>
        </w:trPr>
        <w:tc>
          <w:tcPr>
            <w:tcW w:w="982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5" w:space="0" w:color="000000"/>
            </w:tcBorders>
            <w:shd w:val="clear" w:color="auto" w:fill="D2D2D2"/>
          </w:tcPr>
          <w:p>
            <w:pPr>
              <w:pStyle w:val="TableParagraph"/>
              <w:spacing w:line="319" w:lineRule="auto" w:before="56"/>
              <w:ind w:left="93" w:right="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5" w:space="0" w:color="000000"/>
              <w:right w:val="single" w:sz="4" w:space="0" w:color="000000"/>
            </w:tcBorders>
            <w:shd w:val="clear" w:color="auto" w:fill="D2D2D2"/>
          </w:tcPr>
          <w:p>
            <w:pPr/>
          </w:p>
        </w:tc>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7" w:type="dxa"/>
            <w:vMerge/>
            <w:tcBorders>
              <w:left w:val="single" w:sz="5" w:space="0" w:color="000000"/>
              <w:bottom w:val="nil" w:sz="6" w:space="0" w:color="auto"/>
              <w:right w:val="single" w:sz="4" w:space="0" w:color="000000"/>
            </w:tcBorders>
            <w:shd w:val="clear" w:color="auto" w:fill="D2D2D2"/>
          </w:tcPr>
          <w:p>
            <w:pPr/>
          </w:p>
        </w:tc>
        <w:tc>
          <w:tcPr>
            <w:tcW w:w="15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10" w:right="45" w:hanging="271"/>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108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53"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4" w:right="1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1" w:right="-1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5" w:space="0" w:color="000000"/>
            </w:tcBorders>
            <w:shd w:val="clear" w:color="auto" w:fill="D2D2D2"/>
          </w:tcPr>
          <w:p>
            <w:pPr/>
          </w:p>
        </w:tc>
        <w:tc>
          <w:tcPr>
            <w:tcW w:w="937"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36" w:type="dxa"/>
            <w:vMerge/>
            <w:tcBorders>
              <w:left w:val="single" w:sz="4" w:space="0" w:color="000000"/>
              <w:right w:val="single" w:sz="4" w:space="0" w:color="000000"/>
            </w:tcBorders>
            <w:shd w:val="clear" w:color="auto" w:fill="D2D2D2"/>
          </w:tcPr>
          <w:p>
            <w:pPr/>
          </w:p>
        </w:tc>
        <w:tc>
          <w:tcPr>
            <w:tcW w:w="1081"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7" w:type="dxa"/>
            <w:vMerge w:val="restart"/>
            <w:tcBorders>
              <w:top w:val="nil" w:sz="6" w:space="0" w:color="auto"/>
              <w:left w:val="single" w:sz="5" w:space="0" w:color="000000"/>
              <w:right w:val="single" w:sz="4" w:space="0" w:color="000000"/>
            </w:tcBorders>
            <w:shd w:val="clear" w:color="auto" w:fill="D2D2D2"/>
          </w:tcPr>
          <w:p>
            <w:pPr/>
          </w:p>
        </w:tc>
        <w:tc>
          <w:tcPr>
            <w:tcW w:w="1536"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5" w:space="0" w:color="000000"/>
            </w:tcBorders>
            <w:shd w:val="clear" w:color="auto" w:fill="D2D2D2"/>
          </w:tcPr>
          <w:p>
            <w:pPr/>
          </w:p>
        </w:tc>
        <w:tc>
          <w:tcPr>
            <w:tcW w:w="937" w:type="dxa"/>
            <w:vMerge/>
            <w:tcBorders>
              <w:left w:val="single" w:sz="5" w:space="0" w:color="000000"/>
              <w:bottom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47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21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7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21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82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FFFFFF"/>
            </w:tcBorders>
            <w:shd w:val="clear" w:color="auto" w:fill="D2D2D2"/>
          </w:tcPr>
          <w:p>
            <w:pPr>
              <w:pStyle w:val="TableParagraph"/>
              <w:spacing w:line="319" w:lineRule="auto" w:before="56"/>
              <w:ind w:left="90"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FFFFFF"/>
              <w:right w:val="single" w:sz="4" w:space="0" w:color="000000"/>
            </w:tcBorders>
            <w:shd w:val="clear" w:color="auto" w:fill="D2D2D2"/>
          </w:tcPr>
          <w:p>
            <w:pPr/>
          </w:p>
        </w:tc>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FFFFFF"/>
            </w:tcBorders>
            <w:shd w:val="clear" w:color="auto" w:fill="D2D2D2"/>
          </w:tcPr>
          <w:p>
            <w:pPr/>
          </w:p>
        </w:tc>
        <w:tc>
          <w:tcPr>
            <w:tcW w:w="937" w:type="dxa"/>
            <w:vMerge/>
            <w:tcBorders>
              <w:left w:val="single" w:sz="4" w:space="0" w:color="FFFFFF"/>
              <w:bottom w:val="nil" w:sz="6" w:space="0" w:color="auto"/>
              <w:right w:val="single" w:sz="4" w:space="0" w:color="000000"/>
            </w:tcBorders>
            <w:shd w:val="clear" w:color="auto" w:fill="D2D2D2"/>
          </w:tcPr>
          <w:p>
            <w:pPr/>
          </w:p>
        </w:tc>
        <w:tc>
          <w:tcPr>
            <w:tcW w:w="15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10" w:right="45" w:hanging="271"/>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108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93"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85" w:right="4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FFFFFF"/>
            </w:tcBorders>
            <w:shd w:val="clear" w:color="auto" w:fill="D2D2D2"/>
          </w:tcPr>
          <w:p>
            <w:pPr/>
          </w:p>
        </w:tc>
        <w:tc>
          <w:tcPr>
            <w:tcW w:w="937"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36" w:type="dxa"/>
            <w:vMerge/>
            <w:tcBorders>
              <w:left w:val="single" w:sz="4" w:space="0" w:color="000000"/>
              <w:right w:val="single" w:sz="4" w:space="0" w:color="000000"/>
            </w:tcBorders>
            <w:shd w:val="clear" w:color="auto" w:fill="D2D2D2"/>
          </w:tcPr>
          <w:p>
            <w:pPr/>
          </w:p>
        </w:tc>
        <w:tc>
          <w:tcPr>
            <w:tcW w:w="1081"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FFFFFF"/>
            </w:tcBorders>
            <w:shd w:val="clear" w:color="auto" w:fill="D2D2D2"/>
          </w:tcPr>
          <w:p>
            <w:pPr/>
          </w:p>
        </w:tc>
        <w:tc>
          <w:tcPr>
            <w:tcW w:w="937" w:type="dxa"/>
            <w:vMerge w:val="restart"/>
            <w:tcBorders>
              <w:top w:val="nil" w:sz="6" w:space="0" w:color="auto"/>
              <w:left w:val="single" w:sz="4" w:space="0" w:color="FFFFFF"/>
              <w:right w:val="single" w:sz="4" w:space="0" w:color="000000"/>
            </w:tcBorders>
            <w:shd w:val="clear" w:color="auto" w:fill="D2D2D2"/>
          </w:tcPr>
          <w:p>
            <w:pPr/>
          </w:p>
        </w:tc>
        <w:tc>
          <w:tcPr>
            <w:tcW w:w="1536"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FFFFFF"/>
            </w:tcBorders>
            <w:shd w:val="clear" w:color="auto" w:fill="D2D2D2"/>
          </w:tcPr>
          <w:p>
            <w:pPr/>
          </w:p>
        </w:tc>
        <w:tc>
          <w:tcPr>
            <w:tcW w:w="937" w:type="dxa"/>
            <w:vMerge/>
            <w:tcBorders>
              <w:left w:val="single" w:sz="4" w:space="0" w:color="FFFFFF"/>
              <w:bottom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4,000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 w:right="11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1,000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 w:right="11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无锡利欧锡泵制造有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4,000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sz w:val="18"/>
              </w:rPr>
              <w:t>2,153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 w:right="11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湖南利欧天鹅工业泵 有限公司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3,000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 w:right="11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湖南利欧天鹅工业泵 有限公司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3,000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sz w:val="18"/>
              </w:rPr>
              <w:t>1,210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 w:right="11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湖南利欧天鹅工业泵 有限公司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5,000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sz w:val="18"/>
              </w:rPr>
              <w:t>2,518.19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 w:right="11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湖南利欧天鹅工业泵 有限公司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6,000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sz w:val="18"/>
              </w:rPr>
              <w:t>347.89</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 w:right="11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浙江大农实业股份有 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3,200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 w:right="11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709"/>
        <w:gridCol w:w="898"/>
        <w:gridCol w:w="936"/>
        <w:gridCol w:w="1549"/>
        <w:gridCol w:w="1030"/>
        <w:gridCol w:w="1058"/>
        <w:gridCol w:w="1064"/>
        <w:gridCol w:w="775"/>
        <w:gridCol w:w="790"/>
      </w:tblGrid>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49,500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2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6,229.08</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49,500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2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6,229.08</w:t>
            </w:r>
          </w:p>
        </w:tc>
      </w:tr>
      <w:tr>
        <w:trPr>
          <w:trHeight w:val="392" w:hRule="exact"/>
        </w:trPr>
        <w:tc>
          <w:tcPr>
            <w:tcW w:w="980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1"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5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13" w:right="55" w:hanging="271"/>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10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5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8"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8"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9" w:type="dxa"/>
            <w:vMerge/>
            <w:tcBorders>
              <w:left w:val="single" w:sz="4" w:space="0" w:color="000000"/>
              <w:right w:val="single" w:sz="4" w:space="0" w:color="000000"/>
            </w:tcBorders>
            <w:shd w:val="clear" w:color="auto" w:fill="D2D2D2"/>
          </w:tcPr>
          <w:p>
            <w:pPr/>
          </w:p>
        </w:tc>
        <w:tc>
          <w:tcPr>
            <w:tcW w:w="1030" w:type="dxa"/>
            <w:vMerge/>
            <w:tcBorders>
              <w:left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5"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8"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1549" w:type="dxa"/>
            <w:vMerge/>
            <w:tcBorders>
              <w:left w:val="single" w:sz="4" w:space="0" w:color="000000"/>
              <w:bottom w:val="nil" w:sz="6" w:space="0" w:color="auto"/>
              <w:right w:val="single" w:sz="4" w:space="0" w:color="000000"/>
            </w:tcBorders>
            <w:shd w:val="clear" w:color="auto" w:fill="D2D2D2"/>
          </w:tcPr>
          <w:p>
            <w:pPr/>
          </w:p>
        </w:tc>
        <w:tc>
          <w:tcPr>
            <w:tcW w:w="1030"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C1</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C2</w:t>
            </w:r>
            <w:r>
              <w:rPr>
                <w:rFonts w:ascii="宋体" w:hAnsi="宋体" w:cs="宋体" w:eastAsia="宋体" w:hint="default"/>
                <w:sz w:val="18"/>
                <w:szCs w:val="18"/>
              </w:rPr>
              <w:t>）</w:t>
            </w:r>
          </w:p>
        </w:tc>
        <w:tc>
          <w:tcPr>
            <w:tcW w:w="262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C3</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C4</w:t>
            </w:r>
            <w:r>
              <w:rPr>
                <w:rFonts w:ascii="宋体" w:hAnsi="宋体" w:cs="宋体" w:eastAsia="宋体" w:hint="default"/>
                <w:sz w:val="18"/>
                <w:szCs w:val="18"/>
              </w:rPr>
              <w:t>）</w:t>
            </w:r>
          </w:p>
        </w:tc>
        <w:tc>
          <w:tcPr>
            <w:tcW w:w="262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392" w:hRule="exact"/>
        </w:trPr>
        <w:tc>
          <w:tcPr>
            <w:tcW w:w="980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49,500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9"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6,229.08</w:t>
            </w: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49,500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6,229.08</w:t>
            </w:r>
          </w:p>
        </w:tc>
      </w:tr>
      <w:tr>
        <w:trPr>
          <w:trHeight w:val="407" w:hRule="exact"/>
        </w:trPr>
        <w:tc>
          <w:tcPr>
            <w:tcW w:w="5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w:t>
            </w:r>
          </w:p>
        </w:tc>
      </w:tr>
      <w:tr>
        <w:trPr>
          <w:trHeight w:val="392" w:hRule="exact"/>
        </w:trPr>
        <w:tc>
          <w:tcPr>
            <w:tcW w:w="980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5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13"/>
              <w:jc w:val="center"/>
              <w:rPr>
                <w:rFonts w:ascii="宋体" w:hAnsi="宋体" w:cs="宋体" w:eastAsia="宋体" w:hint="default"/>
                <w:sz w:val="18"/>
                <w:szCs w:val="18"/>
              </w:rPr>
            </w:pPr>
            <w:r>
              <w:rPr>
                <w:rFonts w:ascii="宋体"/>
                <w:sz w:val="18"/>
              </w:rPr>
              <w:t>0</w:t>
            </w:r>
          </w:p>
        </w:tc>
      </w:tr>
      <w:tr>
        <w:trPr>
          <w:trHeight w:val="714" w:hRule="exact"/>
        </w:trPr>
        <w:tc>
          <w:tcPr>
            <w:tcW w:w="5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 金额（</w:t>
            </w:r>
            <w:r>
              <w:rPr>
                <w:rFonts w:ascii="宋体" w:hAnsi="宋体" w:cs="宋体" w:eastAsia="宋体"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center"/>
              <w:rPr>
                <w:rFonts w:ascii="宋体" w:hAnsi="宋体" w:cs="宋体" w:eastAsia="宋体" w:hint="default"/>
                <w:sz w:val="18"/>
                <w:szCs w:val="18"/>
              </w:rPr>
            </w:pPr>
            <w:r>
              <w:rPr>
                <w:rFonts w:ascii="宋体"/>
                <w:sz w:val="18"/>
              </w:rPr>
              <w:t>0</w:t>
            </w:r>
          </w:p>
        </w:tc>
      </w:tr>
      <w:tr>
        <w:trPr>
          <w:trHeight w:val="402" w:hRule="exact"/>
        </w:trPr>
        <w:tc>
          <w:tcPr>
            <w:tcW w:w="5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3"/>
              <w:jc w:val="center"/>
              <w:rPr>
                <w:rFonts w:ascii="宋体" w:hAnsi="宋体" w:cs="宋体" w:eastAsia="宋体" w:hint="default"/>
                <w:sz w:val="18"/>
                <w:szCs w:val="18"/>
              </w:rPr>
            </w:pPr>
            <w:r>
              <w:rPr>
                <w:rFonts w:ascii="宋体"/>
                <w:sz w:val="18"/>
              </w:rPr>
              <w:t>0</w:t>
            </w:r>
          </w:p>
        </w:tc>
      </w:tr>
      <w:tr>
        <w:trPr>
          <w:trHeight w:val="402" w:hRule="exact"/>
        </w:trPr>
        <w:tc>
          <w:tcPr>
            <w:tcW w:w="5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3"/>
              <w:jc w:val="center"/>
              <w:rPr>
                <w:rFonts w:ascii="宋体" w:hAnsi="宋体" w:cs="宋体" w:eastAsia="宋体" w:hint="default"/>
                <w:sz w:val="18"/>
                <w:szCs w:val="18"/>
              </w:rPr>
            </w:pPr>
            <w:r>
              <w:rPr>
                <w:rFonts w:ascii="宋体"/>
                <w:sz w:val="18"/>
              </w:rPr>
              <w:t>0</w:t>
            </w:r>
          </w:p>
        </w:tc>
      </w:tr>
      <w:tr>
        <w:trPr>
          <w:trHeight w:val="714" w:hRule="exact"/>
        </w:trPr>
        <w:tc>
          <w:tcPr>
            <w:tcW w:w="5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9"/>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 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8" w:right="184"/>
              <w:jc w:val="left"/>
              <w:rPr>
                <w:rFonts w:ascii="宋体" w:hAnsi="宋体" w:cs="宋体" w:eastAsia="宋体" w:hint="default"/>
                <w:sz w:val="18"/>
                <w:szCs w:val="18"/>
              </w:rPr>
            </w:pPr>
            <w:r>
              <w:rPr>
                <w:rFonts w:ascii="宋体" w:hAnsi="宋体" w:cs="宋体" w:eastAsia="宋体" w:hint="default"/>
                <w:sz w:val="18"/>
                <w:szCs w:val="18"/>
              </w:rPr>
              <w:t>截止报告期末，不存在到期未偿还承担连带清偿责任的情 况。</w:t>
            </w:r>
          </w:p>
        </w:tc>
      </w:tr>
      <w:tr>
        <w:trPr>
          <w:trHeight w:val="402" w:hRule="exact"/>
        </w:trPr>
        <w:tc>
          <w:tcPr>
            <w:tcW w:w="5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bookmarkStart w:name="（2）违规对外担保情况" w:id="93"/>
      <w:bookmarkEnd w:id="9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）违规对外担保情况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20"/>
          <w:szCs w:val="20"/>
        </w:rPr>
      </w:pPr>
      <w:bookmarkStart w:name="3、其他重大合同" w:id="94"/>
      <w:bookmarkEnd w:id="94"/>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、其他重大合同</w:t>
      </w:r>
      <w:r>
        <w:rPr>
          <w:rFonts w:ascii="宋体" w:hAnsi="宋体" w:cs="宋体" w:eastAsia="宋体" w:hint="default"/>
          <w:sz w:val="20"/>
          <w:szCs w:val="20"/>
        </w:rPr>
      </w:r>
    </w:p>
    <w:p>
      <w:pPr>
        <w:spacing w:line="240" w:lineRule="auto" w:before="1"/>
        <w:rPr>
          <w:rFonts w:ascii="宋体" w:hAnsi="宋体" w:cs="宋体" w:eastAsia="宋体" w:hint="default"/>
          <w:b/>
          <w:bCs/>
          <w:sz w:val="27"/>
          <w:szCs w:val="27"/>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after="0" w:line="338"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both"/>
        <w:rPr>
          <w:b w:val="0"/>
          <w:bCs w:val="0"/>
        </w:rPr>
      </w:pPr>
      <w:bookmarkStart w:name="十八、其他重大事项的说明" w:id="95"/>
      <w:bookmarkEnd w:id="95"/>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3" w:right="0"/>
        <w:jc w:val="left"/>
      </w:pPr>
      <w:r>
        <w:rPr>
          <w:rFonts w:ascii="宋体" w:hAnsi="宋体" w:cs="宋体" w:eastAsia="宋体" w:hint="default"/>
        </w:rPr>
        <w:t>1</w:t>
      </w:r>
      <w:r>
        <w:rPr/>
        <w:t>、发行股份及支付现金购买资产并募集配套资金事项 </w:t>
      </w:r>
      <w:r>
        <w:rPr>
          <w:spacing w:val="-1"/>
        </w:rPr>
        <w:t>公司拟以发行股份和支付现金相结合的方式，购买迹象信息技术（上海）有限公司、徐佳亮、徐晓峰</w:t>
      </w:r>
    </w:p>
    <w:p>
      <w:pPr>
        <w:pStyle w:val="BodyText"/>
        <w:spacing w:line="408" w:lineRule="auto" w:before="46"/>
        <w:ind w:right="1122"/>
        <w:jc w:val="left"/>
      </w:pPr>
      <w:r>
        <w:rPr/>
        <w:t>合计持有的上海智趣广告有限公司</w:t>
      </w:r>
      <w:r>
        <w:rPr>
          <w:spacing w:val="-60"/>
        </w:rPr>
        <w:t> </w:t>
      </w:r>
      <w:r>
        <w:rPr>
          <w:rFonts w:ascii="宋体" w:hAnsi="宋体" w:cs="宋体" w:eastAsia="宋体" w:hint="default"/>
        </w:rPr>
        <w:t>100%</w:t>
      </w:r>
      <w:r>
        <w:rPr/>
        <w:t>股权，交易价格为</w:t>
      </w:r>
      <w:r>
        <w:rPr>
          <w:spacing w:val="-60"/>
        </w:rPr>
        <w:t> </w:t>
      </w:r>
      <w:r>
        <w:rPr>
          <w:rFonts w:ascii="宋体" w:hAnsi="宋体" w:cs="宋体" w:eastAsia="宋体" w:hint="default"/>
        </w:rPr>
        <w:t>75,400.00</w:t>
      </w:r>
      <w:r>
        <w:rPr>
          <w:rFonts w:ascii="宋体" w:hAnsi="宋体" w:cs="宋体" w:eastAsia="宋体" w:hint="default"/>
          <w:spacing w:val="-59"/>
        </w:rPr>
        <w:t> </w:t>
      </w:r>
      <w:r>
        <w:rPr/>
        <w:t>万元。其中，交易对价的</w:t>
      </w:r>
      <w:r>
        <w:rPr>
          <w:spacing w:val="-60"/>
        </w:rPr>
        <w:t> </w:t>
      </w:r>
      <w:r>
        <w:rPr>
          <w:rFonts w:ascii="宋体" w:hAnsi="宋体" w:cs="宋体" w:eastAsia="宋体" w:hint="default"/>
        </w:rPr>
        <w:t>55%</w:t>
      </w:r>
      <w:r>
        <w:rPr/>
        <w:t>以发行 股份的方式支付，交易对价的</w:t>
      </w:r>
      <w:r>
        <w:rPr>
          <w:spacing w:val="-54"/>
        </w:rPr>
        <w:t> </w:t>
      </w:r>
      <w:r>
        <w:rPr>
          <w:rFonts w:ascii="宋体" w:hAnsi="宋体" w:cs="宋体" w:eastAsia="宋体" w:hint="default"/>
        </w:rPr>
        <w:t>45%</w:t>
      </w:r>
      <w:r>
        <w:rPr/>
        <w:t>以现金方式支付。</w:t>
      </w:r>
    </w:p>
    <w:p>
      <w:pPr>
        <w:pStyle w:val="BodyText"/>
        <w:spacing w:line="240" w:lineRule="auto" w:before="46"/>
        <w:ind w:left="573" w:right="0"/>
        <w:jc w:val="left"/>
      </w:pPr>
      <w:r>
        <w:rPr/>
        <w:t>为支付本次交易中的现金对价和相关发行费用并补充上市公司流动资金，上市公司拟向不超过 </w:t>
      </w:r>
      <w:r>
        <w:rPr>
          <w:rFonts w:ascii="宋体" w:hAnsi="宋体" w:cs="宋体" w:eastAsia="宋体" w:hint="default"/>
        </w:rPr>
        <w:t>10</w:t>
      </w:r>
      <w:r>
        <w:rPr>
          <w:rFonts w:ascii="宋体" w:hAnsi="宋体" w:cs="宋体" w:eastAsia="宋体" w:hint="default"/>
          <w:spacing w:val="-22"/>
        </w:rPr>
        <w:t> </w:t>
      </w:r>
      <w:r>
        <w:rPr/>
        <w:t>名</w:t>
      </w:r>
    </w:p>
    <w:p>
      <w:pPr>
        <w:spacing w:line="240" w:lineRule="auto" w:before="10"/>
        <w:rPr>
          <w:rFonts w:ascii="宋体" w:hAnsi="宋体" w:cs="宋体" w:eastAsia="宋体" w:hint="default"/>
          <w:sz w:val="14"/>
          <w:szCs w:val="14"/>
        </w:rPr>
      </w:pPr>
    </w:p>
    <w:p>
      <w:pPr>
        <w:pStyle w:val="BodyText"/>
        <w:spacing w:line="408" w:lineRule="auto"/>
        <w:ind w:right="1131"/>
        <w:jc w:val="both"/>
      </w:pPr>
      <w:r>
        <w:rPr/>
        <w:t>其他特定投资者发行股份募集配套资金，配套资金总额不超过</w:t>
      </w:r>
      <w:r>
        <w:rPr>
          <w:spacing w:val="-64"/>
        </w:rPr>
        <w:t> </w:t>
      </w:r>
      <w:r>
        <w:rPr>
          <w:rFonts w:ascii="宋体" w:hAnsi="宋体" w:cs="宋体" w:eastAsia="宋体" w:hint="default"/>
        </w:rPr>
        <w:t>72,500.00</w:t>
      </w:r>
      <w:r>
        <w:rPr>
          <w:rFonts w:ascii="宋体" w:hAnsi="宋体" w:cs="宋体" w:eastAsia="宋体" w:hint="default"/>
          <w:spacing w:val="-64"/>
        </w:rPr>
        <w:t> </w:t>
      </w:r>
      <w:r>
        <w:rPr/>
        <w:t>万元，占本次交易拟购买资产交 易总价的</w:t>
      </w:r>
      <w:r>
        <w:rPr>
          <w:spacing w:val="-59"/>
        </w:rPr>
        <w:t> </w:t>
      </w:r>
      <w:r>
        <w:rPr>
          <w:rFonts w:ascii="宋体" w:hAnsi="宋体" w:cs="宋体" w:eastAsia="宋体" w:hint="default"/>
        </w:rPr>
        <w:t>96.15%</w:t>
      </w:r>
      <w:r>
        <w:rPr/>
        <w:t>。其中</w:t>
      </w:r>
      <w:r>
        <w:rPr>
          <w:spacing w:val="-60"/>
        </w:rPr>
        <w:t> </w:t>
      </w:r>
      <w:r>
        <w:rPr>
          <w:rFonts w:ascii="宋体" w:hAnsi="宋体" w:cs="宋体" w:eastAsia="宋体" w:hint="default"/>
        </w:rPr>
        <w:t>33,930.00</w:t>
      </w:r>
      <w:r>
        <w:rPr>
          <w:rFonts w:ascii="宋体" w:hAnsi="宋体" w:cs="宋体" w:eastAsia="宋体" w:hint="default"/>
          <w:spacing w:val="-59"/>
        </w:rPr>
        <w:t> </w:t>
      </w:r>
      <w:r>
        <w:rPr/>
        <w:t>万元用于支付本次交易的现金对价，</w:t>
      </w:r>
      <w:r>
        <w:rPr>
          <w:rFonts w:ascii="宋体" w:hAnsi="宋体" w:cs="宋体" w:eastAsia="宋体" w:hint="default"/>
        </w:rPr>
        <w:t>36,170.00</w:t>
      </w:r>
      <w:r>
        <w:rPr>
          <w:rFonts w:ascii="宋体" w:hAnsi="宋体" w:cs="宋体" w:eastAsia="宋体" w:hint="default"/>
          <w:spacing w:val="-59"/>
        </w:rPr>
        <w:t> </w:t>
      </w:r>
      <w:r>
        <w:rPr/>
        <w:t>万元用于补充上市公司 流动资金，募集配套资金用于补充公司流动资金的比例为</w:t>
      </w:r>
      <w:r>
        <w:rPr>
          <w:spacing w:val="-58"/>
        </w:rPr>
        <w:t> </w:t>
      </w:r>
      <w:r>
        <w:rPr>
          <w:rFonts w:ascii="宋体" w:hAnsi="宋体" w:cs="宋体" w:eastAsia="宋体" w:hint="default"/>
          <w:spacing w:val="-3"/>
        </w:rPr>
        <w:t>49.89%</w:t>
      </w:r>
      <w:r>
        <w:rPr>
          <w:spacing w:val="-3"/>
        </w:rPr>
        <w:t>，其余</w:t>
      </w:r>
      <w:r>
        <w:rPr>
          <w:spacing w:val="-59"/>
        </w:rPr>
        <w:t> </w:t>
      </w:r>
      <w:r>
        <w:rPr>
          <w:rFonts w:ascii="宋体" w:hAnsi="宋体" w:cs="宋体" w:eastAsia="宋体" w:hint="default"/>
        </w:rPr>
        <w:t>2,400</w:t>
      </w:r>
      <w:r>
        <w:rPr>
          <w:rFonts w:ascii="宋体" w:hAnsi="宋体" w:cs="宋体" w:eastAsia="宋体" w:hint="default"/>
          <w:spacing w:val="-58"/>
        </w:rPr>
        <w:t> </w:t>
      </w:r>
      <w:r>
        <w:rPr>
          <w:spacing w:val="-3"/>
        </w:rPr>
        <w:t>万元为发行费用。本次非公</w:t>
      </w:r>
      <w:r>
        <w:rPr/>
        <w:t> </w:t>
      </w:r>
      <w:r>
        <w:rPr>
          <w:spacing w:val="-1"/>
        </w:rPr>
        <w:t>开发行股份募集配套资金以发行股份及支付现金购买资产为前提条件，但非公开发行股份募集配套资金成</w:t>
      </w:r>
      <w:r>
        <w:rPr>
          <w:spacing w:val="-81"/>
        </w:rPr>
        <w:t> </w:t>
      </w:r>
      <w:r>
        <w:rPr>
          <w:spacing w:val="-81"/>
        </w:rPr>
      </w:r>
      <w:r>
        <w:rPr/>
        <w:t>功与否并不影响本次发行股份及支付现金购买资产的实施。</w:t>
      </w:r>
    </w:p>
    <w:p>
      <w:pPr>
        <w:pStyle w:val="BodyText"/>
        <w:spacing w:line="408" w:lineRule="auto" w:before="46"/>
        <w:ind w:left="154" w:right="1131" w:firstLine="420"/>
        <w:jc w:val="both"/>
      </w:pPr>
      <w:r>
        <w:rPr/>
        <w:t>上述事项已经公司于</w:t>
      </w:r>
      <w:r>
        <w:rPr>
          <w:spacing w:val="-43"/>
        </w:rPr>
        <w:t> </w:t>
      </w:r>
      <w:r>
        <w:rPr>
          <w:rFonts w:ascii="宋体" w:hAnsi="宋体" w:cs="宋体" w:eastAsia="宋体" w:hint="default"/>
        </w:rPr>
        <w:t>2016</w:t>
      </w:r>
      <w:r>
        <w:rPr>
          <w:rFonts w:ascii="宋体" w:hAnsi="宋体" w:cs="宋体" w:eastAsia="宋体" w:hint="default"/>
          <w:spacing w:val="-43"/>
        </w:rPr>
        <w:t> </w:t>
      </w:r>
      <w:r>
        <w:rPr/>
        <w:t>年</w:t>
      </w:r>
      <w:r>
        <w:rPr>
          <w:spacing w:val="-43"/>
        </w:rPr>
        <w:t> </w:t>
      </w:r>
      <w:r>
        <w:rPr>
          <w:rFonts w:ascii="宋体" w:hAnsi="宋体" w:cs="宋体" w:eastAsia="宋体" w:hint="default"/>
        </w:rPr>
        <w:t>2</w:t>
      </w:r>
      <w:r>
        <w:rPr>
          <w:rFonts w:ascii="宋体" w:hAnsi="宋体" w:cs="宋体" w:eastAsia="宋体" w:hint="default"/>
          <w:spacing w:val="-42"/>
        </w:rPr>
        <w:t> </w:t>
      </w:r>
      <w:r>
        <w:rPr/>
        <w:t>月</w:t>
      </w:r>
      <w:r>
        <w:rPr>
          <w:spacing w:val="-43"/>
        </w:rPr>
        <w:t> </w:t>
      </w:r>
      <w:r>
        <w:rPr>
          <w:rFonts w:ascii="宋体" w:hAnsi="宋体" w:cs="宋体" w:eastAsia="宋体" w:hint="default"/>
        </w:rPr>
        <w:t>16</w:t>
      </w:r>
      <w:r>
        <w:rPr>
          <w:rFonts w:ascii="宋体" w:hAnsi="宋体" w:cs="宋体" w:eastAsia="宋体" w:hint="default"/>
          <w:spacing w:val="-42"/>
        </w:rPr>
        <w:t> </w:t>
      </w:r>
      <w:r>
        <w:rPr/>
        <w:t>日召开的</w:t>
      </w:r>
      <w:r>
        <w:rPr>
          <w:spacing w:val="-43"/>
        </w:rPr>
        <w:t> </w:t>
      </w:r>
      <w:r>
        <w:rPr>
          <w:rFonts w:ascii="宋体" w:hAnsi="宋体" w:cs="宋体" w:eastAsia="宋体" w:hint="default"/>
        </w:rPr>
        <w:t>2016</w:t>
      </w:r>
      <w:r>
        <w:rPr>
          <w:rFonts w:ascii="宋体" w:hAnsi="宋体" w:cs="宋体" w:eastAsia="宋体" w:hint="default"/>
          <w:spacing w:val="-43"/>
        </w:rPr>
        <w:t> </w:t>
      </w:r>
      <w:r>
        <w:rPr/>
        <w:t>年第二次临时股东大会审议批准，尚需提交中国 证监会审批。</w:t>
      </w:r>
    </w:p>
    <w:p>
      <w:pPr>
        <w:spacing w:line="240" w:lineRule="auto" w:before="11"/>
        <w:rPr>
          <w:rFonts w:ascii="宋体" w:hAnsi="宋体" w:cs="宋体" w:eastAsia="宋体" w:hint="default"/>
          <w:sz w:val="18"/>
          <w:szCs w:val="18"/>
        </w:rPr>
      </w:pPr>
    </w:p>
    <w:p>
      <w:pPr>
        <w:pStyle w:val="Heading2"/>
        <w:spacing w:line="240" w:lineRule="auto"/>
        <w:ind w:left="154" w:right="0"/>
        <w:jc w:val="both"/>
        <w:rPr>
          <w:b w:val="0"/>
          <w:bCs w:val="0"/>
        </w:rPr>
      </w:pPr>
      <w:bookmarkStart w:name="十九、公司子公司重大事项" w:id="96"/>
      <w:bookmarkEnd w:id="96"/>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573" w:right="0"/>
        <w:jc w:val="left"/>
      </w:pPr>
      <w:r>
        <w:rPr>
          <w:rFonts w:ascii="宋体" w:hAnsi="宋体" w:cs="宋体" w:eastAsia="宋体" w:hint="default"/>
        </w:rPr>
        <w:t>1</w:t>
      </w:r>
      <w:r>
        <w:rPr/>
        <w:t>、控股子公司大农实业在全国中小企业股份转让系统挂牌事项</w:t>
      </w:r>
    </w:p>
    <w:p>
      <w:pPr>
        <w:spacing w:line="240" w:lineRule="auto" w:before="10"/>
        <w:rPr>
          <w:rFonts w:ascii="宋体" w:hAnsi="宋体" w:cs="宋体" w:eastAsia="宋体" w:hint="default"/>
          <w:sz w:val="14"/>
          <w:szCs w:val="14"/>
        </w:rPr>
      </w:pPr>
    </w:p>
    <w:p>
      <w:pPr>
        <w:pStyle w:val="BodyText"/>
        <w:spacing w:line="408" w:lineRule="auto"/>
        <w:ind w:right="1131" w:firstLine="420"/>
        <w:jc w:val="both"/>
      </w:pP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22</w:t>
      </w:r>
      <w:r>
        <w:rPr>
          <w:rFonts w:ascii="宋体" w:hAnsi="宋体" w:cs="宋体" w:eastAsia="宋体" w:hint="default"/>
          <w:spacing w:val="-51"/>
        </w:rPr>
        <w:t> </w:t>
      </w:r>
      <w:r>
        <w:rPr/>
        <w:t>日召开公司第四届董事会第三次会议和</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1"/>
        </w:rPr>
        <w:t> </w:t>
      </w:r>
      <w:r>
        <w:rPr>
          <w:rFonts w:ascii="宋体" w:hAnsi="宋体" w:cs="宋体" w:eastAsia="宋体" w:hint="default"/>
        </w:rPr>
        <w:t>8</w:t>
      </w:r>
      <w:r>
        <w:rPr>
          <w:rFonts w:ascii="宋体" w:hAnsi="宋体" w:cs="宋体" w:eastAsia="宋体" w:hint="default"/>
          <w:spacing w:val="-51"/>
        </w:rPr>
        <w:t> </w:t>
      </w:r>
      <w:r>
        <w:rPr/>
        <w:t>月</w:t>
      </w:r>
      <w:r>
        <w:rPr>
          <w:spacing w:val="-52"/>
        </w:rPr>
        <w:t> </w:t>
      </w:r>
      <w:r>
        <w:rPr>
          <w:rFonts w:ascii="宋体" w:hAnsi="宋体" w:cs="宋体" w:eastAsia="宋体" w:hint="default"/>
        </w:rPr>
        <w:t>8</w:t>
      </w:r>
      <w:r>
        <w:rPr>
          <w:rFonts w:ascii="宋体" w:hAnsi="宋体" w:cs="宋体" w:eastAsia="宋体" w:hint="default"/>
          <w:spacing w:val="-52"/>
        </w:rPr>
        <w:t> </w:t>
      </w:r>
      <w:r>
        <w:rPr/>
        <w:t>日</w:t>
      </w:r>
      <w:r>
        <w:rPr>
          <w:spacing w:val="-51"/>
        </w:rPr>
        <w:t> </w:t>
      </w:r>
      <w:r>
        <w:rPr>
          <w:rFonts w:ascii="宋体" w:hAnsi="宋体" w:cs="宋体" w:eastAsia="宋体" w:hint="default"/>
        </w:rPr>
        <w:t>2014</w:t>
      </w:r>
      <w:r>
        <w:rPr>
          <w:rFonts w:ascii="宋体" w:hAnsi="宋体" w:cs="宋体" w:eastAsia="宋体" w:hint="default"/>
          <w:spacing w:val="-51"/>
        </w:rPr>
        <w:t> </w:t>
      </w:r>
      <w:r>
        <w:rPr/>
        <w:t>年第七次临时股东大会 </w:t>
      </w:r>
      <w:r>
        <w:rPr>
          <w:spacing w:val="3"/>
        </w:rPr>
        <w:t>审议通过了《关于控股子公司浙江大农实业有限公司改制设立股份有限公司及拟申请在新三板挂牌的议</w:t>
      </w:r>
      <w:r>
        <w:rPr>
          <w:spacing w:val="-75"/>
        </w:rPr>
        <w:t> </w:t>
      </w:r>
      <w:r>
        <w:rPr>
          <w:spacing w:val="-75"/>
        </w:rPr>
      </w:r>
      <w:r>
        <w:rPr>
          <w:spacing w:val="-1"/>
        </w:rPr>
        <w:t>案》，公司控股子公司浙江大农实业有限公司改制设立股份有限公司，并申请在全国中小企业股份转让系</w:t>
      </w:r>
      <w:r>
        <w:rPr>
          <w:spacing w:val="-83"/>
        </w:rPr>
        <w:t> </w:t>
      </w:r>
      <w:r>
        <w:rPr>
          <w:spacing w:val="-83"/>
        </w:rPr>
      </w:r>
      <w:r>
        <w:rPr/>
        <w:t>统挂牌。</w:t>
      </w:r>
    </w:p>
    <w:p>
      <w:pPr>
        <w:pStyle w:val="BodyText"/>
        <w:spacing w:line="408" w:lineRule="auto" w:before="46"/>
        <w:ind w:right="1131" w:firstLine="420"/>
        <w:jc w:val="both"/>
      </w:pPr>
      <w:r>
        <w:rPr>
          <w:rFonts w:ascii="宋体" w:hAnsi="宋体" w:cs="宋体" w:eastAsia="宋体" w:hint="default"/>
        </w:rPr>
        <w:t>2015</w:t>
      </w:r>
      <w:r>
        <w:rPr>
          <w:rFonts w:ascii="宋体" w:hAnsi="宋体" w:cs="宋体" w:eastAsia="宋体" w:hint="default"/>
          <w:spacing w:val="-77"/>
        </w:rPr>
        <w:t> </w:t>
      </w:r>
      <w:r>
        <w:rPr/>
        <w:t>年</w:t>
      </w:r>
      <w:r>
        <w:rPr>
          <w:spacing w:val="-77"/>
        </w:rPr>
        <w:t> </w:t>
      </w:r>
      <w:r>
        <w:rPr>
          <w:rFonts w:ascii="宋体" w:hAnsi="宋体" w:cs="宋体" w:eastAsia="宋体" w:hint="default"/>
        </w:rPr>
        <w:t>1</w:t>
      </w:r>
      <w:r>
        <w:rPr>
          <w:rFonts w:ascii="宋体" w:hAnsi="宋体" w:cs="宋体" w:eastAsia="宋体" w:hint="default"/>
          <w:spacing w:val="-77"/>
        </w:rPr>
        <w:t> </w:t>
      </w:r>
      <w:r>
        <w:rPr/>
        <w:t>月，大农实业收到全国中小企业股份转让系统有限责任公司《关于同意浙江大农实业股份有 限公司股票在全国中小企业股份转让系统挂牌的函》（股转系统函【</w:t>
      </w:r>
      <w:r>
        <w:rPr>
          <w:rFonts w:ascii="宋体" w:hAnsi="宋体" w:cs="宋体" w:eastAsia="宋体" w:hint="default"/>
        </w:rPr>
        <w:t>2015</w:t>
      </w:r>
      <w:r>
        <w:rPr/>
        <w:t>】</w:t>
      </w:r>
      <w:r>
        <w:rPr>
          <w:rFonts w:ascii="宋体" w:hAnsi="宋体" w:cs="宋体" w:eastAsia="宋体" w:hint="default"/>
        </w:rPr>
        <w:t>81</w:t>
      </w:r>
      <w:r>
        <w:rPr>
          <w:rFonts w:ascii="宋体" w:hAnsi="宋体" w:cs="宋体" w:eastAsia="宋体" w:hint="default"/>
          <w:spacing w:val="-55"/>
        </w:rPr>
        <w:t> </w:t>
      </w:r>
      <w:r>
        <w:rPr/>
        <w:t>号）。</w:t>
      </w:r>
    </w:p>
    <w:p>
      <w:pPr>
        <w:pStyle w:val="BodyText"/>
        <w:spacing w:line="240" w:lineRule="auto" w:before="46"/>
        <w:ind w:left="574" w:right="0"/>
        <w:jc w:val="left"/>
      </w:pP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日大农实业正式挂牌，证券简称为“浙江大农”，证券代码为“</w:t>
      </w:r>
      <w:r>
        <w:rPr>
          <w:rFonts w:ascii="宋体" w:hAnsi="宋体" w:cs="宋体" w:eastAsia="宋体" w:hint="default"/>
        </w:rPr>
        <w:t>831855</w:t>
      </w:r>
      <w:r>
        <w:rPr/>
        <w:t>”。</w:t>
      </w:r>
    </w:p>
    <w:p>
      <w:pPr>
        <w:spacing w:line="240" w:lineRule="auto" w:before="10"/>
        <w:rPr>
          <w:rFonts w:ascii="宋体" w:hAnsi="宋体" w:cs="宋体" w:eastAsia="宋体" w:hint="default"/>
          <w:sz w:val="14"/>
          <w:szCs w:val="14"/>
        </w:rPr>
      </w:pPr>
    </w:p>
    <w:p>
      <w:pPr>
        <w:pStyle w:val="BodyText"/>
        <w:spacing w:line="408" w:lineRule="auto"/>
        <w:ind w:left="573" w:right="1122"/>
        <w:jc w:val="left"/>
      </w:pPr>
      <w:r>
        <w:rPr>
          <w:rFonts w:ascii="宋体" w:hAnsi="宋体" w:cs="宋体" w:eastAsia="宋体" w:hint="default"/>
        </w:rPr>
        <w:t>2</w:t>
      </w:r>
      <w:r>
        <w:rPr/>
        <w:t>、湖南利欧天鹅工业泵有限公司吸收合并湖南利欧泵业有限公司事项 为了实现工业泵湖南基地内部资源的有效整合，实现集约高效的管理目标，</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8</w:t>
      </w:r>
      <w:r>
        <w:rPr>
          <w:rFonts w:ascii="宋体" w:hAnsi="宋体" w:cs="宋体" w:eastAsia="宋体" w:hint="default"/>
          <w:spacing w:val="-47"/>
        </w:rPr>
        <w:t> </w:t>
      </w:r>
      <w:r>
        <w:rPr/>
        <w:t>日，公司</w:t>
      </w:r>
    </w:p>
    <w:p>
      <w:pPr>
        <w:pStyle w:val="BodyText"/>
        <w:spacing w:line="408" w:lineRule="auto" w:before="46"/>
        <w:ind w:right="1100"/>
        <w:jc w:val="left"/>
      </w:pPr>
      <w:r>
        <w:rPr>
          <w:spacing w:val="-1"/>
        </w:rPr>
        <w:t>召开第四届董事会第十六次会议审议通过了《关于全资子公司之间吸收合并的议案》，湖南利欧天鹅工业</w:t>
      </w:r>
      <w:r>
        <w:rPr>
          <w:spacing w:val="-83"/>
        </w:rPr>
        <w:t> </w:t>
      </w:r>
      <w:r>
        <w:rPr>
          <w:spacing w:val="-83"/>
        </w:rPr>
      </w:r>
      <w:r>
        <w:rPr/>
        <w:t>泵有限公司吸收合并湖南利欧泵业有限公司。具体内容详见公司</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9</w:t>
      </w:r>
      <w:r>
        <w:rPr>
          <w:rFonts w:ascii="宋体" w:hAnsi="宋体" w:cs="宋体" w:eastAsia="宋体" w:hint="default"/>
          <w:spacing w:val="-53"/>
        </w:rPr>
        <w:t> </w:t>
      </w:r>
      <w:r>
        <w:rPr/>
        <w:t>日刊登在《证券时报》、</w:t>
      </w:r>
    </w:p>
    <w:p>
      <w:pPr>
        <w:pStyle w:val="BodyText"/>
        <w:spacing w:line="240" w:lineRule="auto" w:before="46"/>
        <w:ind w:right="0"/>
        <w:jc w:val="both"/>
      </w:pPr>
      <w:r>
        <w:rPr/>
        <w:t>《上海证券报》、《中国证券报》、《证券日报》和巨潮资讯网上的《关于全资子公司之间吸收合并的公</w:t>
      </w:r>
    </w:p>
    <w:p>
      <w:pPr>
        <w:spacing w:after="0" w:line="240" w:lineRule="auto"/>
        <w:jc w:val="both"/>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告》（公告编号：</w:t>
      </w:r>
      <w:r>
        <w:rPr>
          <w:rFonts w:ascii="宋体" w:hAnsi="宋体" w:cs="宋体" w:eastAsia="宋体" w:hint="default"/>
        </w:rPr>
        <w:t>2015-126</w:t>
      </w:r>
      <w:r>
        <w:rPr/>
        <w:t>）。</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二十、社会责任情况" w:id="97"/>
      <w:bookmarkEnd w:id="97"/>
      <w:r>
        <w:rPr>
          <w:b w:val="0"/>
          <w:bCs w:val="0"/>
        </w:rPr>
      </w:r>
      <w:r>
        <w:rPr/>
        <w:t>二十、社会责任情况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31" w:firstLine="420"/>
        <w:jc w:val="both"/>
      </w:pPr>
      <w:r>
        <w:rPr>
          <w:spacing w:val="-1"/>
        </w:rPr>
        <w:t>利欧股份作为一家上市的社会公众公司，在追求企业最佳经济效益同时，积极承担社会责任。公司以</w:t>
      </w:r>
      <w:r>
        <w:rPr/>
        <w:t> </w:t>
      </w:r>
      <w:r>
        <w:rPr>
          <w:spacing w:val="-1"/>
        </w:rPr>
        <w:t>“为所有利益相关者创造价值”为企业使命，切实履行对股东、客户、供应商、员工等利益相关者的社会</w:t>
      </w:r>
      <w:r>
        <w:rPr>
          <w:spacing w:val="-84"/>
        </w:rPr>
        <w:t> </w:t>
      </w:r>
      <w:r>
        <w:rPr>
          <w:spacing w:val="-84"/>
        </w:rPr>
      </w:r>
      <w:r>
        <w:rPr/>
        <w:t>责任，实现公司与社会的全面、协调、可持续发展。</w:t>
      </w:r>
    </w:p>
    <w:p>
      <w:pPr>
        <w:pStyle w:val="BodyText"/>
        <w:spacing w:line="408" w:lineRule="auto" w:before="46"/>
        <w:ind w:left="154" w:right="0" w:firstLine="526"/>
        <w:jc w:val="left"/>
      </w:pPr>
      <w:r>
        <w:rPr>
          <w:spacing w:val="-1"/>
        </w:rPr>
        <w:t>公司根据《公司法》、《证券法》、《上市公司治理准则》等法律法规，建立健全了法人治理结构，</w:t>
      </w:r>
      <w:r>
        <w:rPr/>
        <w:t> 严格按照三会议事规则运作。公司严格按照相关规定履行信息披露义务，确保信息披露的真实、准确、及 时、完整和公平。重视投资者关系管理，建立多层次、多渠道的投资者沟通机制。公司在创造经济效益的 同时，制定合理的利润分配政策，积极回报股东。</w:t>
      </w:r>
    </w:p>
    <w:p>
      <w:pPr>
        <w:pStyle w:val="BodyText"/>
        <w:spacing w:line="408" w:lineRule="auto" w:before="46"/>
        <w:ind w:right="0" w:firstLine="526"/>
        <w:jc w:val="left"/>
      </w:pPr>
      <w:r>
        <w:rPr/>
        <w:t>员工是公司最宝贵的财富。公司购置丰富的网络教学资源，不断提升员工的个人价值，还关注员工 的身心健康，定期组织员工体检，关注员工家庭幸福，建立感恩基金和员工子女助学基金。</w:t>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154" w:right="0"/>
        <w:jc w:val="left"/>
        <w:rPr>
          <w:b w:val="0"/>
          <w:bCs w:val="0"/>
        </w:rPr>
      </w:pPr>
      <w:bookmarkStart w:name="二十一、公司债券相关情况" w:id="98"/>
      <w:bookmarkEnd w:id="98"/>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725" w:right="621"/>
        <w:jc w:val="left"/>
        <w:rPr>
          <w:b w:val="0"/>
          <w:bCs w:val="0"/>
        </w:rPr>
      </w:pPr>
      <w:bookmarkStart w:name="第六节 股份变动及股东情况" w:id="99"/>
      <w:bookmarkEnd w:id="99"/>
      <w:r>
        <w:rPr>
          <w:b w:val="0"/>
          <w:bCs w:val="0"/>
        </w:rPr>
      </w:r>
      <w:bookmarkStart w:name="_bookmark5" w:id="100"/>
      <w:bookmarkEnd w:id="10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913" w:right="621"/>
        <w:jc w:val="left"/>
        <w:rPr>
          <w:b w:val="0"/>
          <w:bCs w:val="0"/>
        </w:rPr>
      </w:pPr>
      <w:bookmarkStart w:name="一、股份变动情况" w:id="101"/>
      <w:bookmarkEnd w:id="101"/>
      <w:r>
        <w:rPr>
          <w:b w:val="0"/>
          <w:bCs w:val="0"/>
        </w:rPr>
      </w:r>
      <w:r>
        <w:rPr/>
        <w:t>一、股份变动情况</w:t>
      </w:r>
      <w:r>
        <w:rPr>
          <w:b w:val="0"/>
          <w:bCs w:val="0"/>
        </w:rPr>
      </w:r>
    </w:p>
    <w:p>
      <w:pPr>
        <w:spacing w:line="240" w:lineRule="auto" w:before="4"/>
        <w:rPr>
          <w:rFonts w:ascii="宋体" w:hAnsi="宋体" w:cs="宋体" w:eastAsia="宋体" w:hint="default"/>
          <w:b/>
          <w:bCs/>
          <w:sz w:val="25"/>
          <w:szCs w:val="25"/>
        </w:rPr>
      </w:pPr>
    </w:p>
    <w:p>
      <w:pPr>
        <w:spacing w:before="0"/>
        <w:ind w:left="913" w:right="621" w:firstLine="0"/>
        <w:jc w:val="left"/>
        <w:rPr>
          <w:rFonts w:ascii="宋体" w:hAnsi="宋体" w:cs="宋体" w:eastAsia="宋体" w:hint="default"/>
          <w:sz w:val="20"/>
          <w:szCs w:val="20"/>
        </w:rPr>
      </w:pPr>
      <w:bookmarkStart w:name="1、股份变动情况" w:id="102"/>
      <w:bookmarkEnd w:id="102"/>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、股份变动情况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204"/>
        <w:gridCol w:w="1147"/>
        <w:gridCol w:w="823"/>
        <w:gridCol w:w="1052"/>
        <w:gridCol w:w="596"/>
        <w:gridCol w:w="1050"/>
        <w:gridCol w:w="1050"/>
        <w:gridCol w:w="1255"/>
        <w:gridCol w:w="1272"/>
        <w:gridCol w:w="795"/>
      </w:tblGrid>
      <w:tr>
        <w:trPr>
          <w:trHeight w:val="205"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00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50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970" w:type="dxa"/>
            <w:gridSpan w:val="2"/>
            <w:vMerge/>
            <w:tcBorders>
              <w:left w:val="single" w:sz="4" w:space="0" w:color="000000"/>
              <w:bottom w:val="single" w:sz="4" w:space="0" w:color="000000"/>
              <w:right w:val="single" w:sz="4" w:space="0" w:color="000000"/>
            </w:tcBorders>
            <w:shd w:val="clear" w:color="auto" w:fill="D2D2D2"/>
          </w:tcPr>
          <w:p>
            <w:pPr/>
          </w:p>
        </w:tc>
        <w:tc>
          <w:tcPr>
            <w:tcW w:w="5004" w:type="dxa"/>
            <w:gridSpan w:val="5"/>
            <w:vMerge/>
            <w:tcBorders>
              <w:left w:val="single" w:sz="4" w:space="0" w:color="000000"/>
              <w:bottom w:val="single" w:sz="4" w:space="0" w:color="000000"/>
              <w:right w:val="single" w:sz="4" w:space="0" w:color="000000"/>
            </w:tcBorders>
            <w:shd w:val="clear" w:color="auto" w:fill="D2D2D2"/>
          </w:tcPr>
          <w:p>
            <w:pPr/>
          </w:p>
        </w:tc>
        <w:tc>
          <w:tcPr>
            <w:tcW w:w="206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596" w:type="dxa"/>
            <w:vMerge/>
            <w:tcBorders>
              <w:left w:val="single" w:sz="4" w:space="0" w:color="000000"/>
              <w:bottom w:val="single" w:sz="4" w:space="0" w:color="000000"/>
              <w:right w:val="single" w:sz="4" w:space="0" w:color="000000"/>
            </w:tcBorders>
            <w:shd w:val="clear" w:color="auto" w:fill="D2D2D2"/>
          </w:tcPr>
          <w:p>
            <w:pPr/>
          </w:p>
        </w:tc>
        <w:tc>
          <w:tcPr>
            <w:tcW w:w="1050" w:type="dxa"/>
            <w:vMerge/>
            <w:tcBorders>
              <w:left w:val="single" w:sz="4" w:space="0" w:color="000000"/>
              <w:bottom w:val="single" w:sz="4" w:space="0" w:color="000000"/>
              <w:right w:val="single" w:sz="4" w:space="0" w:color="000000"/>
            </w:tcBorders>
            <w:shd w:val="clear" w:color="auto" w:fill="D2D2D2"/>
          </w:tcPr>
          <w:p>
            <w:pPr/>
          </w:p>
        </w:tc>
        <w:tc>
          <w:tcPr>
            <w:tcW w:w="1050" w:type="dxa"/>
            <w:vMerge/>
            <w:tcBorders>
              <w:left w:val="single" w:sz="4" w:space="0" w:color="000000"/>
              <w:bottom w:val="single" w:sz="4" w:space="0" w:color="000000"/>
              <w:right w:val="single" w:sz="4" w:space="0" w:color="000000"/>
            </w:tcBorders>
            <w:shd w:val="clear" w:color="auto" w:fill="D2D2D2"/>
          </w:tcPr>
          <w:p>
            <w:pPr/>
          </w:p>
        </w:tc>
        <w:tc>
          <w:tcPr>
            <w:tcW w:w="1255" w:type="dxa"/>
            <w:vMerge/>
            <w:tcBorders>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205,769,172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52.57%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335,154,299</w:t>
            </w:r>
          </w:p>
        </w:tc>
        <w:tc>
          <w:tcPr>
            <w:tcW w:w="59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370,585,614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-32,628,006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673,111,907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878,881,079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58.23%</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5,019,685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11,312,217</w:t>
            </w:r>
          </w:p>
        </w:tc>
        <w:tc>
          <w:tcPr>
            <w:tcW w:w="59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10,039,370</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21,351,587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26,371,272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200,749,487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323,842,082</w:t>
            </w:r>
          </w:p>
        </w:tc>
        <w:tc>
          <w:tcPr>
            <w:tcW w:w="59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360,546,244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-32,628,006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651,760,320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852,509,807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35.28%</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20,458,047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115,409,936</w:t>
            </w:r>
          </w:p>
        </w:tc>
        <w:tc>
          <w:tcPr>
            <w:tcW w:w="59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36,233,386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-2,341,354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149,301,968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169,760,015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180,291,440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208,432,146</w:t>
            </w:r>
          </w:p>
        </w:tc>
        <w:tc>
          <w:tcPr>
            <w:tcW w:w="59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324,312,858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-30,286,652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502,458,352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682,749,792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24.04%</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185,655,278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47.43%</w:t>
            </w:r>
          </w:p>
        </w:tc>
        <w:tc>
          <w:tcPr>
            <w:tcW w:w="1052"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412,263,286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32,628,006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444,891,292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630,546,570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41.77%</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185,655,278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47.43%</w:t>
            </w:r>
          </w:p>
        </w:tc>
        <w:tc>
          <w:tcPr>
            <w:tcW w:w="1052"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412,263,286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32,628,006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444,891,292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630,546,570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41.77%</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391,424,450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335,154,299</w:t>
            </w:r>
          </w:p>
        </w:tc>
        <w:tc>
          <w:tcPr>
            <w:tcW w:w="59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782,848,900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1,118,003,199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1,509,427,649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bl>
    <w:p>
      <w:pPr>
        <w:spacing w:before="51"/>
        <w:ind w:left="914" w:right="0" w:firstLine="0"/>
        <w:jc w:val="both"/>
        <w:rPr>
          <w:rFonts w:ascii="宋体" w:hAnsi="宋体" w:cs="宋体" w:eastAsia="宋体" w:hint="default"/>
          <w:sz w:val="18"/>
          <w:szCs w:val="18"/>
        </w:rPr>
      </w:pPr>
      <w:r>
        <w:rPr>
          <w:rFonts w:ascii="宋体" w:hAnsi="宋体" w:cs="宋体" w:eastAsia="宋体" w:hint="default"/>
          <w:sz w:val="18"/>
          <w:szCs w:val="18"/>
        </w:rPr>
        <w:t>股份变动的原因、批准情况及过户情况</w:t>
      </w:r>
    </w:p>
    <w:p>
      <w:pPr>
        <w:spacing w:before="117"/>
        <w:ind w:left="9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913" w:right="621" w:firstLine="420"/>
        <w:jc w:val="left"/>
      </w:pPr>
      <w:r>
        <w:rPr>
          <w:rFonts w:ascii="宋体" w:hAnsi="宋体" w:cs="宋体" w:eastAsia="宋体" w:hint="default"/>
        </w:rPr>
        <w:t>1</w:t>
      </w:r>
      <w:r>
        <w:rPr/>
        <w:t>、经中国证券监督管理委员会《关于核准浙江利欧股份有限公司向欧亚云等发行股份购买资产的批 复》</w:t>
      </w:r>
      <w:r>
        <w:rPr>
          <w:rFonts w:ascii="宋体" w:hAnsi="宋体" w:cs="宋体" w:eastAsia="宋体" w:hint="default"/>
        </w:rPr>
        <w:t>(</w:t>
      </w:r>
      <w:r>
        <w:rPr/>
        <w:t>证监许可〔</w:t>
      </w:r>
      <w:r>
        <w:rPr>
          <w:rFonts w:ascii="宋体" w:hAnsi="宋体" w:cs="宋体" w:eastAsia="宋体" w:hint="default"/>
        </w:rPr>
        <w:t>2011</w:t>
      </w:r>
      <w:r>
        <w:rPr/>
        <w:t>〕</w:t>
      </w:r>
      <w:r>
        <w:rPr>
          <w:rFonts w:ascii="宋体" w:hAnsi="宋体" w:cs="宋体" w:eastAsia="宋体" w:hint="default"/>
        </w:rPr>
        <w:t>1916</w:t>
      </w:r>
      <w:r>
        <w:rPr>
          <w:rFonts w:ascii="宋体" w:hAnsi="宋体" w:cs="宋体" w:eastAsia="宋体" w:hint="default"/>
          <w:spacing w:val="-24"/>
        </w:rPr>
        <w:t> </w:t>
      </w:r>
      <w:r>
        <w:rPr/>
        <w:t>号</w:t>
      </w:r>
      <w:r>
        <w:rPr>
          <w:rFonts w:ascii="宋体" w:hAnsi="宋体" w:cs="宋体" w:eastAsia="宋体" w:hint="default"/>
        </w:rPr>
        <w:t>)</w:t>
      </w:r>
      <w:r>
        <w:rPr/>
        <w:t>核准，公司向长沙天鹅工业泵股份有限公司</w:t>
      </w:r>
      <w:r>
        <w:rPr>
          <w:rFonts w:ascii="宋体" w:hAnsi="宋体" w:cs="宋体" w:eastAsia="宋体" w:hint="default"/>
        </w:rPr>
        <w:t>(</w:t>
      </w:r>
      <w:r>
        <w:rPr/>
        <w:t>现更名为湖南利欧天鹅工业 </w:t>
      </w:r>
      <w:r>
        <w:rPr>
          <w:spacing w:val="-1"/>
        </w:rPr>
        <w:t>泵有限公司，以下简称“利欧天鹅”</w:t>
      </w:r>
      <w:r>
        <w:rPr>
          <w:rFonts w:ascii="宋体" w:hAnsi="宋体" w:cs="宋体" w:eastAsia="宋体" w:hint="default"/>
          <w:spacing w:val="-1"/>
        </w:rPr>
        <w:t>)</w:t>
      </w:r>
      <w:r>
        <w:rPr>
          <w:spacing w:val="-1"/>
        </w:rPr>
        <w:t>股东欧亚云、欧亚峰、罗兵辉、李洪辉、朱平正、胡观辉、周海蓉、</w:t>
      </w:r>
      <w:r>
        <w:rPr>
          <w:spacing w:val="-87"/>
        </w:rPr>
        <w:t> </w:t>
      </w:r>
      <w:r>
        <w:rPr>
          <w:spacing w:val="-87"/>
        </w:rPr>
      </w:r>
      <w:r>
        <w:rPr/>
        <w:t>吴波、郭华定和长沙瑞鹅投资管理有限公司非公开发行人民币普通股</w:t>
      </w:r>
      <w:r>
        <w:rPr>
          <w:rFonts w:ascii="宋体" w:hAnsi="宋体" w:cs="宋体" w:eastAsia="宋体" w:hint="default"/>
        </w:rPr>
        <w:t>(A</w:t>
      </w:r>
      <w:r>
        <w:rPr>
          <w:rFonts w:ascii="宋体" w:hAnsi="宋体" w:cs="宋体" w:eastAsia="宋体" w:hint="default"/>
          <w:spacing w:val="-59"/>
        </w:rPr>
        <w:t> </w:t>
      </w:r>
      <w:r>
        <w:rPr/>
        <w:t>股</w:t>
      </w:r>
      <w:r>
        <w:rPr>
          <w:rFonts w:ascii="宋体" w:hAnsi="宋体" w:cs="宋体" w:eastAsia="宋体" w:hint="default"/>
        </w:rPr>
        <w:t>)18,524,353</w:t>
      </w:r>
      <w:r>
        <w:rPr>
          <w:rFonts w:ascii="宋体" w:hAnsi="宋体" w:cs="宋体" w:eastAsia="宋体" w:hint="default"/>
          <w:spacing w:val="-59"/>
        </w:rPr>
        <w:t> </w:t>
      </w:r>
      <w:r>
        <w:rPr/>
        <w:t>股，每股发行价格 </w:t>
      </w:r>
      <w:r>
        <w:rPr>
          <w:rFonts w:ascii="宋体" w:hAnsi="宋体" w:cs="宋体" w:eastAsia="宋体" w:hint="default"/>
        </w:rPr>
        <w:t>14.58</w:t>
      </w:r>
      <w:r>
        <w:rPr>
          <w:rFonts w:ascii="宋体" w:hAnsi="宋体" w:cs="宋体" w:eastAsia="宋体" w:hint="default"/>
          <w:spacing w:val="-33"/>
        </w:rPr>
        <w:t> </w:t>
      </w:r>
      <w:r>
        <w:rPr/>
        <w:t>元，收购其所持利欧天鹅</w:t>
      </w:r>
      <w:r>
        <w:rPr>
          <w:spacing w:val="-34"/>
        </w:rPr>
        <w:t> </w:t>
      </w:r>
      <w:r>
        <w:rPr>
          <w:rFonts w:ascii="宋体" w:hAnsi="宋体" w:cs="宋体" w:eastAsia="宋体" w:hint="default"/>
        </w:rPr>
        <w:t>92.61%</w:t>
      </w:r>
      <w:r>
        <w:rPr/>
        <w:t>的股权。</w:t>
      </w:r>
      <w:r>
        <w:rPr>
          <w:rFonts w:ascii="宋体" w:hAnsi="宋体" w:cs="宋体" w:eastAsia="宋体" w:hint="default"/>
        </w:rPr>
        <w:t>2012</w:t>
      </w:r>
      <w:r>
        <w:rPr>
          <w:rFonts w:ascii="宋体" w:hAnsi="宋体" w:cs="宋体" w:eastAsia="宋体" w:hint="default"/>
          <w:spacing w:val="-33"/>
        </w:rPr>
        <w:t> </w:t>
      </w:r>
      <w:r>
        <w:rPr/>
        <w:t>年</w:t>
      </w:r>
      <w:r>
        <w:rPr>
          <w:spacing w:val="-36"/>
        </w:rPr>
        <w:t> </w:t>
      </w:r>
      <w:r>
        <w:rPr>
          <w:rFonts w:ascii="宋体" w:hAnsi="宋体" w:cs="宋体" w:eastAsia="宋体" w:hint="default"/>
        </w:rPr>
        <w:t>1</w:t>
      </w:r>
      <w:r>
        <w:rPr>
          <w:rFonts w:ascii="宋体" w:hAnsi="宋体" w:cs="宋体" w:eastAsia="宋体" w:hint="default"/>
          <w:spacing w:val="-34"/>
        </w:rPr>
        <w:t> </w:t>
      </w:r>
      <w:r>
        <w:rPr/>
        <w:t>月</w:t>
      </w:r>
      <w:r>
        <w:rPr>
          <w:spacing w:val="-36"/>
        </w:rPr>
        <w:t> </w:t>
      </w:r>
      <w:r>
        <w:rPr>
          <w:rFonts w:ascii="宋体" w:hAnsi="宋体" w:cs="宋体" w:eastAsia="宋体" w:hint="default"/>
        </w:rPr>
        <w:t>9</w:t>
      </w:r>
      <w:r>
        <w:rPr>
          <w:rFonts w:ascii="宋体" w:hAnsi="宋体" w:cs="宋体" w:eastAsia="宋体" w:hint="default"/>
          <w:spacing w:val="-35"/>
        </w:rPr>
        <w:t> </w:t>
      </w:r>
      <w:r>
        <w:rPr/>
        <w:t>日，公司向利欧天鹅原股东非公开发行的</w:t>
      </w:r>
    </w:p>
    <w:p>
      <w:pPr>
        <w:pStyle w:val="BodyText"/>
        <w:spacing w:line="240" w:lineRule="auto" w:before="46"/>
        <w:ind w:left="913" w:right="0"/>
        <w:jc w:val="both"/>
      </w:pPr>
      <w:r>
        <w:rPr>
          <w:rFonts w:ascii="宋体" w:hAnsi="宋体" w:cs="宋体" w:eastAsia="宋体" w:hint="default"/>
        </w:rPr>
        <w:t>18,524,353</w:t>
      </w:r>
      <w:r>
        <w:rPr>
          <w:rFonts w:ascii="宋体" w:hAnsi="宋体" w:cs="宋体" w:eastAsia="宋体" w:hint="default"/>
          <w:spacing w:val="-68"/>
        </w:rPr>
        <w:t> </w:t>
      </w:r>
      <w:r>
        <w:rPr/>
        <w:t>股新增股份在中国证券登记结算有限责任公司深圳分公司办妥登记存管手续</w:t>
      </w:r>
      <w:r>
        <w:rPr>
          <w:rFonts w:ascii="宋体" w:hAnsi="宋体" w:cs="宋体" w:eastAsia="宋体" w:hint="default"/>
        </w:rPr>
        <w:t>,</w:t>
      </w:r>
      <w:r>
        <w:rPr/>
        <w:t>并于</w:t>
      </w:r>
      <w:r>
        <w:rPr>
          <w:spacing w:val="-68"/>
        </w:rPr>
        <w:t> </w:t>
      </w:r>
      <w:r>
        <w:rPr>
          <w:rFonts w:ascii="宋体" w:hAnsi="宋体" w:cs="宋体" w:eastAsia="宋体" w:hint="default"/>
        </w:rPr>
        <w:t>2012</w:t>
      </w:r>
      <w:r>
        <w:rPr>
          <w:rFonts w:ascii="宋体" w:hAnsi="宋体" w:cs="宋体" w:eastAsia="宋体" w:hint="default"/>
          <w:spacing w:val="-67"/>
        </w:rPr>
        <w:t> </w:t>
      </w:r>
      <w:r>
        <w:rPr/>
        <w:t>年</w:t>
      </w:r>
      <w:r>
        <w:rPr>
          <w:spacing w:val="-68"/>
        </w:rPr>
        <w:t> </w:t>
      </w:r>
      <w:r>
        <w:rPr>
          <w:rFonts w:ascii="宋体" w:hAnsi="宋体" w:cs="宋体" w:eastAsia="宋体" w:hint="default"/>
        </w:rPr>
        <w:t>1</w:t>
      </w:r>
      <w:r>
        <w:rPr>
          <w:rFonts w:ascii="宋体" w:hAnsi="宋体" w:cs="宋体" w:eastAsia="宋体" w:hint="default"/>
          <w:spacing w:val="-68"/>
        </w:rPr>
        <w:t> </w:t>
      </w:r>
      <w:r>
        <w:rPr/>
        <w:t>月</w:t>
      </w:r>
    </w:p>
    <w:p>
      <w:pPr>
        <w:spacing w:line="240" w:lineRule="auto" w:before="10"/>
        <w:rPr>
          <w:rFonts w:ascii="宋体" w:hAnsi="宋体" w:cs="宋体" w:eastAsia="宋体" w:hint="default"/>
          <w:sz w:val="14"/>
          <w:szCs w:val="14"/>
        </w:rPr>
      </w:pPr>
    </w:p>
    <w:p>
      <w:pPr>
        <w:pStyle w:val="BodyText"/>
        <w:spacing w:line="408" w:lineRule="auto"/>
        <w:ind w:left="913" w:right="1110"/>
        <w:jc w:val="both"/>
      </w:pPr>
      <w:r>
        <w:rPr>
          <w:rFonts w:ascii="宋体" w:hAnsi="宋体" w:cs="宋体" w:eastAsia="宋体" w:hint="default"/>
        </w:rPr>
        <w:t>19</w:t>
      </w:r>
      <w:r>
        <w:rPr>
          <w:rFonts w:ascii="宋体" w:hAnsi="宋体" w:cs="宋体" w:eastAsia="宋体" w:hint="default"/>
          <w:spacing w:val="-60"/>
        </w:rPr>
        <w:t> </w:t>
      </w:r>
      <w:r>
        <w:rPr/>
        <w:t>日在深圳证券交易所上市。上述股份的锁定期为</w:t>
      </w:r>
      <w:r>
        <w:rPr>
          <w:spacing w:val="-60"/>
        </w:rPr>
        <w:t> </w:t>
      </w:r>
      <w:r>
        <w:rPr>
          <w:rFonts w:ascii="宋体" w:hAnsi="宋体" w:cs="宋体" w:eastAsia="宋体" w:hint="default"/>
        </w:rPr>
        <w:t>3</w:t>
      </w:r>
      <w:r>
        <w:rPr>
          <w:rFonts w:ascii="宋体" w:hAnsi="宋体" w:cs="宋体" w:eastAsia="宋体" w:hint="default"/>
          <w:spacing w:val="-60"/>
        </w:rPr>
        <w:t> </w:t>
      </w:r>
      <w:r>
        <w:rPr>
          <w:spacing w:val="-13"/>
        </w:rPr>
        <w:t>年。因</w:t>
      </w:r>
      <w:r>
        <w:rPr>
          <w:spacing w:val="-62"/>
        </w:rPr>
        <w:t> </w:t>
      </w:r>
      <w:r>
        <w:rPr>
          <w:rFonts w:ascii="宋体" w:hAnsi="宋体" w:cs="宋体" w:eastAsia="宋体" w:hint="default"/>
        </w:rPr>
        <w:t>2012-2013</w:t>
      </w:r>
      <w:r>
        <w:rPr>
          <w:rFonts w:ascii="宋体" w:hAnsi="宋体" w:cs="宋体" w:eastAsia="宋体" w:hint="default"/>
          <w:spacing w:val="-59"/>
        </w:rPr>
        <w:t> </w:t>
      </w:r>
      <w:r>
        <w:rPr/>
        <w:t>年度利欧天鹅实现的扣除非经常性 </w:t>
      </w:r>
      <w:r>
        <w:rPr>
          <w:spacing w:val="-1"/>
        </w:rPr>
        <w:t>损益后的净利润低于《关于长沙天鹅工业泵股份有限公司实际盈利数与净利润预测数差额的补偿协议》中</w:t>
      </w:r>
      <w:r>
        <w:rPr>
          <w:spacing w:val="-81"/>
        </w:rPr>
        <w:t> </w:t>
      </w:r>
      <w:r>
        <w:rPr>
          <w:spacing w:val="-81"/>
        </w:rPr>
      </w:r>
      <w:r>
        <w:rPr/>
        <w:t>的承诺数，根据《关于长沙天鹅工业泵股份有限公司实际盈利数与净利润预测数差额的补偿协议》约定， 利欧天鹅原股东需以股份方式对公司进行补偿，</w:t>
      </w:r>
      <w:r>
        <w:rPr>
          <w:rFonts w:ascii="宋体" w:hAnsi="宋体" w:cs="宋体" w:eastAsia="宋体" w:hint="default"/>
        </w:rPr>
        <w:t>2012-2013</w:t>
      </w:r>
      <w:r>
        <w:rPr>
          <w:rFonts w:ascii="宋体" w:hAnsi="宋体" w:cs="宋体" w:eastAsia="宋体" w:hint="default"/>
          <w:spacing w:val="-23"/>
        </w:rPr>
        <w:t> </w:t>
      </w:r>
      <w:r>
        <w:rPr/>
        <w:t>年度股份补偿方案实施完毕后，利欧天鹅原股 东剩余持股数量</w:t>
      </w:r>
      <w:r>
        <w:rPr>
          <w:spacing w:val="-52"/>
        </w:rPr>
        <w:t> </w:t>
      </w:r>
      <w:r>
        <w:rPr>
          <w:rFonts w:ascii="宋体" w:hAnsi="宋体" w:cs="宋体" w:eastAsia="宋体" w:hint="default"/>
        </w:rPr>
        <w:t>13,291,446</w:t>
      </w:r>
      <w:r>
        <w:rPr>
          <w:rFonts w:ascii="宋体" w:hAnsi="宋体" w:cs="宋体" w:eastAsia="宋体" w:hint="default"/>
          <w:spacing w:val="-53"/>
        </w:rPr>
        <w:t> </w:t>
      </w:r>
      <w:r>
        <w:rPr/>
        <w:t>股。</w:t>
      </w:r>
    </w:p>
    <w:p>
      <w:pPr>
        <w:pStyle w:val="BodyText"/>
        <w:spacing w:line="240" w:lineRule="auto" w:before="46"/>
        <w:ind w:left="1333" w:right="621"/>
        <w:jc w:val="left"/>
      </w:pPr>
      <w:r>
        <w:rPr/>
        <w:t>经公司申请，上述</w:t>
      </w:r>
      <w:r>
        <w:rPr>
          <w:spacing w:val="-53"/>
        </w:rPr>
        <w:t> </w:t>
      </w:r>
      <w:r>
        <w:rPr>
          <w:rFonts w:ascii="宋体" w:hAnsi="宋体" w:cs="宋体" w:eastAsia="宋体" w:hint="default"/>
        </w:rPr>
        <w:t>13,291,446</w:t>
      </w:r>
      <w:r>
        <w:rPr>
          <w:rFonts w:ascii="宋体" w:hAnsi="宋体" w:cs="宋体" w:eastAsia="宋体" w:hint="default"/>
          <w:spacing w:val="-54"/>
        </w:rPr>
        <w:t> </w:t>
      </w:r>
      <w:r>
        <w:rPr/>
        <w:t>股股份自</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日开始上市流通。</w:t>
      </w:r>
    </w:p>
    <w:p>
      <w:pPr>
        <w:spacing w:line="240" w:lineRule="auto" w:before="10"/>
        <w:rPr>
          <w:rFonts w:ascii="宋体" w:hAnsi="宋体" w:cs="宋体" w:eastAsia="宋体" w:hint="default"/>
          <w:sz w:val="14"/>
          <w:szCs w:val="14"/>
        </w:rPr>
      </w:pPr>
    </w:p>
    <w:p>
      <w:pPr>
        <w:pStyle w:val="BodyText"/>
        <w:spacing w:line="240" w:lineRule="auto"/>
        <w:ind w:left="1333" w:right="621"/>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29</w:t>
      </w:r>
      <w:r>
        <w:rPr>
          <w:rFonts w:ascii="宋体" w:hAnsi="宋体" w:cs="宋体" w:eastAsia="宋体" w:hint="default"/>
          <w:spacing w:val="-47"/>
        </w:rPr>
        <w:t> </w:t>
      </w:r>
      <w:r>
        <w:rPr/>
        <w:t>日，王相荣先生、王壮利先生通过深圳证券交易所大宗交易系统分别减持公司无</w:t>
      </w:r>
    </w:p>
    <w:p>
      <w:pPr>
        <w:spacing w:after="0" w:line="240" w:lineRule="auto"/>
        <w:jc w:val="left"/>
        <w:sectPr>
          <w:pgSz w:w="11910" w:h="16840"/>
          <w:pgMar w:header="0" w:footer="979" w:top="1100" w:bottom="1160" w:left="220" w:right="0"/>
        </w:sectPr>
      </w:pPr>
    </w:p>
    <w:p>
      <w:pPr>
        <w:spacing w:line="240" w:lineRule="auto" w:before="8"/>
        <w:rPr>
          <w:rFonts w:ascii="宋体" w:hAnsi="宋体" w:cs="宋体" w:eastAsia="宋体" w:hint="default"/>
          <w:sz w:val="26"/>
          <w:szCs w:val="26"/>
        </w:rPr>
      </w:pPr>
    </w:p>
    <w:p>
      <w:pPr>
        <w:pStyle w:val="BodyText"/>
        <w:spacing w:line="408" w:lineRule="auto" w:before="35"/>
        <w:ind w:right="1121"/>
        <w:jc w:val="left"/>
      </w:pPr>
      <w:r>
        <w:rPr/>
        <w:t>限售条件流通股份</w:t>
      </w:r>
      <w:r>
        <w:rPr>
          <w:spacing w:val="-56"/>
        </w:rPr>
        <w:t> </w:t>
      </w:r>
      <w:r>
        <w:rPr>
          <w:rFonts w:ascii="宋体" w:hAnsi="宋体" w:cs="宋体" w:eastAsia="宋体" w:hint="default"/>
        </w:rPr>
        <w:t>460</w:t>
      </w:r>
      <w:r>
        <w:rPr>
          <w:rFonts w:ascii="宋体" w:hAnsi="宋体" w:cs="宋体" w:eastAsia="宋体" w:hint="default"/>
          <w:spacing w:val="-57"/>
        </w:rPr>
        <w:t> </w:t>
      </w:r>
      <w:r>
        <w:rPr/>
        <w:t>万股和</w:t>
      </w:r>
      <w:r>
        <w:rPr>
          <w:spacing w:val="-57"/>
        </w:rPr>
        <w:t> </w:t>
      </w:r>
      <w:r>
        <w:rPr>
          <w:rFonts w:ascii="宋体" w:hAnsi="宋体" w:cs="宋体" w:eastAsia="宋体" w:hint="default"/>
        </w:rPr>
        <w:t>1,030</w:t>
      </w:r>
      <w:r>
        <w:rPr>
          <w:rFonts w:ascii="宋体" w:hAnsi="宋体" w:cs="宋体" w:eastAsia="宋体" w:hint="default"/>
          <w:spacing w:val="-56"/>
        </w:rPr>
        <w:t> </w:t>
      </w:r>
      <w:r>
        <w:rPr>
          <w:spacing w:val="-6"/>
        </w:rPr>
        <w:t>万股。</w:t>
      </w:r>
      <w:r>
        <w:rPr>
          <w:rFonts w:ascii="宋体" w:hAnsi="宋体" w:cs="宋体" w:eastAsia="宋体" w:hint="default"/>
          <w:spacing w:val="-6"/>
        </w:rPr>
        <w:t>2015</w:t>
      </w:r>
      <w:r>
        <w:rPr>
          <w:rFonts w:ascii="宋体" w:hAnsi="宋体" w:cs="宋体" w:eastAsia="宋体" w:hint="default"/>
          <w:spacing w:val="-58"/>
        </w:rPr>
        <w:t> </w:t>
      </w:r>
      <w:r>
        <w:rPr/>
        <w:t>年</w:t>
      </w:r>
      <w:r>
        <w:rPr>
          <w:spacing w:val="-57"/>
        </w:rPr>
        <w:t> </w:t>
      </w:r>
      <w:r>
        <w:rPr>
          <w:rFonts w:ascii="宋体" w:hAnsi="宋体" w:cs="宋体" w:eastAsia="宋体" w:hint="default"/>
        </w:rPr>
        <w:t>1</w:t>
      </w:r>
      <w:r>
        <w:rPr>
          <w:rFonts w:ascii="宋体" w:hAnsi="宋体" w:cs="宋体" w:eastAsia="宋体" w:hint="default"/>
          <w:spacing w:val="-56"/>
        </w:rPr>
        <w:t> </w:t>
      </w:r>
      <w:r>
        <w:rPr/>
        <w:t>月</w:t>
      </w:r>
      <w:r>
        <w:rPr>
          <w:spacing w:val="-58"/>
        </w:rPr>
        <w:t> </w:t>
      </w:r>
      <w:r>
        <w:rPr>
          <w:rFonts w:ascii="宋体" w:hAnsi="宋体" w:cs="宋体" w:eastAsia="宋体" w:hint="default"/>
        </w:rPr>
        <w:t>1</w:t>
      </w:r>
      <w:r>
        <w:rPr>
          <w:rFonts w:ascii="宋体" w:hAnsi="宋体" w:cs="宋体" w:eastAsia="宋体" w:hint="default"/>
          <w:spacing w:val="-56"/>
        </w:rPr>
        <w:t> </w:t>
      </w:r>
      <w:r>
        <w:rPr/>
        <w:t>日起，王相荣先生和王壮利先生所持有的部分有 限售条件股份变更为无限售条件股份。</w:t>
      </w:r>
    </w:p>
    <w:p>
      <w:pPr>
        <w:pStyle w:val="BodyText"/>
        <w:spacing w:line="408" w:lineRule="auto" w:before="46"/>
        <w:ind w:left="154" w:right="1130" w:firstLine="420"/>
        <w:jc w:val="both"/>
      </w:pPr>
      <w:r>
        <w:rPr>
          <w:rFonts w:ascii="宋体" w:hAnsi="宋体" w:cs="宋体" w:eastAsia="宋体" w:hint="default"/>
        </w:rPr>
        <w:t>3</w:t>
      </w:r>
      <w:r>
        <w:rPr/>
        <w:t>、因董事会换届，王洪仁于</w:t>
      </w:r>
      <w:r>
        <w:rPr>
          <w:spacing w:val="-40"/>
        </w:rPr>
        <w:t> </w:t>
      </w:r>
      <w:r>
        <w:rPr>
          <w:rFonts w:ascii="宋体" w:hAnsi="宋体" w:cs="宋体" w:eastAsia="宋体" w:hint="default"/>
        </w:rPr>
        <w:t>2014</w:t>
      </w:r>
      <w:r>
        <w:rPr>
          <w:rFonts w:ascii="宋体" w:hAnsi="宋体" w:cs="宋体" w:eastAsia="宋体" w:hint="default"/>
          <w:spacing w:val="-41"/>
        </w:rPr>
        <w:t> </w:t>
      </w:r>
      <w:r>
        <w:rPr/>
        <w:t>年</w:t>
      </w:r>
      <w:r>
        <w:rPr>
          <w:spacing w:val="-40"/>
        </w:rPr>
        <w:t> </w:t>
      </w:r>
      <w:r>
        <w:rPr>
          <w:rFonts w:ascii="宋体" w:hAnsi="宋体" w:cs="宋体" w:eastAsia="宋体" w:hint="default"/>
        </w:rPr>
        <w:t>6</w:t>
      </w:r>
      <w:r>
        <w:rPr>
          <w:rFonts w:ascii="宋体" w:hAnsi="宋体" w:cs="宋体" w:eastAsia="宋体" w:hint="default"/>
          <w:spacing w:val="-40"/>
        </w:rPr>
        <w:t> </w:t>
      </w:r>
      <w:r>
        <w:rPr/>
        <w:t>月</w:t>
      </w:r>
      <w:r>
        <w:rPr>
          <w:spacing w:val="-40"/>
        </w:rPr>
        <w:t> </w:t>
      </w:r>
      <w:r>
        <w:rPr>
          <w:rFonts w:ascii="宋体" w:hAnsi="宋体" w:cs="宋体" w:eastAsia="宋体" w:hint="default"/>
        </w:rPr>
        <w:t>15</w:t>
      </w:r>
      <w:r>
        <w:rPr>
          <w:rFonts w:ascii="宋体" w:hAnsi="宋体" w:cs="宋体" w:eastAsia="宋体" w:hint="default"/>
          <w:spacing w:val="-40"/>
        </w:rPr>
        <w:t> </w:t>
      </w:r>
      <w:r>
        <w:rPr/>
        <w:t>日离任公司董事，其所持有的公司股份自离任信息申报 之日起六个月内将予以锁定。</w:t>
      </w:r>
      <w:r>
        <w:rPr>
          <w:rFonts w:ascii="宋体" w:hAnsi="宋体" w:cs="宋体" w:eastAsia="宋体" w:hint="default"/>
        </w:rPr>
        <w:t>2014</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15</w:t>
      </w:r>
      <w:r>
        <w:rPr>
          <w:rFonts w:ascii="宋体" w:hAnsi="宋体" w:cs="宋体" w:eastAsia="宋体" w:hint="default"/>
          <w:spacing w:val="-51"/>
        </w:rPr>
        <w:t> </w:t>
      </w:r>
      <w:r>
        <w:rPr/>
        <w:t>日，王洪仁所持有的公司股份的</w:t>
      </w:r>
      <w:r>
        <w:rPr>
          <w:spacing w:val="-50"/>
        </w:rPr>
        <w:t> </w:t>
      </w:r>
      <w:r>
        <w:rPr>
          <w:rFonts w:ascii="宋体" w:hAnsi="宋体" w:cs="宋体" w:eastAsia="宋体" w:hint="default"/>
        </w:rPr>
        <w:t>1/2</w:t>
      </w:r>
      <w:r>
        <w:rPr>
          <w:rFonts w:ascii="宋体" w:hAnsi="宋体" w:cs="宋体" w:eastAsia="宋体" w:hint="default"/>
          <w:spacing w:val="-49"/>
        </w:rPr>
        <w:t> </w:t>
      </w:r>
      <w:r>
        <w:rPr/>
        <w:t>解除限售。</w:t>
      </w: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1"/>
        </w:rPr>
        <w:t> </w:t>
      </w:r>
      <w:r>
        <w:rPr/>
        <w:t>月</w:t>
      </w:r>
      <w:r>
        <w:rPr>
          <w:spacing w:val="-55"/>
        </w:rPr>
        <w:t> </w:t>
      </w:r>
      <w:r>
        <w:rPr>
          <w:rFonts w:ascii="宋体" w:hAnsi="宋体" w:cs="宋体" w:eastAsia="宋体" w:hint="default"/>
        </w:rPr>
        <w:t>14</w:t>
      </w:r>
      <w:r>
        <w:rPr>
          <w:rFonts w:ascii="宋体" w:hAnsi="宋体" w:cs="宋体" w:eastAsia="宋体" w:hint="default"/>
          <w:spacing w:val="-54"/>
        </w:rPr>
        <w:t> </w:t>
      </w:r>
      <w:r>
        <w:rPr/>
        <w:t>日，除认购公司非公开发行的股份</w:t>
      </w:r>
      <w:r>
        <w:rPr>
          <w:spacing w:val="-55"/>
        </w:rPr>
        <w:t> </w:t>
      </w:r>
      <w:r>
        <w:rPr>
          <w:rFonts w:ascii="宋体" w:hAnsi="宋体" w:cs="宋体" w:eastAsia="宋体" w:hint="default"/>
        </w:rPr>
        <w:t>3,011,811</w:t>
      </w:r>
      <w:r>
        <w:rPr>
          <w:rFonts w:ascii="宋体" w:hAnsi="宋体" w:cs="宋体" w:eastAsia="宋体" w:hint="default"/>
          <w:spacing w:val="-54"/>
        </w:rPr>
        <w:t> </w:t>
      </w:r>
      <w:r>
        <w:rPr/>
        <w:t>股外，王洪仁持有的公司股份全部解除限售。</w:t>
      </w:r>
    </w:p>
    <w:p>
      <w:pPr>
        <w:pStyle w:val="BodyText"/>
        <w:spacing w:line="240" w:lineRule="auto" w:before="46"/>
        <w:ind w:left="574" w:right="0"/>
        <w:jc w:val="left"/>
      </w:pPr>
      <w:r>
        <w:rPr>
          <w:rFonts w:ascii="宋体" w:hAnsi="宋体" w:cs="宋体" w:eastAsia="宋体" w:hint="default"/>
        </w:rPr>
        <w:t>4</w:t>
      </w:r>
      <w:r>
        <w:rPr/>
        <w:t>、王相荣先生于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月增持公司股份</w:t>
      </w:r>
      <w:r>
        <w:rPr>
          <w:spacing w:val="-53"/>
        </w:rPr>
        <w:t> </w:t>
      </w:r>
      <w:r>
        <w:rPr>
          <w:rFonts w:ascii="宋体" w:hAnsi="宋体" w:cs="宋体" w:eastAsia="宋体" w:hint="default"/>
        </w:rPr>
        <w:t>801,326</w:t>
      </w:r>
      <w:r>
        <w:rPr>
          <w:rFonts w:ascii="宋体" w:hAnsi="宋体" w:cs="宋体" w:eastAsia="宋体" w:hint="default"/>
          <w:spacing w:val="-53"/>
        </w:rPr>
        <w:t> </w:t>
      </w:r>
      <w:r>
        <w:rPr/>
        <w:t>股，股票增持部分的</w:t>
      </w:r>
      <w:r>
        <w:rPr>
          <w:spacing w:val="-53"/>
        </w:rPr>
        <w:t> </w:t>
      </w:r>
      <w:r>
        <w:rPr>
          <w:rFonts w:ascii="宋体" w:hAnsi="宋体" w:cs="宋体" w:eastAsia="宋体" w:hint="default"/>
        </w:rPr>
        <w:t>75%</w:t>
      </w:r>
      <w:r>
        <w:rPr/>
        <w:t>作为高管锁定股。</w:t>
      </w:r>
    </w:p>
    <w:p>
      <w:pPr>
        <w:spacing w:line="240" w:lineRule="auto" w:before="10"/>
        <w:rPr>
          <w:rFonts w:ascii="宋体" w:hAnsi="宋体" w:cs="宋体" w:eastAsia="宋体" w:hint="default"/>
          <w:sz w:val="14"/>
          <w:szCs w:val="14"/>
        </w:rPr>
      </w:pPr>
    </w:p>
    <w:p>
      <w:pPr>
        <w:pStyle w:val="BodyText"/>
        <w:spacing w:line="408" w:lineRule="auto"/>
        <w:ind w:right="1130" w:firstLine="420"/>
        <w:jc w:val="both"/>
      </w:pPr>
      <w:r>
        <w:rPr>
          <w:rFonts w:ascii="宋体" w:hAnsi="宋体" w:cs="宋体" w:eastAsia="宋体" w:hint="default"/>
        </w:rPr>
        <w:t>5</w:t>
      </w:r>
      <w:r>
        <w:rPr/>
        <w:t>、公司以发行股份和支付现金相结合的方式，购买徐先明、淮安明硕投利明信息咨询中心（有限合 伙）合计持有的万圣伟业 </w:t>
      </w:r>
      <w:r>
        <w:rPr>
          <w:rFonts w:ascii="宋体" w:hAnsi="宋体" w:cs="宋体" w:eastAsia="宋体" w:hint="default"/>
        </w:rPr>
        <w:t>100%</w:t>
      </w:r>
      <w:r>
        <w:rPr/>
        <w:t>股权；购买刘璐、何若萌合计持有的微创时代</w:t>
      </w:r>
      <w:r>
        <w:rPr>
          <w:spacing w:val="-24"/>
        </w:rPr>
        <w:t> </w:t>
      </w:r>
      <w:r>
        <w:rPr>
          <w:rFonts w:ascii="宋体" w:hAnsi="宋体" w:cs="宋体" w:eastAsia="宋体" w:hint="default"/>
        </w:rPr>
        <w:t>100%</w:t>
      </w:r>
      <w:r>
        <w:rPr/>
        <w:t>股权。为支付本次交易 中的现金对价和相关发行费用并补充上市公司流动资金，上市公司拟向不超过 </w:t>
      </w:r>
      <w:r>
        <w:rPr>
          <w:rFonts w:ascii="宋体" w:hAnsi="宋体" w:cs="宋体" w:eastAsia="宋体" w:hint="default"/>
        </w:rPr>
        <w:t>10</w:t>
      </w:r>
      <w:r>
        <w:rPr>
          <w:rFonts w:ascii="宋体" w:hAnsi="宋体" w:cs="宋体" w:eastAsia="宋体" w:hint="default"/>
          <w:spacing w:val="-22"/>
        </w:rPr>
        <w:t> </w:t>
      </w:r>
      <w:r>
        <w:rPr/>
        <w:t>名其他特定投资者发行 股份募集配套资金。</w:t>
      </w:r>
    </w:p>
    <w:p>
      <w:pPr>
        <w:pStyle w:val="BodyText"/>
        <w:spacing w:line="408" w:lineRule="auto" w:before="46"/>
        <w:ind w:right="1017" w:firstLine="420"/>
        <w:jc w:val="left"/>
      </w:pPr>
      <w:r>
        <w:rPr>
          <w:rFonts w:ascii="宋体" w:hAnsi="宋体" w:cs="宋体" w:eastAsia="宋体" w:hint="default"/>
        </w:rPr>
        <w:t>2015</w:t>
      </w:r>
      <w:r>
        <w:rPr>
          <w:rFonts w:ascii="宋体" w:hAnsi="宋体" w:cs="宋体" w:eastAsia="宋体" w:hint="default"/>
          <w:spacing w:val="-41"/>
        </w:rPr>
        <w:t> </w:t>
      </w:r>
      <w:r>
        <w:rPr/>
        <w:t>年</w:t>
      </w:r>
      <w:r>
        <w:rPr>
          <w:spacing w:val="-43"/>
        </w:rPr>
        <w:t> </w:t>
      </w:r>
      <w:r>
        <w:rPr>
          <w:rFonts w:ascii="宋体" w:hAnsi="宋体" w:cs="宋体" w:eastAsia="宋体" w:hint="default"/>
        </w:rPr>
        <w:t>10</w:t>
      </w:r>
      <w:r>
        <w:rPr>
          <w:rFonts w:ascii="宋体" w:hAnsi="宋体" w:cs="宋体" w:eastAsia="宋体" w:hint="default"/>
          <w:spacing w:val="-44"/>
        </w:rPr>
        <w:t> </w:t>
      </w:r>
      <w:r>
        <w:rPr/>
        <w:t>月，经中国证券监督管理委员会《关于核准利欧集团股份有限公司向徐先明等发行股份购 </w:t>
      </w:r>
      <w:r>
        <w:rPr>
          <w:spacing w:val="-4"/>
        </w:rPr>
        <w:t>买资产并募集配套资金的批复》（证监许可</w:t>
      </w:r>
      <w:r>
        <w:rPr>
          <w:rFonts w:ascii="宋体" w:hAnsi="宋体" w:cs="宋体" w:eastAsia="宋体" w:hint="default"/>
          <w:spacing w:val="-4"/>
        </w:rPr>
        <w:t>[2015]2395</w:t>
      </w:r>
      <w:r>
        <w:rPr>
          <w:rFonts w:ascii="宋体" w:hAnsi="宋体" w:cs="宋体" w:eastAsia="宋体" w:hint="default"/>
          <w:spacing w:val="-42"/>
        </w:rPr>
        <w:t> </w:t>
      </w:r>
      <w:r>
        <w:rPr>
          <w:spacing w:val="-8"/>
        </w:rPr>
        <w:t>号），核准公司向徐先明发行</w:t>
      </w:r>
      <w:r>
        <w:rPr>
          <w:spacing w:val="-40"/>
        </w:rPr>
        <w:t> </w:t>
      </w:r>
      <w:r>
        <w:rPr>
          <w:rFonts w:ascii="宋体" w:hAnsi="宋体" w:cs="宋体" w:eastAsia="宋体" w:hint="default"/>
        </w:rPr>
        <w:t>136,495,388</w:t>
      </w:r>
      <w:r>
        <w:rPr>
          <w:rFonts w:ascii="宋体" w:hAnsi="宋体" w:cs="宋体" w:eastAsia="宋体" w:hint="default"/>
          <w:spacing w:val="-42"/>
        </w:rPr>
        <w:t> </w:t>
      </w:r>
      <w:r>
        <w:rPr/>
        <w:t>股股份、</w:t>
      </w:r>
      <w:r>
        <w:rPr>
          <w:spacing w:val="-103"/>
        </w:rPr>
        <w:t> </w:t>
      </w:r>
      <w:r>
        <w:rPr>
          <w:spacing w:val="-103"/>
        </w:rPr>
      </w:r>
      <w:r>
        <w:rPr/>
        <w:t>向淮安明硕投利明信息咨询中心（有限合伙）发行</w:t>
      </w:r>
      <w:r>
        <w:rPr>
          <w:spacing w:val="-53"/>
        </w:rPr>
        <w:t> </w:t>
      </w:r>
      <w:r>
        <w:rPr>
          <w:rFonts w:ascii="宋体" w:hAnsi="宋体" w:cs="宋体" w:eastAsia="宋体" w:hint="default"/>
        </w:rPr>
        <w:t>27,299,077</w:t>
      </w:r>
      <w:r>
        <w:rPr>
          <w:rFonts w:ascii="宋体" w:hAnsi="宋体" w:cs="宋体" w:eastAsia="宋体" w:hint="default"/>
          <w:spacing w:val="-54"/>
        </w:rPr>
        <w:t> </w:t>
      </w:r>
      <w:r>
        <w:rPr/>
        <w:t>股股份、向刘璐发行</w:t>
      </w:r>
      <w:r>
        <w:rPr>
          <w:spacing w:val="-53"/>
        </w:rPr>
        <w:t> </w:t>
      </w:r>
      <w:r>
        <w:rPr>
          <w:rFonts w:ascii="宋体" w:hAnsi="宋体" w:cs="宋体" w:eastAsia="宋体" w:hint="default"/>
        </w:rPr>
        <w:t>35,968,379</w:t>
      </w:r>
      <w:r>
        <w:rPr>
          <w:rFonts w:ascii="宋体" w:hAnsi="宋体" w:cs="宋体" w:eastAsia="宋体" w:hint="default"/>
          <w:spacing w:val="-54"/>
        </w:rPr>
        <w:t> </w:t>
      </w:r>
      <w:r>
        <w:rPr/>
        <w:t>股股份、</w:t>
      </w:r>
    </w:p>
    <w:p>
      <w:pPr>
        <w:pStyle w:val="BodyText"/>
        <w:spacing w:line="408" w:lineRule="auto" w:before="46"/>
        <w:ind w:right="1026"/>
        <w:jc w:val="both"/>
      </w:pPr>
      <w:r>
        <w:rPr/>
        <w:t>向何若萌发行</w:t>
      </w:r>
      <w:r>
        <w:rPr>
          <w:spacing w:val="-49"/>
        </w:rPr>
        <w:t> </w:t>
      </w:r>
      <w:r>
        <w:rPr>
          <w:rFonts w:ascii="宋体" w:hAnsi="宋体" w:cs="宋体" w:eastAsia="宋体" w:hint="default"/>
        </w:rPr>
        <w:t>35,968,379</w:t>
      </w:r>
      <w:r>
        <w:rPr>
          <w:rFonts w:ascii="宋体" w:hAnsi="宋体" w:cs="宋体" w:eastAsia="宋体" w:hint="default"/>
          <w:spacing w:val="-50"/>
        </w:rPr>
        <w:t> </w:t>
      </w:r>
      <w:r>
        <w:rPr>
          <w:spacing w:val="-4"/>
        </w:rPr>
        <w:t>股人民币普通股（</w:t>
      </w:r>
      <w:r>
        <w:rPr>
          <w:rFonts w:ascii="宋体" w:hAnsi="宋体" w:cs="宋体" w:eastAsia="宋体" w:hint="default"/>
          <w:spacing w:val="-4"/>
        </w:rPr>
        <w:t>A</w:t>
      </w:r>
      <w:r>
        <w:rPr>
          <w:rFonts w:ascii="宋体" w:hAnsi="宋体" w:cs="宋体" w:eastAsia="宋体" w:hint="default"/>
          <w:spacing w:val="-49"/>
        </w:rPr>
        <w:t> </w:t>
      </w:r>
      <w:r>
        <w:rPr>
          <w:spacing w:val="-4"/>
        </w:rPr>
        <w:t>股）购买相关资产，非公开发行不超过</w:t>
      </w:r>
      <w:r>
        <w:rPr>
          <w:spacing w:val="-49"/>
        </w:rPr>
        <w:t> </w:t>
      </w:r>
      <w:r>
        <w:rPr>
          <w:rFonts w:ascii="宋体" w:hAnsi="宋体" w:cs="宋体" w:eastAsia="宋体" w:hint="default"/>
        </w:rPr>
        <w:t>221,664,564</w:t>
      </w:r>
      <w:r>
        <w:rPr>
          <w:rFonts w:ascii="宋体" w:hAnsi="宋体" w:cs="宋体" w:eastAsia="宋体" w:hint="default"/>
          <w:spacing w:val="-50"/>
        </w:rPr>
        <w:t> </w:t>
      </w:r>
      <w:r>
        <w:rPr/>
        <w:t>股新股</w:t>
      </w:r>
      <w:r>
        <w:rPr>
          <w:spacing w:val="-98"/>
        </w:rPr>
        <w:t> </w:t>
      </w:r>
      <w:r>
        <w:rPr/>
        <w:t>募集本次发行股份购买资产的配套资金。本次募集配套资金的非公开发行股份最终通过询价确认向中欧盛</w:t>
      </w:r>
      <w:r>
        <w:rPr/>
        <w:t> 世资产管理</w:t>
      </w:r>
      <w:r>
        <w:rPr>
          <w:rFonts w:ascii="宋体" w:hAnsi="宋体" w:cs="宋体" w:eastAsia="宋体" w:hint="default"/>
        </w:rPr>
        <w:t>(</w:t>
      </w:r>
      <w:r>
        <w:rPr/>
        <w:t>上海</w:t>
      </w:r>
      <w:r>
        <w:rPr>
          <w:rFonts w:ascii="宋体" w:hAnsi="宋体" w:cs="宋体" w:eastAsia="宋体" w:hint="default"/>
        </w:rPr>
        <w:t>)</w:t>
      </w:r>
      <w:r>
        <w:rPr/>
        <w:t>有限公司、英大基金管理有限公司、中国北方工业公司、安信基金管理有限责任公司、 珠海中兵广发投资基金合伙企业</w:t>
      </w:r>
      <w:r>
        <w:rPr>
          <w:rFonts w:ascii="宋体" w:hAnsi="宋体" w:cs="宋体" w:eastAsia="宋体" w:hint="default"/>
        </w:rPr>
        <w:t>(</w:t>
      </w:r>
      <w:r>
        <w:rPr/>
        <w:t>有限合伙</w:t>
      </w:r>
      <w:r>
        <w:rPr>
          <w:rFonts w:ascii="宋体" w:hAnsi="宋体" w:cs="宋体" w:eastAsia="宋体" w:hint="default"/>
        </w:rPr>
        <w:t>)</w:t>
      </w:r>
      <w:r>
        <w:rPr/>
        <w:t>、云南卓晔投资管理有限公司等六名其他特定投资者定向增发 人民币普通股</w:t>
      </w:r>
      <w:r>
        <w:rPr>
          <w:rFonts w:ascii="宋体" w:hAnsi="宋体" w:cs="宋体" w:eastAsia="宋体" w:hint="default"/>
        </w:rPr>
        <w:t>(A</w:t>
      </w:r>
      <w:r>
        <w:rPr>
          <w:rFonts w:ascii="宋体" w:hAnsi="宋体" w:cs="宋体" w:eastAsia="宋体" w:hint="default"/>
          <w:spacing w:val="-52"/>
        </w:rPr>
        <w:t> </w:t>
      </w:r>
      <w:r>
        <w:rPr/>
        <w:t>股</w:t>
      </w:r>
      <w:r>
        <w:rPr>
          <w:rFonts w:ascii="宋体" w:hAnsi="宋体" w:cs="宋体" w:eastAsia="宋体" w:hint="default"/>
        </w:rPr>
        <w:t>)</w:t>
      </w:r>
      <w:r>
        <w:rPr/>
        <w:t>股票</w:t>
      </w:r>
      <w:r>
        <w:rPr>
          <w:spacing w:val="-53"/>
        </w:rPr>
        <w:t> </w:t>
      </w:r>
      <w:r>
        <w:rPr>
          <w:rFonts w:ascii="宋体" w:hAnsi="宋体" w:cs="宋体" w:eastAsia="宋体" w:hint="default"/>
        </w:rPr>
        <w:t>31,102,262</w:t>
      </w:r>
      <w:r>
        <w:rPr>
          <w:rFonts w:ascii="宋体" w:hAnsi="宋体" w:cs="宋体" w:eastAsia="宋体" w:hint="default"/>
          <w:spacing w:val="-53"/>
        </w:rPr>
        <w:t> </w:t>
      </w:r>
      <w:r>
        <w:rPr>
          <w:spacing w:val="-4"/>
        </w:rPr>
        <w:t>股、</w:t>
      </w:r>
      <w:r>
        <w:rPr>
          <w:rFonts w:ascii="宋体" w:hAnsi="宋体" w:cs="宋体" w:eastAsia="宋体" w:hint="default"/>
          <w:spacing w:val="-4"/>
        </w:rPr>
        <w:t>29,826,923</w:t>
      </w:r>
      <w:r>
        <w:rPr>
          <w:rFonts w:ascii="宋体" w:hAnsi="宋体" w:cs="宋体" w:eastAsia="宋体" w:hint="default"/>
          <w:spacing w:val="-51"/>
        </w:rPr>
        <w:t> </w:t>
      </w:r>
      <w:r>
        <w:rPr>
          <w:spacing w:val="-4"/>
        </w:rPr>
        <w:t>股、</w:t>
      </w:r>
      <w:r>
        <w:rPr>
          <w:rFonts w:ascii="宋体" w:hAnsi="宋体" w:cs="宋体" w:eastAsia="宋体" w:hint="default"/>
          <w:spacing w:val="-4"/>
        </w:rPr>
        <w:t>11,312,217</w:t>
      </w:r>
      <w:r>
        <w:rPr>
          <w:rFonts w:ascii="宋体" w:hAnsi="宋体" w:cs="宋体" w:eastAsia="宋体" w:hint="default"/>
          <w:spacing w:val="-53"/>
        </w:rPr>
        <w:t> </w:t>
      </w:r>
      <w:r>
        <w:rPr>
          <w:spacing w:val="-4"/>
        </w:rPr>
        <w:t>股、</w:t>
      </w:r>
      <w:r>
        <w:rPr>
          <w:rFonts w:ascii="宋体" w:hAnsi="宋体" w:cs="宋体" w:eastAsia="宋体" w:hint="default"/>
          <w:spacing w:val="-4"/>
        </w:rPr>
        <w:t>10,269,796</w:t>
      </w:r>
      <w:r>
        <w:rPr>
          <w:rFonts w:ascii="宋体" w:hAnsi="宋体" w:cs="宋体" w:eastAsia="宋体" w:hint="default"/>
          <w:spacing w:val="-52"/>
        </w:rPr>
        <w:t> </w:t>
      </w:r>
      <w:r>
        <w:rPr>
          <w:spacing w:val="-4"/>
        </w:rPr>
        <w:t>股、</w:t>
      </w:r>
      <w:r>
        <w:rPr>
          <w:rFonts w:ascii="宋体" w:hAnsi="宋体" w:cs="宋体" w:eastAsia="宋体" w:hint="default"/>
          <w:spacing w:val="-4"/>
        </w:rPr>
        <w:t>10,189,157</w:t>
      </w:r>
      <w:r>
        <w:rPr>
          <w:rFonts w:ascii="宋体" w:hAnsi="宋体" w:cs="宋体" w:eastAsia="宋体" w:hint="default"/>
          <w:spacing w:val="-51"/>
        </w:rPr>
        <w:t> </w:t>
      </w:r>
      <w:r>
        <w:rPr/>
        <w:t>股、</w:t>
      </w:r>
    </w:p>
    <w:p>
      <w:pPr>
        <w:pStyle w:val="BodyText"/>
        <w:spacing w:line="408" w:lineRule="auto" w:before="46"/>
        <w:ind w:right="1110"/>
        <w:jc w:val="both"/>
      </w:pPr>
      <w:r>
        <w:rPr>
          <w:rFonts w:ascii="宋体" w:hAnsi="宋体" w:cs="宋体" w:eastAsia="宋体" w:hint="default"/>
        </w:rPr>
        <w:t>6,722,721</w:t>
      </w:r>
      <w:r>
        <w:rPr>
          <w:rFonts w:ascii="宋体" w:hAnsi="宋体" w:cs="宋体" w:eastAsia="宋体" w:hint="default"/>
          <w:spacing w:val="-53"/>
        </w:rPr>
        <w:t> </w:t>
      </w:r>
      <w:r>
        <w:rPr>
          <w:spacing w:val="-10"/>
        </w:rPr>
        <w:t>股，合计</w:t>
      </w:r>
      <w:r>
        <w:rPr>
          <w:spacing w:val="-54"/>
        </w:rPr>
        <w:t> </w:t>
      </w:r>
      <w:r>
        <w:rPr>
          <w:rFonts w:ascii="宋体" w:hAnsi="宋体" w:cs="宋体" w:eastAsia="宋体" w:hint="default"/>
        </w:rPr>
        <w:t>99,423,076</w:t>
      </w:r>
      <w:r>
        <w:rPr>
          <w:rFonts w:ascii="宋体" w:hAnsi="宋体" w:cs="宋体" w:eastAsia="宋体" w:hint="default"/>
          <w:spacing w:val="-54"/>
        </w:rPr>
        <w:t> </w:t>
      </w:r>
      <w:r>
        <w:rPr>
          <w:spacing w:val="-5"/>
        </w:rPr>
        <w:t>股。上述股票已于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日在中登公司深圳分公司办理完毕登记 </w:t>
      </w:r>
      <w:r>
        <w:rPr>
          <w:spacing w:val="-1"/>
        </w:rPr>
        <w:t>手续。本次新增股份的性质为有限售条件流通股，其中向徐先明、淮安明硕投利明信息咨询中心（有限合</w:t>
      </w:r>
      <w:r>
        <w:rPr>
          <w:spacing w:val="-86"/>
        </w:rPr>
        <w:t> </w:t>
      </w:r>
      <w:r>
        <w:rPr>
          <w:spacing w:val="-86"/>
        </w:rPr>
      </w:r>
      <w:r>
        <w:rPr/>
        <w:t>伙）、刘璐、何若萌发行的股份限售期为 </w:t>
      </w:r>
      <w:r>
        <w:rPr>
          <w:rFonts w:ascii="宋体" w:hAnsi="宋体" w:cs="宋体" w:eastAsia="宋体" w:hint="default"/>
        </w:rPr>
        <w:t>36</w:t>
      </w:r>
      <w:r>
        <w:rPr>
          <w:rFonts w:ascii="宋体" w:hAnsi="宋体" w:cs="宋体" w:eastAsia="宋体" w:hint="default"/>
          <w:spacing w:val="-22"/>
        </w:rPr>
        <w:t> </w:t>
      </w:r>
      <w:r>
        <w:rPr/>
        <w:t>个月；向中欧盛世资产管理（上海）有限公司、英大基金管 </w:t>
      </w:r>
      <w:r>
        <w:rPr>
          <w:spacing w:val="-1"/>
        </w:rPr>
        <w:t>理有限公司、珠海中兵广发投资基金合伙企业（有限合伙）、中国北方工业公司、云南卓晔投资管理有限</w:t>
      </w:r>
      <w:r>
        <w:rPr>
          <w:spacing w:val="-83"/>
        </w:rPr>
        <w:t> </w:t>
      </w:r>
      <w:r>
        <w:rPr>
          <w:spacing w:val="-83"/>
        </w:rPr>
      </w:r>
      <w:r>
        <w:rPr/>
        <w:t>公司、安信基金管理有限责任公司发行的股份限售期为</w:t>
      </w:r>
      <w:r>
        <w:rPr>
          <w:spacing w:val="-53"/>
        </w:rPr>
        <w:t> </w:t>
      </w:r>
      <w:r>
        <w:rPr>
          <w:rFonts w:ascii="宋体" w:hAnsi="宋体" w:cs="宋体" w:eastAsia="宋体" w:hint="default"/>
        </w:rPr>
        <w:t>12</w:t>
      </w:r>
      <w:r>
        <w:rPr>
          <w:rFonts w:ascii="宋体" w:hAnsi="宋体" w:cs="宋体" w:eastAsia="宋体" w:hint="default"/>
          <w:spacing w:val="-54"/>
        </w:rPr>
        <w:t> </w:t>
      </w:r>
      <w:r>
        <w:rPr/>
        <w:t>个月。上述股份上市日为</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w:t>
      </w:r>
    </w:p>
    <w:p>
      <w:pPr>
        <w:spacing w:before="151"/>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30" w:firstLine="420"/>
        <w:jc w:val="both"/>
      </w:pPr>
      <w:r>
        <w:rPr/>
        <w:t>公司</w:t>
      </w:r>
      <w:r>
        <w:rPr>
          <w:spacing w:val="-43"/>
        </w:rPr>
        <w:t> </w:t>
      </w:r>
      <w:r>
        <w:rPr>
          <w:rFonts w:ascii="宋体" w:hAnsi="宋体" w:cs="宋体" w:eastAsia="宋体" w:hint="default"/>
        </w:rPr>
        <w:t>2015</w:t>
      </w:r>
      <w:r>
        <w:rPr>
          <w:rFonts w:ascii="宋体" w:hAnsi="宋体" w:cs="宋体" w:eastAsia="宋体" w:hint="default"/>
          <w:spacing w:val="-43"/>
        </w:rPr>
        <w:t> </w:t>
      </w:r>
      <w:r>
        <w:rPr/>
        <w:t>年半年度权益分派及发行股份及支付现金购买资产并募集配套资金实施完成后，公司</w:t>
      </w:r>
      <w:r>
        <w:rPr>
          <w:spacing w:val="-42"/>
        </w:rPr>
        <w:t> </w:t>
      </w:r>
      <w:r>
        <w:rPr>
          <w:rFonts w:ascii="宋体" w:hAnsi="宋体" w:cs="宋体" w:eastAsia="宋体" w:hint="default"/>
        </w:rPr>
        <w:t>2014 </w:t>
      </w:r>
      <w:r>
        <w:rPr/>
        <w:t>年基本每股收益调整为</w:t>
      </w:r>
      <w:r>
        <w:rPr>
          <w:spacing w:val="-57"/>
        </w:rPr>
        <w:t> </w:t>
      </w:r>
      <w:r>
        <w:rPr>
          <w:rFonts w:ascii="宋体" w:hAnsi="宋体" w:cs="宋体" w:eastAsia="宋体" w:hint="default"/>
        </w:rPr>
        <w:t>0.16</w:t>
      </w:r>
      <w:r>
        <w:rPr/>
        <w:t>（元</w:t>
      </w:r>
      <w:r>
        <w:rPr>
          <w:rFonts w:ascii="宋体" w:hAnsi="宋体" w:cs="宋体" w:eastAsia="宋体" w:hint="default"/>
        </w:rPr>
        <w:t>/</w:t>
      </w:r>
      <w:r>
        <w:rPr/>
        <w:t>股）。</w:t>
      </w:r>
    </w:p>
    <w:p>
      <w:pPr>
        <w:spacing w:line="240" w:lineRule="auto" w:before="7"/>
        <w:rPr>
          <w:rFonts w:ascii="宋体" w:hAnsi="宋体" w:cs="宋体" w:eastAsia="宋体" w:hint="default"/>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0" w:footer="979" w:top="1100" w:bottom="1160" w:left="980" w:right="0"/>
        </w:sectPr>
      </w:pPr>
    </w:p>
    <w:p>
      <w:pPr>
        <w:spacing w:line="240" w:lineRule="auto" w:before="1"/>
        <w:rPr>
          <w:rFonts w:ascii="宋体" w:hAnsi="宋体" w:cs="宋体" w:eastAsia="宋体" w:hint="default"/>
          <w:sz w:val="21"/>
          <w:szCs w:val="21"/>
        </w:rPr>
      </w:pPr>
      <w:r>
        <w:rPr/>
        <w:pict>
          <v:shape style="position:absolute;margin-left:456.059998pt;margin-top:291.919983pt;width:91.65pt;height:98.3pt;mso-position-horizontal-relative:page;mso-position-vertical-relative:page;z-index:-9782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日，</w:t>
                  </w:r>
                </w:p>
              </w:txbxContent>
            </v:textbox>
            <w10:wrap type="none"/>
          </v:shape>
        </w:pict>
      </w:r>
      <w:r>
        <w:rPr/>
        <w:pict>
          <v:group style="position:absolute;margin-left:471.23999pt;margin-top:291.919983pt;width:76.45pt;height:98.3pt;mso-position-horizontal-relative:page;mso-position-vertical-relative:page;z-index:-978232" coordorigin="9425,5838" coordsize="1529,1966">
            <v:shape style="position:absolute;left:9425;top:5838;width:1529;height:1966" coordorigin="9425,5838" coordsize="1529,1966" path="m9425,7804l10954,7804,10954,5838,9425,5838,9425,7804xe" filled="true" fillcolor="#ffffff" stroked="false">
              <v:path arrowok="t"/>
              <v:fill type="solid"/>
            </v:shape>
            <w10:wrap type="none"/>
          </v:group>
        </w:pict>
      </w:r>
      <w:r>
        <w:rPr/>
        <w:pict>
          <v:group style="position:absolute;margin-left:471.23999pt;margin-top:673.630005pt;width:76.45pt;height:80.55pt;mso-position-horizontal-relative:page;mso-position-vertical-relative:page;z-index:-978208" coordorigin="9425,13473" coordsize="1529,1611">
            <v:group style="position:absolute;left:9436;top:13484;width:2;height:393" coordorigin="9436,13484" coordsize="2,393">
              <v:shape style="position:absolute;left:9436;top:13484;width:2;height:393" coordorigin="9436,13484" coordsize="0,393" path="m9436,13484l9436,13876e" filled="false" stroked="true" strokeweight="1.140pt" strokecolor="#ffffff">
                <v:path arrowok="t"/>
              </v:shape>
            </v:group>
            <v:group style="position:absolute;left:9425;top:13876;width:1529;height:1207" coordorigin="9425,13876" coordsize="1529,1207">
              <v:shape style="position:absolute;left:9425;top:13876;width:1529;height:1207" coordorigin="9425,13876" coordsize="1529,1207" path="m9425,15083l10954,15083,10954,13876,9425,13876,9425,15083xe" filled="true" fillcolor="#ffffff" stroked="false">
                <v:path arrowok="t"/>
                <v:fill type="solid"/>
              </v:shape>
            </v:group>
            <v:group style="position:absolute;left:9448;top:13484;width:1482;height:393" coordorigin="9448,13484" coordsize="1482,393">
              <v:shape style="position:absolute;left:9448;top:13484;width:1482;height:393" coordorigin="9448,13484" coordsize="1482,393" path="m9448,13876l10930,13876,10930,13484,9448,13484,9448,13876xe" filled="true" fillcolor="#ffffff" stroked="false">
                <v:path arrowok="t"/>
                <v:fill type="solid"/>
              </v:shape>
            </v:group>
            <w10:wrap type="none"/>
          </v:group>
        </w:pict>
      </w:r>
    </w:p>
    <w:p>
      <w:pPr>
        <w:spacing w:before="38"/>
        <w:ind w:left="293" w:right="1131" w:firstLine="0"/>
        <w:jc w:val="left"/>
        <w:rPr>
          <w:rFonts w:ascii="宋体" w:hAnsi="宋体" w:cs="宋体" w:eastAsia="宋体" w:hint="default"/>
          <w:sz w:val="20"/>
          <w:szCs w:val="20"/>
        </w:rPr>
      </w:pPr>
      <w:bookmarkStart w:name="2、限售股份变动情况" w:id="103"/>
      <w:bookmarkEnd w:id="103"/>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、限售股份变动情况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293" w:right="1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pict>
          <v:shape style="position:absolute;margin-left:438.093994pt;margin-top:58.351734pt;width:109.6pt;height:98.3pt;mso-position-horizontal-relative:page;mso-position-vertical-relative:paragraph;z-index:-9782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7"/>
                    <w:ind w:left="0" w:right="0" w:firstLine="0"/>
                    <w:jc w:val="left"/>
                    <w:rPr>
                      <w:rFonts w:ascii="宋体" w:hAnsi="宋体" w:cs="宋体" w:eastAsia="宋体" w:hint="default"/>
                      <w:sz w:val="18"/>
                      <w:szCs w:val="18"/>
                    </w:rPr>
                  </w:pPr>
                  <w:r>
                    <w:rPr>
                      <w:rFonts w:ascii="宋体" w:hAnsi="宋体" w:cs="宋体" w:eastAsia="宋体" w:hint="default"/>
                      <w:sz w:val="18"/>
                      <w:szCs w:val="18"/>
                    </w:rPr>
                    <w:t>朱平正、</w:t>
                  </w:r>
                </w:p>
              </w:txbxContent>
            </v:textbox>
            <w10:wrap type="none"/>
          </v:shape>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521"/>
        <w:gridCol w:w="1174"/>
        <w:gridCol w:w="1275"/>
        <w:gridCol w:w="1134"/>
        <w:gridCol w:w="1316"/>
        <w:gridCol w:w="2051"/>
        <w:gridCol w:w="1538"/>
      </w:tblGrid>
      <w:tr>
        <w:trPr>
          <w:trHeight w:val="714" w:hRule="exact"/>
        </w:trPr>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期初限售股数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2" w:right="90"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109"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欧亚云</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8,054,262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8,054,262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36"/>
              <w:jc w:val="left"/>
              <w:rPr>
                <w:rFonts w:ascii="宋体" w:hAnsi="宋体" w:cs="宋体" w:eastAsia="宋体" w:hint="default"/>
                <w:sz w:val="18"/>
                <w:szCs w:val="18"/>
              </w:rPr>
            </w:pPr>
            <w:r>
              <w:rPr>
                <w:rFonts w:ascii="宋体" w:hAnsi="宋体" w:cs="宋体" w:eastAsia="宋体" w:hint="default"/>
                <w:sz w:val="18"/>
                <w:szCs w:val="18"/>
              </w:rPr>
              <w:t>公司向欧亚云、欧亚峰、 </w:t>
            </w:r>
            <w:r>
              <w:rPr>
                <w:rFonts w:ascii="宋体" w:hAnsi="宋体" w:cs="宋体" w:eastAsia="宋体" w:hint="default"/>
                <w:spacing w:val="-5"/>
                <w:sz w:val="18"/>
                <w:szCs w:val="18"/>
              </w:rPr>
              <w:t>罗兵辉、李洪辉、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胡观辉、周海蓉、吴波、 郭华定、长沙瑞鹅投资管 理有限公司发行股份购买 其所持有的利欧天鹅合计 </w:t>
            </w:r>
            <w:r>
              <w:rPr>
                <w:rFonts w:ascii="宋体" w:hAnsi="宋体" w:cs="宋体" w:eastAsia="宋体" w:hint="default"/>
                <w:sz w:val="18"/>
                <w:szCs w:val="18"/>
              </w:rPr>
              <w:t>92.61%</w:t>
            </w:r>
            <w:r>
              <w:rPr>
                <w:rFonts w:ascii="宋体" w:hAnsi="宋体" w:cs="宋体" w:eastAsia="宋体" w:hint="default"/>
                <w:sz w:val="18"/>
                <w:szCs w:val="18"/>
              </w:rPr>
              <w:t>的股权，股份上市 时间为</w:t>
            </w:r>
            <w:r>
              <w:rPr>
                <w:rFonts w:ascii="宋体" w:hAnsi="宋体" w:cs="宋体" w:eastAsia="宋体" w:hint="default"/>
                <w:spacing w:val="-58"/>
                <w:sz w:val="18"/>
                <w:szCs w:val="18"/>
              </w:rPr>
              <w:t> </w:t>
            </w:r>
            <w:r>
              <w:rPr>
                <w:rFonts w:ascii="宋体" w:hAnsi="宋体" w:cs="宋体" w:eastAsia="宋体" w:hint="default"/>
                <w:sz w:val="18"/>
                <w:szCs w:val="18"/>
              </w:rPr>
              <w:t>2012</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19</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38" w:type="dxa"/>
            <w:vMerge w:val="restart"/>
            <w:tcBorders>
              <w:top w:val="single" w:sz="4" w:space="0" w:color="000000"/>
              <w:left w:val="single" w:sz="4" w:space="0" w:color="000000"/>
              <w:right w:val="single" w:sz="4" w:space="0" w:color="000000"/>
            </w:tcBorders>
          </w:tcPr>
          <w:p>
            <w:pPr>
              <w:pStyle w:val="TableParagraph"/>
              <w:spacing w:line="1965" w:lineRule="exact"/>
              <w:ind w:right="-51"/>
              <w:jc w:val="left"/>
              <w:rPr>
                <w:rFonts w:ascii="宋体" w:hAnsi="宋体" w:cs="宋体" w:eastAsia="宋体" w:hint="default"/>
                <w:sz w:val="20"/>
                <w:szCs w:val="20"/>
              </w:rPr>
            </w:pPr>
            <w:r>
              <w:rPr>
                <w:rFonts w:ascii="宋体" w:hAnsi="宋体" w:cs="宋体" w:eastAsia="宋体" w:hint="default"/>
                <w:position w:val="-38"/>
                <w:sz w:val="20"/>
                <w:szCs w:val="20"/>
              </w:rPr>
              <w:pict>
                <v:group style="width:76.45pt;height:98.3pt;mso-position-horizontal-relative:char;mso-position-vertical-relative:line" coordorigin="0,0" coordsize="1529,1966">
                  <v:group style="position:absolute;left:0;top:0;width:1529;height:1966" coordorigin="0,0" coordsize="1529,1966">
                    <v:shape style="position:absolute;left:0;top:0;width:1529;height:1966" coordorigin="0,0" coordsize="1529,1966" path="m0,1966l1529,1966,1529,0,0,0,0,1966xe" filled="true" fillcolor="#ffffff" stroked="false">
                      <v:path arrowok="t"/>
                      <v:fill type="solid"/>
                    </v:shape>
                  </v:group>
                </v:group>
              </w:pict>
            </w:r>
            <w:r>
              <w:rPr>
                <w:rFonts w:ascii="宋体" w:hAnsi="宋体" w:cs="宋体" w:eastAsia="宋体" w:hint="default"/>
                <w:position w:val="-38"/>
                <w:sz w:val="20"/>
                <w:szCs w:val="20"/>
              </w:rPr>
            </w:r>
          </w:p>
          <w:p>
            <w:pPr>
              <w:pStyle w:val="TableParagraph"/>
              <w:spacing w:line="240" w:lineRule="auto" w:before="52"/>
              <w:ind w:left="6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欧亚峰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957,183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957,183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周海蓉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192,716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192,716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郭华定</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95,718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95,718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胡观辉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209,127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209,127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朱平正</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299,854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299,854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李洪辉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382,339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382,339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吴波</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184,582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184,582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罗兵辉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574,311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574,311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714"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长沙瑞鹅投资管理 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2,341,354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2,341,354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2051"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17,025,767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34,051,534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51,077,301</w:t>
            </w:r>
          </w:p>
        </w:tc>
        <w:tc>
          <w:tcPr>
            <w:tcW w:w="2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年度，公司向王相 荣、王壮利、王洪仁、梁 小恩、林夏满、金纬资本</w:t>
            </w:r>
          </w:p>
          <w:p>
            <w:pPr>
              <w:pStyle w:val="TableParagraph"/>
              <w:spacing w:line="316" w:lineRule="auto" w:before="24"/>
              <w:ind w:left="22" w:right="22"/>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（山南）一期合伙企业（有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限合伙）、中国水务投资 有限公司及西安海联房屋 建设开发有限公司非公开 发行股份募集资金，股份 上市时间为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12,770,078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25,540,156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38,310,234</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林夏满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1,505,906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3,011,812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4,517,718</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梁小恩</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501,969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1,003,938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1,505,907</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1,003,937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2,007,874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3,011,811</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1026"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金纬资本（山南） 一期合伙企业（有 限合伙）</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13,097,008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26,194,016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sz w:val="18"/>
              </w:rPr>
              <w:t>39,291,024</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714"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中国水务投资有限 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5,019,685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10,039,370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15,059,055</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714"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西安海联房屋建设 开发有限公司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5,019,685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10,039,370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15,059,055</w:t>
            </w:r>
          </w:p>
        </w:tc>
        <w:tc>
          <w:tcPr>
            <w:tcW w:w="2051"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段永玲</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1,600,000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4,800,000</w:t>
            </w:r>
          </w:p>
        </w:tc>
        <w:tc>
          <w:tcPr>
            <w:tcW w:w="205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2" w:lineRule="auto"/>
              <w:ind w:left="22" w:right="23"/>
              <w:jc w:val="left"/>
              <w:rPr>
                <w:rFonts w:ascii="宋体" w:hAnsi="宋体" w:cs="宋体" w:eastAsia="宋体" w:hint="default"/>
                <w:sz w:val="18"/>
                <w:szCs w:val="18"/>
              </w:rPr>
            </w:pPr>
            <w:r>
              <w:rPr>
                <w:rFonts w:ascii="宋体" w:hAnsi="宋体" w:cs="宋体" w:eastAsia="宋体" w:hint="default"/>
                <w:sz w:val="18"/>
                <w:szCs w:val="18"/>
              </w:rPr>
              <w:t>公司以发行股份和支付现 金相结合的方式，购买詹 嘉、李翔、张璐、李劼合 计持有的上海氩氪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7"/>
                <w:sz w:val="18"/>
                <w:szCs w:val="18"/>
              </w:rPr>
              <w:t>股权，购买刘阳、王英杰</w:t>
            </w:r>
            <w:r>
              <w:rPr>
                <w:rFonts w:ascii="宋体" w:hAnsi="宋体" w:cs="宋体" w:eastAsia="宋体" w:hint="default"/>
                <w:sz w:val="18"/>
                <w:szCs w:val="18"/>
              </w:rPr>
              <w:t> 孙唯一、田斌合计持有的 琥珀传播</w:t>
            </w:r>
            <w:r>
              <w:rPr>
                <w:rFonts w:ascii="宋体" w:hAnsi="宋体" w:cs="宋体" w:eastAsia="宋体" w:hint="default"/>
                <w:spacing w:val="-46"/>
                <w:sz w:val="18"/>
                <w:szCs w:val="18"/>
              </w:rPr>
              <w:t> </w:t>
            </w:r>
            <w:r>
              <w:rPr>
                <w:rFonts w:ascii="Times New Roman" w:hAnsi="Times New Roman" w:cs="Times New Roman" w:eastAsia="Times New Roman" w:hint="default"/>
                <w:spacing w:val="-10"/>
                <w:sz w:val="18"/>
                <w:szCs w:val="18"/>
              </w:rPr>
              <w:t>100%</w:t>
            </w:r>
            <w:r>
              <w:rPr>
                <w:rFonts w:ascii="宋体" w:hAnsi="宋体" w:cs="宋体" w:eastAsia="宋体" w:hint="default"/>
                <w:spacing w:val="-10"/>
                <w:sz w:val="18"/>
                <w:szCs w:val="18"/>
              </w:rPr>
              <w:t>股权，同时</w:t>
            </w:r>
            <w:r>
              <w:rPr>
                <w:rFonts w:ascii="宋体" w:hAnsi="宋体" w:cs="宋体" w:eastAsia="宋体" w:hint="default"/>
                <w:sz w:val="18"/>
                <w:szCs w:val="18"/>
              </w:rPr>
              <w:t> 通过锁价的方式，向郑晓</w:t>
            </w: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张璐</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1,120,020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2,240,040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3,360,060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1,270,470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2,540,940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3,811,410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詹嘉</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2,675,277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5,350,554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8,025,831</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4,275,380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8,550,760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12,826,140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郭海</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1,600,000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4,800,000</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李劼</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952,853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1,905,706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2,858,559</w:t>
            </w:r>
          </w:p>
        </w:tc>
        <w:tc>
          <w:tcPr>
            <w:tcW w:w="2051" w:type="dxa"/>
            <w:vMerge/>
            <w:tcBorders>
              <w:left w:val="single" w:sz="4" w:space="0" w:color="000000"/>
              <w:bottom w:val="nil" w:sz="6" w:space="0" w:color="auto"/>
              <w:right w:val="single" w:sz="4" w:space="0" w:color="000000"/>
            </w:tcBorders>
          </w:tcPr>
          <w:p>
            <w:pPr/>
          </w:p>
        </w:tc>
        <w:tc>
          <w:tcPr>
            <w:tcW w:w="1538" w:type="dxa"/>
            <w:vMerge/>
            <w:tcBorders>
              <w:left w:val="single" w:sz="4" w:space="0" w:color="000000"/>
              <w:bottom w:val="nil" w:sz="6" w:space="0" w:color="auto"/>
              <w:right w:val="single" w:sz="4" w:space="0" w:color="000000"/>
            </w:tcBorders>
          </w:tcPr>
          <w:p>
            <w:pPr/>
          </w:p>
        </w:tc>
      </w:tr>
    </w:tbl>
    <w:p>
      <w:pPr>
        <w:spacing w:after="0"/>
        <w:sectPr>
          <w:pgSz w:w="11910" w:h="16840"/>
          <w:pgMar w:header="0" w:footer="979" w:top="1100" w:bottom="1160" w:left="8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521"/>
        <w:gridCol w:w="1174"/>
        <w:gridCol w:w="1275"/>
        <w:gridCol w:w="1134"/>
        <w:gridCol w:w="1316"/>
        <w:gridCol w:w="2051"/>
        <w:gridCol w:w="1538"/>
      </w:tblGrid>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孙唯一</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1,246,670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sz w:val="18"/>
              </w:rPr>
              <w:t>2,493,340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3,740,010</w:t>
            </w:r>
          </w:p>
        </w:tc>
        <w:tc>
          <w:tcPr>
            <w:tcW w:w="2051" w:type="dxa"/>
            <w:vMerge w:val="restart"/>
            <w:tcBorders>
              <w:top w:val="nil" w:sz="6" w:space="0" w:color="auto"/>
              <w:left w:val="single" w:sz="4" w:space="0" w:color="000000"/>
              <w:right w:val="single" w:sz="4" w:space="0" w:color="000000"/>
            </w:tcBorders>
          </w:tcPr>
          <w:p>
            <w:pPr>
              <w:pStyle w:val="TableParagraph"/>
              <w:spacing w:line="312" w:lineRule="auto" w:before="15"/>
              <w:ind w:left="22"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东、段永玲、郭海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名特 定投资者非公开发行股份 募集配套资金。股份上市 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4"/>
              <w:ind w:left="22" w:right="0"/>
              <w:jc w:val="both"/>
              <w:rPr>
                <w:rFonts w:ascii="宋体" w:hAnsi="宋体" w:cs="宋体" w:eastAsia="宋体" w:hint="default"/>
                <w:sz w:val="18"/>
                <w:szCs w:val="18"/>
              </w:rPr>
            </w:pPr>
            <w:r>
              <w:rPr>
                <w:rFonts w:ascii="宋体" w:hAnsi="宋体" w:cs="宋体" w:eastAsia="宋体" w:hint="default"/>
                <w:sz w:val="18"/>
                <w:szCs w:val="18"/>
              </w:rPr>
              <w:t>日，锁定期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38" w:type="dxa"/>
            <w:vMerge w:val="restart"/>
            <w:tcBorders>
              <w:top w:val="single" w:sz="4" w:space="0" w:color="FFFFFF"/>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王英杰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1,454,448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sz w:val="18"/>
              </w:rPr>
              <w:t>2,908,896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4,363,344</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刘阳</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2,077,784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sz w:val="18"/>
              </w:rPr>
              <w:t>4,155,568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6,233,352</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5"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sz w:val="18"/>
              </w:rPr>
              <w:t>415,557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7" w:right="0"/>
              <w:jc w:val="left"/>
              <w:rPr>
                <w:rFonts w:ascii="宋体" w:hAnsi="宋体" w:cs="宋体" w:eastAsia="宋体" w:hint="default"/>
                <w:sz w:val="18"/>
                <w:szCs w:val="18"/>
              </w:rPr>
            </w:pPr>
            <w:r>
              <w:rPr>
                <w:rFonts w:ascii="宋体"/>
                <w:sz w:val="18"/>
              </w:rPr>
              <w:t>831,114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1,246,671</w:t>
            </w:r>
          </w:p>
        </w:tc>
        <w:tc>
          <w:tcPr>
            <w:tcW w:w="2051"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sz w:val="18"/>
              </w:rPr>
              <w:t>136,495,388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136,495,388</w:t>
            </w:r>
          </w:p>
        </w:tc>
        <w:tc>
          <w:tcPr>
            <w:tcW w:w="2051"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公司以发行股份和支付现 金相结合的方式，购买徐 先明、淮安明硕投利明信 息咨询中心（有限合伙） 合计持有的万圣伟业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股权，购买刘璐、何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若萌合计持有的微创时代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股权，通过询价确认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向中欧盛世资产管理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上 </w:t>
            </w:r>
            <w:r>
              <w:rPr>
                <w:rFonts w:ascii="宋体" w:hAnsi="宋体" w:cs="宋体" w:eastAsia="宋体" w:hint="default"/>
                <w:spacing w:val="-4"/>
                <w:sz w:val="18"/>
                <w:szCs w:val="18"/>
              </w:rPr>
              <w:t>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有限公司、英大基金管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理有限公司、中国北方工 业公司、安信基金管理有 限责任公司、珠海中兵广 发投资基金合伙企业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w:t>
            </w:r>
            <w:r>
              <w:rPr>
                <w:rFonts w:ascii="宋体" w:hAnsi="宋体" w:cs="宋体" w:eastAsia="宋体" w:hint="default"/>
                <w:spacing w:val="-4"/>
                <w:sz w:val="18"/>
                <w:szCs w:val="18"/>
              </w:rPr>
              <w:t>限合伙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、云南卓晔投资管</w:t>
            </w:r>
            <w:r>
              <w:rPr>
                <w:rFonts w:ascii="宋体" w:hAnsi="宋体" w:cs="宋体" w:eastAsia="宋体" w:hint="default"/>
                <w:sz w:val="18"/>
                <w:szCs w:val="18"/>
              </w:rPr>
              <w:t> 理有限公司等六名其他特 定投资者募集配套资金。 其中向徐先明、淮安明硕 投利明信息咨询中心（有 限合伙）、刘璐、何若萌 发行的股份限售期为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个月；向中欧盛世资产管 理（上海）有限公司、英 大基金管理有限公司、珠 海中兵广发投资基金合伙 企业（有限合伙）、中国 北方工业公司、云南卓晔 投资管理有限公司、安信 基金管理有限责任公司发 行的股份限售期为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月。上述股份上市日为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淮安明硕投利明信 息咨询中心（有限 合伙）</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9"/>
              <w:jc w:val="right"/>
              <w:rPr>
                <w:rFonts w:ascii="宋体" w:hAnsi="宋体" w:cs="宋体" w:eastAsia="宋体" w:hint="default"/>
                <w:sz w:val="18"/>
                <w:szCs w:val="18"/>
              </w:rPr>
            </w:pPr>
            <w:r>
              <w:rPr>
                <w:rFonts w:ascii="宋体"/>
                <w:sz w:val="18"/>
              </w:rPr>
              <w:t>27,299,077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sz w:val="18"/>
              </w:rPr>
              <w:t>27,299,077</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9"/>
              <w:jc w:val="right"/>
              <w:rPr>
                <w:rFonts w:ascii="宋体" w:hAnsi="宋体" w:cs="宋体" w:eastAsia="宋体" w:hint="default"/>
                <w:sz w:val="18"/>
                <w:szCs w:val="18"/>
              </w:rPr>
            </w:pPr>
            <w:r>
              <w:rPr>
                <w:rFonts w:ascii="宋体"/>
                <w:sz w:val="18"/>
              </w:rPr>
              <w:t>35,968,379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35,968,379</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何若萌</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9"/>
              <w:jc w:val="right"/>
              <w:rPr>
                <w:rFonts w:ascii="宋体" w:hAnsi="宋体" w:cs="宋体" w:eastAsia="宋体" w:hint="default"/>
                <w:sz w:val="18"/>
                <w:szCs w:val="18"/>
              </w:rPr>
            </w:pPr>
            <w:r>
              <w:rPr>
                <w:rFonts w:ascii="宋体"/>
                <w:sz w:val="18"/>
              </w:rPr>
              <w:t>35,968,379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35,968,379</w:t>
            </w:r>
          </w:p>
        </w:tc>
        <w:tc>
          <w:tcPr>
            <w:tcW w:w="2051" w:type="dxa"/>
            <w:vMerge/>
            <w:tcBorders>
              <w:left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中国北方工业公司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9"/>
              <w:jc w:val="right"/>
              <w:rPr>
                <w:rFonts w:ascii="宋体" w:hAnsi="宋体" w:cs="宋体" w:eastAsia="宋体" w:hint="default"/>
                <w:sz w:val="18"/>
                <w:szCs w:val="18"/>
              </w:rPr>
            </w:pPr>
            <w:r>
              <w:rPr>
                <w:rFonts w:ascii="宋体"/>
                <w:sz w:val="18"/>
              </w:rPr>
              <w:t>11,312,217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11,312,217</w:t>
            </w:r>
          </w:p>
        </w:tc>
        <w:tc>
          <w:tcPr>
            <w:tcW w:w="2051" w:type="dxa"/>
            <w:vMerge/>
            <w:tcBorders>
              <w:left w:val="single" w:sz="4" w:space="0" w:color="000000"/>
              <w:right w:val="single" w:sz="4" w:space="0" w:color="000000"/>
            </w:tcBorders>
          </w:tcPr>
          <w:p>
            <w:pPr/>
          </w:p>
        </w:tc>
        <w:tc>
          <w:tcPr>
            <w:tcW w:w="1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r>
      <w:tr>
        <w:trPr>
          <w:trHeight w:val="1026"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云南卓晔投资管理 有限公司－卓晔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号基金</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55"/>
              <w:jc w:val="right"/>
              <w:rPr>
                <w:rFonts w:ascii="宋体" w:hAnsi="宋体" w:cs="宋体" w:eastAsia="宋体" w:hint="default"/>
                <w:sz w:val="18"/>
                <w:szCs w:val="18"/>
              </w:rPr>
            </w:pPr>
            <w:r>
              <w:rPr>
                <w:rFonts w:ascii="宋体"/>
                <w:sz w:val="18"/>
              </w:rPr>
              <w:t>6,722,721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6,722,721</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1026"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珠海中兵广发投资 基金合伙企业（有 限合伙）</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9"/>
              <w:jc w:val="right"/>
              <w:rPr>
                <w:rFonts w:ascii="宋体" w:hAnsi="宋体" w:cs="宋体" w:eastAsia="宋体" w:hint="default"/>
                <w:sz w:val="18"/>
                <w:szCs w:val="18"/>
              </w:rPr>
            </w:pPr>
            <w:r>
              <w:rPr>
                <w:rFonts w:ascii="宋体"/>
                <w:sz w:val="18"/>
              </w:rPr>
              <w:t>10,189,157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sz w:val="18"/>
              </w:rPr>
              <w:t>10,189,157</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1026"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中欧盛世－广发银 行－景鑫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 管理计划</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9"/>
              <w:jc w:val="right"/>
              <w:rPr>
                <w:rFonts w:ascii="宋体" w:hAnsi="宋体" w:cs="宋体" w:eastAsia="宋体" w:hint="default"/>
                <w:sz w:val="18"/>
                <w:szCs w:val="18"/>
              </w:rPr>
            </w:pPr>
            <w:r>
              <w:rPr>
                <w:rFonts w:ascii="宋体"/>
                <w:sz w:val="18"/>
              </w:rPr>
              <w:t>31,102,262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sz w:val="18"/>
              </w:rPr>
              <w:t>31,102,262</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1650"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英大基金－广发银 行－四川信托－四 川信托－金桥一号 证券投资集合资金 信托计划</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9"/>
              <w:jc w:val="right"/>
              <w:rPr>
                <w:rFonts w:ascii="宋体" w:hAnsi="宋体" w:cs="宋体" w:eastAsia="宋体" w:hint="default"/>
                <w:sz w:val="18"/>
                <w:szCs w:val="18"/>
              </w:rPr>
            </w:pPr>
            <w:r>
              <w:rPr>
                <w:rFonts w:ascii="宋体"/>
                <w:sz w:val="18"/>
              </w:rPr>
              <w:t>29,826,923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sz w:val="18"/>
              </w:rPr>
              <w:t>29,826,923</w:t>
            </w:r>
          </w:p>
        </w:tc>
        <w:tc>
          <w:tcPr>
            <w:tcW w:w="2051" w:type="dxa"/>
            <w:vMerge/>
            <w:tcBorders>
              <w:left w:val="single" w:sz="4" w:space="0" w:color="000000"/>
              <w:right w:val="single" w:sz="4" w:space="0" w:color="000000"/>
            </w:tcBorders>
          </w:tcPr>
          <w:p>
            <w:pPr/>
          </w:p>
        </w:tc>
        <w:tc>
          <w:tcPr>
            <w:tcW w:w="1538" w:type="dxa"/>
            <w:vMerge/>
            <w:tcBorders>
              <w:left w:val="single" w:sz="4" w:space="0" w:color="000000"/>
              <w:right w:val="single" w:sz="4" w:space="0" w:color="000000"/>
            </w:tcBorders>
          </w:tcPr>
          <w:p>
            <w:pPr/>
          </w:p>
        </w:tc>
      </w:tr>
      <w:tr>
        <w:trPr>
          <w:trHeight w:val="271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09" w:lineRule="auto"/>
              <w:ind w:left="22" w:right="46"/>
              <w:jc w:val="both"/>
              <w:rPr>
                <w:rFonts w:ascii="宋体" w:hAnsi="宋体" w:cs="宋体" w:eastAsia="宋体" w:hint="default"/>
                <w:sz w:val="18"/>
                <w:szCs w:val="18"/>
              </w:rPr>
            </w:pPr>
            <w:r>
              <w:rPr>
                <w:rFonts w:ascii="宋体" w:hAnsi="宋体" w:cs="宋体" w:eastAsia="宋体" w:hint="default"/>
                <w:sz w:val="18"/>
                <w:szCs w:val="18"/>
              </w:rPr>
              <w:t>安信基金－工商银 行－拓定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 管理计划</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9"/>
              <w:jc w:val="right"/>
              <w:rPr>
                <w:rFonts w:ascii="宋体" w:hAnsi="宋体" w:cs="宋体" w:eastAsia="宋体" w:hint="default"/>
                <w:sz w:val="18"/>
                <w:szCs w:val="18"/>
              </w:rPr>
            </w:pPr>
            <w:r>
              <w:rPr>
                <w:rFonts w:ascii="宋体"/>
                <w:sz w:val="18"/>
              </w:rPr>
              <w:t>10,269,796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10,269,796</w:t>
            </w:r>
          </w:p>
        </w:tc>
        <w:tc>
          <w:tcPr>
            <w:tcW w:w="2051"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tcPr>
          <w:p>
            <w:pPr/>
          </w:p>
        </w:tc>
      </w:tr>
      <w:tr>
        <w:trPr>
          <w:trHeight w:val="196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58,907,046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4,897,159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5"/>
              <w:jc w:val="right"/>
              <w:rPr>
                <w:rFonts w:ascii="宋体" w:hAnsi="宋体" w:cs="宋体" w:eastAsia="宋体" w:hint="default"/>
                <w:sz w:val="18"/>
                <w:szCs w:val="18"/>
              </w:rPr>
            </w:pPr>
            <w:r>
              <w:rPr>
                <w:rFonts w:ascii="宋体"/>
                <w:sz w:val="18"/>
              </w:rPr>
              <w:t>109,822,759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163,832,646</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日，王相 荣持有的高管锁定股 </w:t>
            </w:r>
            <w:r>
              <w:rPr>
                <w:rFonts w:ascii="Times New Roman" w:hAnsi="Times New Roman" w:cs="Times New Roman" w:eastAsia="Times New Roman" w:hint="default"/>
                <w:sz w:val="18"/>
                <w:szCs w:val="18"/>
              </w:rPr>
              <w:t>2,430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万解除质押，经申</w:t>
            </w:r>
          </w:p>
          <w:p>
            <w:pPr>
              <w:pStyle w:val="TableParagraph"/>
              <w:spacing w:line="309" w:lineRule="auto" w:before="5"/>
              <w:ind w:left="22" w:right="23"/>
              <w:jc w:val="both"/>
              <w:rPr>
                <w:rFonts w:ascii="宋体" w:hAnsi="宋体" w:cs="宋体" w:eastAsia="宋体" w:hint="default"/>
                <w:sz w:val="18"/>
                <w:szCs w:val="18"/>
              </w:rPr>
            </w:pPr>
            <w:r>
              <w:rPr>
                <w:rFonts w:ascii="宋体" w:hAnsi="宋体" w:cs="宋体" w:eastAsia="宋体" w:hint="default"/>
                <w:spacing w:val="-15"/>
                <w:sz w:val="18"/>
                <w:szCs w:val="18"/>
              </w:rPr>
              <w:t>请，其中的</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4,897,159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高管 锁定股变更为无限售流通 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8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521"/>
        <w:gridCol w:w="1174"/>
        <w:gridCol w:w="1275"/>
        <w:gridCol w:w="1134"/>
        <w:gridCol w:w="1316"/>
        <w:gridCol w:w="2051"/>
        <w:gridCol w:w="1538"/>
      </w:tblGrid>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45,937,187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9"/>
              <w:jc w:val="right"/>
              <w:rPr>
                <w:rFonts w:ascii="宋体" w:hAnsi="宋体" w:cs="宋体" w:eastAsia="宋体" w:hint="default"/>
                <w:sz w:val="18"/>
                <w:szCs w:val="18"/>
              </w:rPr>
            </w:pPr>
            <w:r>
              <w:rPr>
                <w:rFonts w:ascii="宋体"/>
                <w:sz w:val="18"/>
              </w:rPr>
              <w:t>91,874,374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137,811,561</w:t>
            </w:r>
          </w:p>
        </w:tc>
        <w:tc>
          <w:tcPr>
            <w:tcW w:w="2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1,677,823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sz w:val="18"/>
              </w:rPr>
              <w:t>3,355,646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5,033,469</w:t>
            </w:r>
          </w:p>
        </w:tc>
        <w:tc>
          <w:tcPr>
            <w:tcW w:w="2051" w:type="dxa"/>
            <w:vMerge/>
            <w:tcBorders>
              <w:left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1,539,083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sz w:val="18"/>
              </w:rPr>
              <w:t>3,078,166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4,617,249</w:t>
            </w:r>
          </w:p>
        </w:tc>
        <w:tc>
          <w:tcPr>
            <w:tcW w:w="2051" w:type="dxa"/>
            <w:vMerge/>
            <w:tcBorders>
              <w:left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1,141,399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sz w:val="18"/>
              </w:rPr>
              <w:t>2,282,798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3,424,197</w:t>
            </w:r>
          </w:p>
        </w:tc>
        <w:tc>
          <w:tcPr>
            <w:tcW w:w="2051" w:type="dxa"/>
            <w:vMerge/>
            <w:tcBorders>
              <w:left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1,701,748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sz w:val="18"/>
              </w:rPr>
              <w:t>3,403,496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5,105,244</w:t>
            </w:r>
          </w:p>
        </w:tc>
        <w:tc>
          <w:tcPr>
            <w:tcW w:w="2051" w:type="dxa"/>
            <w:vMerge/>
            <w:tcBorders>
              <w:left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颜灵强</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1,644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7" w:right="0"/>
              <w:jc w:val="left"/>
              <w:rPr>
                <w:rFonts w:ascii="宋体" w:hAnsi="宋体" w:cs="宋体" w:eastAsia="宋体" w:hint="default"/>
                <w:sz w:val="18"/>
                <w:szCs w:val="18"/>
              </w:rPr>
            </w:pPr>
            <w:r>
              <w:rPr>
                <w:rFonts w:ascii="宋体"/>
                <w:sz w:val="18"/>
              </w:rPr>
              <w:t>3,288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4,932</w:t>
            </w:r>
          </w:p>
        </w:tc>
        <w:tc>
          <w:tcPr>
            <w:tcW w:w="2051"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4" w:hRule="exact"/>
        </w:trPr>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 w:right="0"/>
              <w:jc w:val="center"/>
              <w:rPr>
                <w:rFonts w:ascii="宋体" w:hAnsi="宋体" w:cs="宋体" w:eastAsia="宋体" w:hint="default"/>
                <w:sz w:val="18"/>
                <w:szCs w:val="18"/>
              </w:rPr>
            </w:pPr>
            <w:r>
              <w:rPr>
                <w:rFonts w:ascii="宋体"/>
                <w:sz w:val="18"/>
              </w:rPr>
              <w:t>4,050,547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宋体"/>
                <w:sz w:val="18"/>
              </w:rPr>
              <w:t>12,151,641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55"/>
              <w:jc w:val="right"/>
              <w:rPr>
                <w:rFonts w:ascii="宋体" w:hAnsi="宋体" w:cs="宋体" w:eastAsia="宋体" w:hint="default"/>
                <w:sz w:val="18"/>
                <w:szCs w:val="18"/>
              </w:rPr>
            </w:pPr>
            <w:r>
              <w:rPr>
                <w:rFonts w:ascii="宋体"/>
                <w:sz w:val="18"/>
              </w:rPr>
              <w:t>8,101,094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宋体"/>
                <w:sz w:val="18"/>
              </w:rPr>
              <w:t>0</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因董事会换届，王洪仁于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日离任公 司董事，其所持有的公司 股份自离任信息申报之日 起六个月内将予以锁定。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日，王洪</w:t>
            </w:r>
            <w:r>
              <w:rPr>
                <w:rFonts w:ascii="宋体" w:hAnsi="宋体" w:cs="宋体" w:eastAsia="宋体" w:hint="default"/>
                <w:sz w:val="18"/>
                <w:szCs w:val="18"/>
              </w:rPr>
              <w:t> 仁所持有的公司股份的 </w:t>
            </w:r>
            <w:r>
              <w:rPr>
                <w:rFonts w:ascii="Times New Roman" w:hAnsi="Times New Roman" w:cs="Times New Roman" w:eastAsia="Times New Roman" w:hint="default"/>
                <w:sz w:val="18"/>
                <w:szCs w:val="18"/>
              </w:rPr>
              <w:t>1/2 </w:t>
            </w:r>
            <w:r>
              <w:rPr>
                <w:rFonts w:ascii="宋体" w:hAnsi="宋体" w:cs="宋体" w:eastAsia="宋体" w:hint="default"/>
                <w:sz w:val="18"/>
                <w:szCs w:val="18"/>
              </w:rPr>
              <w:t>解除限售。</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日，除认购公司非公</w:t>
            </w:r>
          </w:p>
          <w:p>
            <w:pPr>
              <w:pStyle w:val="TableParagraph"/>
              <w:spacing w:line="309" w:lineRule="auto" w:before="3"/>
              <w:ind w:left="22" w:right="36"/>
              <w:jc w:val="left"/>
              <w:rPr>
                <w:rFonts w:ascii="宋体" w:hAnsi="宋体" w:cs="宋体" w:eastAsia="宋体" w:hint="default"/>
                <w:sz w:val="18"/>
                <w:szCs w:val="18"/>
              </w:rPr>
            </w:pPr>
            <w:r>
              <w:rPr>
                <w:rFonts w:ascii="宋体" w:hAnsi="宋体" w:cs="宋体" w:eastAsia="宋体" w:hint="default"/>
                <w:sz w:val="18"/>
                <w:szCs w:val="18"/>
              </w:rPr>
              <w:t>开发行的股份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3,011,811 </w:t>
            </w:r>
            <w:r>
              <w:rPr>
                <w:rFonts w:ascii="宋体" w:hAnsi="宋体" w:cs="宋体" w:eastAsia="宋体" w:hint="default"/>
                <w:sz w:val="18"/>
                <w:szCs w:val="18"/>
              </w:rPr>
              <w:t>股外，王洪仁持有的公司 股份全部解除限售。</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202,880,417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30,340,246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sz w:val="18"/>
              </w:rPr>
              <w:t>706,340,908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878,881,079</w:t>
            </w:r>
          </w:p>
        </w:tc>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73" w:lineRule="auto" w:before="35"/>
        <w:ind w:left="293" w:right="1131"/>
        <w:jc w:val="left"/>
        <w:rPr>
          <w:b w:val="0"/>
          <w:bCs w:val="0"/>
        </w:rPr>
      </w:pPr>
      <w:bookmarkStart w:name="注：2015年8月21日，公司实施2015年半年度权益分派方案，以资本公积转增股" w:id="104"/>
      <w:bookmarkEnd w:id="104"/>
      <w:r>
        <w:rPr>
          <w:b w:val="0"/>
          <w:bCs w:val="0"/>
        </w:rPr>
      </w:r>
      <w:r>
        <w:rPr/>
        <w:t>注：</w:t>
      </w:r>
      <w:r>
        <w:rPr>
          <w:rFonts w:ascii="仿宋" w:hAnsi="仿宋" w:cs="仿宋" w:eastAsia="仿宋" w:hint="default"/>
        </w:rPr>
        <w:t>2015</w:t>
      </w:r>
      <w:r>
        <w:rPr>
          <w:rFonts w:ascii="仿宋" w:hAnsi="仿宋" w:cs="仿宋" w:eastAsia="仿宋" w:hint="default"/>
          <w:spacing w:val="-40"/>
        </w:rPr>
        <w:t> </w:t>
      </w:r>
      <w:r>
        <w:rPr/>
        <w:t>年</w:t>
      </w:r>
      <w:r>
        <w:rPr>
          <w:spacing w:val="-40"/>
        </w:rPr>
        <w:t> </w:t>
      </w:r>
      <w:r>
        <w:rPr>
          <w:rFonts w:ascii="仿宋" w:hAnsi="仿宋" w:cs="仿宋" w:eastAsia="仿宋" w:hint="default"/>
        </w:rPr>
        <w:t>8</w:t>
      </w:r>
      <w:r>
        <w:rPr>
          <w:rFonts w:ascii="仿宋" w:hAnsi="仿宋" w:cs="仿宋" w:eastAsia="仿宋" w:hint="default"/>
          <w:spacing w:val="-41"/>
        </w:rPr>
        <w:t> </w:t>
      </w:r>
      <w:r>
        <w:rPr/>
        <w:t>月</w:t>
      </w:r>
      <w:r>
        <w:rPr>
          <w:spacing w:val="-40"/>
        </w:rPr>
        <w:t> </w:t>
      </w:r>
      <w:r>
        <w:rPr>
          <w:rFonts w:ascii="仿宋" w:hAnsi="仿宋" w:cs="仿宋" w:eastAsia="仿宋" w:hint="default"/>
        </w:rPr>
        <w:t>21</w:t>
      </w:r>
      <w:r>
        <w:rPr>
          <w:rFonts w:ascii="仿宋" w:hAnsi="仿宋" w:cs="仿宋" w:eastAsia="仿宋" w:hint="default"/>
          <w:spacing w:val="-41"/>
        </w:rPr>
        <w:t> </w:t>
      </w:r>
      <w:r>
        <w:rPr/>
        <w:t>日，公司实施</w:t>
      </w:r>
      <w:r>
        <w:rPr>
          <w:spacing w:val="-40"/>
        </w:rPr>
        <w:t> </w:t>
      </w:r>
      <w:r>
        <w:rPr>
          <w:rFonts w:ascii="仿宋" w:hAnsi="仿宋" w:cs="仿宋" w:eastAsia="仿宋" w:hint="default"/>
        </w:rPr>
        <w:t>2015</w:t>
      </w:r>
      <w:r>
        <w:rPr>
          <w:rFonts w:ascii="仿宋" w:hAnsi="仿宋" w:cs="仿宋" w:eastAsia="仿宋" w:hint="default"/>
          <w:spacing w:val="-41"/>
        </w:rPr>
        <w:t> </w:t>
      </w:r>
      <w:r>
        <w:rPr/>
        <w:t>年半年度权益分派方案，以资本公积转增股本，每</w:t>
      </w:r>
      <w:r>
        <w:rPr>
          <w:spacing w:val="-38"/>
        </w:rPr>
        <w:t> </w:t>
      </w:r>
      <w:r>
        <w:rPr>
          <w:rFonts w:ascii="仿宋" w:hAnsi="仿宋" w:cs="仿宋" w:eastAsia="仿宋" w:hint="default"/>
        </w:rPr>
        <w:t>10</w:t>
      </w:r>
      <w:r>
        <w:rPr>
          <w:rFonts w:ascii="仿宋" w:hAnsi="仿宋" w:cs="仿宋" w:eastAsia="仿宋" w:hint="default"/>
          <w:spacing w:val="-41"/>
        </w:rPr>
        <w:t> </w:t>
      </w:r>
      <w:r>
        <w:rPr/>
        <w:t>股转增</w:t>
      </w:r>
      <w:r>
        <w:rPr>
          <w:spacing w:val="-40"/>
        </w:rPr>
        <w:t> </w:t>
      </w:r>
      <w:r>
        <w:rPr>
          <w:rFonts w:ascii="仿宋" w:hAnsi="仿宋" w:cs="仿宋" w:eastAsia="仿宋" w:hint="default"/>
        </w:rPr>
        <w:t>20</w:t>
      </w:r>
      <w:r>
        <w:rPr>
          <w:rFonts w:ascii="仿宋" w:hAnsi="仿宋" w:cs="仿宋" w:eastAsia="仿宋" w:hint="default"/>
          <w:w w:val="99"/>
        </w:rPr>
        <w:t> </w:t>
      </w:r>
      <w:r>
        <w:rPr/>
        <w:t>股。</w:t>
      </w:r>
      <w:r>
        <w:rPr>
          <w:b w:val="0"/>
          <w:bCs w:val="0"/>
        </w:rPr>
      </w:r>
    </w:p>
    <w:p>
      <w:pPr>
        <w:spacing w:line="240" w:lineRule="auto" w:before="11"/>
        <w:rPr>
          <w:rFonts w:ascii="仿宋" w:hAnsi="仿宋" w:cs="仿宋" w:eastAsia="仿宋" w:hint="default"/>
          <w:b/>
          <w:bCs/>
          <w:sz w:val="21"/>
          <w:szCs w:val="21"/>
        </w:rPr>
      </w:pPr>
    </w:p>
    <w:p>
      <w:pPr>
        <w:pStyle w:val="Heading2"/>
        <w:spacing w:line="240" w:lineRule="auto"/>
        <w:ind w:left="293" w:right="1131"/>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6"/>
        <w:rPr>
          <w:rFonts w:ascii="宋体" w:hAnsi="宋体" w:cs="宋体" w:eastAsia="宋体" w:hint="default"/>
          <w:b/>
          <w:bCs/>
          <w:sz w:val="25"/>
          <w:szCs w:val="25"/>
        </w:rPr>
      </w:pPr>
    </w:p>
    <w:p>
      <w:pPr>
        <w:spacing w:before="0"/>
        <w:ind w:left="293" w:right="1131" w:firstLine="0"/>
        <w:jc w:val="left"/>
        <w:rPr>
          <w:rFonts w:ascii="宋体" w:hAnsi="宋体" w:cs="宋体" w:eastAsia="宋体" w:hint="default"/>
          <w:sz w:val="20"/>
          <w:szCs w:val="20"/>
        </w:rPr>
      </w:pPr>
      <w:bookmarkStart w:name="1、报告期内证券发行（不含优先股）情况" w:id="106"/>
      <w:bookmarkEnd w:id="106"/>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、报告期内证券发行（不含优先股）情况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293" w:right="1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289" w:type="dxa"/>
        <w:tblLayout w:type="fixed"/>
        <w:tblCellMar>
          <w:top w:w="0" w:type="dxa"/>
          <w:left w:w="0" w:type="dxa"/>
          <w:bottom w:w="0" w:type="dxa"/>
          <w:right w:w="0" w:type="dxa"/>
        </w:tblCellMar>
        <w:tblLook w:val="01E0"/>
      </w:tblPr>
      <w:tblGrid>
        <w:gridCol w:w="1413"/>
        <w:gridCol w:w="1542"/>
        <w:gridCol w:w="1295"/>
        <w:gridCol w:w="1295"/>
        <w:gridCol w:w="1524"/>
        <w:gridCol w:w="1295"/>
        <w:gridCol w:w="1684"/>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1"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1"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100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非公开发行股票</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7.59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235,731,223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6"/>
              <w:jc w:val="right"/>
              <w:rPr>
                <w:rFonts w:ascii="宋体" w:hAnsi="宋体" w:cs="宋体" w:eastAsia="宋体" w:hint="default"/>
                <w:sz w:val="18"/>
                <w:szCs w:val="18"/>
              </w:rPr>
            </w:pPr>
            <w:r>
              <w:rPr>
                <w:rFonts w:ascii="宋体"/>
                <w:sz w:val="18"/>
              </w:rPr>
              <w:t>235,731,223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非公开发行股票</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17.68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99,423,076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sz w:val="18"/>
              </w:rPr>
              <w:t>99,423,076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294" w:right="1131" w:firstLine="0"/>
        <w:jc w:val="left"/>
        <w:rPr>
          <w:rFonts w:ascii="宋体" w:hAnsi="宋体" w:cs="宋体" w:eastAsia="宋体" w:hint="default"/>
          <w:sz w:val="18"/>
          <w:szCs w:val="18"/>
        </w:rPr>
      </w:pPr>
      <w:r>
        <w:rPr>
          <w:rFonts w:ascii="宋体" w:hAnsi="宋体" w:cs="宋体" w:eastAsia="宋体" w:hint="default"/>
          <w:sz w:val="18"/>
          <w:szCs w:val="18"/>
        </w:rPr>
        <w:t>告期内证券发行（不含优先股）情况的说明</w:t>
      </w:r>
    </w:p>
    <w:p>
      <w:pPr>
        <w:spacing w:line="240" w:lineRule="auto" w:before="12"/>
        <w:rPr>
          <w:rFonts w:ascii="宋体" w:hAnsi="宋体" w:cs="宋体" w:eastAsia="宋体" w:hint="default"/>
          <w:sz w:val="12"/>
          <w:szCs w:val="12"/>
        </w:rPr>
      </w:pPr>
    </w:p>
    <w:p>
      <w:pPr>
        <w:pStyle w:val="BodyText"/>
        <w:spacing w:line="408" w:lineRule="auto"/>
        <w:ind w:left="293" w:right="1109" w:firstLine="420"/>
        <w:jc w:val="both"/>
      </w:pPr>
      <w:r>
        <w:rPr/>
        <w:t>公司以发行股份和支付现金相结合的方式，购买徐先明、淮安明硕投利明信息咨询中心（有限合伙） 合计持有的万圣伟业 </w:t>
      </w:r>
      <w:r>
        <w:rPr>
          <w:rFonts w:ascii="宋体" w:hAnsi="宋体" w:cs="宋体" w:eastAsia="宋体" w:hint="default"/>
        </w:rPr>
        <w:t>100%</w:t>
      </w:r>
      <w:r>
        <w:rPr/>
        <w:t>股权；购买刘璐、何若萌合计持有的微创时代</w:t>
      </w:r>
      <w:r>
        <w:rPr>
          <w:spacing w:val="-24"/>
        </w:rPr>
        <w:t> </w:t>
      </w:r>
      <w:r>
        <w:rPr>
          <w:rFonts w:ascii="宋体" w:hAnsi="宋体" w:cs="宋体" w:eastAsia="宋体" w:hint="default"/>
        </w:rPr>
        <w:t>100%</w:t>
      </w:r>
      <w:r>
        <w:rPr/>
        <w:t>股权。为支付本次交易中的 现金对价和相关发行费用并补充上市公司流动资金，上市公司拟向不超过 </w:t>
      </w:r>
      <w:r>
        <w:rPr>
          <w:rFonts w:ascii="宋体" w:hAnsi="宋体" w:cs="宋体" w:eastAsia="宋体" w:hint="default"/>
        </w:rPr>
        <w:t>10</w:t>
      </w:r>
      <w:r>
        <w:rPr>
          <w:rFonts w:ascii="宋体" w:hAnsi="宋体" w:cs="宋体" w:eastAsia="宋体" w:hint="default"/>
          <w:spacing w:val="-22"/>
        </w:rPr>
        <w:t> </w:t>
      </w:r>
      <w:r>
        <w:rPr/>
        <w:t>名其他特定投资者发行股份 募集配套资金。</w:t>
      </w:r>
    </w:p>
    <w:p>
      <w:pPr>
        <w:spacing w:after="0" w:line="408" w:lineRule="auto"/>
        <w:jc w:val="both"/>
        <w:sectPr>
          <w:pgSz w:w="11910" w:h="16840"/>
          <w:pgMar w:header="0" w:footer="979" w:top="1100" w:bottom="1160" w:left="840" w:right="0"/>
        </w:sectPr>
      </w:pPr>
    </w:p>
    <w:p>
      <w:pPr>
        <w:spacing w:line="240" w:lineRule="auto" w:before="8"/>
        <w:rPr>
          <w:rFonts w:ascii="宋体" w:hAnsi="宋体" w:cs="宋体" w:eastAsia="宋体" w:hint="default"/>
          <w:sz w:val="26"/>
          <w:szCs w:val="26"/>
        </w:rPr>
      </w:pPr>
    </w:p>
    <w:p>
      <w:pPr>
        <w:pStyle w:val="BodyText"/>
        <w:spacing w:line="408" w:lineRule="auto" w:before="35"/>
        <w:ind w:left="613" w:right="1129" w:firstLine="420"/>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41"/>
        </w:rPr>
        <w:t> </w:t>
      </w:r>
      <w:r>
        <w:rPr/>
        <w:t>年</w:t>
      </w:r>
      <w:r>
        <w:rPr>
          <w:spacing w:val="-43"/>
        </w:rPr>
        <w:t> </w:t>
      </w:r>
      <w:r>
        <w:rPr>
          <w:rFonts w:ascii="宋体" w:hAnsi="宋体" w:cs="宋体" w:eastAsia="宋体" w:hint="default"/>
        </w:rPr>
        <w:t>10</w:t>
      </w:r>
      <w:r>
        <w:rPr>
          <w:rFonts w:ascii="宋体" w:hAnsi="宋体" w:cs="宋体" w:eastAsia="宋体" w:hint="default"/>
          <w:spacing w:val="-44"/>
        </w:rPr>
        <w:t> </w:t>
      </w:r>
      <w:r>
        <w:rPr/>
        <w:t>月，经中国证券监督管理委员会《关于核准利欧集团股份有限公司向徐先明等发行股份购 买资产并募集配套资金的批复》（证监许可</w:t>
      </w:r>
      <w:r>
        <w:rPr>
          <w:rFonts w:ascii="宋体" w:hAnsi="宋体" w:cs="宋体" w:eastAsia="宋体" w:hint="default"/>
        </w:rPr>
        <w:t>[2015]2395</w:t>
      </w:r>
      <w:r>
        <w:rPr>
          <w:rFonts w:ascii="宋体" w:hAnsi="宋体" w:cs="宋体" w:eastAsia="宋体" w:hint="default"/>
          <w:spacing w:val="-62"/>
        </w:rPr>
        <w:t> </w:t>
      </w:r>
      <w:r>
        <w:rPr>
          <w:spacing w:val="-3"/>
        </w:rPr>
        <w:t>号），核准利欧集团股份有限公司（以下简称“公</w:t>
      </w:r>
      <w:r>
        <w:rPr/>
        <w:t> </w:t>
      </w:r>
      <w:r>
        <w:rPr>
          <w:spacing w:val="-4"/>
        </w:rPr>
        <w:t>司”）向徐先明发行</w:t>
      </w:r>
      <w:r>
        <w:rPr>
          <w:spacing w:val="-67"/>
        </w:rPr>
        <w:t> </w:t>
      </w:r>
      <w:r>
        <w:rPr>
          <w:rFonts w:ascii="宋体" w:hAnsi="宋体" w:cs="宋体" w:eastAsia="宋体" w:hint="default"/>
        </w:rPr>
        <w:t>136,495,388</w:t>
      </w:r>
      <w:r>
        <w:rPr>
          <w:rFonts w:ascii="宋体" w:hAnsi="宋体" w:cs="宋体" w:eastAsia="宋体" w:hint="default"/>
          <w:spacing w:val="-67"/>
        </w:rPr>
        <w:t> </w:t>
      </w:r>
      <w:r>
        <w:rPr/>
        <w:t>股股份、向淮安明硕投利明信息咨询中心（有限合伙）发行</w:t>
      </w:r>
      <w:r>
        <w:rPr>
          <w:spacing w:val="-67"/>
        </w:rPr>
        <w:t> </w:t>
      </w:r>
      <w:r>
        <w:rPr>
          <w:rFonts w:ascii="宋体" w:hAnsi="宋体" w:cs="宋体" w:eastAsia="宋体" w:hint="default"/>
        </w:rPr>
        <w:t>27,299,077</w:t>
      </w:r>
    </w:p>
    <w:p>
      <w:pPr>
        <w:pStyle w:val="BodyText"/>
        <w:spacing w:line="240" w:lineRule="auto" w:before="46"/>
        <w:ind w:left="613" w:right="0"/>
        <w:jc w:val="both"/>
      </w:pPr>
      <w:r>
        <w:rPr/>
        <w:t>股股份、向刘璐发行</w:t>
      </w:r>
      <w:r>
        <w:rPr>
          <w:spacing w:val="-47"/>
        </w:rPr>
        <w:t> </w:t>
      </w:r>
      <w:r>
        <w:rPr>
          <w:rFonts w:ascii="宋体" w:hAnsi="宋体" w:cs="宋体" w:eastAsia="宋体" w:hint="default"/>
        </w:rPr>
        <w:t>35,968,379</w:t>
      </w:r>
      <w:r>
        <w:rPr>
          <w:rFonts w:ascii="宋体" w:hAnsi="宋体" w:cs="宋体" w:eastAsia="宋体" w:hint="default"/>
          <w:spacing w:val="-48"/>
        </w:rPr>
        <w:t> </w:t>
      </w:r>
      <w:r>
        <w:rPr/>
        <w:t>股股份、向何若萌发行</w:t>
      </w:r>
      <w:r>
        <w:rPr>
          <w:spacing w:val="-47"/>
        </w:rPr>
        <w:t> </w:t>
      </w:r>
      <w:r>
        <w:rPr>
          <w:rFonts w:ascii="宋体" w:hAnsi="宋体" w:cs="宋体" w:eastAsia="宋体" w:hint="default"/>
        </w:rPr>
        <w:t>35,968,379</w:t>
      </w:r>
      <w:r>
        <w:rPr>
          <w:rFonts w:ascii="宋体" w:hAnsi="宋体" w:cs="宋体" w:eastAsia="宋体" w:hint="default"/>
          <w:spacing w:val="-48"/>
        </w:rPr>
        <w:t> </w:t>
      </w:r>
      <w:r>
        <w:rPr/>
        <w:t>股人民币普通股（</w:t>
      </w:r>
      <w:r>
        <w:rPr>
          <w:rFonts w:ascii="宋体" w:hAnsi="宋体" w:cs="宋体" w:eastAsia="宋体" w:hint="default"/>
        </w:rPr>
        <w:t>A</w:t>
      </w:r>
      <w:r>
        <w:rPr>
          <w:rFonts w:ascii="宋体" w:hAnsi="宋体" w:cs="宋体" w:eastAsia="宋体" w:hint="default"/>
          <w:spacing w:val="-48"/>
        </w:rPr>
        <w:t> </w:t>
      </w:r>
      <w:r>
        <w:rPr/>
        <w:t>股）购买相关资</w:t>
      </w:r>
    </w:p>
    <w:p>
      <w:pPr>
        <w:spacing w:line="240" w:lineRule="auto" w:before="10"/>
        <w:rPr>
          <w:rFonts w:ascii="宋体" w:hAnsi="宋体" w:cs="宋体" w:eastAsia="宋体" w:hint="default"/>
          <w:sz w:val="14"/>
          <w:szCs w:val="14"/>
        </w:rPr>
      </w:pPr>
    </w:p>
    <w:p>
      <w:pPr>
        <w:pStyle w:val="BodyText"/>
        <w:spacing w:line="408" w:lineRule="auto"/>
        <w:ind w:left="613" w:right="1128"/>
        <w:jc w:val="both"/>
        <w:rPr>
          <w:rFonts w:ascii="宋体" w:hAnsi="宋体" w:cs="宋体" w:eastAsia="宋体" w:hint="default"/>
        </w:rPr>
      </w:pPr>
      <w:r>
        <w:rPr/>
        <w:t>产，非公开发行不超过</w:t>
      </w:r>
      <w:r>
        <w:rPr>
          <w:spacing w:val="-63"/>
        </w:rPr>
        <w:t> </w:t>
      </w:r>
      <w:r>
        <w:rPr>
          <w:rFonts w:ascii="宋体" w:hAnsi="宋体" w:cs="宋体" w:eastAsia="宋体" w:hint="default"/>
        </w:rPr>
        <w:t>221,664,564</w:t>
      </w:r>
      <w:r>
        <w:rPr>
          <w:rFonts w:ascii="宋体" w:hAnsi="宋体" w:cs="宋体" w:eastAsia="宋体" w:hint="default"/>
          <w:spacing w:val="-63"/>
        </w:rPr>
        <w:t> </w:t>
      </w:r>
      <w:r>
        <w:rPr/>
        <w:t>股新股募集本次发行股份购买资产的配套资金。本次募集配套资金的 </w:t>
      </w:r>
      <w:r>
        <w:rPr>
          <w:spacing w:val="-1"/>
        </w:rPr>
        <w:t>非公开发行股份最终通过询价确认向中欧盛世资产管理</w:t>
      </w:r>
      <w:r>
        <w:rPr>
          <w:rFonts w:ascii="宋体" w:hAnsi="宋体" w:cs="宋体" w:eastAsia="宋体" w:hint="default"/>
          <w:spacing w:val="-1"/>
        </w:rPr>
        <w:t>(</w:t>
      </w:r>
      <w:r>
        <w:rPr>
          <w:spacing w:val="-1"/>
        </w:rPr>
        <w:t>上海</w:t>
      </w:r>
      <w:r>
        <w:rPr>
          <w:rFonts w:ascii="宋体" w:hAnsi="宋体" w:cs="宋体" w:eastAsia="宋体" w:hint="default"/>
          <w:spacing w:val="-1"/>
        </w:rPr>
        <w:t>)</w:t>
      </w:r>
      <w:r>
        <w:rPr>
          <w:spacing w:val="-1"/>
        </w:rPr>
        <w:t>有限公司、英大基金管理有限公司、中国北</w:t>
      </w:r>
      <w:r>
        <w:rPr>
          <w:spacing w:val="-84"/>
        </w:rPr>
        <w:t> </w:t>
      </w:r>
      <w:r>
        <w:rPr>
          <w:spacing w:val="-84"/>
        </w:rPr>
      </w:r>
      <w:r>
        <w:rPr>
          <w:spacing w:val="-1"/>
        </w:rPr>
        <w:t>方工业公司、安信基金管理有限责任公司、珠海中兵广发投资基金合伙企业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、云南卓晔投资管</w:t>
      </w:r>
      <w:r>
        <w:rPr>
          <w:spacing w:val="-85"/>
        </w:rPr>
        <w:t> </w:t>
      </w:r>
      <w:r>
        <w:rPr>
          <w:spacing w:val="-85"/>
        </w:rPr>
      </w:r>
      <w:r>
        <w:rPr/>
        <w:t>理有限公司等六名其他特定投资者定向增发人民币普通股</w:t>
      </w:r>
      <w:r>
        <w:rPr>
          <w:rFonts w:ascii="宋体" w:hAnsi="宋体" w:cs="宋体" w:eastAsia="宋体" w:hint="default"/>
        </w:rPr>
        <w:t>(A</w:t>
      </w:r>
      <w:r>
        <w:rPr>
          <w:rFonts w:ascii="宋体" w:hAnsi="宋体" w:cs="宋体" w:eastAsia="宋体" w:hint="default"/>
          <w:spacing w:val="17"/>
        </w:rPr>
        <w:t> </w:t>
      </w:r>
      <w:r>
        <w:rPr/>
        <w:t>股</w:t>
      </w:r>
      <w:r>
        <w:rPr>
          <w:rFonts w:ascii="宋体" w:hAnsi="宋体" w:cs="宋体" w:eastAsia="宋体" w:hint="default"/>
        </w:rPr>
        <w:t>)</w:t>
      </w:r>
      <w:r>
        <w:rPr/>
        <w:t>股票</w:t>
      </w:r>
      <w:r>
        <w:rPr>
          <w:spacing w:val="16"/>
        </w:rPr>
        <w:t> </w:t>
      </w:r>
      <w:r>
        <w:rPr>
          <w:rFonts w:ascii="宋体" w:hAnsi="宋体" w:cs="宋体" w:eastAsia="宋体" w:hint="default"/>
        </w:rPr>
        <w:t>31,102,262</w:t>
      </w:r>
      <w:r>
        <w:rPr>
          <w:rFonts w:ascii="宋体" w:hAnsi="宋体" w:cs="宋体" w:eastAsia="宋体" w:hint="default"/>
          <w:spacing w:val="17"/>
        </w:rPr>
        <w:t> </w:t>
      </w:r>
      <w:r>
        <w:rPr/>
        <w:t>股、</w:t>
      </w:r>
      <w:r>
        <w:rPr>
          <w:rFonts w:ascii="宋体" w:hAnsi="宋体" w:cs="宋体" w:eastAsia="宋体" w:hint="default"/>
        </w:rPr>
        <w:t>29,826,923</w:t>
      </w:r>
      <w:r>
        <w:rPr>
          <w:rFonts w:ascii="宋体" w:hAnsi="宋体" w:cs="宋体" w:eastAsia="宋体" w:hint="default"/>
          <w:spacing w:val="17"/>
        </w:rPr>
        <w:t> </w:t>
      </w:r>
      <w:r>
        <w:rPr/>
        <w:t>股、</w:t>
      </w:r>
      <w:r>
        <w:rPr>
          <w:spacing w:val="-102"/>
        </w:rPr>
        <w:t> </w:t>
      </w:r>
      <w:r>
        <w:rPr>
          <w:rFonts w:ascii="宋体" w:hAnsi="宋体" w:cs="宋体" w:eastAsia="宋体" w:hint="default"/>
        </w:rPr>
        <w:t>11,312,217</w:t>
      </w:r>
      <w:r>
        <w:rPr>
          <w:rFonts w:ascii="宋体" w:hAnsi="宋体" w:cs="宋体" w:eastAsia="宋体" w:hint="default"/>
          <w:spacing w:val="-58"/>
        </w:rPr>
        <w:t> </w:t>
      </w:r>
      <w:r>
        <w:rPr/>
        <w:t>股、</w:t>
      </w:r>
      <w:r>
        <w:rPr>
          <w:rFonts w:ascii="宋体" w:hAnsi="宋体" w:cs="宋体" w:eastAsia="宋体" w:hint="default"/>
        </w:rPr>
        <w:t>10,269,796</w:t>
      </w:r>
      <w:r>
        <w:rPr>
          <w:rFonts w:ascii="宋体" w:hAnsi="宋体" w:cs="宋体" w:eastAsia="宋体" w:hint="default"/>
          <w:spacing w:val="-59"/>
        </w:rPr>
        <w:t> </w:t>
      </w:r>
      <w:r>
        <w:rPr/>
        <w:t>股、</w:t>
      </w:r>
      <w:r>
        <w:rPr>
          <w:rFonts w:ascii="宋体" w:hAnsi="宋体" w:cs="宋体" w:eastAsia="宋体" w:hint="default"/>
        </w:rPr>
        <w:t>10,189,157</w:t>
      </w:r>
      <w:r>
        <w:rPr>
          <w:rFonts w:ascii="宋体" w:hAnsi="宋体" w:cs="宋体" w:eastAsia="宋体" w:hint="default"/>
          <w:spacing w:val="-57"/>
        </w:rPr>
        <w:t> </w:t>
      </w:r>
      <w:r>
        <w:rPr/>
        <w:t>股、</w:t>
      </w:r>
      <w:r>
        <w:rPr>
          <w:rFonts w:ascii="宋体" w:hAnsi="宋体" w:cs="宋体" w:eastAsia="宋体" w:hint="default"/>
        </w:rPr>
        <w:t>6,722,721</w:t>
      </w:r>
      <w:r>
        <w:rPr>
          <w:rFonts w:ascii="宋体" w:hAnsi="宋体" w:cs="宋体" w:eastAsia="宋体" w:hint="default"/>
          <w:spacing w:val="-58"/>
        </w:rPr>
        <w:t> </w:t>
      </w:r>
      <w:r>
        <w:rPr>
          <w:spacing w:val="-5"/>
        </w:rPr>
        <w:t>股，合计</w:t>
      </w:r>
      <w:r>
        <w:rPr>
          <w:spacing w:val="-59"/>
        </w:rPr>
        <w:t> </w:t>
      </w:r>
      <w:r>
        <w:rPr>
          <w:rFonts w:ascii="宋体" w:hAnsi="宋体" w:cs="宋体" w:eastAsia="宋体" w:hint="default"/>
        </w:rPr>
        <w:t>99,423,076</w:t>
      </w:r>
      <w:r>
        <w:rPr>
          <w:rFonts w:ascii="宋体" w:hAnsi="宋体" w:cs="宋体" w:eastAsia="宋体" w:hint="default"/>
          <w:spacing w:val="-58"/>
        </w:rPr>
        <w:t> </w:t>
      </w:r>
      <w:r>
        <w:rPr>
          <w:spacing w:val="-3"/>
        </w:rPr>
        <w:t>股。上述股票已于</w:t>
      </w:r>
      <w:r>
        <w:rPr>
          <w:spacing w:val="-59"/>
        </w:rPr>
        <w:t> </w:t>
      </w:r>
      <w:r>
        <w:rPr>
          <w:rFonts w:ascii="宋体" w:hAnsi="宋体" w:cs="宋体" w:eastAsia="宋体" w:hint="default"/>
        </w:rPr>
        <w:t>2015</w:t>
      </w:r>
    </w:p>
    <w:p>
      <w:pPr>
        <w:pStyle w:val="BodyText"/>
        <w:spacing w:line="240" w:lineRule="auto" w:before="46"/>
        <w:ind w:left="613" w:right="0"/>
        <w:jc w:val="both"/>
      </w:pPr>
      <w:r>
        <w:rPr/>
        <w:t>年</w:t>
      </w:r>
      <w:r>
        <w:rPr>
          <w:spacing w:val="-32"/>
        </w:rPr>
        <w:t> </w:t>
      </w:r>
      <w:r>
        <w:rPr>
          <w:rFonts w:ascii="宋体" w:hAnsi="宋体" w:cs="宋体" w:eastAsia="宋体" w:hint="default"/>
        </w:rPr>
        <w:t>12</w:t>
      </w:r>
      <w:r>
        <w:rPr>
          <w:rFonts w:ascii="宋体" w:hAnsi="宋体" w:cs="宋体" w:eastAsia="宋体" w:hint="default"/>
          <w:spacing w:val="-31"/>
        </w:rPr>
        <w:t> </w:t>
      </w:r>
      <w:r>
        <w:rPr/>
        <w:t>月</w:t>
      </w:r>
      <w:r>
        <w:rPr>
          <w:spacing w:val="-32"/>
        </w:rPr>
        <w:t> </w:t>
      </w:r>
      <w:r>
        <w:rPr>
          <w:rFonts w:ascii="宋体" w:hAnsi="宋体" w:cs="宋体" w:eastAsia="宋体" w:hint="default"/>
        </w:rPr>
        <w:t>3</w:t>
      </w:r>
      <w:r>
        <w:rPr>
          <w:rFonts w:ascii="宋体" w:hAnsi="宋体" w:cs="宋体" w:eastAsia="宋体" w:hint="default"/>
          <w:spacing w:val="-33"/>
        </w:rPr>
        <w:t> </w:t>
      </w:r>
      <w:r>
        <w:rPr/>
        <w:t>日在中登公司深圳分公司办理完毕登记手续。本次新增股份的性质为有限售条件流通股，其中</w:t>
      </w:r>
    </w:p>
    <w:p>
      <w:pPr>
        <w:spacing w:line="240" w:lineRule="auto" w:before="10"/>
        <w:rPr>
          <w:rFonts w:ascii="宋体" w:hAnsi="宋体" w:cs="宋体" w:eastAsia="宋体" w:hint="default"/>
          <w:sz w:val="14"/>
          <w:szCs w:val="14"/>
        </w:rPr>
      </w:pPr>
    </w:p>
    <w:p>
      <w:pPr>
        <w:pStyle w:val="BodyText"/>
        <w:spacing w:line="408" w:lineRule="auto"/>
        <w:ind w:left="613" w:right="1130"/>
        <w:jc w:val="both"/>
      </w:pPr>
      <w:r>
        <w:rPr/>
        <w:t>向徐先明、淮安明硕投利明信息咨询中心（有限合伙）、刘璐、何若萌发行的股份限售期为 </w:t>
      </w:r>
      <w:r>
        <w:rPr>
          <w:rFonts w:ascii="宋体" w:hAnsi="宋体" w:cs="宋体" w:eastAsia="宋体" w:hint="default"/>
        </w:rPr>
        <w:t>36</w:t>
      </w:r>
      <w:r>
        <w:rPr>
          <w:rFonts w:ascii="宋体" w:hAnsi="宋体" w:cs="宋体" w:eastAsia="宋体" w:hint="default"/>
          <w:spacing w:val="-22"/>
        </w:rPr>
        <w:t> </w:t>
      </w:r>
      <w:r>
        <w:rPr/>
        <w:t>个月；向 </w:t>
      </w:r>
      <w:r>
        <w:rPr>
          <w:spacing w:val="-1"/>
        </w:rPr>
        <w:t>中欧盛世资产管理（上海）有限公司、英大基金管理有限公司、珠海中兵广发投资基金合伙企业（有限合</w:t>
      </w:r>
      <w:r>
        <w:rPr>
          <w:spacing w:val="-83"/>
        </w:rPr>
        <w:t> </w:t>
      </w:r>
      <w:r>
        <w:rPr>
          <w:spacing w:val="-83"/>
        </w:rPr>
      </w:r>
      <w:r>
        <w:rPr>
          <w:spacing w:val="-1"/>
        </w:rPr>
        <w:t>伙）、中国北方工业公司、云南卓晔投资管理有限公司、安信基金管理有限责任公司发行的股份限售期为</w:t>
      </w:r>
      <w:r>
        <w:rPr>
          <w:spacing w:val="-85"/>
        </w:rPr>
        <w:t> </w:t>
      </w:r>
      <w:r>
        <w:rPr>
          <w:spacing w:val="-85"/>
        </w:rPr>
      </w:r>
      <w:r>
        <w:rPr>
          <w:rFonts w:ascii="宋体" w:hAnsi="宋体" w:cs="宋体" w:eastAsia="宋体" w:hint="default"/>
        </w:rPr>
        <w:t>12</w:t>
      </w:r>
      <w:r>
        <w:rPr>
          <w:rFonts w:ascii="宋体" w:hAnsi="宋体" w:cs="宋体" w:eastAsia="宋体" w:hint="default"/>
          <w:spacing w:val="-53"/>
        </w:rPr>
        <w:t> </w:t>
      </w:r>
      <w:r>
        <w:rPr/>
        <w:t>个月。上述股份上市日为</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w:t>
      </w:r>
    </w:p>
    <w:p>
      <w:pPr>
        <w:spacing w:line="240" w:lineRule="auto" w:before="4"/>
        <w:rPr>
          <w:rFonts w:ascii="宋体" w:hAnsi="宋体" w:cs="宋体" w:eastAsia="宋体" w:hint="default"/>
          <w:sz w:val="21"/>
          <w:szCs w:val="21"/>
        </w:rPr>
      </w:pPr>
    </w:p>
    <w:p>
      <w:pPr>
        <w:spacing w:before="0"/>
        <w:ind w:left="614" w:right="0" w:firstLine="0"/>
        <w:jc w:val="both"/>
        <w:rPr>
          <w:rFonts w:ascii="宋体" w:hAnsi="宋体" w:cs="宋体" w:eastAsia="宋体" w:hint="default"/>
          <w:sz w:val="20"/>
          <w:szCs w:val="20"/>
        </w:rPr>
      </w:pPr>
      <w:bookmarkStart w:name="2、公司股份总数及股东结构的变动、公司资产和负债结构的变动情况说明" w:id="107"/>
      <w:bookmarkEnd w:id="10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、公司股份总数及股东结构的变动、公司资产和负债结构的变动情况说明</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61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613" w:right="1109" w:firstLine="420"/>
        <w:jc w:val="both"/>
      </w:pPr>
      <w:r>
        <w:rPr/>
        <w:t>本报告期，公司股份总数和股东结构均发生较大变化。股份总数及股东结构的变动情况见本节“一、 </w:t>
      </w:r>
      <w:r>
        <w:rPr>
          <w:spacing w:val="-1"/>
        </w:rPr>
        <w:t>股份变动情况”。本报告期，公司因收购万圣伟业、微创时代，资产、负债结构发生了变化，资产、负债</w:t>
      </w:r>
      <w:r>
        <w:rPr>
          <w:spacing w:val="-87"/>
        </w:rPr>
        <w:t> </w:t>
      </w:r>
      <w:r>
        <w:rPr>
          <w:spacing w:val="-87"/>
        </w:rPr>
      </w:r>
      <w:r>
        <w:rPr/>
        <w:t>规模进一步扩大。</w:t>
      </w:r>
    </w:p>
    <w:p>
      <w:pPr>
        <w:spacing w:line="240" w:lineRule="auto" w:before="4"/>
        <w:rPr>
          <w:rFonts w:ascii="宋体" w:hAnsi="宋体" w:cs="宋体" w:eastAsia="宋体" w:hint="default"/>
          <w:sz w:val="21"/>
          <w:szCs w:val="21"/>
        </w:rPr>
      </w:pPr>
    </w:p>
    <w:p>
      <w:pPr>
        <w:spacing w:before="0"/>
        <w:ind w:left="613" w:right="0" w:firstLine="0"/>
        <w:jc w:val="both"/>
        <w:rPr>
          <w:rFonts w:ascii="宋体" w:hAnsi="宋体" w:cs="宋体" w:eastAsia="宋体" w:hint="default"/>
          <w:sz w:val="20"/>
          <w:szCs w:val="20"/>
        </w:rPr>
      </w:pPr>
      <w:bookmarkStart w:name="3、现存的内部职工股情况" w:id="108"/>
      <w:bookmarkEnd w:id="108"/>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、现存的内部职工股情况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61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613" w:right="0"/>
        <w:jc w:val="both"/>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spacing w:before="0"/>
        <w:ind w:left="613" w:right="0" w:firstLine="0"/>
        <w:jc w:val="both"/>
        <w:rPr>
          <w:rFonts w:ascii="宋体" w:hAnsi="宋体" w:cs="宋体" w:eastAsia="宋体" w:hint="default"/>
          <w:sz w:val="20"/>
          <w:szCs w:val="20"/>
        </w:rPr>
      </w:pPr>
      <w:bookmarkStart w:name="1、公司股东数量及持股情况" w:id="110"/>
      <w:bookmarkEnd w:id="110"/>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、公司股东数量及持股情况</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195"/>
        <w:gridCol w:w="1207"/>
        <w:gridCol w:w="1186"/>
        <w:gridCol w:w="1521"/>
        <w:gridCol w:w="1500"/>
        <w:gridCol w:w="1654"/>
        <w:gridCol w:w="1195"/>
        <w:gridCol w:w="1196"/>
      </w:tblGrid>
      <w:tr>
        <w:trPr>
          <w:trHeight w:val="1338"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23" w:right="0"/>
              <w:jc w:val="left"/>
              <w:rPr>
                <w:rFonts w:ascii="宋体" w:hAnsi="宋体" w:cs="宋体" w:eastAsia="宋体" w:hint="default"/>
                <w:sz w:val="18"/>
                <w:szCs w:val="18"/>
              </w:rPr>
            </w:pPr>
            <w:r>
              <w:rPr>
                <w:rFonts w:ascii="宋体"/>
                <w:sz w:val="18"/>
              </w:rPr>
              <w:t>41,086</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2"/>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8" w:right="0"/>
              <w:jc w:val="left"/>
              <w:rPr>
                <w:rFonts w:ascii="宋体" w:hAnsi="宋体" w:cs="宋体" w:eastAsia="宋体" w:hint="default"/>
                <w:sz w:val="18"/>
                <w:szCs w:val="18"/>
              </w:rPr>
            </w:pPr>
            <w:r>
              <w:rPr>
                <w:rFonts w:ascii="宋体"/>
                <w:sz w:val="18"/>
              </w:rPr>
              <w:t>32,224</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5"/>
              <w:jc w:val="both"/>
              <w:rPr>
                <w:rFonts w:ascii="宋体" w:hAnsi="宋体" w:cs="宋体" w:eastAsia="宋体" w:hint="default"/>
                <w:sz w:val="18"/>
                <w:szCs w:val="18"/>
              </w:rPr>
            </w:pPr>
            <w:r>
              <w:rPr>
                <w:rFonts w:ascii="宋体" w:hAnsi="宋体" w:cs="宋体" w:eastAsia="宋体" w:hint="default"/>
                <w:sz w:val="18"/>
                <w:szCs w:val="18"/>
              </w:rPr>
              <w:t>报告期末表决权恢 复的优先股股东总 数（如有）</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22" w:right="80"/>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0" w:footer="979" w:top="1100" w:bottom="1160" w:left="5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195"/>
        <w:gridCol w:w="274"/>
        <w:gridCol w:w="922"/>
        <w:gridCol w:w="491"/>
        <w:gridCol w:w="747"/>
        <w:gridCol w:w="1153"/>
        <w:gridCol w:w="328"/>
        <w:gridCol w:w="766"/>
        <w:gridCol w:w="734"/>
        <w:gridCol w:w="356"/>
        <w:gridCol w:w="993"/>
        <w:gridCol w:w="316"/>
        <w:gridCol w:w="1033"/>
        <w:gridCol w:w="140"/>
        <w:gridCol w:w="1208"/>
      </w:tblGrid>
      <w:tr>
        <w:trPr>
          <w:trHeight w:val="367"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gridSpan w:val="2"/>
            <w:tcBorders>
              <w:top w:val="single" w:sz="4" w:space="0" w:color="000000"/>
              <w:left w:val="single" w:sz="4" w:space="0" w:color="000000"/>
              <w:bottom w:val="single" w:sz="4" w:space="0" w:color="000000"/>
              <w:right w:val="single" w:sz="4" w:space="0" w:color="000000"/>
            </w:tcBorders>
          </w:tcPr>
          <w:p>
            <w:pP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481" w:type="dxa"/>
            <w:gridSpan w:val="2"/>
            <w:tcBorders>
              <w:top w:val="single" w:sz="4" w:space="0" w:color="000000"/>
              <w:left w:val="single" w:sz="4" w:space="0" w:color="000000"/>
              <w:bottom w:val="single" w:sz="4" w:space="0" w:color="000000"/>
              <w:right w:val="single" w:sz="4" w:space="0" w:color="000000"/>
            </w:tcBorders>
          </w:tcPr>
          <w:p>
            <w:pP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665" w:type="dxa"/>
            <w:gridSpan w:val="3"/>
            <w:tcBorders>
              <w:top w:val="single" w:sz="4" w:space="0" w:color="000000"/>
              <w:left w:val="single" w:sz="4" w:space="0" w:color="000000"/>
              <w:bottom w:val="single" w:sz="4" w:space="0" w:color="000000"/>
              <w:right w:val="single" w:sz="13" w:space="0" w:color="D2D2D2"/>
            </w:tcBorders>
          </w:tcPr>
          <w:p>
            <w:pPr/>
          </w:p>
        </w:tc>
        <w:tc>
          <w:tcPr>
            <w:tcW w:w="11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数（如有）</w:t>
            </w:r>
          </w:p>
        </w:tc>
        <w:tc>
          <w:tcPr>
            <w:tcW w:w="1208" w:type="dxa"/>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106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7" w:type="dxa"/>
            <w:vMerge w:val="restart"/>
            <w:tcBorders>
              <w:top w:val="single" w:sz="4" w:space="0" w:color="000000"/>
              <w:left w:val="single" w:sz="4" w:space="0" w:color="000000"/>
              <w:right w:val="single" w:sz="4" w:space="0" w:color="000000"/>
            </w:tcBorders>
            <w:shd w:val="clear" w:color="auto" w:fill="D2D2D2"/>
          </w:tcPr>
          <w:p>
            <w:pP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8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9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7" w:type="dxa"/>
            <w:vMerge/>
            <w:tcBorders>
              <w:left w:val="single" w:sz="4" w:space="0" w:color="000000"/>
              <w:bottom w:val="nil" w:sz="6" w:space="0" w:color="auto"/>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21" w:right="10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1" w:right="9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91"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2696"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2"/>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53" w:type="dxa"/>
            <w:vMerge/>
            <w:tcBorders>
              <w:left w:val="single" w:sz="4" w:space="0" w:color="000000"/>
              <w:right w:val="single" w:sz="4" w:space="0" w:color="000000"/>
            </w:tcBorders>
            <w:shd w:val="clear" w:color="auto" w:fill="D2D2D2"/>
          </w:tcPr>
          <w:p>
            <w:pPr/>
          </w:p>
        </w:tc>
        <w:tc>
          <w:tcPr>
            <w:tcW w:w="1093"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2696"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7" w:type="dxa"/>
            <w:vMerge/>
            <w:tcBorders>
              <w:left w:val="single" w:sz="4" w:space="0" w:color="000000"/>
              <w:bottom w:val="nil" w:sz="6" w:space="0" w:color="auto"/>
              <w:right w:val="single" w:sz="4" w:space="0" w:color="000000"/>
            </w:tcBorders>
            <w:shd w:val="clear" w:color="auto" w:fill="D2D2D2"/>
          </w:tcPr>
          <w:p>
            <w:pPr/>
          </w:p>
        </w:tc>
        <w:tc>
          <w:tcPr>
            <w:tcW w:w="1153" w:type="dxa"/>
            <w:vMerge/>
            <w:tcBorders>
              <w:left w:val="single" w:sz="4" w:space="0" w:color="000000"/>
              <w:right w:val="single" w:sz="4" w:space="0" w:color="000000"/>
            </w:tcBorders>
            <w:shd w:val="clear" w:color="auto" w:fill="D2D2D2"/>
          </w:tcPr>
          <w:p>
            <w:pPr/>
          </w:p>
        </w:tc>
        <w:tc>
          <w:tcPr>
            <w:tcW w:w="1093" w:type="dxa"/>
            <w:gridSpan w:val="2"/>
            <w:vMerge/>
            <w:tcBorders>
              <w:left w:val="single" w:sz="4" w:space="0" w:color="000000"/>
              <w:right w:val="single" w:sz="4" w:space="0" w:color="000000"/>
            </w:tcBorders>
            <w:shd w:val="clear" w:color="auto" w:fill="D2D2D2"/>
          </w:tcPr>
          <w:p>
            <w:pPr/>
          </w:p>
        </w:tc>
        <w:tc>
          <w:tcPr>
            <w:tcW w:w="1091"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7" w:type="dxa"/>
            <w:vMerge w:val="restart"/>
            <w:tcBorders>
              <w:top w:val="nil" w:sz="6" w:space="0" w:color="auto"/>
              <w:left w:val="single" w:sz="4" w:space="0" w:color="000000"/>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1093" w:type="dxa"/>
            <w:gridSpan w:val="2"/>
            <w:vMerge/>
            <w:tcBorders>
              <w:left w:val="single" w:sz="4" w:space="0" w:color="000000"/>
              <w:bottom w:val="nil" w:sz="6" w:space="0" w:color="auto"/>
              <w:right w:val="single" w:sz="4" w:space="0" w:color="000000"/>
            </w:tcBorders>
            <w:shd w:val="clear" w:color="auto" w:fill="D2D2D2"/>
          </w:tcPr>
          <w:p>
            <w:pPr/>
          </w:p>
        </w:tc>
        <w:tc>
          <w:tcPr>
            <w:tcW w:w="1091"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7" w:type="dxa"/>
            <w:vMerge/>
            <w:tcBorders>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gridSpan w:val="2"/>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center"/>
              <w:rPr>
                <w:rFonts w:ascii="宋体" w:hAnsi="宋体" w:cs="宋体" w:eastAsia="宋体" w:hint="default"/>
                <w:sz w:val="18"/>
                <w:szCs w:val="18"/>
              </w:rPr>
            </w:pPr>
            <w:r>
              <w:rPr>
                <w:rFonts w:ascii="宋体"/>
                <w:sz w:val="18"/>
              </w:rPr>
              <w:t>16.02%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right"/>
              <w:rPr>
                <w:rFonts w:ascii="宋体" w:hAnsi="宋体" w:cs="宋体" w:eastAsia="宋体" w:hint="default"/>
                <w:sz w:val="18"/>
                <w:szCs w:val="18"/>
              </w:rPr>
            </w:pPr>
            <w:r>
              <w:rPr>
                <w:rFonts w:ascii="宋体"/>
                <w:sz w:val="18"/>
              </w:rPr>
              <w:t>241,846,593</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147,132,388</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214,909,947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26,936,646</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1" w:lineRule="exact"/>
              <w:ind w:left="173" w:right="0"/>
              <w:jc w:val="left"/>
              <w:rPr>
                <w:rFonts w:ascii="宋体" w:hAnsi="宋体" w:cs="宋体" w:eastAsia="宋体" w:hint="default"/>
                <w:sz w:val="18"/>
                <w:szCs w:val="18"/>
              </w:rPr>
            </w:pPr>
            <w:r>
              <w:rPr>
                <w:rFonts w:ascii="宋体"/>
                <w:sz w:val="18"/>
              </w:rPr>
              <w:t>165,498,439</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center"/>
              <w:rPr>
                <w:rFonts w:ascii="宋体" w:hAnsi="宋体" w:cs="宋体" w:eastAsia="宋体" w:hint="default"/>
                <w:sz w:val="18"/>
                <w:szCs w:val="18"/>
              </w:rPr>
            </w:pPr>
            <w:r>
              <w:rPr>
                <w:rFonts w:ascii="宋体"/>
                <w:sz w:val="18"/>
              </w:rPr>
              <w:t>12.67%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right"/>
              <w:rPr>
                <w:rFonts w:ascii="宋体" w:hAnsi="宋体" w:cs="宋体" w:eastAsia="宋体" w:hint="default"/>
                <w:sz w:val="18"/>
                <w:szCs w:val="18"/>
              </w:rPr>
            </w:pPr>
            <w:r>
              <w:rPr>
                <w:rFonts w:ascii="宋体"/>
                <w:sz w:val="18"/>
              </w:rPr>
              <w:t>191,198,982</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127,465,988</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176,121,795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15,077,187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宋体"/>
                <w:sz w:val="18"/>
              </w:rPr>
              <w:t>153,161,795</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徐先明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sz w:val="18"/>
              </w:rPr>
              <w:t>9.04%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right"/>
              <w:rPr>
                <w:rFonts w:ascii="宋体" w:hAnsi="宋体" w:cs="宋体" w:eastAsia="宋体" w:hint="default"/>
                <w:sz w:val="18"/>
                <w:szCs w:val="18"/>
              </w:rPr>
            </w:pPr>
            <w:r>
              <w:rPr>
                <w:rFonts w:ascii="宋体"/>
                <w:sz w:val="18"/>
              </w:rPr>
              <w:t>136,495,388</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136,495,388</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136,495,388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宋体"/>
                <w:sz w:val="18"/>
              </w:rPr>
              <w:t>54,360,000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中信证券股份有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9" w:right="0"/>
              <w:jc w:val="center"/>
              <w:rPr>
                <w:rFonts w:ascii="宋体" w:hAnsi="宋体" w:cs="宋体" w:eastAsia="宋体" w:hint="default"/>
                <w:sz w:val="18"/>
                <w:szCs w:val="18"/>
              </w:rPr>
            </w:pPr>
            <w:r>
              <w:rPr>
                <w:rFonts w:ascii="宋体"/>
                <w:sz w:val="18"/>
              </w:rPr>
              <w:t>2.96%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44,700,009</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29,800,005</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44,700,009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国信证券股份有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9" w:right="0"/>
              <w:jc w:val="center"/>
              <w:rPr>
                <w:rFonts w:ascii="宋体" w:hAnsi="宋体" w:cs="宋体" w:eastAsia="宋体" w:hint="default"/>
                <w:sz w:val="18"/>
                <w:szCs w:val="18"/>
              </w:rPr>
            </w:pPr>
            <w:r>
              <w:rPr>
                <w:rFonts w:ascii="宋体"/>
                <w:sz w:val="18"/>
              </w:rPr>
              <w:t>2.96%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44,700,000</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44,700,000</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44,700,000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both"/>
              <w:rPr>
                <w:rFonts w:ascii="宋体" w:hAnsi="宋体" w:cs="宋体" w:eastAsia="宋体" w:hint="default"/>
                <w:sz w:val="18"/>
                <w:szCs w:val="18"/>
              </w:rPr>
            </w:pPr>
            <w:r>
              <w:rPr>
                <w:rFonts w:ascii="宋体" w:hAnsi="宋体" w:cs="宋体" w:eastAsia="宋体" w:hint="default"/>
                <w:sz w:val="18"/>
                <w:szCs w:val="18"/>
              </w:rPr>
              <w:t>金纬资本（山南） </w:t>
            </w:r>
            <w:r>
              <w:rPr>
                <w:rFonts w:ascii="宋体" w:hAnsi="宋体" w:cs="宋体" w:eastAsia="宋体" w:hint="default"/>
                <w:spacing w:val="-4"/>
                <w:sz w:val="18"/>
                <w:szCs w:val="18"/>
              </w:rPr>
              <w:t>一期合伙企业（有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center"/>
              <w:rPr>
                <w:rFonts w:ascii="宋体" w:hAnsi="宋体" w:cs="宋体" w:eastAsia="宋体" w:hint="default"/>
                <w:sz w:val="18"/>
                <w:szCs w:val="18"/>
              </w:rPr>
            </w:pPr>
            <w:r>
              <w:rPr>
                <w:rFonts w:ascii="宋体"/>
                <w:sz w:val="18"/>
              </w:rPr>
              <w:t>2.60%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宋体" w:hAnsi="宋体" w:cs="宋体" w:eastAsia="宋体" w:hint="default"/>
                <w:sz w:val="18"/>
                <w:szCs w:val="18"/>
              </w:rPr>
            </w:pPr>
            <w:r>
              <w:rPr>
                <w:rFonts w:ascii="宋体"/>
                <w:sz w:val="18"/>
              </w:rPr>
              <w:t>39,291,024</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0</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0" w:right="0"/>
              <w:jc w:val="left"/>
              <w:rPr>
                <w:rFonts w:ascii="宋体" w:hAnsi="宋体" w:cs="宋体" w:eastAsia="宋体" w:hint="default"/>
                <w:sz w:val="18"/>
                <w:szCs w:val="18"/>
              </w:rPr>
            </w:pPr>
            <w:r>
              <w:rPr>
                <w:rFonts w:ascii="宋体"/>
                <w:sz w:val="18"/>
              </w:rPr>
              <w:t>39,291,024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8" w:right="0"/>
              <w:jc w:val="left"/>
              <w:rPr>
                <w:rFonts w:ascii="宋体" w:hAnsi="宋体" w:cs="宋体" w:eastAsia="宋体" w:hint="default"/>
                <w:sz w:val="18"/>
                <w:szCs w:val="18"/>
              </w:rPr>
            </w:pPr>
            <w:r>
              <w:rPr>
                <w:rFonts w:ascii="宋体"/>
                <w:sz w:val="18"/>
              </w:rPr>
              <w:t>39,291,024</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何若萌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sz w:val="18"/>
              </w:rPr>
              <w:t>2.38%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35,968,379</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35,968,379</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left"/>
              <w:rPr>
                <w:rFonts w:ascii="宋体" w:hAnsi="宋体" w:cs="宋体" w:eastAsia="宋体" w:hint="default"/>
                <w:sz w:val="18"/>
                <w:szCs w:val="18"/>
              </w:rPr>
            </w:pPr>
            <w:r>
              <w:rPr>
                <w:rFonts w:ascii="宋体"/>
                <w:sz w:val="18"/>
              </w:rPr>
              <w:t>35,968,379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宋体" w:hAnsi="宋体" w:cs="宋体" w:eastAsia="宋体" w:hint="default"/>
                <w:sz w:val="18"/>
                <w:szCs w:val="18"/>
              </w:rPr>
            </w:pPr>
            <w:r>
              <w:rPr>
                <w:rFonts w:ascii="宋体"/>
                <w:sz w:val="18"/>
              </w:rPr>
              <w:t>2.38%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35,968,379</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35,968,379</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left"/>
              <w:rPr>
                <w:rFonts w:ascii="宋体" w:hAnsi="宋体" w:cs="宋体" w:eastAsia="宋体" w:hint="default"/>
                <w:sz w:val="18"/>
                <w:szCs w:val="18"/>
              </w:rPr>
            </w:pPr>
            <w:r>
              <w:rPr>
                <w:rFonts w:ascii="宋体"/>
                <w:sz w:val="18"/>
              </w:rPr>
              <w:t>35,968,379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中欧盛世－广发 银行－景鑫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号资 产管理计划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center"/>
              <w:rPr>
                <w:rFonts w:ascii="宋体" w:hAnsi="宋体" w:cs="宋体" w:eastAsia="宋体" w:hint="default"/>
                <w:sz w:val="18"/>
                <w:szCs w:val="18"/>
              </w:rPr>
            </w:pPr>
            <w:r>
              <w:rPr>
                <w:rFonts w:ascii="宋体"/>
                <w:sz w:val="18"/>
              </w:rPr>
              <w:t>2.06%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宋体" w:hAnsi="宋体" w:cs="宋体" w:eastAsia="宋体" w:hint="default"/>
                <w:sz w:val="18"/>
                <w:szCs w:val="18"/>
              </w:rPr>
            </w:pPr>
            <w:r>
              <w:rPr>
                <w:rFonts w:ascii="宋体"/>
                <w:sz w:val="18"/>
              </w:rPr>
              <w:t>31,102,262</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1" w:right="0"/>
              <w:jc w:val="left"/>
              <w:rPr>
                <w:rFonts w:ascii="宋体" w:hAnsi="宋体" w:cs="宋体" w:eastAsia="宋体" w:hint="default"/>
                <w:sz w:val="18"/>
                <w:szCs w:val="18"/>
              </w:rPr>
            </w:pPr>
            <w:r>
              <w:rPr>
                <w:rFonts w:ascii="宋体"/>
                <w:sz w:val="18"/>
              </w:rPr>
              <w:t>31,102,262</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0" w:right="0"/>
              <w:jc w:val="left"/>
              <w:rPr>
                <w:rFonts w:ascii="宋体" w:hAnsi="宋体" w:cs="宋体" w:eastAsia="宋体" w:hint="default"/>
                <w:sz w:val="18"/>
                <w:szCs w:val="18"/>
              </w:rPr>
            </w:pPr>
            <w:r>
              <w:rPr>
                <w:rFonts w:ascii="宋体"/>
                <w:sz w:val="18"/>
              </w:rPr>
              <w:t>31,102,262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英大基金－广发 银行－四川信托</w:t>
            </w:r>
          </w:p>
          <w:p>
            <w:pPr>
              <w:pStyle w:val="TableParagraph"/>
              <w:spacing w:line="319" w:lineRule="auto" w:before="19"/>
              <w:ind w:left="22" w:right="174"/>
              <w:jc w:val="both"/>
              <w:rPr>
                <w:rFonts w:ascii="宋体" w:hAnsi="宋体" w:cs="宋体" w:eastAsia="宋体" w:hint="default"/>
                <w:sz w:val="18"/>
                <w:szCs w:val="18"/>
              </w:rPr>
            </w:pPr>
            <w:r>
              <w:rPr>
                <w:rFonts w:ascii="宋体" w:hAnsi="宋体" w:cs="宋体" w:eastAsia="宋体" w:hint="default"/>
                <w:sz w:val="18"/>
                <w:szCs w:val="18"/>
              </w:rPr>
              <w:t>－四川信托－金 桥一号证券投资 集合资金信托计 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9" w:right="0"/>
              <w:jc w:val="center"/>
              <w:rPr>
                <w:rFonts w:ascii="宋体" w:hAnsi="宋体" w:cs="宋体" w:eastAsia="宋体" w:hint="default"/>
                <w:sz w:val="18"/>
                <w:szCs w:val="18"/>
              </w:rPr>
            </w:pPr>
            <w:r>
              <w:rPr>
                <w:rFonts w:ascii="宋体"/>
                <w:sz w:val="18"/>
              </w:rPr>
              <w:t>1.98%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29,826,923</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29,826,923</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宋体" w:hAnsi="宋体" w:cs="宋体" w:eastAsia="宋体" w:hint="default"/>
                <w:sz w:val="18"/>
                <w:szCs w:val="18"/>
              </w:rPr>
            </w:pPr>
            <w:r>
              <w:rPr>
                <w:rFonts w:ascii="宋体"/>
                <w:sz w:val="18"/>
              </w:rPr>
              <w:t>29,826,923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81"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7773"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319" w:lineRule="auto" w:before="116"/>
              <w:ind w:left="16" w:right="8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、公司未知其它股东之间是否存在关联关系，也未知其它股东是否属于《上市公司股东持股变动 信息披露管理办法》中规定的一致行动人。</w:t>
            </w:r>
          </w:p>
        </w:tc>
      </w:tr>
      <w:tr>
        <w:trPr>
          <w:trHeight w:val="703" w:hRule="exact"/>
        </w:trPr>
        <w:tc>
          <w:tcPr>
            <w:tcW w:w="288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773" w:type="dxa"/>
            <w:gridSpan w:val="11"/>
            <w:vMerge/>
            <w:tcBorders>
              <w:left w:val="single" w:sz="9" w:space="0" w:color="D2D2D2"/>
              <w:right w:val="single" w:sz="4" w:space="0" w:color="000000"/>
            </w:tcBorders>
          </w:tcPr>
          <w:p>
            <w:pPr/>
          </w:p>
        </w:tc>
      </w:tr>
      <w:tr>
        <w:trPr>
          <w:trHeight w:val="181"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7773" w:type="dxa"/>
            <w:gridSpan w:val="11"/>
            <w:vMerge/>
            <w:tcBorders>
              <w:left w:val="single" w:sz="9" w:space="0" w:color="D2D2D2"/>
              <w:bottom w:val="single" w:sz="4" w:space="0" w:color="000000"/>
              <w:right w:val="single" w:sz="4" w:space="0" w:color="000000"/>
            </w:tcBorders>
          </w:tcPr>
          <w:p>
            <w:pPr/>
          </w:p>
        </w:tc>
      </w:tr>
      <w:tr>
        <w:trPr>
          <w:trHeight w:val="402" w:hRule="exact"/>
        </w:trPr>
        <w:tc>
          <w:tcPr>
            <w:tcW w:w="106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5077"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269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77"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8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6"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4"/>
            <w:vMerge/>
            <w:tcBorders>
              <w:left w:val="single" w:sz="4" w:space="0" w:color="000000"/>
              <w:bottom w:val="nil" w:sz="6" w:space="0" w:color="auto"/>
              <w:right w:val="single" w:sz="4" w:space="0" w:color="000000"/>
            </w:tcBorders>
            <w:shd w:val="clear" w:color="auto" w:fill="D2D2D2"/>
          </w:tcPr>
          <w:p>
            <w:pPr/>
          </w:p>
        </w:tc>
        <w:tc>
          <w:tcPr>
            <w:tcW w:w="5077" w:type="dxa"/>
            <w:gridSpan w:val="7"/>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5077"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50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44,700,009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44,700,009</w:t>
            </w: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50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44,700,000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44,700,000</w:t>
            </w: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50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26,936,646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26,936,646</w:t>
            </w: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50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20,955,093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20,955,093</w:t>
            </w: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50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15,077,187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15,077,187</w:t>
            </w:r>
          </w:p>
        </w:tc>
      </w:tr>
      <w:tr>
        <w:trPr>
          <w:trHeight w:val="402" w:hRule="exact"/>
        </w:trPr>
        <w:tc>
          <w:tcPr>
            <w:tcW w:w="28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广发证券资管－招商证券－广发资</w:t>
            </w:r>
          </w:p>
        </w:tc>
        <w:tc>
          <w:tcPr>
            <w:tcW w:w="50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13,054,500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宋体" w:hAnsi="宋体" w:cs="宋体" w:eastAsia="宋体" w:hint="default"/>
                <w:sz w:val="18"/>
                <w:szCs w:val="18"/>
              </w:rPr>
            </w:pPr>
            <w:r>
              <w:rPr>
                <w:rFonts w:ascii="宋体"/>
                <w:sz w:val="18"/>
              </w:rPr>
              <w:t>13,054,500</w:t>
            </w:r>
          </w:p>
        </w:tc>
      </w:tr>
    </w:tbl>
    <w:p>
      <w:pPr>
        <w:spacing w:after="0" w:line="240" w:lineRule="auto"/>
        <w:jc w:val="left"/>
        <w:rPr>
          <w:rFonts w:ascii="宋体" w:hAnsi="宋体" w:cs="宋体" w:eastAsia="宋体" w:hint="default"/>
          <w:sz w:val="18"/>
          <w:szCs w:val="18"/>
        </w:rPr>
        <w:sectPr>
          <w:pgSz w:w="11910" w:h="16840"/>
          <w:pgMar w:header="0" w:footer="979" w:top="1100" w:bottom="1160" w:left="5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882"/>
        <w:gridCol w:w="5077"/>
        <w:gridCol w:w="1349"/>
        <w:gridCol w:w="1348"/>
      </w:tblGrid>
      <w:tr>
        <w:trPr>
          <w:trHeight w:val="36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管利欧投资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50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交通银行股份有限公司－工银瑞信 互联网加股票型证券投资基金</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10,481,432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10,481,432</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中国工商银行股份有限公司－中欧 明睿新起点混合型证券投资基金</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8,333,851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8,333,851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6,737,208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6,737,208</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中国农业银行股份有限公司－工银 瑞信信息产业混合型证券投资基金</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6,545,611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6,545,611</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777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302" w:lineRule="auto" w:before="102"/>
              <w:ind w:left="10"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、公司未知其它股东之间是否存在关联关系，也未知其它股东是否属于《上市公司股东持股变动 信息披露管理办法》中规定的一致行动人。</w:t>
            </w:r>
          </w:p>
        </w:tc>
      </w:tr>
    </w:tbl>
    <w:p>
      <w:pPr>
        <w:spacing w:before="51"/>
        <w:ind w:left="61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6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61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5"/>
        <w:rPr>
          <w:rFonts w:ascii="宋体" w:hAnsi="宋体" w:cs="宋体" w:eastAsia="宋体" w:hint="default"/>
          <w:sz w:val="26"/>
          <w:szCs w:val="26"/>
        </w:rPr>
      </w:pPr>
    </w:p>
    <w:p>
      <w:pPr>
        <w:spacing w:before="0"/>
        <w:ind w:left="613" w:right="0" w:firstLine="0"/>
        <w:jc w:val="left"/>
        <w:rPr>
          <w:rFonts w:ascii="宋体" w:hAnsi="宋体" w:cs="宋体" w:eastAsia="宋体" w:hint="default"/>
          <w:sz w:val="20"/>
          <w:szCs w:val="20"/>
        </w:rPr>
      </w:pPr>
      <w:bookmarkStart w:name="2、公司控股股东情况" w:id="111"/>
      <w:bookmarkEnd w:id="111"/>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、公司控股股东情况</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line="357" w:lineRule="auto" w:before="0"/>
        <w:ind w:left="61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60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月至今任公司董事长，</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日至今兼任公司总经理，现同 时担任浙江利欧控股集团有限公司董事长，浙江大农实业股份有限公司董事， 温岭市利欧小额贷款有限公司董事长，台州新科环保研究所有限公司执行董 </w:t>
            </w:r>
            <w:r>
              <w:rPr>
                <w:rFonts w:ascii="宋体" w:hAnsi="宋体" w:cs="宋体" w:eastAsia="宋体" w:hint="default"/>
                <w:spacing w:val="-1"/>
                <w:sz w:val="18"/>
                <w:szCs w:val="18"/>
              </w:rPr>
              <w:t>事，温岭市利恒机械有限公司执行董事，温岭利欧贸易有限公司执行董事，台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州利欧矿业投资有限公司执行董事，温岭市广源房地产开发有限公司董事，上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海磊利汽车贸易有限公司监、上海漫酷广告有限公司董事长、上海氩氪广告有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限公司董事长、银色琥珀文化传播（北京）有限公司董事长、江苏万圣伟业网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络科技公司董事长、北京微创时代广告有限公司董事长。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bl>
    <w:p>
      <w:pPr>
        <w:spacing w:before="68"/>
        <w:ind w:left="61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61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1"/>
        <w:rPr>
          <w:rFonts w:ascii="宋体" w:hAnsi="宋体" w:cs="宋体" w:eastAsia="宋体" w:hint="default"/>
          <w:sz w:val="21"/>
          <w:szCs w:val="21"/>
        </w:rPr>
      </w:pPr>
    </w:p>
    <w:p>
      <w:pPr>
        <w:spacing w:before="0"/>
        <w:ind w:left="613" w:right="0" w:firstLine="0"/>
        <w:jc w:val="left"/>
        <w:rPr>
          <w:rFonts w:ascii="宋体" w:hAnsi="宋体" w:cs="宋体" w:eastAsia="宋体" w:hint="default"/>
          <w:sz w:val="20"/>
          <w:szCs w:val="20"/>
        </w:rPr>
      </w:pPr>
      <w:bookmarkStart w:name="3、公司实际控制人情况" w:id="112"/>
      <w:bookmarkEnd w:id="112"/>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、公司实际控制人情况</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line="357" w:lineRule="auto" w:before="0"/>
        <w:ind w:left="61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after="0" w:line="357" w:lineRule="auto"/>
        <w:jc w:val="left"/>
        <w:rPr>
          <w:rFonts w:ascii="宋体" w:hAnsi="宋体" w:cs="宋体" w:eastAsia="宋体" w:hint="default"/>
          <w:sz w:val="18"/>
          <w:szCs w:val="18"/>
        </w:rPr>
        <w:sectPr>
          <w:pgSz w:w="11910" w:h="16840"/>
          <w:pgMar w:header="0" w:footer="979" w:top="1100" w:bottom="1160" w:left="52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月至今任公司董事长，</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日至今兼任公司总经理，现同 时担任浙江利欧控股集团有限公司董事长，浙江大农实业股份有限公司董事， 温岭市利欧小额贷款有限公司董事长，台州新科环保研究所有限公司执行董 </w:t>
            </w:r>
            <w:r>
              <w:rPr>
                <w:rFonts w:ascii="宋体" w:hAnsi="宋体" w:cs="宋体" w:eastAsia="宋体" w:hint="default"/>
                <w:spacing w:val="-1"/>
                <w:sz w:val="18"/>
                <w:szCs w:val="18"/>
              </w:rPr>
              <w:t>事，温岭市利恒机械有限公司执行董事，温岭利欧贸易有限公司执行董事，台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州利欧矿业投资有限公司执行董事，温岭市广源房地产开发有限公司董事，上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海磊利汽车贸易有限公司监、上海漫酷广告有限公司董事长、上海氩氪广告有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限公司董事长、银色琥珀文化传播（北京）有限公司董事长、江苏万圣伟业网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络科技公司董事长、北京微创时代广告有限公司董事长。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6"/>
        <w:rPr>
          <w:rFonts w:ascii="宋体" w:hAnsi="宋体" w:cs="宋体" w:eastAsia="宋体" w:hint="default"/>
          <w:sz w:val="16"/>
          <w:szCs w:val="16"/>
        </w:rPr>
      </w:pPr>
    </w:p>
    <w:p>
      <w:pPr>
        <w:spacing w:line="2430" w:lineRule="exact"/>
        <w:ind w:left="1356"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4591700" cy="15430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3" cstate="print"/>
                    <a:stretch>
                      <a:fillRect/>
                    </a:stretch>
                  </pic:blipFill>
                  <pic:spPr>
                    <a:xfrm>
                      <a:off x="0" y="0"/>
                      <a:ext cx="4591700" cy="1543050"/>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11"/>
        <w:rPr>
          <w:rFonts w:ascii="宋体" w:hAnsi="宋体" w:cs="宋体" w:eastAsia="宋体" w:hint="default"/>
          <w:sz w:val="16"/>
          <w:szCs w:val="16"/>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before="0"/>
        <w:ind w:left="153" w:right="0" w:firstLine="0"/>
        <w:jc w:val="left"/>
        <w:rPr>
          <w:rFonts w:ascii="宋体" w:hAnsi="宋体" w:cs="宋体" w:eastAsia="宋体" w:hint="default"/>
          <w:sz w:val="20"/>
          <w:szCs w:val="20"/>
        </w:rPr>
      </w:pPr>
      <w:bookmarkStart w:name="4、其他持股在10%以上的法人股东" w:id="113"/>
      <w:bookmarkEnd w:id="113"/>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、其他持股在</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以上的法人股东</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before="0"/>
        <w:ind w:left="153" w:right="0" w:firstLine="0"/>
        <w:jc w:val="left"/>
        <w:rPr>
          <w:rFonts w:ascii="宋体" w:hAnsi="宋体" w:cs="宋体" w:eastAsia="宋体" w:hint="default"/>
          <w:sz w:val="20"/>
          <w:szCs w:val="20"/>
        </w:rPr>
      </w:pPr>
      <w:bookmarkStart w:name="5、控股股东、实际控制人、重组方及其他承诺主体股份限制减持情况" w:id="114"/>
      <w:bookmarkEnd w:id="114"/>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、控股股东、实际控制人、重组方及其他承诺主体股份限制减持情况</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440" w:right="621"/>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913" w:right="621"/>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776"/>
        <w:gridCol w:w="797"/>
        <w:gridCol w:w="533"/>
        <w:gridCol w:w="425"/>
        <w:gridCol w:w="425"/>
        <w:gridCol w:w="1559"/>
        <w:gridCol w:w="1560"/>
        <w:gridCol w:w="1062"/>
        <w:gridCol w:w="798"/>
        <w:gridCol w:w="1026"/>
        <w:gridCol w:w="1178"/>
        <w:gridCol w:w="1102"/>
      </w:tblGrid>
      <w:tr>
        <w:trPr>
          <w:trHeight w:val="1025"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56" w:firstLine="34"/>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5"/>
                <w:sz w:val="18"/>
                <w:szCs w:val="18"/>
              </w:rPr>
              <w:t>份数量（股</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tabs>
                <w:tab w:pos="313" w:val="left" w:leader="none"/>
              </w:tabs>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tab/>
              <w:t>（股）</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94,714,205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801,326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14,900,000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161,231,062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241,846,593</w:t>
            </w: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63,732,994</w:t>
            </w: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127,465,988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191,198,982</w:t>
            </w:r>
          </w:p>
        </w:tc>
      </w:tr>
      <w:tr>
        <w:trPr>
          <w:trHeight w:val="1026"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董秘</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sz w:val="18"/>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2,268,997</w:t>
            </w: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4,537,994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6,806,991</w:t>
            </w:r>
          </w:p>
        </w:tc>
      </w:tr>
      <w:tr>
        <w:trPr>
          <w:trHeight w:val="755"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陈德平</w:t>
            </w: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张翔</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颜灵强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2,192</w:t>
            </w: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3,288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4,932</w:t>
            </w: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2,237,097</w:t>
            </w: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4,474,194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6,711,291</w:t>
            </w: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1,521,866</w:t>
            </w: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3,043,732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4,565,598</w:t>
            </w: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2,052,111</w:t>
            </w: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4,104,222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6,156,333</w:t>
            </w: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4,275,380</w:t>
            </w:r>
          </w:p>
        </w:tc>
        <w:tc>
          <w:tcPr>
            <w:tcW w:w="79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8,550,760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12,826,140</w:t>
            </w:r>
          </w:p>
        </w:tc>
      </w:tr>
      <w:tr>
        <w:trPr>
          <w:trHeight w:val="402"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170,804,842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801,326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14,900,548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313,411,240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470,116,860</w:t>
            </w:r>
          </w:p>
        </w:tc>
      </w:tr>
    </w:tbl>
    <w:p>
      <w:pPr>
        <w:spacing w:line="360" w:lineRule="auto" w:before="41"/>
        <w:ind w:left="913" w:right="1035" w:firstLine="0"/>
        <w:jc w:val="left"/>
        <w:rPr>
          <w:rFonts w:ascii="宋体" w:hAnsi="宋体" w:cs="宋体" w:eastAsia="宋体" w:hint="default"/>
          <w:sz w:val="18"/>
          <w:szCs w:val="18"/>
        </w:rPr>
      </w:pPr>
      <w:bookmarkStart w:name="注：2016年1月13日，董事会收到公司董事陈德平先生的书面辞职申请。陈德平先生" w:id="120"/>
      <w:bookmarkEnd w:id="120"/>
      <w:r>
        <w:rPr/>
      </w:r>
      <w:r>
        <w:rPr>
          <w:rFonts w:ascii="宋体" w:hAnsi="宋体" w:cs="宋体" w:eastAsia="宋体" w:hint="default"/>
          <w:spacing w:val="-6"/>
          <w:sz w:val="18"/>
          <w:szCs w:val="18"/>
        </w:rPr>
        <w:t>注：</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日，董事会收到公司董事陈德平先生的书面辞职申请。陈德平先生因个人原因，申请辞去公司董事职务，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同时一并辞去公司董事会战略决策委员会委员职务，辞职后陈德平先生将不在公司任职。</w:t>
      </w:r>
    </w:p>
    <w:p>
      <w:pPr>
        <w:spacing w:line="309" w:lineRule="auto" w:before="58"/>
        <w:ind w:left="914" w:right="62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日，董事会收到独立董事张翔先生的书面辞职报告。张翔先生根据国家教育部和任职所在学校的相关 </w:t>
      </w:r>
      <w:r>
        <w:rPr>
          <w:rFonts w:ascii="宋体" w:hAnsi="宋体" w:cs="宋体" w:eastAsia="宋体" w:hint="default"/>
          <w:spacing w:val="-4"/>
          <w:sz w:val="18"/>
          <w:szCs w:val="18"/>
        </w:rPr>
        <w:t>规定，申请辞去公司独立董事、薪酬与考核委员会委员（召集人）、战略决策委员会委员（召集人）、审计委员会委员职务。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辞职后，张翔先生不再担任公司任何职务。本公司第四届董事会成员共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名董事，其中独立董事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张翔先生辞职将导</w:t>
      </w:r>
    </w:p>
    <w:p>
      <w:pPr>
        <w:spacing w:after="0" w:line="309" w:lineRule="auto"/>
        <w:jc w:val="left"/>
        <w:rPr>
          <w:rFonts w:ascii="宋体" w:hAnsi="宋体" w:cs="宋体" w:eastAsia="宋体" w:hint="default"/>
          <w:sz w:val="18"/>
          <w:szCs w:val="18"/>
        </w:rPr>
        <w:sectPr>
          <w:pgSz w:w="11910" w:h="16840"/>
          <w:pgMar w:header="0" w:footer="979" w:top="1100" w:bottom="1160" w:left="220" w:right="0"/>
        </w:sectPr>
      </w:pPr>
    </w:p>
    <w:p>
      <w:pPr>
        <w:spacing w:line="240" w:lineRule="auto" w:before="12"/>
        <w:rPr>
          <w:rFonts w:ascii="宋体" w:hAnsi="宋体" w:cs="宋体" w:eastAsia="宋体" w:hint="default"/>
          <w:sz w:val="21"/>
          <w:szCs w:val="21"/>
        </w:rPr>
      </w:pPr>
    </w:p>
    <w:p>
      <w:pPr>
        <w:spacing w:line="319" w:lineRule="auto" w:before="44"/>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致公司独立董事人数少于董事会总人数的三分之一，其辞职申请将在公司股东大会选举产生新任独立董事后生效。截止本报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告披露日，其辞职申请尚未生效。</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917"/>
        <w:gridCol w:w="275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2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陈德平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其辞职申请将在公司股东大会选举 </w:t>
            </w:r>
            <w:r>
              <w:rPr>
                <w:rFonts w:ascii="宋体" w:hAnsi="宋体" w:cs="宋体" w:eastAsia="宋体" w:hint="default"/>
                <w:spacing w:val="-2"/>
                <w:sz w:val="18"/>
                <w:szCs w:val="18"/>
              </w:rPr>
              <w:t>产生新任独立董事后生效。截止本报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告披露日，其辞职申请尚未生效</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根据国家教育部和任职所在学校的 相关规定</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2"/>
        <w:rPr>
          <w:rFonts w:ascii="宋体" w:hAnsi="宋体" w:cs="宋体" w:eastAsia="宋体" w:hint="default"/>
          <w:sz w:val="12"/>
          <w:szCs w:val="12"/>
        </w:rPr>
      </w:pPr>
    </w:p>
    <w:p>
      <w:pPr>
        <w:pStyle w:val="BodyText"/>
        <w:spacing w:line="403" w:lineRule="auto"/>
        <w:ind w:right="1118" w:firstLine="420"/>
        <w:jc w:val="left"/>
      </w:pPr>
      <w:r>
        <w:rPr>
          <w:rFonts w:ascii="Times New Roman" w:hAnsi="Times New Roman" w:cs="Times New Roman" w:eastAsia="Times New Roman" w:hint="default"/>
          <w:spacing w:val="-1"/>
        </w:rPr>
        <w:t>1</w:t>
      </w:r>
      <w:r>
        <w:rPr>
          <w:spacing w:val="-1"/>
        </w:rPr>
        <w:t>、</w:t>
      </w:r>
      <w:r>
        <w:rPr>
          <w:rFonts w:ascii="宋体" w:hAnsi="宋体" w:cs="宋体" w:eastAsia="宋体" w:hint="default"/>
          <w:b/>
          <w:bCs/>
          <w:spacing w:val="-1"/>
        </w:rPr>
        <w:t>王相荣</w:t>
      </w:r>
      <w:r>
        <w:rPr>
          <w:spacing w:val="-1"/>
        </w:rPr>
        <w:t>，男，中国国籍，获新加坡永久居留权。</w:t>
      </w:r>
      <w:r>
        <w:rPr>
          <w:rFonts w:ascii="Times New Roman" w:hAnsi="Times New Roman" w:cs="Times New Roman" w:eastAsia="Times New Roman" w:hint="default"/>
          <w:spacing w:val="-1"/>
        </w:rPr>
        <w:t>1972</w:t>
      </w:r>
      <w:r>
        <w:rPr>
          <w:spacing w:val="-1"/>
        </w:rPr>
        <w:t>年</w:t>
      </w:r>
      <w:r>
        <w:rPr>
          <w:rFonts w:ascii="Times New Roman" w:hAnsi="Times New Roman" w:cs="Times New Roman" w:eastAsia="Times New Roman" w:hint="default"/>
          <w:spacing w:val="-1"/>
        </w:rPr>
        <w:t>2</w:t>
      </w:r>
      <w:r>
        <w:rPr>
          <w:spacing w:val="-1"/>
        </w:rPr>
        <w:t>月生，大学本科学历，工程师。全国农业</w:t>
      </w:r>
      <w:r>
        <w:rPr/>
        <w:t> </w:t>
      </w:r>
      <w:r>
        <w:rPr>
          <w:spacing w:val="-1"/>
        </w:rPr>
        <w:t>机械标准化技术委员会委员、中国农业机械协会排灌机械分会副会长、中国农业机械学会理事、中水网专</w:t>
      </w:r>
      <w:r>
        <w:rPr>
          <w:spacing w:val="-83"/>
        </w:rPr>
        <w:t> </w:t>
      </w:r>
      <w:r>
        <w:rPr>
          <w:spacing w:val="-83"/>
        </w:rPr>
      </w:r>
      <w:r>
        <w:rPr>
          <w:spacing w:val="-1"/>
        </w:rPr>
        <w:t>家委员会副主任委员、浙江农业机械工业行业协会副理事长；中国青联第十一届委员会委员、中国青年企</w:t>
      </w:r>
      <w:r>
        <w:rPr>
          <w:spacing w:val="-83"/>
        </w:rPr>
        <w:t> </w:t>
      </w:r>
      <w:r>
        <w:rPr>
          <w:spacing w:val="-83"/>
        </w:rPr>
      </w:r>
      <w:r>
        <w:rPr>
          <w:spacing w:val="-1"/>
        </w:rPr>
        <w:t>业家协会常务理事、浙江省青年企业家协会副会长；台州市人大代表。</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5</w:t>
      </w:r>
      <w:r>
        <w:rPr>
          <w:spacing w:val="-1"/>
        </w:rPr>
        <w:t>月至</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w:t>
      </w:r>
      <w:r>
        <w:rPr>
          <w:spacing w:val="-1"/>
        </w:rPr>
        <w:t>月，任浙江利</w:t>
      </w:r>
      <w:r>
        <w:rPr>
          <w:spacing w:val="-84"/>
        </w:rPr>
        <w:t> </w:t>
      </w:r>
      <w:r>
        <w:rPr>
          <w:spacing w:val="-84"/>
        </w:rPr>
      </w:r>
      <w:r>
        <w:rPr/>
        <w:t>欧电气有限公司执行董事兼总经理，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w:t>
      </w:r>
      <w:r>
        <w:rPr/>
        <w:t>月至今任公司董事长，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日至今兼任公司总经理， </w:t>
      </w:r>
      <w:r>
        <w:rPr>
          <w:spacing w:val="-1"/>
        </w:rPr>
        <w:t>现同时担任浙江利欧控股集团有限公司董事长，浙江大农实业股份有限公司董事，温岭市利欧小额贷款有</w:t>
      </w:r>
      <w:r>
        <w:rPr>
          <w:spacing w:val="-81"/>
        </w:rPr>
        <w:t> </w:t>
      </w:r>
      <w:r>
        <w:rPr>
          <w:spacing w:val="-81"/>
        </w:rPr>
      </w:r>
      <w:r>
        <w:rPr>
          <w:spacing w:val="-1"/>
        </w:rPr>
        <w:t>限公司董事长，台州新科环保研究所有限公司执行董事，温岭市利恒机械有限公司的执行董事，温岭利欧</w:t>
      </w:r>
      <w:r>
        <w:rPr>
          <w:spacing w:val="-83"/>
        </w:rPr>
        <w:t> </w:t>
      </w:r>
      <w:r>
        <w:rPr>
          <w:spacing w:val="-83"/>
        </w:rPr>
      </w:r>
      <w:r>
        <w:rPr>
          <w:spacing w:val="-1"/>
        </w:rPr>
        <w:t>贸易有限公司执行董事，台州利欧矿业投资有限公司执行董事，温岭市广源房地产开发有限公司董事，上</w:t>
      </w:r>
      <w:r>
        <w:rPr>
          <w:spacing w:val="-83"/>
        </w:rPr>
        <w:t> </w:t>
      </w:r>
      <w:r>
        <w:rPr>
          <w:spacing w:val="-83"/>
        </w:rPr>
      </w:r>
      <w:r>
        <w:rPr>
          <w:spacing w:val="-1"/>
        </w:rPr>
        <w:t>海磊利汽车贸易有限公司的监事、上海漫酷广告有限公司董事长、上海氩氪广告有限公司董事长、银色琥</w:t>
      </w:r>
      <w:r>
        <w:rPr>
          <w:spacing w:val="-83"/>
        </w:rPr>
        <w:t> </w:t>
      </w:r>
      <w:r>
        <w:rPr>
          <w:spacing w:val="-83"/>
        </w:rPr>
      </w:r>
      <w:r>
        <w:rPr>
          <w:spacing w:val="-1"/>
        </w:rPr>
        <w:t>珀文化传播（北京）有限公司董事长、江苏万圣伟业网络科技公司董事长、北京微创时代广告有限公司董</w:t>
      </w:r>
      <w:r>
        <w:rPr>
          <w:spacing w:val="-86"/>
        </w:rPr>
        <w:t> </w:t>
      </w:r>
      <w:r>
        <w:rPr>
          <w:spacing w:val="-86"/>
        </w:rPr>
      </w:r>
      <w:r>
        <w:rPr/>
        <w:t>事长。</w:t>
      </w:r>
    </w:p>
    <w:p>
      <w:pPr>
        <w:pStyle w:val="BodyText"/>
        <w:spacing w:line="398" w:lineRule="auto" w:before="50"/>
        <w:ind w:right="1024" w:firstLine="420"/>
        <w:jc w:val="left"/>
      </w:pPr>
      <w:r>
        <w:rPr>
          <w:rFonts w:ascii="Times New Roman" w:hAnsi="Times New Roman" w:cs="Times New Roman" w:eastAsia="Times New Roman" w:hint="default"/>
          <w:spacing w:val="-3"/>
        </w:rPr>
        <w:t>2</w:t>
      </w:r>
      <w:r>
        <w:rPr>
          <w:spacing w:val="-3"/>
        </w:rPr>
        <w:t>、</w:t>
      </w:r>
      <w:r>
        <w:rPr>
          <w:rFonts w:ascii="宋体" w:hAnsi="宋体" w:cs="宋体" w:eastAsia="宋体" w:hint="default"/>
          <w:b/>
          <w:bCs/>
          <w:spacing w:val="-3"/>
        </w:rPr>
        <w:t>王壮利</w:t>
      </w:r>
      <w:r>
        <w:rPr>
          <w:spacing w:val="-3"/>
        </w:rPr>
        <w:t>，男，中国国籍，无境外永久居留权。</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7</w:t>
      </w:r>
      <w:r>
        <w:rPr>
          <w:spacing w:val="-3"/>
        </w:rPr>
        <w:t>月生，大学学历，工程师。</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2005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月，任浙江利欧电气有限公司监事、副总经理，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月任公司董事、副总经理，</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5</w:t>
      </w:r>
      <w:r>
        <w:rPr/>
        <w:t>月至今任公司副董事长，同时担任浙江利欧控股集团有限公司董事，湖南利欧泵业有限公司董事长， 湖南利欧天鹅工业泵有限公司董事长，无锡利欧锡泵制造有限公司董事长，台州新科环保研究所有限公司 </w:t>
      </w:r>
      <w:r>
        <w:rPr>
          <w:spacing w:val="-3"/>
        </w:rPr>
        <w:t>监事，温岭利欧技术检测服务有限公司监事，温岭利欧贸易有限公司监事，温岭市利恒机械有限公司监事，</w:t>
      </w:r>
      <w:r>
        <w:rPr>
          <w:spacing w:val="-90"/>
        </w:rPr>
        <w:t> </w:t>
      </w:r>
      <w:r>
        <w:rPr>
          <w:spacing w:val="-90"/>
        </w:rPr>
      </w:r>
      <w:r>
        <w:rPr/>
        <w:t>台州利欧矿业投资有限公司监事，长沙美能电力设备股份有限公司董事、浙江利斯特智慧管网股份有限公</w:t>
      </w:r>
      <w:r>
        <w:rPr/>
        <w:t> 司董事长、利欧集团浙江泵业有限公司董事。</w:t>
      </w:r>
    </w:p>
    <w:p>
      <w:pPr>
        <w:pStyle w:val="BodyText"/>
        <w:spacing w:line="386" w:lineRule="auto" w:before="54"/>
        <w:ind w:left="154" w:right="0" w:firstLine="420"/>
        <w:jc w:val="left"/>
      </w:pPr>
      <w:r>
        <w:rPr>
          <w:rFonts w:ascii="Times New Roman" w:hAnsi="Times New Roman" w:cs="Times New Roman" w:eastAsia="Times New Roman" w:hint="default"/>
          <w:spacing w:val="-1"/>
        </w:rPr>
        <w:t>3</w:t>
      </w:r>
      <w:r>
        <w:rPr>
          <w:spacing w:val="-1"/>
        </w:rPr>
        <w:t>、</w:t>
      </w:r>
      <w:r>
        <w:rPr>
          <w:rFonts w:ascii="宋体" w:hAnsi="宋体" w:cs="宋体" w:eastAsia="宋体" w:hint="default"/>
          <w:b/>
          <w:bCs/>
          <w:spacing w:val="-1"/>
        </w:rPr>
        <w:t>张旭波，</w:t>
      </w:r>
      <w:r>
        <w:rPr>
          <w:spacing w:val="-1"/>
        </w:rPr>
        <w:t>男，中国国籍，获匈牙利永久居留权。</w:t>
      </w:r>
      <w:r>
        <w:rPr>
          <w:rFonts w:ascii="Times New Roman" w:hAnsi="Times New Roman" w:cs="Times New Roman" w:eastAsia="Times New Roman" w:hint="default"/>
          <w:spacing w:val="-1"/>
        </w:rPr>
        <w:t>1969</w:t>
      </w:r>
      <w:r>
        <w:rPr>
          <w:spacing w:val="-1"/>
        </w:rPr>
        <w:t>年</w:t>
      </w:r>
      <w:r>
        <w:rPr>
          <w:rFonts w:ascii="Times New Roman" w:hAnsi="Times New Roman" w:cs="Times New Roman" w:eastAsia="Times New Roman" w:hint="default"/>
          <w:spacing w:val="-1"/>
        </w:rPr>
        <w:t>9</w:t>
      </w:r>
      <w:r>
        <w:rPr>
          <w:spacing w:val="-1"/>
        </w:rPr>
        <w:t>月生，硕士研究生学历。曾任广发证券股</w:t>
      </w:r>
      <w:r>
        <w:rPr/>
        <w:t> </w:t>
      </w:r>
      <w:r>
        <w:rPr>
          <w:spacing w:val="-1"/>
        </w:rPr>
        <w:t>份有限公司投资银行部高级经理、中银国际证券有限责任公司投资银行部副总裁，现任公司董事、副总经</w:t>
      </w:r>
    </w:p>
    <w:p>
      <w:pPr>
        <w:spacing w:after="0" w:line="386" w:lineRule="auto"/>
        <w:jc w:val="left"/>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spacing w:val="-1"/>
        </w:rPr>
        <w:t>理、董事会秘书，公司上海分公司总经理，现同时担任浙江大农实业股份有限公司董事，湖南利欧天鹅工</w:t>
      </w:r>
      <w:r>
        <w:rPr>
          <w:spacing w:val="-86"/>
        </w:rPr>
        <w:t> </w:t>
      </w:r>
      <w:r>
        <w:rPr>
          <w:spacing w:val="-86"/>
        </w:rPr>
      </w:r>
      <w:r>
        <w:rPr>
          <w:spacing w:val="-1"/>
        </w:rPr>
        <w:t>业泵有限公司董事，无锡利欧锡泵制造有限公司董事，温岭市利欧小额贷款有限公司董事，温岭市信合担</w:t>
      </w:r>
      <w:r>
        <w:rPr>
          <w:spacing w:val="-83"/>
        </w:rPr>
        <w:t> </w:t>
      </w:r>
      <w:r>
        <w:rPr>
          <w:spacing w:val="-83"/>
        </w:rPr>
      </w:r>
      <w:r>
        <w:rPr>
          <w:spacing w:val="-1"/>
        </w:rPr>
        <w:t>保有限公司副董事长、上海漫酷广告有限公司董事、上海氩氪广告有限公司董事、银色琥珀文化传播（北</w:t>
      </w:r>
      <w:r>
        <w:rPr>
          <w:spacing w:val="-86"/>
        </w:rPr>
        <w:t> </w:t>
      </w:r>
      <w:r>
        <w:rPr>
          <w:spacing w:val="-86"/>
        </w:rPr>
      </w:r>
      <w:r>
        <w:rPr/>
        <w:t>京）有限公司董事、江苏万圣伟业网络科技公司董事、北京微创时代广告有限公司董事。</w:t>
      </w:r>
    </w:p>
    <w:p>
      <w:pPr>
        <w:pStyle w:val="BodyText"/>
        <w:spacing w:line="400" w:lineRule="auto" w:before="46"/>
        <w:ind w:right="1130" w:firstLine="420"/>
        <w:jc w:val="both"/>
      </w:pPr>
      <w:r>
        <w:rPr>
          <w:rFonts w:ascii="Times New Roman" w:hAnsi="Times New Roman" w:cs="Times New Roman" w:eastAsia="Times New Roman" w:hint="default"/>
          <w:spacing w:val="-5"/>
        </w:rPr>
        <w:t>4</w:t>
      </w:r>
      <w:r>
        <w:rPr>
          <w:spacing w:val="-5"/>
        </w:rPr>
        <w:t>、</w:t>
      </w:r>
      <w:r>
        <w:rPr>
          <w:rFonts w:ascii="宋体" w:hAnsi="宋体" w:cs="宋体" w:eastAsia="宋体" w:hint="default"/>
          <w:b/>
          <w:bCs/>
          <w:spacing w:val="-5"/>
        </w:rPr>
        <w:t>陈德平</w:t>
      </w:r>
      <w:r>
        <w:rPr>
          <w:spacing w:val="-5"/>
        </w:rPr>
        <w:t>，男，中国国籍，无境外永久居留权。</w:t>
      </w:r>
      <w:r>
        <w:rPr>
          <w:rFonts w:ascii="Times New Roman" w:hAnsi="Times New Roman" w:cs="Times New Roman" w:eastAsia="Times New Roman" w:hint="default"/>
          <w:spacing w:val="-5"/>
        </w:rPr>
        <w:t>1965</w:t>
      </w:r>
      <w:r>
        <w:rPr>
          <w:spacing w:val="-5"/>
        </w:rPr>
        <w:t>年</w:t>
      </w:r>
      <w:r>
        <w:rPr>
          <w:rFonts w:ascii="Times New Roman" w:hAnsi="Times New Roman" w:cs="Times New Roman" w:eastAsia="Times New Roman" w:hint="default"/>
          <w:spacing w:val="-5"/>
        </w:rPr>
        <w:t>1</w:t>
      </w:r>
      <w:r>
        <w:rPr>
          <w:spacing w:val="-5"/>
        </w:rPr>
        <w:t>月生，硕士研究生学历，一级高级经济师（教</w:t>
      </w:r>
      <w:r>
        <w:rPr/>
        <w:t> </w:t>
      </w:r>
      <w:r>
        <w:rPr>
          <w:spacing w:val="-1"/>
        </w:rPr>
        <w:t>授级高级经济师），中国注册资产评估师。曾任南昌工程学院管理系讲师；江南信托投资股份有限公司投</w:t>
      </w:r>
      <w:r>
        <w:rPr>
          <w:spacing w:val="-86"/>
        </w:rPr>
        <w:t> </w:t>
      </w:r>
      <w:r>
        <w:rPr>
          <w:spacing w:val="-86"/>
        </w:rPr>
      </w:r>
      <w:r>
        <w:rPr>
          <w:spacing w:val="-1"/>
        </w:rPr>
        <w:t>资银行一部、研究发展一部、基金管理部总经理（同时兼任）；江南信托投资股份有限公司信托部、市场</w:t>
      </w:r>
      <w:r>
        <w:rPr>
          <w:spacing w:val="-83"/>
        </w:rPr>
        <w:t> </w:t>
      </w:r>
      <w:r>
        <w:rPr>
          <w:spacing w:val="-83"/>
        </w:rPr>
      </w:r>
      <w:r>
        <w:rPr/>
        <w:t>部总经理，现任中国水务投资有限公司副总经济师、监事，江西财经大学金融学院客座教授。</w:t>
      </w:r>
    </w:p>
    <w:p>
      <w:pPr>
        <w:pStyle w:val="BodyText"/>
        <w:spacing w:line="386" w:lineRule="auto" w:before="52"/>
        <w:ind w:right="0" w:firstLine="420"/>
        <w:jc w:val="left"/>
      </w:pPr>
      <w:r>
        <w:rPr>
          <w:rFonts w:ascii="Times New Roman" w:hAnsi="Times New Roman" w:cs="Times New Roman" w:eastAsia="Times New Roman" w:hint="default"/>
        </w:rPr>
        <w:t>5</w:t>
      </w:r>
      <w:r>
        <w:rPr/>
        <w:t>、</w:t>
      </w:r>
      <w:r>
        <w:rPr>
          <w:rFonts w:ascii="宋体" w:hAnsi="宋体" w:cs="宋体" w:eastAsia="宋体" w:hint="default"/>
          <w:b/>
          <w:bCs/>
        </w:rPr>
        <w:t>莫康孙</w:t>
      </w:r>
      <w:r>
        <w:rPr/>
        <w:t>（英文名：</w:t>
      </w:r>
      <w:r>
        <w:rPr>
          <w:rFonts w:ascii="Times New Roman" w:hAnsi="Times New Roman" w:cs="Times New Roman" w:eastAsia="Times New Roman" w:hint="default"/>
        </w:rPr>
        <w:t>Tomaz Mok</w:t>
      </w:r>
      <w:r>
        <w:rPr/>
        <w:t>）</w:t>
      </w:r>
      <w:r>
        <w:rPr>
          <w:rFonts w:ascii="Times New Roman" w:hAnsi="Times New Roman" w:cs="Times New Roman" w:eastAsia="Times New Roman" w:hint="default"/>
        </w:rPr>
        <w:t>, </w:t>
      </w:r>
      <w:r>
        <w:rPr/>
        <w:t>男，葡萄牙籍，获中国香港与澳门永久居留权</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rFonts w:ascii="Times New Roman" w:hAnsi="Times New Roman" w:cs="Times New Roman" w:eastAsia="Times New Roman" w:hint="default"/>
        </w:rPr>
        <w:t>1952</w:t>
      </w:r>
      <w:r>
        <w:rPr/>
        <w:t>年</w:t>
      </w:r>
      <w:r>
        <w:rPr>
          <w:rFonts w:ascii="Times New Roman" w:hAnsi="Times New Roman" w:cs="Times New Roman" w:eastAsia="Times New Roman" w:hint="default"/>
        </w:rPr>
        <w:t>10</w:t>
      </w:r>
      <w:r>
        <w:rPr/>
        <w:t>月生。 </w:t>
      </w:r>
      <w:r>
        <w:rPr>
          <w:spacing w:val="-4"/>
        </w:rPr>
        <w:t>莫先生在广告业从业</w:t>
      </w:r>
      <w:r>
        <w:rPr>
          <w:rFonts w:ascii="Times New Roman" w:hAnsi="Times New Roman" w:cs="Times New Roman" w:eastAsia="Times New Roman" w:hint="default"/>
          <w:spacing w:val="-4"/>
        </w:rPr>
        <w:t>40</w:t>
      </w:r>
      <w:r>
        <w:rPr>
          <w:spacing w:val="-4"/>
        </w:rPr>
        <w:t>年，先后担任麦肯（</w:t>
      </w:r>
      <w:r>
        <w:rPr>
          <w:rFonts w:ascii="Times New Roman" w:hAnsi="Times New Roman" w:cs="Times New Roman" w:eastAsia="Times New Roman" w:hint="default"/>
          <w:spacing w:val="-4"/>
        </w:rPr>
        <w:t>McCANN</w:t>
      </w:r>
      <w:r>
        <w:rPr>
          <w:spacing w:val="-4"/>
        </w:rPr>
        <w:t>）香港、新加坡、纽约、台北和中国大陆的创意总监；</w:t>
      </w:r>
      <w:r>
        <w:rPr>
          <w:spacing w:val="-76"/>
        </w:rPr>
        <w:t> </w:t>
      </w:r>
      <w:r>
        <w:rPr>
          <w:spacing w:val="-76"/>
        </w:rPr>
      </w:r>
      <w:r>
        <w:rPr/>
        <w:t>自</w:t>
      </w:r>
      <w:r>
        <w:rPr>
          <w:rFonts w:ascii="Times New Roman" w:hAnsi="Times New Roman" w:cs="Times New Roman" w:eastAsia="Times New Roman" w:hint="default"/>
        </w:rPr>
        <w:t>1996</w:t>
      </w:r>
      <w:r>
        <w:rPr/>
        <w:t>年起担任麦肯亚太地区副总监；</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2006</w:t>
      </w:r>
      <w:r>
        <w:rPr/>
        <w:t>年，曾两度担任麦肯光明北京办公室总经理兼中国地 区执行创意总监，之后在上海开拓通用汽车广告专户（</w:t>
      </w:r>
      <w:r>
        <w:rPr>
          <w:rFonts w:ascii="Times New Roman" w:hAnsi="Times New Roman" w:cs="Times New Roman" w:eastAsia="Times New Roman" w:hint="default"/>
        </w:rPr>
        <w:t>SGM</w:t>
      </w:r>
      <w:r>
        <w:rPr>
          <w:rFonts w:ascii="Times New Roman" w:hAnsi="Times New Roman" w:cs="Times New Roman" w:eastAsia="Times New Roman" w:hint="default"/>
          <w:spacing w:val="-16"/>
        </w:rPr>
        <w:t> </w:t>
      </w:r>
      <w:r>
        <w:rPr>
          <w:rFonts w:ascii="Times New Roman" w:hAnsi="Times New Roman" w:cs="Times New Roman" w:eastAsia="Times New Roman" w:hint="default"/>
        </w:rPr>
        <w:t>WORKS</w:t>
      </w:r>
      <w:r>
        <w:rPr/>
        <w:t>）至今；自</w:t>
      </w:r>
      <w:r>
        <w:rPr>
          <w:rFonts w:ascii="Times New Roman" w:hAnsi="Times New Roman" w:cs="Times New Roman" w:eastAsia="Times New Roman" w:hint="default"/>
        </w:rPr>
        <w:t>2011</w:t>
      </w:r>
      <w:r>
        <w:rPr/>
        <w:t>年起担任麦肯光明广 告有限公司董事长。在</w:t>
      </w:r>
      <w:r>
        <w:rPr>
          <w:rFonts w:ascii="Times New Roman" w:hAnsi="Times New Roman" w:cs="Times New Roman" w:eastAsia="Times New Roman" w:hint="default"/>
        </w:rPr>
        <w:t>40</w:t>
      </w:r>
      <w:r>
        <w:rPr/>
        <w:t>年的职业生涯中，莫先生服务过通用汽车、雀巢咖啡、可口可乐、联合包裹快递</w:t>
      </w:r>
    </w:p>
    <w:p>
      <w:pPr>
        <w:pStyle w:val="BodyText"/>
        <w:spacing w:line="386" w:lineRule="auto" w:before="35"/>
        <w:ind w:right="1061"/>
        <w:jc w:val="both"/>
      </w:pPr>
      <w:r>
        <w:rPr>
          <w:spacing w:val="-9"/>
        </w:rPr>
        <w:t>（</w:t>
      </w:r>
      <w:r>
        <w:rPr>
          <w:rFonts w:ascii="Times New Roman" w:hAnsi="Times New Roman" w:cs="Times New Roman" w:eastAsia="Times New Roman" w:hint="default"/>
          <w:spacing w:val="-9"/>
        </w:rPr>
        <w:t>UPS</w:t>
      </w:r>
      <w:r>
        <w:rPr>
          <w:spacing w:val="-9"/>
        </w:rPr>
        <w:t>）、万事达卡、微软、英特尔、摩托罗拉、强生、费列罗、联合利华、吉列、利维士牛仔裤（</w:t>
      </w:r>
      <w:r>
        <w:rPr>
          <w:rFonts w:ascii="Times New Roman" w:hAnsi="Times New Roman" w:cs="Times New Roman" w:eastAsia="Times New Roman" w:hint="default"/>
          <w:spacing w:val="-9"/>
        </w:rPr>
        <w:t>Levi’s</w:t>
      </w:r>
      <w:r>
        <w:rPr>
          <w:spacing w:val="-9"/>
        </w:rPr>
        <w:t>）、</w:t>
      </w:r>
      <w:r>
        <w:rPr>
          <w:spacing w:val="-86"/>
        </w:rPr>
        <w:t> </w:t>
      </w:r>
      <w:r>
        <w:rPr/>
        <w:t>百加得朗姆（</w:t>
      </w:r>
      <w:r>
        <w:rPr>
          <w:rFonts w:ascii="Times New Roman" w:hAnsi="Times New Roman" w:cs="Times New Roman" w:eastAsia="Times New Roman" w:hint="default"/>
        </w:rPr>
        <w:t>Bacardi</w:t>
      </w:r>
      <w:r>
        <w:rPr>
          <w:rFonts w:ascii="Times New Roman" w:hAnsi="Times New Roman" w:cs="Times New Roman" w:eastAsia="Times New Roman" w:hint="default"/>
          <w:spacing w:val="-16"/>
        </w:rPr>
        <w:t> </w:t>
      </w:r>
      <w:r>
        <w:rPr>
          <w:rFonts w:ascii="Times New Roman" w:hAnsi="Times New Roman" w:cs="Times New Roman" w:eastAsia="Times New Roman" w:hint="default"/>
        </w:rPr>
        <w:t>Rum</w:t>
      </w:r>
      <w:r>
        <w:rPr/>
        <w:t>）等国际知名品牌，创意工作得到了戛纳</w:t>
      </w:r>
      <w:r>
        <w:rPr>
          <w:rFonts w:ascii="Times New Roman" w:hAnsi="Times New Roman" w:cs="Times New Roman" w:eastAsia="Times New Roman" w:hint="default"/>
        </w:rPr>
        <w:t>Cannes</w:t>
      </w:r>
      <w:r>
        <w:rPr/>
        <w:t>、卡里奥</w:t>
      </w:r>
      <w:r>
        <w:rPr>
          <w:rFonts w:ascii="Times New Roman" w:hAnsi="Times New Roman" w:cs="Times New Roman" w:eastAsia="Times New Roman" w:hint="default"/>
        </w:rPr>
        <w:t>Clio</w:t>
      </w:r>
      <w:r>
        <w:rPr/>
        <w:t>、纽约和伦敦广告 节等多项国际性奖项，并先后多次为戛纳、卡里奥、纽约以及亚太区的各大广告节担任评委。</w:t>
      </w:r>
    </w:p>
    <w:p>
      <w:pPr>
        <w:pStyle w:val="BodyText"/>
        <w:spacing w:line="400" w:lineRule="auto" w:before="65"/>
        <w:ind w:right="0" w:firstLine="420"/>
        <w:jc w:val="left"/>
      </w:pPr>
      <w:r>
        <w:rPr>
          <w:rFonts w:ascii="Times New Roman" w:hAnsi="Times New Roman" w:cs="Times New Roman" w:eastAsia="Times New Roman" w:hint="default"/>
        </w:rPr>
        <w:t>6</w:t>
      </w:r>
      <w:r>
        <w:rPr>
          <w:rFonts w:ascii="宋体" w:hAnsi="宋体" w:cs="宋体" w:eastAsia="宋体" w:hint="default"/>
          <w:b/>
          <w:bCs/>
        </w:rPr>
        <w:t>、刘春</w:t>
      </w:r>
      <w:r>
        <w:rPr/>
        <w:t>，男，中国国籍，</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12</w:t>
      </w:r>
      <w:r>
        <w:rPr/>
        <w:t>月生，无境外永久居留权，硕士研究生学历。曾任中央电视台新 </w:t>
      </w:r>
      <w:r>
        <w:rPr>
          <w:spacing w:val="-1"/>
        </w:rPr>
        <w:t>闻中心执行制片人、策划、编导，凤凰卫视中文台执行台长，搜狐公司副总裁、搜狐网总编辑、搜狐视频</w:t>
      </w:r>
      <w:r>
        <w:rPr>
          <w:spacing w:val="-83"/>
        </w:rPr>
        <w:t> </w:t>
      </w:r>
      <w:r>
        <w:rPr>
          <w:spacing w:val="-83"/>
        </w:rPr>
      </w:r>
      <w:r>
        <w:rPr>
          <w:spacing w:val="-1"/>
        </w:rPr>
        <w:t>公司总裁、爱奇艺高级副总裁，现任中南影业总裁。刘春先生长期任职于传媒和互联网行业，是电视界和</w:t>
      </w:r>
      <w:r>
        <w:rPr>
          <w:spacing w:val="-86"/>
        </w:rPr>
        <w:t> </w:t>
      </w:r>
      <w:r>
        <w:rPr>
          <w:spacing w:val="-86"/>
        </w:rPr>
      </w:r>
      <w:r>
        <w:rPr/>
        <w:t>视频网站的领军人物。</w:t>
      </w:r>
    </w:p>
    <w:p>
      <w:pPr>
        <w:pStyle w:val="BodyText"/>
        <w:spacing w:line="398" w:lineRule="auto" w:before="52"/>
        <w:ind w:right="1129" w:firstLine="420"/>
        <w:jc w:val="both"/>
      </w:pPr>
      <w:r>
        <w:rPr>
          <w:rFonts w:ascii="Times New Roman" w:hAnsi="Times New Roman" w:cs="Times New Roman" w:eastAsia="Times New Roman" w:hint="default"/>
          <w:spacing w:val="-1"/>
        </w:rPr>
        <w:t>7</w:t>
      </w:r>
      <w:r>
        <w:rPr>
          <w:spacing w:val="-1"/>
        </w:rPr>
        <w:t>、</w:t>
      </w:r>
      <w:r>
        <w:rPr>
          <w:rFonts w:ascii="宋体" w:hAnsi="宋体" w:cs="宋体" w:eastAsia="宋体" w:hint="default"/>
          <w:b/>
          <w:bCs/>
          <w:spacing w:val="-1"/>
        </w:rPr>
        <w:t>马骏</w:t>
      </w:r>
      <w:r>
        <w:rPr>
          <w:spacing w:val="-1"/>
        </w:rPr>
        <w:t>，男，中国国籍，无境外永久居留权。</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6</w:t>
      </w:r>
      <w:r>
        <w:rPr>
          <w:spacing w:val="-1"/>
        </w:rPr>
        <w:t>月生，法律硕士学位。现任国浩律师集团（杭</w:t>
      </w:r>
      <w:r>
        <w:rPr/>
        <w:t> </w:t>
      </w:r>
      <w:r>
        <w:rPr>
          <w:spacing w:val="-1"/>
        </w:rPr>
        <w:t>州）事务所合伙人、杭州仲裁委员会仲裁员等职。同时担任浙江方正电机股份有限公司、百大集团股份有</w:t>
      </w:r>
      <w:r>
        <w:rPr>
          <w:spacing w:val="-86"/>
        </w:rPr>
        <w:t> </w:t>
      </w:r>
      <w:r>
        <w:rPr>
          <w:spacing w:val="-86"/>
        </w:rPr>
      </w:r>
      <w:r>
        <w:rPr/>
        <w:t>限公司的独立董事。马骏先生为浙江省九届、十届、十一届人大代表。</w:t>
      </w:r>
    </w:p>
    <w:p>
      <w:pPr>
        <w:pStyle w:val="BodyText"/>
        <w:spacing w:line="386" w:lineRule="auto" w:before="54"/>
        <w:ind w:right="1117" w:firstLine="420"/>
        <w:jc w:val="left"/>
      </w:pPr>
      <w:r>
        <w:rPr>
          <w:rFonts w:ascii="Times New Roman" w:hAnsi="Times New Roman" w:cs="Times New Roman" w:eastAsia="Times New Roman" w:hint="default"/>
        </w:rPr>
        <w:t>8</w:t>
      </w:r>
      <w:r>
        <w:rPr/>
        <w:t>、</w:t>
      </w:r>
      <w:r>
        <w:rPr>
          <w:rFonts w:ascii="宋体" w:hAnsi="宋体" w:cs="宋体" w:eastAsia="宋体" w:hint="default"/>
          <w:b/>
          <w:bCs/>
        </w:rPr>
        <w:t>赵保卿</w:t>
      </w:r>
      <w:r>
        <w:rPr/>
        <w:t>，男，中国国籍，无境外永久居留权。</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11</w:t>
      </w:r>
      <w:r>
        <w:rPr/>
        <w:t>月生，博士研究生学历。现任北京工商大 学商学院会计学教授，中国审计学会理事，北京审计学会理事，中央广播电视大学</w:t>
      </w:r>
      <w:r>
        <w:rPr>
          <w:rFonts w:ascii="Times New Roman" w:hAnsi="Times New Roman" w:cs="Times New Roman" w:eastAsia="Times New Roman" w:hint="default"/>
        </w:rPr>
        <w:t>“</w:t>
      </w:r>
      <w:r>
        <w:rPr/>
        <w:t>审计案例研究</w:t>
      </w:r>
      <w:r>
        <w:rPr>
          <w:rFonts w:ascii="Times New Roman" w:hAnsi="Times New Roman" w:cs="Times New Roman" w:eastAsia="Times New Roman" w:hint="default"/>
        </w:rPr>
        <w:t>”</w:t>
      </w:r>
      <w:r>
        <w:rPr/>
        <w:t>课程主 讲与教材主编，审计署高级审计师评审委员会委员。现同时担任武汉达明科技股份有限公司独立董事。</w:t>
      </w:r>
    </w:p>
    <w:p>
      <w:pPr>
        <w:pStyle w:val="BodyText"/>
        <w:spacing w:line="400" w:lineRule="auto" w:before="65"/>
        <w:ind w:right="1129" w:firstLine="420"/>
        <w:jc w:val="both"/>
      </w:pPr>
      <w:r>
        <w:rPr>
          <w:rFonts w:ascii="Times New Roman" w:hAnsi="Times New Roman" w:cs="Times New Roman" w:eastAsia="Times New Roman" w:hint="default"/>
          <w:spacing w:val="-1"/>
        </w:rPr>
        <w:t>9</w:t>
      </w:r>
      <w:r>
        <w:rPr>
          <w:spacing w:val="-1"/>
        </w:rPr>
        <w:t>、</w:t>
      </w:r>
      <w:r>
        <w:rPr>
          <w:rFonts w:ascii="宋体" w:hAnsi="宋体" w:cs="宋体" w:eastAsia="宋体" w:hint="default"/>
          <w:b/>
          <w:bCs/>
          <w:spacing w:val="-1"/>
        </w:rPr>
        <w:t>张翔</w:t>
      </w:r>
      <w:r>
        <w:rPr>
          <w:spacing w:val="-1"/>
        </w:rPr>
        <w:t>，男，中国国籍，无境外永久居留权。</w:t>
      </w:r>
      <w:r>
        <w:rPr>
          <w:rFonts w:ascii="Times New Roman" w:hAnsi="Times New Roman" w:cs="Times New Roman" w:eastAsia="Times New Roman" w:hint="default"/>
          <w:spacing w:val="-1"/>
        </w:rPr>
        <w:t>1962</w:t>
      </w:r>
      <w:r>
        <w:rPr>
          <w:spacing w:val="-1"/>
        </w:rPr>
        <w:t>年</w:t>
      </w:r>
      <w:r>
        <w:rPr>
          <w:rFonts w:ascii="Times New Roman" w:hAnsi="Times New Roman" w:cs="Times New Roman" w:eastAsia="Times New Roman" w:hint="default"/>
          <w:spacing w:val="-1"/>
        </w:rPr>
        <w:t>3</w:t>
      </w:r>
      <w:r>
        <w:rPr>
          <w:spacing w:val="-1"/>
        </w:rPr>
        <w:t>月出生，本科学历，经济学学士学位，在读博</w:t>
      </w:r>
      <w:r>
        <w:rPr/>
        <w:t> </w:t>
      </w:r>
      <w:r>
        <w:rPr>
          <w:spacing w:val="-1"/>
        </w:rPr>
        <w:t>士，现任中国传媒大学广告学院教授、国家广告研究院副院长，中国商业企业管理协会市场营销分会常务</w:t>
      </w:r>
      <w:r>
        <w:rPr>
          <w:spacing w:val="-82"/>
        </w:rPr>
        <w:t> </w:t>
      </w:r>
      <w:r>
        <w:rPr>
          <w:spacing w:val="-82"/>
        </w:rPr>
      </w:r>
      <w:r>
        <w:rPr>
          <w:spacing w:val="-1"/>
        </w:rPr>
        <w:t>理事，中国高等教学学会广告专业委员会常务理事、副秘书长，中国广告协会学术委员会委员、一级广告</w:t>
      </w:r>
      <w:r>
        <w:rPr>
          <w:spacing w:val="-86"/>
        </w:rPr>
        <w:t> </w:t>
      </w:r>
      <w:r>
        <w:rPr>
          <w:spacing w:val="-86"/>
        </w:rPr>
      </w:r>
      <w:r>
        <w:rPr>
          <w:spacing w:val="-1"/>
        </w:rPr>
        <w:t>企业资质评委，中国商务广告协会委员、中国广告主协会专家咨询委员会委员，《广告大观》杂志社出版</w:t>
      </w:r>
    </w:p>
    <w:p>
      <w:pPr>
        <w:spacing w:after="0" w:line="400" w:lineRule="auto"/>
        <w:jc w:val="both"/>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0" w:right="1586"/>
        <w:jc w:val="center"/>
      </w:pPr>
      <w:r>
        <w:rPr/>
        <w:t>的《广告研究》副主任编委，日本吉田秀雄纪念事业财团客座研究员，中央电视台广告策略顾问。</w:t>
      </w:r>
    </w:p>
    <w:p>
      <w:pPr>
        <w:spacing w:line="340" w:lineRule="auto" w:before="115"/>
        <w:ind w:left="573" w:right="6238" w:firstLine="2"/>
        <w:jc w:val="left"/>
        <w:rPr>
          <w:rFonts w:ascii="宋体" w:hAnsi="宋体" w:cs="宋体" w:eastAsia="宋体" w:hint="default"/>
          <w:sz w:val="21"/>
          <w:szCs w:val="21"/>
        </w:rPr>
      </w:pPr>
      <w:r>
        <w:rPr>
          <w:rFonts w:ascii="宋体" w:hAnsi="宋体" w:cs="宋体" w:eastAsia="宋体" w:hint="default"/>
          <w:b/>
          <w:bCs/>
          <w:sz w:val="21"/>
          <w:szCs w:val="21"/>
        </w:rPr>
        <w:t>（二）监事</w:t>
      </w:r>
      <w:r>
        <w:rPr>
          <w:rFonts w:ascii="宋体" w:hAnsi="宋体" w:cs="宋体" w:eastAsia="宋体" w:hint="default"/>
          <w:b/>
          <w:bCs/>
          <w:w w:val="99"/>
          <w:sz w:val="21"/>
          <w:szCs w:val="21"/>
        </w:rPr>
        <w:t> </w:t>
      </w:r>
      <w:r>
        <w:rPr>
          <w:rFonts w:ascii="宋体" w:hAnsi="宋体" w:cs="宋体" w:eastAsia="宋体" w:hint="default"/>
          <w:sz w:val="21"/>
          <w:szCs w:val="21"/>
        </w:rPr>
        <w:t>公司共有监事</w:t>
      </w:r>
      <w:r>
        <w:rPr>
          <w:rFonts w:ascii="Times New Roman" w:hAnsi="Times New Roman" w:cs="Times New Roman" w:eastAsia="Times New Roman" w:hint="default"/>
          <w:sz w:val="21"/>
          <w:szCs w:val="21"/>
        </w:rPr>
        <w:t>3</w:t>
      </w:r>
      <w:r>
        <w:rPr>
          <w:rFonts w:ascii="宋体" w:hAnsi="宋体" w:cs="宋体" w:eastAsia="宋体" w:hint="default"/>
          <w:sz w:val="21"/>
          <w:szCs w:val="21"/>
        </w:rPr>
        <w:t>名。各监事的基本情况如下：</w:t>
      </w:r>
    </w:p>
    <w:p>
      <w:pPr>
        <w:pStyle w:val="BodyText"/>
        <w:spacing w:line="398" w:lineRule="auto" w:before="80"/>
        <w:ind w:right="0" w:firstLine="420"/>
        <w:jc w:val="left"/>
      </w:pPr>
      <w:r>
        <w:rPr>
          <w:rFonts w:ascii="Times New Roman" w:hAnsi="Times New Roman" w:cs="Times New Roman" w:eastAsia="Times New Roman" w:hint="default"/>
        </w:rPr>
        <w:t>1</w:t>
      </w:r>
      <w:r>
        <w:rPr/>
        <w:t>、</w:t>
      </w:r>
      <w:r>
        <w:rPr>
          <w:rFonts w:ascii="宋体" w:hAnsi="宋体" w:cs="宋体" w:eastAsia="宋体" w:hint="default"/>
          <w:b/>
          <w:bCs/>
        </w:rPr>
        <w:t>林仁勇</w:t>
      </w:r>
      <w:r>
        <w:rPr/>
        <w:t>，男，中国国籍，无境外永久居留权。</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7</w:t>
      </w:r>
      <w:r>
        <w:rPr/>
        <w:t>月生，大学本科学历。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月，进入台 </w:t>
      </w:r>
      <w:r>
        <w:rPr>
          <w:spacing w:val="-1"/>
        </w:rPr>
        <w:t>州利欧电气有限公司工作。现任公司监事会主席、第三届中共利欧集团股份有限公司委员会组织委员、工</w:t>
      </w:r>
      <w:r>
        <w:rPr>
          <w:spacing w:val="-82"/>
        </w:rPr>
        <w:t> </w:t>
      </w:r>
      <w:r>
        <w:rPr>
          <w:spacing w:val="-82"/>
        </w:rPr>
      </w:r>
      <w:r>
        <w:rPr/>
        <w:t>会副主席、办公室主任。</w:t>
      </w:r>
    </w:p>
    <w:p>
      <w:pPr>
        <w:pStyle w:val="BodyText"/>
        <w:spacing w:line="386" w:lineRule="auto" w:before="54"/>
        <w:ind w:right="1131" w:firstLine="420"/>
        <w:jc w:val="both"/>
      </w:pPr>
      <w:r>
        <w:rPr>
          <w:rFonts w:ascii="Times New Roman" w:hAnsi="Times New Roman" w:cs="Times New Roman" w:eastAsia="Times New Roman" w:hint="default"/>
          <w:spacing w:val="-3"/>
        </w:rPr>
        <w:t>2</w:t>
      </w:r>
      <w:r>
        <w:rPr>
          <w:spacing w:val="-3"/>
        </w:rPr>
        <w:t>、</w:t>
      </w:r>
      <w:r>
        <w:rPr>
          <w:rFonts w:ascii="宋体" w:hAnsi="宋体" w:cs="宋体" w:eastAsia="宋体" w:hint="default"/>
          <w:b/>
          <w:bCs/>
          <w:spacing w:val="-3"/>
        </w:rPr>
        <w:t>程衍</w:t>
      </w:r>
      <w:r>
        <w:rPr>
          <w:spacing w:val="-3"/>
        </w:rPr>
        <w:t>，女，中国国籍，无境外永久居留权。</w:t>
      </w:r>
      <w:r>
        <w:rPr>
          <w:rFonts w:ascii="Times New Roman" w:hAnsi="Times New Roman" w:cs="Times New Roman" w:eastAsia="Times New Roman" w:hint="default"/>
          <w:spacing w:val="-3"/>
        </w:rPr>
        <w:t>1979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月生，大专学历。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月，进入台州利欧 电气有限公司工作。现任公司监事。</w:t>
      </w:r>
    </w:p>
    <w:p>
      <w:pPr>
        <w:pStyle w:val="BodyText"/>
        <w:spacing w:line="398" w:lineRule="auto" w:before="65"/>
        <w:ind w:right="1132" w:firstLine="420"/>
        <w:jc w:val="both"/>
      </w:pPr>
      <w:r>
        <w:rPr>
          <w:rFonts w:ascii="Times New Roman" w:hAnsi="Times New Roman" w:cs="Times New Roman" w:eastAsia="Times New Roman" w:hint="default"/>
          <w:spacing w:val="-1"/>
        </w:rPr>
        <w:t>3</w:t>
      </w:r>
      <w:r>
        <w:rPr>
          <w:spacing w:val="-1"/>
        </w:rPr>
        <w:t>、</w:t>
      </w:r>
      <w:r>
        <w:rPr>
          <w:rFonts w:ascii="宋体" w:hAnsi="宋体" w:cs="宋体" w:eastAsia="宋体" w:hint="default"/>
          <w:b/>
          <w:bCs/>
          <w:spacing w:val="-1"/>
        </w:rPr>
        <w:t>颜灵强</w:t>
      </w:r>
      <w:r>
        <w:rPr>
          <w:spacing w:val="-1"/>
        </w:rPr>
        <w:t>，男，中国国籍，无境外永久居留权。</w:t>
      </w:r>
      <w:r>
        <w:rPr>
          <w:rFonts w:ascii="Times New Roman" w:hAnsi="Times New Roman" w:cs="Times New Roman" w:eastAsia="Times New Roman" w:hint="default"/>
          <w:spacing w:val="-1"/>
        </w:rPr>
        <w:t>1982</w:t>
      </w:r>
      <w:r>
        <w:rPr>
          <w:spacing w:val="-1"/>
        </w:rPr>
        <w:t>年</w:t>
      </w:r>
      <w:r>
        <w:rPr>
          <w:rFonts w:ascii="Times New Roman" w:hAnsi="Times New Roman" w:cs="Times New Roman" w:eastAsia="Times New Roman" w:hint="default"/>
          <w:spacing w:val="-1"/>
        </w:rPr>
        <w:t>1</w:t>
      </w:r>
      <w:r>
        <w:rPr>
          <w:spacing w:val="-1"/>
        </w:rPr>
        <w:t>月生，中专学历。</w:t>
      </w:r>
      <w:r>
        <w:rPr>
          <w:rFonts w:ascii="Times New Roman" w:hAnsi="Times New Roman" w:cs="Times New Roman" w:eastAsia="Times New Roman" w:hint="default"/>
          <w:spacing w:val="-1"/>
        </w:rPr>
        <w:t>2001</w:t>
      </w:r>
      <w:r>
        <w:rPr>
          <w:spacing w:val="-1"/>
        </w:rPr>
        <w:t>年，进入台州利欧电</w:t>
      </w:r>
      <w:r>
        <w:rPr/>
        <w:t> </w:t>
      </w:r>
      <w:r>
        <w:rPr>
          <w:spacing w:val="-1"/>
        </w:rPr>
        <w:t>气有限公司工作。现任公司职工监事、第三届中共利欧集团股份有限公司委员会生产、安全委员、浙江利</w:t>
      </w:r>
      <w:r>
        <w:rPr>
          <w:spacing w:val="-86"/>
        </w:rPr>
        <w:t> </w:t>
      </w:r>
      <w:r>
        <w:rPr>
          <w:spacing w:val="-86"/>
        </w:rPr>
      </w:r>
      <w:r>
        <w:rPr/>
        <w:t>欧环境科技有限公司副总经理。</w:t>
      </w:r>
    </w:p>
    <w:p>
      <w:pPr>
        <w:pStyle w:val="Heading3"/>
        <w:spacing w:line="251" w:lineRule="exact" w:before="0"/>
        <w:ind w:right="0"/>
        <w:jc w:val="left"/>
        <w:rPr>
          <w:rFonts w:ascii="宋体" w:hAnsi="宋体" w:cs="宋体" w:eastAsia="宋体" w:hint="default"/>
          <w:b w:val="0"/>
          <w:bCs w:val="0"/>
        </w:rPr>
      </w:pPr>
      <w:r>
        <w:rPr>
          <w:rFonts w:ascii="宋体" w:hAnsi="宋体" w:cs="宋体" w:eastAsia="宋体" w:hint="default"/>
        </w:rPr>
        <w:t>（三）高级管理人员</w:t>
      </w:r>
      <w:r>
        <w:rPr>
          <w:rFonts w:ascii="宋体" w:hAnsi="宋体" w:cs="宋体" w:eastAsia="宋体" w:hint="default"/>
          <w:b w:val="0"/>
          <w:bCs w:val="0"/>
        </w:rPr>
      </w:r>
    </w:p>
    <w:p>
      <w:pPr>
        <w:pStyle w:val="BodyText"/>
        <w:spacing w:line="240" w:lineRule="auto" w:before="115"/>
        <w:ind w:left="573" w:right="0"/>
        <w:jc w:val="left"/>
      </w:pPr>
      <w:r>
        <w:rPr/>
        <w:t>公司共有高级管理人员</w:t>
      </w:r>
      <w:r>
        <w:rPr>
          <w:rFonts w:ascii="宋体" w:hAnsi="宋体" w:cs="宋体" w:eastAsia="宋体" w:hint="default"/>
        </w:rPr>
        <w:t>7</w:t>
      </w:r>
      <w:r>
        <w:rPr/>
        <w:t>名。各高级管理人员基本情况如下：</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1</w:t>
      </w:r>
      <w:r>
        <w:rPr/>
        <w:t>、</w:t>
      </w:r>
      <w:r>
        <w:rPr>
          <w:rFonts w:ascii="宋体" w:hAnsi="宋体" w:cs="宋体" w:eastAsia="宋体" w:hint="default"/>
          <w:b/>
          <w:bCs/>
        </w:rPr>
        <w:t>王相荣</w:t>
      </w:r>
      <w:r>
        <w:rPr/>
        <w:t>，本公司董事长兼总经理，请参见（个人简况参见本节“（一）董事”）。</w:t>
      </w:r>
    </w:p>
    <w:p>
      <w:pPr>
        <w:pStyle w:val="BodyText"/>
        <w:spacing w:line="398" w:lineRule="auto" w:before="177"/>
        <w:ind w:right="1131" w:firstLine="420"/>
        <w:jc w:val="both"/>
      </w:pPr>
      <w:r>
        <w:rPr>
          <w:rFonts w:ascii="Times New Roman" w:hAnsi="Times New Roman" w:cs="Times New Roman" w:eastAsia="Times New Roman" w:hint="default"/>
        </w:rPr>
        <w:t>2</w:t>
      </w:r>
      <w:r>
        <w:rPr/>
        <w:t>、</w:t>
      </w:r>
      <w:r>
        <w:rPr>
          <w:rFonts w:ascii="宋体" w:hAnsi="宋体" w:cs="宋体" w:eastAsia="宋体" w:hint="default"/>
          <w:b/>
          <w:bCs/>
        </w:rPr>
        <w:t>颜土富</w:t>
      </w:r>
      <w:r>
        <w:rPr/>
        <w:t>，男，中国国籍</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无境外永久居留权。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8</w:t>
      </w:r>
      <w:r>
        <w:rPr/>
        <w:t>月生，中专学历，曾任浙江利欧电气有限公 </w:t>
      </w:r>
      <w:r>
        <w:rPr>
          <w:spacing w:val="-1"/>
        </w:rPr>
        <w:t>司总经理助理，现任公司副总经理，现同时担任第三届中共利欧集团股份有限公司委员会副书记、利欧集</w:t>
      </w:r>
      <w:r>
        <w:rPr>
          <w:spacing w:val="-83"/>
        </w:rPr>
        <w:t> </w:t>
      </w:r>
      <w:r>
        <w:rPr>
          <w:spacing w:val="-83"/>
        </w:rPr>
      </w:r>
      <w:r>
        <w:rPr/>
        <w:t>团浙江泵业有限公司董事长、浙江利欧环境科技有限公司董事长。</w:t>
      </w:r>
    </w:p>
    <w:p>
      <w:pPr>
        <w:pStyle w:val="BodyText"/>
        <w:spacing w:line="240" w:lineRule="auto" w:before="54"/>
        <w:ind w:left="573" w:right="0"/>
        <w:jc w:val="left"/>
      </w:pPr>
      <w:r>
        <w:rPr>
          <w:rFonts w:ascii="Times New Roman" w:hAnsi="Times New Roman" w:cs="Times New Roman" w:eastAsia="Times New Roman" w:hint="default"/>
        </w:rPr>
        <w:t>3</w:t>
      </w:r>
      <w:r>
        <w:rPr/>
        <w:t>、</w:t>
      </w:r>
      <w:r>
        <w:rPr>
          <w:rFonts w:ascii="宋体" w:hAnsi="宋体" w:cs="宋体" w:eastAsia="宋体" w:hint="default"/>
          <w:b/>
          <w:bCs/>
        </w:rPr>
        <w:t>张旭波</w:t>
      </w:r>
      <w:r>
        <w:rPr/>
        <w:t>，本公司董事、副总经理、董事会秘书（个人简况参见本节“（一）董事”）。</w:t>
      </w:r>
    </w:p>
    <w:p>
      <w:pPr>
        <w:pStyle w:val="BodyText"/>
        <w:spacing w:line="400" w:lineRule="auto" w:before="177"/>
        <w:ind w:left="154" w:right="1130" w:firstLine="420"/>
        <w:jc w:val="both"/>
      </w:pPr>
      <w:r>
        <w:rPr>
          <w:rFonts w:ascii="Times New Roman" w:hAnsi="Times New Roman" w:cs="Times New Roman" w:eastAsia="Times New Roman" w:hint="default"/>
        </w:rPr>
        <w:t>4</w:t>
      </w:r>
      <w:r>
        <w:rPr/>
        <w:t>、</w:t>
      </w:r>
      <w:r>
        <w:rPr>
          <w:rFonts w:ascii="宋体" w:hAnsi="宋体" w:cs="宋体" w:eastAsia="宋体" w:hint="default"/>
          <w:b/>
          <w:bCs/>
        </w:rPr>
        <w:t>曾钦民</w:t>
      </w:r>
      <w:r>
        <w:rPr/>
        <w:t>，男，中国国籍</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无境外永久居留权。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8</w:t>
      </w:r>
      <w:r>
        <w:rPr/>
        <w:t>月生，大学本科学历，</w:t>
      </w:r>
      <w:r>
        <w:rPr>
          <w:rFonts w:ascii="Times New Roman" w:hAnsi="Times New Roman" w:cs="Times New Roman" w:eastAsia="Times New Roman" w:hint="default"/>
        </w:rPr>
        <w:t>2009</w:t>
      </w:r>
      <w:r>
        <w:rPr/>
        <w:t>年浙江省十佳人 </w:t>
      </w:r>
      <w:r>
        <w:rPr>
          <w:spacing w:val="-1"/>
        </w:rPr>
        <w:t>力资源经理人获得者，曾任台州新视野管理顾问有限公司总经理，现任本公司副总经理，现同时担任湖南</w:t>
      </w:r>
      <w:r>
        <w:rPr>
          <w:spacing w:val="-83"/>
        </w:rPr>
        <w:t> </w:t>
      </w:r>
      <w:r>
        <w:rPr>
          <w:spacing w:val="-83"/>
        </w:rPr>
      </w:r>
      <w:r>
        <w:rPr>
          <w:spacing w:val="-1"/>
        </w:rPr>
        <w:t>利欧天鹅工业泵有限公司董事，无锡利欧锡泵制造有限公司董事、浙江利欧环境科技有限公司董事、利欧</w:t>
      </w:r>
      <w:r>
        <w:rPr>
          <w:spacing w:val="-83"/>
        </w:rPr>
        <w:t> </w:t>
      </w:r>
      <w:r>
        <w:rPr>
          <w:spacing w:val="-83"/>
        </w:rPr>
      </w:r>
      <w:r>
        <w:rPr/>
        <w:t>集团浙江泵业有限公司董事。</w:t>
      </w:r>
    </w:p>
    <w:p>
      <w:pPr>
        <w:pStyle w:val="BodyText"/>
        <w:spacing w:line="398" w:lineRule="auto" w:before="52"/>
        <w:ind w:right="1131" w:firstLine="420"/>
        <w:jc w:val="both"/>
      </w:pPr>
      <w:r>
        <w:rPr>
          <w:rFonts w:ascii="Times New Roman" w:hAnsi="Times New Roman" w:cs="Times New Roman" w:eastAsia="Times New Roman" w:hint="default"/>
          <w:spacing w:val="-3"/>
        </w:rPr>
        <w:t>5</w:t>
      </w:r>
      <w:r>
        <w:rPr>
          <w:spacing w:val="-3"/>
        </w:rPr>
        <w:t>、</w:t>
      </w:r>
      <w:r>
        <w:rPr>
          <w:rFonts w:ascii="宋体" w:hAnsi="宋体" w:cs="宋体" w:eastAsia="宋体" w:hint="default"/>
          <w:b/>
          <w:bCs/>
          <w:spacing w:val="-3"/>
        </w:rPr>
        <w:t>黄卿文</w:t>
      </w:r>
      <w:r>
        <w:rPr>
          <w:spacing w:val="-3"/>
        </w:rPr>
        <w:t>，男，中国国籍</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2"/>
        </w:rPr>
        <w:t> </w:t>
      </w:r>
      <w:r>
        <w:rPr/>
        <w:t>无境外永久居留权。</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月生，大学本科学历，曾任温岭对外贸易公 </w:t>
      </w:r>
      <w:r>
        <w:rPr>
          <w:spacing w:val="-1"/>
        </w:rPr>
        <w:t>司太平分公司销售部经理，浙江利欧电气有限公司营销部经理，浙江利欧股份有限公司监事会主席、董事</w:t>
      </w:r>
      <w:r>
        <w:rPr>
          <w:spacing w:val="-83"/>
        </w:rPr>
        <w:t> </w:t>
      </w:r>
      <w:r>
        <w:rPr>
          <w:spacing w:val="-83"/>
        </w:rPr>
      </w:r>
      <w:r>
        <w:rPr/>
        <w:t>长助理。现任本公司副总经理、浙江利欧环境科技有限公司董事。</w:t>
      </w:r>
    </w:p>
    <w:p>
      <w:pPr>
        <w:pStyle w:val="BodyText"/>
        <w:spacing w:line="400" w:lineRule="auto" w:before="54"/>
        <w:ind w:right="1131" w:firstLine="420"/>
        <w:jc w:val="both"/>
      </w:pPr>
      <w:r>
        <w:rPr>
          <w:rFonts w:ascii="Times New Roman" w:hAnsi="Times New Roman" w:cs="Times New Roman" w:eastAsia="Times New Roman" w:hint="default"/>
          <w:spacing w:val="-3"/>
        </w:rPr>
        <w:t>6</w:t>
      </w:r>
      <w:r>
        <w:rPr>
          <w:spacing w:val="-3"/>
        </w:rPr>
        <w:t>、</w:t>
      </w:r>
      <w:r>
        <w:rPr>
          <w:rFonts w:ascii="宋体" w:hAnsi="宋体" w:cs="宋体" w:eastAsia="宋体" w:hint="default"/>
          <w:b/>
          <w:bCs/>
          <w:spacing w:val="-3"/>
        </w:rPr>
        <w:t>陈林富</w:t>
      </w:r>
      <w:r>
        <w:rPr>
          <w:spacing w:val="-3"/>
        </w:rPr>
        <w:t>，男，中国国籍</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2"/>
        </w:rPr>
        <w:t> </w:t>
      </w:r>
      <w:r>
        <w:rPr/>
        <w:t>无境外永久居留权。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10</w:t>
      </w:r>
      <w:r>
        <w:rPr/>
        <w:t>月生，大专学历，曾任温岭市新河供销社主 </w:t>
      </w:r>
      <w:r>
        <w:rPr>
          <w:spacing w:val="-1"/>
        </w:rPr>
        <w:t>办会计、温岭市财政局委派会计、浙江利欧电气有限公司财务部经理，现任本公司财务总监。现同时担任</w:t>
      </w:r>
      <w:r>
        <w:rPr>
          <w:spacing w:val="-86"/>
        </w:rPr>
        <w:t> </w:t>
      </w:r>
      <w:r>
        <w:rPr>
          <w:spacing w:val="-86"/>
        </w:rPr>
      </w:r>
      <w:r>
        <w:rPr>
          <w:spacing w:val="-1"/>
        </w:rPr>
        <w:t>第三届中共利欧集团股份有限公司委员会书记、浙江利欧（香港）有限公司执行董事、利欧集团浙江泵业</w:t>
      </w:r>
      <w:r>
        <w:rPr>
          <w:spacing w:val="-86"/>
        </w:rPr>
        <w:t> </w:t>
      </w:r>
      <w:r>
        <w:rPr>
          <w:spacing w:val="-86"/>
        </w:rPr>
      </w:r>
      <w:r>
        <w:rPr/>
        <w:t>有限公司监事、浙江利欧环境科技有限公司董事。</w:t>
      </w:r>
    </w:p>
    <w:p>
      <w:pPr>
        <w:pStyle w:val="BodyText"/>
        <w:spacing w:line="240" w:lineRule="auto" w:before="52"/>
        <w:ind w:left="574" w:right="0"/>
        <w:jc w:val="left"/>
      </w:pPr>
      <w:r>
        <w:rPr>
          <w:rFonts w:ascii="Times New Roman" w:hAnsi="Times New Roman" w:cs="Times New Roman" w:eastAsia="Times New Roman" w:hint="default"/>
          <w:spacing w:val="-3"/>
        </w:rPr>
        <w:t>7</w:t>
      </w:r>
      <w:r>
        <w:rPr>
          <w:spacing w:val="-3"/>
        </w:rPr>
        <w:t>、</w:t>
      </w:r>
      <w:r>
        <w:rPr>
          <w:rFonts w:ascii="宋体" w:hAnsi="宋体" w:cs="宋体" w:eastAsia="宋体" w:hint="default"/>
          <w:b/>
          <w:bCs/>
          <w:spacing w:val="-3"/>
        </w:rPr>
        <w:t>郑晓东</w:t>
      </w:r>
      <w:r>
        <w:rPr>
          <w:spacing w:val="-3"/>
        </w:rPr>
        <w:t>，男，中国国籍，无境外永久居留权。</w:t>
      </w:r>
      <w:r>
        <w:rPr>
          <w:rFonts w:ascii="Times New Roman" w:hAnsi="Times New Roman" w:cs="Times New Roman" w:eastAsia="Times New Roman" w:hint="default"/>
          <w:spacing w:val="-3"/>
        </w:rPr>
        <w:t>1976</w:t>
      </w:r>
      <w:r>
        <w:rPr>
          <w:spacing w:val="-3"/>
        </w:rPr>
        <w:t>年</w:t>
      </w:r>
      <w:r>
        <w:rPr>
          <w:rFonts w:ascii="Times New Roman" w:hAnsi="Times New Roman" w:cs="Times New Roman" w:eastAsia="Times New Roman" w:hint="default"/>
          <w:spacing w:val="-3"/>
        </w:rPr>
        <w:t>9</w:t>
      </w:r>
      <w:r>
        <w:rPr>
          <w:spacing w:val="-3"/>
        </w:rPr>
        <w:t>月生，硕士研究生学历。曾任职于长城宽带，</w:t>
      </w:r>
    </w:p>
    <w:p>
      <w:pPr>
        <w:spacing w:after="0" w:line="240" w:lineRule="auto"/>
        <w:jc w:val="left"/>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393" w:lineRule="auto" w:before="35"/>
        <w:ind w:right="1024"/>
        <w:jc w:val="left"/>
      </w:pPr>
      <w:r>
        <w:rPr/>
        <w:t>好耶网络等网络与营销公司，并曾担任好耶广告网络华东区总经理，副总裁等职务。</w:t>
      </w:r>
      <w:r>
        <w:rPr>
          <w:rFonts w:ascii="Times New Roman" w:hAnsi="Times New Roman" w:cs="Times New Roman" w:eastAsia="Times New Roman" w:hint="default"/>
        </w:rPr>
        <w:t>2009</w:t>
      </w:r>
      <w:r>
        <w:rPr/>
        <w:t>年底联合创办上 海聚胜万合广告有限公司（</w:t>
      </w:r>
      <w:r>
        <w:rPr>
          <w:rFonts w:ascii="Times New Roman" w:hAnsi="Times New Roman" w:cs="Times New Roman" w:eastAsia="Times New Roman" w:hint="default"/>
        </w:rPr>
        <w:t>Media</w:t>
      </w:r>
      <w:r>
        <w:rPr>
          <w:rFonts w:ascii="Times New Roman" w:hAnsi="Times New Roman" w:cs="Times New Roman" w:eastAsia="Times New Roman" w:hint="default"/>
          <w:spacing w:val="-1"/>
        </w:rPr>
        <w:t> </w:t>
      </w:r>
      <w:r>
        <w:rPr>
          <w:rFonts w:ascii="Times New Roman" w:hAnsi="Times New Roman" w:cs="Times New Roman" w:eastAsia="Times New Roman" w:hint="default"/>
        </w:rPr>
        <w:t>V</w:t>
      </w:r>
      <w:r>
        <w:rPr/>
        <w:t>）。十几年来在数字营销领域成功服务过包括索尼、百事、飞利浦、 西门子、联合利华、雅培、京东等数十家国内外知名企业，数字营销实战领军人物，获金鼠标</w:t>
      </w:r>
      <w:r>
        <w:rPr>
          <w:rFonts w:ascii="Times New Roman" w:hAnsi="Times New Roman" w:cs="Times New Roman" w:eastAsia="Times New Roman" w:hint="default"/>
        </w:rPr>
        <w:t>“</w:t>
      </w:r>
      <w:r>
        <w:rPr/>
        <w:t>年度网络 营销杰出贡献人物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虎啸年度人物大奖</w:t>
      </w:r>
      <w:r>
        <w:rPr>
          <w:rFonts w:ascii="Times New Roman" w:hAnsi="Times New Roman" w:cs="Times New Roman" w:eastAsia="Times New Roman" w:hint="default"/>
        </w:rPr>
        <w:t>”</w:t>
      </w:r>
      <w:r>
        <w:rPr/>
        <w:t>等多项大奖。现任上海聚胜万合广告有限公司（</w:t>
      </w:r>
      <w:r>
        <w:rPr>
          <w:rFonts w:ascii="Times New Roman" w:hAnsi="Times New Roman" w:cs="Times New Roman" w:eastAsia="Times New Roman" w:hint="default"/>
        </w:rPr>
        <w:t>Media</w:t>
      </w:r>
      <w:r>
        <w:rPr>
          <w:rFonts w:ascii="Times New Roman" w:hAnsi="Times New Roman" w:cs="Times New Roman" w:eastAsia="Times New Roman" w:hint="default"/>
          <w:spacing w:val="-1"/>
        </w:rPr>
        <w:t> </w:t>
      </w:r>
      <w:r>
        <w:rPr>
          <w:rFonts w:ascii="Times New Roman" w:hAnsi="Times New Roman" w:cs="Times New Roman" w:eastAsia="Times New Roman" w:hint="default"/>
        </w:rPr>
        <w:t>V</w:t>
      </w:r>
      <w:r>
        <w:rPr/>
        <w:t>）执行 </w:t>
      </w:r>
      <w:r>
        <w:rPr>
          <w:spacing w:val="-3"/>
        </w:rPr>
        <w:t>董事、总裁、上海漫酷广告有限公司董事、总裁、上海氩氪广告有限公司董事、银色琥珀文化传播（北京）</w:t>
      </w:r>
      <w:r>
        <w:rPr>
          <w:spacing w:val="-94"/>
        </w:rPr>
        <w:t> </w:t>
      </w:r>
      <w:r>
        <w:rPr>
          <w:spacing w:val="-94"/>
        </w:rPr>
      </w:r>
      <w:r>
        <w:rPr/>
        <w:t>有限公司董事、江苏万圣伟业网络科技公司董事、北京微创时代广告有限公司董事、上海利柯网络科技有</w:t>
      </w:r>
      <w:r>
        <w:rPr/>
        <w:t> 限公司执行董事、上海聚嘉网络技术有限公司执行董事。</w:t>
      </w:r>
    </w:p>
    <w:p>
      <w:pPr>
        <w:spacing w:before="47"/>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陈德平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107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副总经济师、 监事</w:t>
            </w:r>
          </w:p>
        </w:tc>
        <w:tc>
          <w:tcPr>
            <w:tcW w:w="12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267"/>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8" w:right="86"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0"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温岭市广源房地产开发有限公司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上海磊利汽车贸易有限公司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vMerge/>
            <w:tcBorders>
              <w:left w:val="single" w:sz="4" w:space="0" w:color="000000"/>
              <w:bottom w:val="nil" w:sz="6" w:space="0" w:color="auto"/>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温岭利欧技术检测服务有限公司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267"/>
        <w:gridCol w:w="1229"/>
        <w:gridCol w:w="1361"/>
        <w:gridCol w:w="1375"/>
      </w:tblGrid>
      <w:tr>
        <w:trPr>
          <w:trHeight w:val="402" w:hRule="exact"/>
        </w:trPr>
        <w:tc>
          <w:tcPr>
            <w:tcW w:w="1234" w:type="dxa"/>
            <w:vMerge w:val="restart"/>
            <w:tcBorders>
              <w:top w:val="nil" w:sz="6" w:space="0" w:color="auto"/>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湖南利欧天鹅工业泵有限公司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麦肯光明广告有限公司上海分公司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中南影业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国浩律师集团（杭州）事务所</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杭州仲裁委员会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百大集团股份有限公司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浙江方正电机股份有限公司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北京工商大学商学院</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中国审计学会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北京审计学会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审计署高级审计师评审委员会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武汉达明科技股份有限公司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中国传媒大学国家广告研究院</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中国商业企业管理协会市场营销分会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vMerge/>
            <w:tcBorders>
              <w:left w:val="single" w:sz="4" w:space="0" w:color="000000"/>
              <w:bottom w:val="nil" w:sz="6" w:space="0" w:color="auto"/>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中国高等教育学会广告专业委员会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常务理事、副秘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书长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267"/>
        <w:gridCol w:w="1229"/>
        <w:gridCol w:w="1361"/>
        <w:gridCol w:w="1375"/>
      </w:tblGrid>
      <w:tr>
        <w:trPr>
          <w:trHeight w:val="714" w:hRule="exact"/>
        </w:trPr>
        <w:tc>
          <w:tcPr>
            <w:tcW w:w="1234" w:type="dxa"/>
            <w:vMerge w:val="restart"/>
            <w:tcBorders>
              <w:top w:val="nil" w:sz="6" w:space="0" w:color="auto"/>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中国广告协会学术委员会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委员、一级广告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企业资质评委</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中国商务广告协会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中国广告协会专家咨询委员会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《广告研究》</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副主任编委</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日本吉田秀雄纪念事业财团</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客座研究员</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广告策略顾问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执行董事、总裁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江苏万圣伟业网络科技公司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上海利柯网络科技有限公司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vMerge/>
            <w:tcBorders>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5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董事、监事和高管在其他单位任职情况，只包括其截至报告期末仍然在职的情况。</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408" w:lineRule="auto"/>
        <w:ind w:right="1131" w:firstLine="420"/>
        <w:jc w:val="both"/>
      </w:pPr>
      <w:r>
        <w:rPr>
          <w:spacing w:val="-1"/>
        </w:rPr>
        <w:t>公司董事、监事的报酬由股东大会决定，高级管理人员的报酬由董事会决定，独立董事津贴标准由公</w:t>
      </w:r>
      <w:r>
        <w:rPr/>
        <w:t> </w:t>
      </w:r>
      <w:r>
        <w:rPr>
          <w:spacing w:val="-1"/>
        </w:rPr>
        <w:t>司股东大会决议通过，独立董事参加会议发生的差旅费、办公费等履职费用由公司承担。公司董事会下设</w:t>
      </w:r>
      <w:r>
        <w:rPr>
          <w:spacing w:val="-83"/>
        </w:rPr>
        <w:t> </w:t>
      </w:r>
      <w:r>
        <w:rPr>
          <w:spacing w:val="-83"/>
        </w:rPr>
      </w:r>
      <w:r>
        <w:rPr>
          <w:spacing w:val="-1"/>
        </w:rPr>
        <w:t>薪酬与考核委员会，其主要职责为：（一）根据董事及高级管理人员管理岗位的主要范围、职责、重要性</w:t>
      </w:r>
    </w:p>
    <w:p>
      <w:pPr>
        <w:spacing w:after="0" w:line="408" w:lineRule="auto"/>
        <w:jc w:val="both"/>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制定薪酬计划或方案；（二）审查公司董事（非独立董事）及高级管理人员履行职责的情况并对其进行年</w:t>
      </w:r>
      <w:r>
        <w:rPr>
          <w:spacing w:val="-83"/>
        </w:rPr>
        <w:t> </w:t>
      </w:r>
      <w:r>
        <w:rPr>
          <w:spacing w:val="-83"/>
        </w:rPr>
      </w:r>
      <w:r>
        <w:rPr/>
        <w:t>度绩效考评；（三）负责对公司薪酬制度执行情况进行监督。</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6246"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766"/>
        <w:gridCol w:w="595"/>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z w:val="18"/>
              </w:rPr>
              <w:t>28.90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0"/>
                <w:sz w:val="18"/>
                <w:szCs w:val="18"/>
              </w:rPr>
              <w:t>董事、副总经理、董秘</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陈德平【注】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张翔【注】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3"/>
              <w:jc w:val="right"/>
              <w:rPr>
                <w:rFonts w:ascii="宋体" w:hAnsi="宋体" w:cs="宋体" w:eastAsia="宋体" w:hint="default"/>
                <w:sz w:val="18"/>
                <w:szCs w:val="18"/>
              </w:rPr>
            </w:pPr>
            <w:r>
              <w:rPr>
                <w:rFonts w:ascii="宋体"/>
                <w:sz w:val="18"/>
              </w:rPr>
              <w:t>10.48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颜灵强</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3"/>
              <w:jc w:val="right"/>
              <w:rPr>
                <w:rFonts w:ascii="宋体" w:hAnsi="宋体" w:cs="宋体" w:eastAsia="宋体" w:hint="default"/>
                <w:sz w:val="18"/>
                <w:szCs w:val="18"/>
              </w:rPr>
            </w:pPr>
            <w:r>
              <w:rPr>
                <w:rFonts w:ascii="宋体"/>
                <w:sz w:val="18"/>
              </w:rPr>
              <w:t>11.79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sz w:val="18"/>
              </w:rPr>
              <w:t>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1"/>
              <w:jc w:val="right"/>
              <w:rPr>
                <w:rFonts w:ascii="宋体" w:hAnsi="宋体" w:cs="宋体" w:eastAsia="宋体" w:hint="default"/>
                <w:sz w:val="18"/>
                <w:szCs w:val="18"/>
              </w:rPr>
            </w:pPr>
            <w:r>
              <w:rPr>
                <w:rFonts w:ascii="宋体"/>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3"/>
              <w:jc w:val="right"/>
              <w:rPr>
                <w:rFonts w:ascii="宋体" w:hAnsi="宋体" w:cs="宋体" w:eastAsia="宋体" w:hint="default"/>
                <w:sz w:val="18"/>
                <w:szCs w:val="18"/>
              </w:rPr>
            </w:pPr>
            <w:r>
              <w:rPr>
                <w:rFonts w:ascii="宋体"/>
                <w:sz w:val="18"/>
              </w:rPr>
              <w:t>25.84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sz w:val="18"/>
              </w:rPr>
              <w:t>286.35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1"/>
        <w:ind w:left="154" w:right="1116" w:firstLine="0"/>
        <w:jc w:val="left"/>
        <w:rPr>
          <w:rFonts w:ascii="宋体" w:hAnsi="宋体" w:cs="宋体" w:eastAsia="宋体" w:hint="default"/>
          <w:sz w:val="18"/>
          <w:szCs w:val="18"/>
        </w:rPr>
      </w:pPr>
      <w:bookmarkStart w:name="注： 2016年1月13日，董事会收到公司董事陈德平先生的书面辞职申请。陈德平先" w:id="124"/>
      <w:bookmarkEnd w:id="124"/>
      <w:r>
        <w:rPr/>
      </w:r>
      <w:r>
        <w:rPr>
          <w:rFonts w:ascii="宋体" w:hAnsi="宋体" w:cs="宋体" w:eastAsia="宋体" w:hint="default"/>
          <w:sz w:val="18"/>
          <w:szCs w:val="18"/>
        </w:rPr>
        <w:t>注：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日，董事会收到公司董事陈德平先生的书面辞职申请。陈德平先生因个人原因，申请辞去公司董事职 务，同时一并辞去公司董事会战略决策委员会委员职务，辞职后陈德平先生将不在公司任职。</w:t>
      </w:r>
    </w:p>
    <w:p>
      <w:pPr>
        <w:spacing w:line="309" w:lineRule="auto" w:before="58"/>
        <w:ind w:left="15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日，董事会收到独立董事张翔先生的书面辞职报告。张翔先生根据国家教育部和任职所在学校的相关 </w:t>
      </w:r>
      <w:r>
        <w:rPr>
          <w:rFonts w:ascii="宋体" w:hAnsi="宋体" w:cs="宋体" w:eastAsia="宋体" w:hint="default"/>
          <w:spacing w:val="-4"/>
          <w:sz w:val="18"/>
          <w:szCs w:val="18"/>
        </w:rPr>
        <w:t>规定，申请辞去公司独立董事、薪酬与考核委员会委员（召集人）、战略决策委员会委员（召集人）、审计委员会委员职务。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辞职后，张翔先生不再担任公司任何职务。本公司第四届董事会成员共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名董事，其中独立董事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张翔先生辞职将导 </w:t>
      </w:r>
      <w:r>
        <w:rPr>
          <w:rFonts w:ascii="宋体" w:hAnsi="宋体" w:cs="宋体" w:eastAsia="宋体" w:hint="default"/>
          <w:spacing w:val="-2"/>
          <w:sz w:val="18"/>
          <w:szCs w:val="18"/>
        </w:rPr>
        <w:t>致公司独立董事人数少于董事会总人数的三分之一，其辞职申请将在公司股东大会选举产生新任独立董事后生效。截止本报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告披露日，其辞职申请尚未生效。</w:t>
      </w:r>
    </w:p>
    <w:p>
      <w:pPr>
        <w:spacing w:before="145"/>
        <w:ind w:left="153"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6"/>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bookmarkStart w:name="1、员工数量、专业构成及教育程度" w:id="126"/>
      <w:bookmarkEnd w:id="126"/>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、员工数量、专业构成及教育程度</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4,991</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bookmarkStart w:name="2、薪酬政策" w:id="127"/>
      <w:bookmarkEnd w:id="12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、薪酬政策</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408" w:lineRule="auto" w:before="143"/>
        <w:ind w:left="154" w:right="1133" w:firstLine="420"/>
        <w:jc w:val="both"/>
      </w:pPr>
      <w:r>
        <w:rPr>
          <w:spacing w:val="-1"/>
        </w:rPr>
        <w:t>公司及控股子公司实行劳动合同制，与员工签订《劳动合同》，员工按照与公司签订的劳动合同承担</w:t>
      </w:r>
      <w:r>
        <w:rPr/>
        <w:t> </w:t>
      </w:r>
      <w:r>
        <w:rPr>
          <w:spacing w:val="-1"/>
        </w:rPr>
        <w:t>义务和享受权利。公司根据相关法律、法规之规定执行劳动保护制度、社会保障制度，公司员工参加基本</w:t>
      </w:r>
      <w:r>
        <w:rPr>
          <w:spacing w:val="-86"/>
        </w:rPr>
        <w:t> </w:t>
      </w:r>
      <w:r>
        <w:rPr>
          <w:spacing w:val="-86"/>
        </w:rPr>
      </w:r>
      <w:r>
        <w:rPr/>
        <w:t>养老保险、基本医疗保险、失业保险、生育保险、工伤保险等各类社会保险。</w:t>
      </w: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20"/>
          <w:szCs w:val="20"/>
        </w:rPr>
      </w:pPr>
      <w:bookmarkStart w:name="3、培训计划" w:id="128"/>
      <w:bookmarkEnd w:id="128"/>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、培训计划</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p>
    <w:p>
      <w:pPr>
        <w:pStyle w:val="BodyText"/>
        <w:spacing w:line="408" w:lineRule="auto" w:before="142"/>
        <w:ind w:right="1133" w:firstLine="420"/>
        <w:jc w:val="both"/>
      </w:pPr>
      <w:r>
        <w:rPr>
          <w:spacing w:val="-1"/>
        </w:rPr>
        <w:t>公司建立了员工培训机制，并根据生产经营的需要、员工业务、管理素质提升的需求等，采取内部培</w:t>
      </w:r>
      <w:r>
        <w:rPr/>
        <w:t> </w:t>
      </w:r>
      <w:r>
        <w:rPr>
          <w:spacing w:val="-1"/>
        </w:rPr>
        <w:t>训与外派培训相结合的方式，制定培训计划，提升团队素质，以保证既定经营目标的实现以及企业、员工</w:t>
      </w:r>
      <w:r>
        <w:rPr>
          <w:spacing w:val="-86"/>
        </w:rPr>
        <w:t> </w:t>
      </w:r>
      <w:r>
        <w:rPr>
          <w:spacing w:val="-86"/>
        </w:rPr>
      </w:r>
      <w:r>
        <w:rPr/>
        <w:t>的双向可持续发展。</w:t>
      </w:r>
    </w:p>
    <w:p>
      <w:pPr>
        <w:spacing w:after="0" w:line="408" w:lineRule="auto"/>
        <w:jc w:val="both"/>
        <w:sectPr>
          <w:pgSz w:w="11910" w:h="16840"/>
          <w:pgMar w:header="0" w:footer="979" w:top="1100" w:bottom="1160" w:left="980" w:right="0"/>
        </w:sectPr>
      </w:pPr>
    </w:p>
    <w:p>
      <w:pPr>
        <w:spacing w:line="240" w:lineRule="auto" w:before="3"/>
        <w:rPr>
          <w:rFonts w:ascii="宋体" w:hAnsi="宋体" w:cs="宋体" w:eastAsia="宋体" w:hint="default"/>
          <w:sz w:val="21"/>
          <w:szCs w:val="21"/>
        </w:rPr>
      </w:pPr>
    </w:p>
    <w:p>
      <w:pPr>
        <w:spacing w:before="38"/>
        <w:ind w:left="153" w:right="0" w:firstLine="0"/>
        <w:jc w:val="left"/>
        <w:rPr>
          <w:rFonts w:ascii="宋体" w:hAnsi="宋体" w:cs="宋体" w:eastAsia="宋体" w:hint="default"/>
          <w:sz w:val="20"/>
          <w:szCs w:val="20"/>
        </w:rPr>
      </w:pPr>
      <w:bookmarkStart w:name="4、劳务外包情况" w:id="129"/>
      <w:bookmarkEnd w:id="129"/>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、劳务外包情况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978"/>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spacing w:val="-3"/>
        </w:rPr>
        <w:t>公司上市以来，严格按照《公司法》、《证券法》及《上市公司治理准则》、《上市公司章程指引》、</w:t>
      </w:r>
    </w:p>
    <w:p>
      <w:pPr>
        <w:spacing w:line="240" w:lineRule="auto" w:before="10"/>
        <w:rPr>
          <w:rFonts w:ascii="宋体" w:hAnsi="宋体" w:cs="宋体" w:eastAsia="宋体" w:hint="default"/>
          <w:sz w:val="14"/>
          <w:szCs w:val="14"/>
        </w:rPr>
      </w:pPr>
    </w:p>
    <w:p>
      <w:pPr>
        <w:pStyle w:val="BodyText"/>
        <w:spacing w:line="408" w:lineRule="auto"/>
        <w:ind w:right="1110"/>
        <w:jc w:val="both"/>
      </w:pPr>
      <w:r>
        <w:rPr>
          <w:spacing w:val="-1"/>
        </w:rPr>
        <w:t>《深圳证券交易所股票上市规则》、《深圳证券交易所中小企业板上市公司规范运作指引》等法律法规的</w:t>
      </w:r>
      <w:r>
        <w:rPr>
          <w:spacing w:val="-83"/>
        </w:rPr>
        <w:t> </w:t>
      </w:r>
      <w:r>
        <w:rPr>
          <w:spacing w:val="-83"/>
        </w:rPr>
      </w:r>
      <w:r>
        <w:rPr/>
        <w:t>要求，不断完善公司法人治理结构，建立现代企业制度，自觉履行信息披露义务，做好投资者关系管理， 促进企业规范运作水平的不断提升。</w:t>
      </w:r>
    </w:p>
    <w:p>
      <w:pPr>
        <w:pStyle w:val="BodyText"/>
        <w:spacing w:line="408" w:lineRule="auto" w:before="46"/>
        <w:ind w:right="0" w:firstLine="420"/>
        <w:jc w:val="left"/>
      </w:pPr>
      <w:r>
        <w:rPr>
          <w:spacing w:val="-1"/>
        </w:rPr>
        <w:t>报告期内，公司根据相关法律法规的规定，结合公司的实际情况，对《公司章程》和《风险投资管理</w:t>
      </w:r>
      <w:r>
        <w:rPr/>
        <w:t> 制度》进行了修订。</w:t>
      </w:r>
    </w:p>
    <w:p>
      <w:pPr>
        <w:pStyle w:val="BodyText"/>
        <w:spacing w:line="408" w:lineRule="auto" w:before="46"/>
        <w:ind w:left="573" w:right="1093"/>
        <w:jc w:val="left"/>
      </w:pPr>
      <w:r>
        <w:rPr>
          <w:rFonts w:ascii="宋体" w:hAnsi="宋体" w:cs="宋体" w:eastAsia="宋体" w:hint="default"/>
        </w:rPr>
        <w:t>1</w:t>
      </w:r>
      <w:r>
        <w:rPr/>
        <w:t>、关于股东和股东大会 报告期内，公司严格按照《公司法》、《上市公司股东大会规则》、《上市公司治理准则》等法律、</w:t>
      </w:r>
    </w:p>
    <w:p>
      <w:pPr>
        <w:pStyle w:val="BodyText"/>
        <w:spacing w:line="408" w:lineRule="auto" w:before="46"/>
        <w:ind w:right="1131"/>
        <w:jc w:val="both"/>
      </w:pPr>
      <w:r>
        <w:rPr>
          <w:spacing w:val="-1"/>
        </w:rPr>
        <w:t>法规的规定和《公司章程》、《股东大会议事规则》的规定，规范股东大会召集、召开、表决程序，聘请</w:t>
      </w:r>
      <w:r>
        <w:rPr>
          <w:spacing w:val="-85"/>
        </w:rPr>
        <w:t> </w:t>
      </w:r>
      <w:r>
        <w:rPr>
          <w:spacing w:val="-85"/>
        </w:rPr>
      </w:r>
      <w:r>
        <w:rPr>
          <w:spacing w:val="-1"/>
        </w:rPr>
        <w:t>律师列席股东大会并对股东大会的召开和表决程序出具法律意见书，确保所有股东特别是中小股东享有平</w:t>
      </w:r>
      <w:r>
        <w:rPr>
          <w:spacing w:val="-81"/>
        </w:rPr>
        <w:t> </w:t>
      </w:r>
      <w:r>
        <w:rPr>
          <w:spacing w:val="-81"/>
        </w:rPr>
      </w:r>
      <w:r>
        <w:rPr/>
        <w:t>等地位，充分行使权利。</w:t>
      </w:r>
    </w:p>
    <w:p>
      <w:pPr>
        <w:pStyle w:val="BodyText"/>
        <w:spacing w:line="408" w:lineRule="auto" w:before="46"/>
        <w:ind w:left="573" w:right="0"/>
        <w:jc w:val="left"/>
      </w:pPr>
      <w:r>
        <w:rPr>
          <w:rFonts w:ascii="宋体" w:hAnsi="宋体" w:cs="宋体" w:eastAsia="宋体" w:hint="default"/>
        </w:rPr>
        <w:t>2</w:t>
      </w:r>
      <w:r>
        <w:rPr/>
        <w:t>、关于董事和董事会 </w:t>
      </w:r>
      <w:r>
        <w:rPr>
          <w:spacing w:val="-1"/>
        </w:rPr>
        <w:t>报告期末，公司董事会有</w:t>
      </w:r>
      <w:r>
        <w:rPr>
          <w:rFonts w:ascii="宋体" w:hAnsi="宋体" w:cs="宋体" w:eastAsia="宋体" w:hint="default"/>
          <w:spacing w:val="-1"/>
        </w:rPr>
        <w:t>9</w:t>
      </w:r>
      <w:r>
        <w:rPr>
          <w:spacing w:val="-1"/>
        </w:rPr>
        <w:t>名董事，其中独立董事</w:t>
      </w:r>
      <w:r>
        <w:rPr>
          <w:rFonts w:ascii="宋体" w:hAnsi="宋体" w:cs="宋体" w:eastAsia="宋体" w:hint="default"/>
          <w:spacing w:val="-1"/>
        </w:rPr>
        <w:t>3</w:t>
      </w:r>
      <w:r>
        <w:rPr>
          <w:spacing w:val="-1"/>
        </w:rPr>
        <w:t>名，董事会的人数及人员构成符合法律法规和《公</w:t>
      </w:r>
    </w:p>
    <w:p>
      <w:pPr>
        <w:pStyle w:val="BodyText"/>
        <w:spacing w:line="408" w:lineRule="auto" w:before="46"/>
        <w:ind w:right="1132"/>
        <w:jc w:val="both"/>
      </w:pPr>
      <w:r>
        <w:rPr>
          <w:spacing w:val="-1"/>
        </w:rPr>
        <w:t>司章程》的要求。公司严格按照《公司法》、《公司章程》、《董事会议事规则》的规定召开会议。公司</w:t>
      </w:r>
      <w:r>
        <w:rPr>
          <w:spacing w:val="-87"/>
        </w:rPr>
        <w:t> </w:t>
      </w:r>
      <w:r>
        <w:rPr>
          <w:spacing w:val="-87"/>
        </w:rPr>
      </w:r>
      <w:r>
        <w:rPr>
          <w:spacing w:val="-1"/>
        </w:rPr>
        <w:t>各位董事能够勤勉尽责，按时参加报告期内的董事会会议，科学决策，维护公司和股东利益。董事会下设</w:t>
      </w:r>
      <w:r>
        <w:rPr>
          <w:spacing w:val="-86"/>
        </w:rPr>
        <w:t> </w:t>
      </w:r>
      <w:r>
        <w:rPr>
          <w:spacing w:val="-86"/>
        </w:rPr>
      </w:r>
      <w:r>
        <w:rPr/>
        <w:t>的专门委员会，各尽其责。独立董事能够独立、公正的履行职责。</w:t>
      </w:r>
    </w:p>
    <w:p>
      <w:pPr>
        <w:pStyle w:val="BodyText"/>
        <w:spacing w:line="408" w:lineRule="auto" w:before="46"/>
        <w:ind w:left="573" w:right="0"/>
        <w:jc w:val="left"/>
      </w:pPr>
      <w:r>
        <w:rPr>
          <w:rFonts w:ascii="宋体" w:hAnsi="宋体" w:cs="宋体" w:eastAsia="宋体" w:hint="default"/>
        </w:rPr>
        <w:t>3</w:t>
      </w:r>
      <w:r>
        <w:rPr/>
        <w:t>、关于监事和监事会 </w:t>
      </w:r>
      <w:r>
        <w:rPr>
          <w:spacing w:val="-1"/>
        </w:rPr>
        <w:t>公司监事会有</w:t>
      </w:r>
      <w:r>
        <w:rPr>
          <w:rFonts w:ascii="宋体" w:hAnsi="宋体" w:cs="宋体" w:eastAsia="宋体" w:hint="default"/>
          <w:spacing w:val="-1"/>
        </w:rPr>
        <w:t>3</w:t>
      </w:r>
      <w:r>
        <w:rPr>
          <w:spacing w:val="-1"/>
        </w:rPr>
        <w:t>名监事，其中职工监事</w:t>
      </w:r>
      <w:r>
        <w:rPr>
          <w:rFonts w:ascii="宋体" w:hAnsi="宋体" w:cs="宋体" w:eastAsia="宋体" w:hint="default"/>
          <w:spacing w:val="-1"/>
        </w:rPr>
        <w:t>1</w:t>
      </w:r>
      <w:r>
        <w:rPr>
          <w:spacing w:val="-1"/>
        </w:rPr>
        <w:t>名，人员和人数构成符合法律、法规的要求。公司监事会严格</w:t>
      </w:r>
    </w:p>
    <w:p>
      <w:pPr>
        <w:pStyle w:val="BodyText"/>
        <w:spacing w:line="408" w:lineRule="auto" w:before="46"/>
        <w:ind w:right="1026"/>
        <w:jc w:val="both"/>
      </w:pPr>
      <w:r>
        <w:rPr/>
        <w:t>执行《公司法》、《公司章程》、《监事会议事规则》的有关规定，各位监事能够认真履行职责，对公司 </w:t>
      </w:r>
      <w:r>
        <w:rPr>
          <w:spacing w:val="-3"/>
        </w:rPr>
        <w:t>财务状况、关联交易、重大事项以及董事和高级管理人员履行职责的情况进行有效监督，并发表独立意见。</w:t>
      </w:r>
    </w:p>
    <w:p>
      <w:pPr>
        <w:pStyle w:val="BodyText"/>
        <w:spacing w:line="408" w:lineRule="auto" w:before="46"/>
        <w:ind w:left="573" w:right="0"/>
        <w:jc w:val="left"/>
      </w:pPr>
      <w:r>
        <w:rPr>
          <w:rFonts w:ascii="宋体" w:hAnsi="宋体" w:cs="宋体" w:eastAsia="宋体" w:hint="default"/>
        </w:rPr>
        <w:t>4</w:t>
      </w:r>
      <w:r>
        <w:rPr/>
        <w:t>、关于公司与控股股东 </w:t>
      </w:r>
      <w:r>
        <w:rPr>
          <w:spacing w:val="-1"/>
        </w:rPr>
        <w:t>公司控股股东为自然人，控股股东同时担任公司董事长和总经理职务。控股股东严格按照上市公司有</w:t>
      </w:r>
    </w:p>
    <w:p>
      <w:pPr>
        <w:pStyle w:val="BodyText"/>
        <w:spacing w:line="408" w:lineRule="auto" w:before="46"/>
        <w:ind w:right="1025"/>
        <w:jc w:val="both"/>
      </w:pPr>
      <w:r>
        <w:rPr/>
        <w:t>关要求规范自己的行为，公司重大经营决策均按照规范程序作出，未损害公司及其他股东的利益。公司在 业务、人员、资产、机构、财务等方面完全独立于控股股东，具有独立完整的业务体系及自主经营能力。 </w:t>
      </w:r>
      <w:r>
        <w:rPr>
          <w:spacing w:val="-3"/>
        </w:rPr>
        <w:t>有关情况详见本节“二、公司相对于控股股东在业务、人员、资产、机构、财务等方面的独立完整情况”。</w:t>
      </w:r>
    </w:p>
    <w:p>
      <w:pPr>
        <w:spacing w:after="0" w:line="408" w:lineRule="auto"/>
        <w:jc w:val="both"/>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3" w:right="0"/>
        <w:jc w:val="left"/>
      </w:pPr>
      <w:r>
        <w:rPr>
          <w:rFonts w:ascii="宋体" w:hAnsi="宋体" w:cs="宋体" w:eastAsia="宋体" w:hint="default"/>
        </w:rPr>
        <w:t>5</w:t>
      </w:r>
      <w:r>
        <w:rPr/>
        <w:t>、内部审计制度的建立和执行情况 </w:t>
      </w:r>
      <w:r>
        <w:rPr>
          <w:spacing w:val="-1"/>
        </w:rPr>
        <w:t>公司设立了内部审计部门并制定了《内部审计制度》，对审计部的人员构成、职责权限、审计工作程</w:t>
      </w:r>
    </w:p>
    <w:p>
      <w:pPr>
        <w:pStyle w:val="BodyText"/>
        <w:spacing w:line="408" w:lineRule="auto" w:before="46"/>
        <w:ind w:left="573" w:right="0" w:hanging="420"/>
        <w:jc w:val="left"/>
      </w:pPr>
      <w:r>
        <w:rPr/>
        <w:t>序等进行了详细规定。 </w:t>
      </w:r>
      <w:r>
        <w:rPr>
          <w:spacing w:val="-1"/>
        </w:rPr>
        <w:t>审计部对审计委员会负责，向审计委员会报告工作，行使审计监督权，依法检查公司会计账目及其相</w:t>
      </w:r>
    </w:p>
    <w:p>
      <w:pPr>
        <w:pStyle w:val="BodyText"/>
        <w:spacing w:line="408" w:lineRule="auto" w:before="46"/>
        <w:ind w:right="1132"/>
        <w:jc w:val="both"/>
      </w:pPr>
      <w:r>
        <w:rPr>
          <w:spacing w:val="-1"/>
        </w:rPr>
        <w:t>关资产，对财务收支的真实性、合法性、有效性进行监督和评价，对公司的资金运作、资产利用情况及其</w:t>
      </w:r>
      <w:r>
        <w:rPr>
          <w:spacing w:val="-83"/>
        </w:rPr>
        <w:t> </w:t>
      </w:r>
      <w:r>
        <w:rPr>
          <w:spacing w:val="-83"/>
        </w:rPr>
      </w:r>
      <w:r>
        <w:rPr>
          <w:spacing w:val="-1"/>
        </w:rPr>
        <w:t>他财务运作情况进行分析评价，保证公司资产的真实和完整。在强化内部控制、改善经营管理、提高经济</w:t>
      </w:r>
      <w:r>
        <w:rPr>
          <w:spacing w:val="-85"/>
        </w:rPr>
        <w:t> </w:t>
      </w:r>
      <w:r>
        <w:rPr>
          <w:spacing w:val="-85"/>
        </w:rPr>
      </w:r>
      <w:r>
        <w:rPr/>
        <w:t>效益等方面，公司审计部发挥了重要作用。</w:t>
      </w:r>
    </w:p>
    <w:p>
      <w:pPr>
        <w:pStyle w:val="BodyText"/>
        <w:spacing w:line="408" w:lineRule="auto" w:before="46"/>
        <w:ind w:left="573" w:right="0"/>
        <w:jc w:val="left"/>
      </w:pPr>
      <w:r>
        <w:rPr>
          <w:rFonts w:ascii="宋体" w:hAnsi="宋体" w:cs="宋体" w:eastAsia="宋体" w:hint="default"/>
        </w:rPr>
        <w:t>6</w:t>
      </w:r>
      <w:r>
        <w:rPr/>
        <w:t>、关于信息披露和投资者关系管理 </w:t>
      </w:r>
      <w:r>
        <w:rPr>
          <w:spacing w:val="-1"/>
        </w:rPr>
        <w:t>报告期内，公司严格按照有关法律法规的规定和公司《信息披露事务管理制度》的规定，加强信息披</w:t>
      </w:r>
    </w:p>
    <w:p>
      <w:pPr>
        <w:pStyle w:val="BodyText"/>
        <w:spacing w:line="408" w:lineRule="auto" w:before="46"/>
        <w:ind w:right="1024"/>
        <w:jc w:val="left"/>
      </w:pPr>
      <w:r>
        <w:rPr>
          <w:spacing w:val="-3"/>
        </w:rPr>
        <w:t>露事务管理，履行信息披露义务，并指定《证券时报》、《上海证券报》、《证券日报》、《中国证券报》</w:t>
      </w:r>
      <w:r>
        <w:rPr>
          <w:spacing w:val="-94"/>
        </w:rPr>
        <w:t> </w:t>
      </w:r>
      <w:r>
        <w:rPr>
          <w:spacing w:val="-94"/>
        </w:rPr>
      </w:r>
      <w:r>
        <w:rPr/>
        <w:t>和巨潮资讯网（</w:t>
      </w:r>
      <w:hyperlink r:id="rId12">
        <w:r>
          <w:rPr>
            <w:rFonts w:ascii="宋体" w:hAnsi="宋体" w:cs="宋体" w:eastAsia="宋体" w:hint="default"/>
          </w:rPr>
          <w:t>www.cninfo.com.cn</w:t>
        </w:r>
      </w:hyperlink>
      <w:r>
        <w:rPr/>
        <w:t>）为公司信息披露的媒体，真实、准确、及时、完整地披露信息，确 保所有投资者公平获取公司信息。为了加强与投资者的沟通，在公司网站上设立了投资者关系栏目，并明 确公司董事会秘书为投资者关系管理负责人，组织实施投资者关系的日常管理工作。公司还建立了《年报 信息披露重大差错责任追究制度》，加大对年报信息披露责任人的问责力度，提高年报信息披露的质量和 透明度。</w:t>
      </w:r>
    </w:p>
    <w:p>
      <w:pPr>
        <w:pStyle w:val="BodyText"/>
        <w:spacing w:line="408" w:lineRule="auto" w:before="46"/>
        <w:ind w:left="573" w:right="1093"/>
        <w:jc w:val="left"/>
      </w:pPr>
      <w:r>
        <w:rPr>
          <w:rFonts w:ascii="宋体" w:hAnsi="宋体" w:cs="宋体" w:eastAsia="宋体" w:hint="default"/>
        </w:rPr>
        <w:t>7</w:t>
      </w:r>
      <w:r>
        <w:rPr/>
        <w:t>、关于绩效评价与激励约束机制 公司建立了自己的企业绩效评价与激励体系，使经营者的收入与企业经营业绩挂钩，人员招聘公开、</w:t>
      </w:r>
    </w:p>
    <w:p>
      <w:pPr>
        <w:pStyle w:val="BodyText"/>
        <w:spacing w:line="240" w:lineRule="auto" w:before="46"/>
        <w:ind w:right="0"/>
        <w:jc w:val="left"/>
      </w:pPr>
      <w:r>
        <w:rPr/>
        <w:t>透明。</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8</w:t>
      </w:r>
      <w:r>
        <w:rPr/>
        <w:t>、关于利益相关者 </w:t>
      </w:r>
      <w:r>
        <w:rPr>
          <w:spacing w:val="-1"/>
        </w:rPr>
        <w:t>公司能够充分尊重和维护相关利益者的合法权益，以回馈员工、股东、社会为使命，积极与相关利益</w:t>
      </w:r>
    </w:p>
    <w:p>
      <w:pPr>
        <w:pStyle w:val="BodyText"/>
        <w:spacing w:line="408" w:lineRule="auto" w:before="46"/>
        <w:ind w:left="573" w:right="0" w:hanging="420"/>
        <w:jc w:val="left"/>
      </w:pPr>
      <w:r>
        <w:rPr/>
        <w:t>者沟通与交流，并主动承担更多的社会责任，努力实现股东、社会、员工等各方利益的均衡。 </w:t>
      </w:r>
      <w:r>
        <w:rPr>
          <w:spacing w:val="-1"/>
        </w:rPr>
        <w:t>截至报告期末，公司治理的实际状况基本符合中国证监会发布的有关上市公司治理的规范性文件的要</w:t>
      </w:r>
    </w:p>
    <w:p>
      <w:pPr>
        <w:spacing w:line="403" w:lineRule="auto" w:before="46"/>
        <w:ind w:left="153" w:right="0" w:firstLine="0"/>
        <w:jc w:val="left"/>
        <w:rPr>
          <w:rFonts w:ascii="宋体" w:hAnsi="宋体" w:cs="宋体" w:eastAsia="宋体" w:hint="default"/>
          <w:sz w:val="18"/>
          <w:szCs w:val="18"/>
        </w:rPr>
      </w:pPr>
      <w:r>
        <w:rPr>
          <w:rFonts w:ascii="宋体" w:hAnsi="宋体" w:cs="宋体" w:eastAsia="宋体" w:hint="default"/>
          <w:spacing w:val="-1"/>
          <w:sz w:val="21"/>
          <w:szCs w:val="21"/>
        </w:rPr>
        <w:t>求。公司今后将持续强化公司治理工作，建立公司治理的长效机制，更好地完善内控制度建设，加强执行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力度，为公司持续、健康、稳步发展夯实基础。 </w:t>
      </w: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0"/>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t>公司控股股东为自然人。公司在业务、人员、资产、机构、财务等方面完全独立于控股股东，具有独</w:t>
      </w:r>
    </w:p>
    <w:p>
      <w:pPr>
        <w:spacing w:after="0" w:line="240" w:lineRule="auto"/>
        <w:jc w:val="left"/>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3" w:right="1021" w:hanging="420"/>
        <w:jc w:val="left"/>
      </w:pPr>
      <w:r>
        <w:rPr/>
        <w:t>立完整的业务体系及自主经营能力。 </w:t>
      </w:r>
      <w:r>
        <w:rPr>
          <w:rFonts w:ascii="宋体" w:hAnsi="宋体" w:cs="宋体" w:eastAsia="宋体" w:hint="default"/>
          <w:spacing w:val="-3"/>
        </w:rPr>
        <w:t>1</w:t>
      </w:r>
      <w:r>
        <w:rPr>
          <w:spacing w:val="-3"/>
        </w:rPr>
        <w:t>、公司与控股股东在业务方面分开的情况：（</w:t>
      </w:r>
      <w:r>
        <w:rPr>
          <w:rFonts w:ascii="宋体" w:hAnsi="宋体" w:cs="宋体" w:eastAsia="宋体" w:hint="default"/>
          <w:spacing w:val="-3"/>
        </w:rPr>
        <w:t>1</w:t>
      </w:r>
      <w:r>
        <w:rPr>
          <w:spacing w:val="-3"/>
        </w:rPr>
        <w:t>）公司与控股股东及其关联公司不存在同业竞争情况。</w:t>
      </w:r>
    </w:p>
    <w:p>
      <w:pPr>
        <w:pStyle w:val="BodyText"/>
        <w:spacing w:line="408" w:lineRule="auto" w:before="46"/>
        <w:ind w:left="574" w:right="1197" w:hanging="420"/>
        <w:jc w:val="left"/>
      </w:pPr>
      <w:r>
        <w:rPr/>
        <w:t>（</w:t>
      </w:r>
      <w:r>
        <w:rPr>
          <w:rFonts w:ascii="宋体" w:hAnsi="宋体" w:cs="宋体" w:eastAsia="宋体" w:hint="default"/>
        </w:rPr>
        <w:t>2</w:t>
      </w:r>
      <w:r>
        <w:rPr/>
        <w:t>）公司有独立的生产、供应、销售系统，不存在依赖大股东的情况。 </w:t>
      </w:r>
      <w:r>
        <w:rPr>
          <w:rFonts w:ascii="宋体" w:hAnsi="宋体" w:cs="宋体" w:eastAsia="宋体" w:hint="default"/>
        </w:rPr>
        <w:t>2</w:t>
      </w:r>
      <w:r>
        <w:rPr/>
        <w:t>、公司与控股股东在人员方面分开的情况：公司人员、劳动、人事及工资完全独立。公司总经理、</w:t>
      </w:r>
    </w:p>
    <w:p>
      <w:pPr>
        <w:pStyle w:val="BodyText"/>
        <w:spacing w:line="408" w:lineRule="auto" w:before="46"/>
        <w:ind w:left="154" w:right="0"/>
        <w:jc w:val="left"/>
      </w:pPr>
      <w:r>
        <w:rPr>
          <w:spacing w:val="-1"/>
        </w:rPr>
        <w:t>副总经理、董事会秘书、财务总监等高级管理人员均在公司工作并领取薪酬，未在控股股东控制的企业担</w:t>
      </w:r>
      <w:r>
        <w:rPr>
          <w:spacing w:val="-83"/>
        </w:rPr>
        <w:t> </w:t>
      </w:r>
      <w:r>
        <w:rPr>
          <w:spacing w:val="-83"/>
        </w:rPr>
      </w:r>
      <w:r>
        <w:rPr/>
        <w:t>任除董事、监事以外的任何职务和领取报酬。</w:t>
      </w:r>
    </w:p>
    <w:p>
      <w:pPr>
        <w:pStyle w:val="BodyText"/>
        <w:spacing w:line="408" w:lineRule="auto" w:before="46"/>
        <w:ind w:left="154" w:right="1197" w:firstLine="420"/>
        <w:jc w:val="left"/>
      </w:pPr>
      <w:r>
        <w:rPr>
          <w:rFonts w:ascii="宋体" w:hAnsi="宋体" w:cs="宋体" w:eastAsia="宋体" w:hint="default"/>
        </w:rPr>
        <w:t>3</w:t>
      </w:r>
      <w:r>
        <w:rPr/>
        <w:t>、公司与控股股东在资产方面分开的情况：公司拥有独立的生产经营场所、拥有经营所需的设备、 技术、专利和商标，资产完整。</w:t>
      </w:r>
    </w:p>
    <w:p>
      <w:pPr>
        <w:pStyle w:val="BodyText"/>
        <w:spacing w:line="408" w:lineRule="auto" w:before="46"/>
        <w:ind w:left="154" w:right="1118" w:firstLine="420"/>
        <w:jc w:val="left"/>
      </w:pPr>
      <w:r>
        <w:rPr>
          <w:rFonts w:ascii="宋体" w:hAnsi="宋体" w:cs="宋体" w:eastAsia="宋体" w:hint="default"/>
        </w:rPr>
        <w:t>4</w:t>
      </w:r>
      <w:r>
        <w:rPr/>
        <w:t>、公司与控股股东在机构方面分开的情况：公司的生产经营和办公机构与控股股东完全分开，不存 </w:t>
      </w:r>
      <w:r>
        <w:rPr>
          <w:spacing w:val="-1"/>
        </w:rPr>
        <w:t>在混合经营情况。公司建立了适应自身发展需要的组织机构，明确了各机构的职能，独立开展生产经营活</w:t>
      </w:r>
      <w:r>
        <w:rPr>
          <w:spacing w:val="-83"/>
        </w:rPr>
        <w:t> </w:t>
      </w:r>
      <w:r>
        <w:rPr>
          <w:spacing w:val="-83"/>
        </w:rPr>
      </w:r>
      <w:r>
        <w:rPr/>
        <w:t>动。</w:t>
      </w:r>
    </w:p>
    <w:p>
      <w:pPr>
        <w:pStyle w:val="BodyText"/>
        <w:spacing w:line="408" w:lineRule="auto" w:before="46"/>
        <w:ind w:right="0" w:firstLine="420"/>
        <w:jc w:val="left"/>
      </w:pPr>
      <w:r>
        <w:rPr>
          <w:rFonts w:ascii="宋体" w:hAnsi="宋体" w:cs="宋体" w:eastAsia="宋体" w:hint="default"/>
          <w:spacing w:val="-1"/>
        </w:rPr>
        <w:t>5</w:t>
      </w:r>
      <w:r>
        <w:rPr>
          <w:spacing w:val="-1"/>
        </w:rPr>
        <w:t>、公司与控股股东在财务方面分开的情况：（</w:t>
      </w:r>
      <w:r>
        <w:rPr>
          <w:rFonts w:ascii="宋体" w:hAnsi="宋体" w:cs="宋体" w:eastAsia="宋体" w:hint="default"/>
          <w:spacing w:val="-1"/>
        </w:rPr>
        <w:t>1</w:t>
      </w:r>
      <w:r>
        <w:rPr>
          <w:spacing w:val="-1"/>
        </w:rPr>
        <w:t>）公司设立独立的财务部和内审部，配备了专门的财</w:t>
      </w:r>
      <w:r>
        <w:rPr/>
        <w:t> </w:t>
      </w:r>
      <w:r>
        <w:rPr>
          <w:spacing w:val="-1"/>
        </w:rPr>
        <w:t>务人员和审计人员，建立了独立的会计核算体系，并根据国家有关法律法规制定了会计系统控制制度和内</w:t>
      </w:r>
      <w:r>
        <w:rPr>
          <w:spacing w:val="-81"/>
        </w:rPr>
        <w:t> </w:t>
      </w:r>
      <w:r>
        <w:rPr>
          <w:spacing w:val="-81"/>
        </w:rPr>
      </w:r>
      <w:r>
        <w:rPr>
          <w:spacing w:val="-1"/>
        </w:rPr>
        <w:t>部审计制度。（</w:t>
      </w:r>
      <w:r>
        <w:rPr>
          <w:rFonts w:ascii="宋体" w:hAnsi="宋体" w:cs="宋体" w:eastAsia="宋体" w:hint="default"/>
          <w:spacing w:val="-1"/>
        </w:rPr>
        <w:t>2</w:t>
      </w:r>
      <w:r>
        <w:rPr>
          <w:spacing w:val="-1"/>
        </w:rPr>
        <w:t>）公司在银行开设了独立的账户，不存在与控股股东共用账户的情况。（</w:t>
      </w:r>
      <w:r>
        <w:rPr>
          <w:rFonts w:ascii="宋体" w:hAnsi="宋体" w:cs="宋体" w:eastAsia="宋体" w:hint="default"/>
          <w:spacing w:val="-1"/>
        </w:rPr>
        <w:t>3</w:t>
      </w:r>
      <w:r>
        <w:rPr>
          <w:spacing w:val="-1"/>
        </w:rPr>
        <w:t>）公司依法独</w:t>
      </w:r>
      <w:r>
        <w:rPr>
          <w:spacing w:val="-84"/>
        </w:rPr>
        <w:t> </w:t>
      </w:r>
      <w:r>
        <w:rPr>
          <w:spacing w:val="-84"/>
        </w:rPr>
      </w:r>
      <w:r>
        <w:rPr/>
        <w:t>立进行纳税申报及履行纳税义务。（</w:t>
      </w:r>
      <w:r>
        <w:rPr>
          <w:rFonts w:ascii="宋体" w:hAnsi="宋体" w:cs="宋体" w:eastAsia="宋体" w:hint="default"/>
        </w:rPr>
        <w:t>4</w:t>
      </w:r>
      <w:r>
        <w:rPr/>
        <w:t>）公司的控股股东及其关联公司未以任何形式占用公司的货币资金 或其他资产。</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bookmarkStart w:name="1、本报告期股东大会情况" w:id="136"/>
      <w:bookmarkEnd w:id="136"/>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、本报告期股东大会情况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bookmarkStart w:name="2、表决权恢复的优先股股东请求召开临时股东大会" w:id="137"/>
      <w:bookmarkEnd w:id="13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、表决权恢复的优先股股东请求召开临时股东大会</w:t>
      </w:r>
      <w:r>
        <w:rPr>
          <w:rFonts w:ascii="宋体" w:hAnsi="宋体" w:cs="宋体" w:eastAsia="宋体" w:hint="default"/>
          <w:sz w:val="20"/>
          <w:szCs w:val="20"/>
        </w:rPr>
      </w:r>
    </w:p>
    <w:p>
      <w:pPr>
        <w:spacing w:line="240" w:lineRule="auto" w:before="13"/>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bookmarkStart w:name="1、独立董事出席董事会及股东大会的情况" w:id="139"/>
      <w:bookmarkEnd w:id="139"/>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、独立董事出席董事会及股东大会的情况</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5"/>
              <w:jc w:val="right"/>
              <w:rPr>
                <w:rFonts w:ascii="宋体" w:hAnsi="宋体" w:cs="宋体" w:eastAsia="宋体" w:hint="default"/>
                <w:sz w:val="18"/>
                <w:szCs w:val="18"/>
              </w:rPr>
            </w:pPr>
            <w:r>
              <w:rPr>
                <w:rFonts w:ascii="宋体"/>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5"/>
              <w:jc w:val="right"/>
              <w:rPr>
                <w:rFonts w:ascii="宋体" w:hAnsi="宋体" w:cs="宋体" w:eastAsia="宋体" w:hint="default"/>
                <w:sz w:val="18"/>
                <w:szCs w:val="18"/>
              </w:rPr>
            </w:pPr>
            <w:r>
              <w:rPr>
                <w:rFonts w:ascii="宋体"/>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5"/>
              <w:jc w:val="right"/>
              <w:rPr>
                <w:rFonts w:ascii="宋体" w:hAnsi="宋体" w:cs="宋体" w:eastAsia="宋体" w:hint="default"/>
                <w:sz w:val="18"/>
                <w:szCs w:val="18"/>
              </w:rPr>
            </w:pPr>
            <w:r>
              <w:rPr>
                <w:rFonts w:ascii="宋体"/>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before="125"/>
        <w:ind w:left="154" w:right="0" w:firstLine="0"/>
        <w:jc w:val="left"/>
        <w:rPr>
          <w:rFonts w:ascii="宋体" w:hAnsi="宋体" w:cs="宋体" w:eastAsia="宋体" w:hint="default"/>
          <w:sz w:val="20"/>
          <w:szCs w:val="20"/>
        </w:rPr>
      </w:pPr>
      <w:bookmarkStart w:name="2、独立董事对公司有关事项提出异议的情况" w:id="140"/>
      <w:bookmarkEnd w:id="140"/>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、独立董事对公司有关事项提出异议的情况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20"/>
          <w:szCs w:val="20"/>
        </w:rPr>
      </w:pPr>
      <w:bookmarkStart w:name="3、独立董事履行职责的其他说明" w:id="141"/>
      <w:bookmarkEnd w:id="141"/>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、独立董事履行职责的其他说明</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2"/>
        <w:ind w:right="1110" w:firstLine="420"/>
        <w:jc w:val="both"/>
      </w:pPr>
      <w:r>
        <w:rPr/>
        <w:t>公司三名独立董事勤勉尽责，严格按照中国证监会的相关规定及《公司章程》、《董事会议事规则》 </w:t>
      </w:r>
      <w:r>
        <w:rPr>
          <w:spacing w:val="-1"/>
        </w:rPr>
        <w:t>和《独立董事制度》开展工作，关注公司运作</w:t>
      </w:r>
      <w:r>
        <w:rPr>
          <w:rFonts w:ascii="宋体" w:hAnsi="宋体" w:cs="宋体" w:eastAsia="宋体" w:hint="default"/>
          <w:spacing w:val="-1"/>
        </w:rPr>
        <w:t>,</w:t>
      </w:r>
      <w:r>
        <w:rPr>
          <w:spacing w:val="-1"/>
        </w:rPr>
        <w:t>独立履行职责</w:t>
      </w:r>
      <w:r>
        <w:rPr>
          <w:rFonts w:ascii="宋体" w:hAnsi="宋体" w:cs="宋体" w:eastAsia="宋体" w:hint="default"/>
          <w:spacing w:val="-1"/>
        </w:rPr>
        <w:t>,</w:t>
      </w:r>
      <w:r>
        <w:rPr>
          <w:spacing w:val="-1"/>
        </w:rPr>
        <w:t>对公司内部控制建设、管理体系建设、人才</w:t>
      </w:r>
      <w:r>
        <w:rPr>
          <w:spacing w:val="-84"/>
        </w:rPr>
        <w:t> </w:t>
      </w:r>
      <w:r>
        <w:rPr>
          <w:spacing w:val="-84"/>
        </w:rPr>
      </w:r>
      <w:r>
        <w:rPr/>
        <w:t>梯队建设和重大决策等方面提出了很多宝贵的专业性建议，对公司财务及生产经营活动进行了有效监督， 提高了公司决策的科学性，为完善公司监督机制，维护公司和全体股东的合法权益发挥了应有的作用。</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340" w:lineRule="auto"/>
        <w:ind w:left="573" w:right="0" w:hanging="420"/>
        <w:jc w:val="left"/>
      </w:pPr>
      <w:r>
        <w:rPr>
          <w:rFonts w:ascii="宋体" w:hAnsi="宋体" w:cs="宋体" w:eastAsia="宋体" w:hint="default"/>
          <w:b/>
          <w:bCs/>
        </w:rPr>
        <w:t>（一）战略决策委员会</w:t>
      </w:r>
      <w:r>
        <w:rPr>
          <w:rFonts w:ascii="宋体" w:hAnsi="宋体" w:cs="宋体" w:eastAsia="宋体" w:hint="default"/>
          <w:b/>
          <w:bCs/>
          <w:w w:val="99"/>
        </w:rPr>
        <w:t> </w:t>
      </w:r>
      <w:r>
        <w:rPr>
          <w:spacing w:val="-1"/>
        </w:rPr>
        <w:t>战略决策委员会的职责为：（</w:t>
      </w:r>
      <w:r>
        <w:rPr>
          <w:rFonts w:ascii="宋体" w:hAnsi="宋体" w:cs="宋体" w:eastAsia="宋体" w:hint="default"/>
          <w:spacing w:val="-1"/>
        </w:rPr>
        <w:t>1</w:t>
      </w:r>
      <w:r>
        <w:rPr>
          <w:spacing w:val="-1"/>
        </w:rPr>
        <w:t>）审议公司的未来愿景、使命和价值观方案；（</w:t>
      </w:r>
      <w:r>
        <w:rPr>
          <w:rFonts w:ascii="宋体" w:hAnsi="宋体" w:cs="宋体" w:eastAsia="宋体" w:hint="default"/>
          <w:spacing w:val="-1"/>
        </w:rPr>
        <w:t>2</w:t>
      </w:r>
      <w:r>
        <w:rPr>
          <w:spacing w:val="-1"/>
        </w:rPr>
        <w:t>）审议公司的战略规</w:t>
      </w:r>
    </w:p>
    <w:p>
      <w:pPr>
        <w:spacing w:after="0" w:line="340" w:lineRule="auto"/>
        <w:jc w:val="left"/>
        <w:sectPr>
          <w:pgSz w:w="11910" w:h="16840"/>
          <w:pgMar w:header="0"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3"/>
        </w:rPr>
        <w:t>划和实施报告；（</w:t>
      </w:r>
      <w:r>
        <w:rPr>
          <w:rFonts w:ascii="宋体" w:hAnsi="宋体" w:cs="宋体" w:eastAsia="宋体" w:hint="default"/>
          <w:spacing w:val="-3"/>
        </w:rPr>
        <w:t>3</w:t>
      </w:r>
      <w:r>
        <w:rPr>
          <w:spacing w:val="-3"/>
        </w:rPr>
        <w:t>）审议公司的市场定位和行业吸引力分析报告；（</w:t>
      </w:r>
      <w:r>
        <w:rPr>
          <w:rFonts w:ascii="宋体" w:hAnsi="宋体" w:cs="宋体" w:eastAsia="宋体" w:hint="default"/>
          <w:spacing w:val="-3"/>
        </w:rPr>
        <w:t>4</w:t>
      </w:r>
      <w:r>
        <w:rPr>
          <w:spacing w:val="-3"/>
        </w:rPr>
        <w:t>）审议公司的市场、开发、融投资、</w:t>
      </w:r>
      <w:r>
        <w:rPr>
          <w:spacing w:val="-92"/>
        </w:rPr>
        <w:t> </w:t>
      </w:r>
      <w:r>
        <w:rPr>
          <w:spacing w:val="-92"/>
        </w:rPr>
      </w:r>
      <w:r>
        <w:rPr/>
        <w:t>人力资源等特定战略分析报告；（</w:t>
      </w:r>
      <w:r>
        <w:rPr>
          <w:rFonts w:ascii="宋体" w:hAnsi="宋体" w:cs="宋体" w:eastAsia="宋体" w:hint="default"/>
        </w:rPr>
        <w:t>5</w:t>
      </w:r>
      <w:r>
        <w:rPr/>
        <w:t>）审议公司的战略实施计划和战略调整计划；（</w:t>
      </w:r>
      <w:r>
        <w:rPr>
          <w:rFonts w:ascii="宋体" w:hAnsi="宋体" w:cs="宋体" w:eastAsia="宋体" w:hint="default"/>
        </w:rPr>
        <w:t>6</w:t>
      </w:r>
      <w:r>
        <w:rPr/>
        <w:t>）审议公司的重大项 目投资的可行性分析报告；（</w:t>
      </w:r>
      <w:r>
        <w:rPr>
          <w:rFonts w:ascii="宋体" w:hAnsi="宋体" w:cs="宋体" w:eastAsia="宋体" w:hint="default"/>
        </w:rPr>
        <w:t>7</w:t>
      </w:r>
      <w:r>
        <w:rPr/>
        <w:t>）审议公司的重大项目投资的实施计划以及资金筹措和使用方案；（</w:t>
      </w:r>
      <w:r>
        <w:rPr>
          <w:rFonts w:ascii="宋体" w:hAnsi="宋体" w:cs="宋体" w:eastAsia="宋体" w:hint="default"/>
        </w:rPr>
        <w:t>8</w:t>
      </w:r>
      <w:r>
        <w:rPr/>
        <w:t>）审</w:t>
      </w:r>
      <w:r>
        <w:rPr>
          <w:spacing w:val="-4"/>
        </w:rPr>
        <w:t> </w:t>
      </w:r>
      <w:r>
        <w:rPr/>
        <w:t>议公司在重大项目投资中与合作方谈判的情况报告；（</w:t>
      </w:r>
      <w:r>
        <w:rPr>
          <w:rFonts w:ascii="宋体" w:hAnsi="宋体" w:cs="宋体" w:eastAsia="宋体" w:hint="default"/>
        </w:rPr>
        <w:t>9</w:t>
      </w:r>
      <w:r>
        <w:rPr/>
        <w:t>）审议控股子公司的公司章程；（</w:t>
      </w:r>
      <w:r>
        <w:rPr>
          <w:rFonts w:ascii="宋体" w:hAnsi="宋体" w:cs="宋体" w:eastAsia="宋体" w:hint="default"/>
        </w:rPr>
        <w:t>10</w:t>
      </w:r>
      <w:r>
        <w:rPr/>
        <w:t>）审议控股 子公司的战略规划；（</w:t>
      </w:r>
      <w:r>
        <w:rPr>
          <w:rFonts w:ascii="宋体" w:hAnsi="宋体" w:cs="宋体" w:eastAsia="宋体" w:hint="default"/>
        </w:rPr>
        <w:t>11</w:t>
      </w:r>
      <w:r>
        <w:rPr/>
        <w:t>）审议控股子公司增资、减资、合并、分立、清算、上市等重大事项；（</w:t>
      </w:r>
      <w:r>
        <w:rPr>
          <w:rFonts w:ascii="宋体" w:hAnsi="宋体" w:cs="宋体" w:eastAsia="宋体" w:hint="default"/>
        </w:rPr>
        <w:t>12</w:t>
      </w:r>
      <w:r>
        <w:rPr/>
        <w:t>）董</w:t>
      </w:r>
      <w:r>
        <w:rPr>
          <w:spacing w:val="-3"/>
        </w:rPr>
        <w:t> </w:t>
      </w:r>
      <w:r>
        <w:rPr/>
        <w:t>事会授予的其他职责。</w:t>
      </w:r>
    </w:p>
    <w:p>
      <w:pPr>
        <w:pStyle w:val="BodyText"/>
        <w:spacing w:line="408" w:lineRule="auto" w:before="46"/>
        <w:ind w:right="0" w:firstLine="420"/>
        <w:jc w:val="left"/>
      </w:pPr>
      <w:r>
        <w:rPr>
          <w:spacing w:val="-1"/>
        </w:rPr>
        <w:t>战略决策委员会由五名成员组成。本报告期，各委员积极履行战略决策委员会的各项职责，为公司经</w:t>
      </w:r>
      <w:r>
        <w:rPr/>
        <w:t> 营管理献计献策。</w:t>
      </w:r>
    </w:p>
    <w:p>
      <w:pPr>
        <w:pStyle w:val="Heading3"/>
        <w:spacing w:line="243" w:lineRule="exact" w:before="0"/>
        <w:ind w:left="153" w:right="0"/>
        <w:jc w:val="left"/>
        <w:rPr>
          <w:rFonts w:ascii="宋体" w:hAnsi="宋体" w:cs="宋体" w:eastAsia="宋体" w:hint="default"/>
          <w:b w:val="0"/>
          <w:bCs w:val="0"/>
        </w:rPr>
      </w:pPr>
      <w:r>
        <w:rPr>
          <w:rFonts w:ascii="宋体" w:hAnsi="宋体" w:cs="宋体" w:eastAsia="宋体" w:hint="default"/>
        </w:rPr>
        <w:t>（二）审计委员会</w:t>
      </w:r>
      <w:r>
        <w:rPr>
          <w:rFonts w:ascii="宋体" w:hAnsi="宋体" w:cs="宋体" w:eastAsia="宋体" w:hint="default"/>
          <w:b w:val="0"/>
          <w:bCs w:val="0"/>
        </w:rPr>
      </w:r>
    </w:p>
    <w:p>
      <w:pPr>
        <w:pStyle w:val="BodyText"/>
        <w:spacing w:line="240" w:lineRule="auto" w:before="115"/>
        <w:ind w:left="573" w:right="0"/>
        <w:jc w:val="left"/>
      </w:pPr>
      <w:r>
        <w:rPr>
          <w:spacing w:val="-3"/>
        </w:rPr>
        <w:t>审计委员会的职责为：（</w:t>
      </w:r>
      <w:r>
        <w:rPr>
          <w:rFonts w:ascii="宋体" w:hAnsi="宋体" w:cs="宋体" w:eastAsia="宋体" w:hint="default"/>
          <w:spacing w:val="-3"/>
        </w:rPr>
        <w:t>1</w:t>
      </w:r>
      <w:r>
        <w:rPr>
          <w:spacing w:val="-3"/>
        </w:rPr>
        <w:t>）提议聘请或更换外部审计机构；（</w:t>
      </w:r>
      <w:r>
        <w:rPr>
          <w:rFonts w:ascii="宋体" w:hAnsi="宋体" w:cs="宋体" w:eastAsia="宋体" w:hint="default"/>
          <w:spacing w:val="-3"/>
        </w:rPr>
        <w:t>2</w:t>
      </w:r>
      <w:r>
        <w:rPr>
          <w:spacing w:val="-3"/>
        </w:rPr>
        <w:t>）监督公司的内部审计制度及其实施；</w:t>
      </w:r>
    </w:p>
    <w:p>
      <w:pPr>
        <w:spacing w:line="240" w:lineRule="auto" w:before="10"/>
        <w:rPr>
          <w:rFonts w:ascii="宋体" w:hAnsi="宋体" w:cs="宋体" w:eastAsia="宋体" w:hint="default"/>
          <w:sz w:val="14"/>
          <w:szCs w:val="14"/>
        </w:rPr>
      </w:pPr>
    </w:p>
    <w:p>
      <w:pPr>
        <w:pStyle w:val="BodyText"/>
        <w:spacing w:line="408" w:lineRule="auto"/>
        <w:ind w:left="154" w:right="1197"/>
        <w:jc w:val="left"/>
      </w:pPr>
      <w:r>
        <w:rPr/>
        <w:t>（</w:t>
      </w:r>
      <w:r>
        <w:rPr>
          <w:rFonts w:ascii="宋体" w:hAnsi="宋体" w:cs="宋体" w:eastAsia="宋体" w:hint="default"/>
        </w:rPr>
        <w:t>3</w:t>
      </w:r>
      <w:r>
        <w:rPr/>
        <w:t>）负责内部审计与外部审计之间的沟通；（</w:t>
      </w:r>
      <w:r>
        <w:rPr>
          <w:rFonts w:ascii="宋体" w:hAnsi="宋体" w:cs="宋体" w:eastAsia="宋体" w:hint="default"/>
        </w:rPr>
        <w:t>4</w:t>
      </w:r>
      <w:r>
        <w:rPr/>
        <w:t>）审核公司的财务信息及其披露；（</w:t>
      </w:r>
      <w:r>
        <w:rPr>
          <w:rFonts w:ascii="宋体" w:hAnsi="宋体" w:cs="宋体" w:eastAsia="宋体" w:hint="default"/>
        </w:rPr>
        <w:t>5</w:t>
      </w:r>
      <w:r>
        <w:rPr/>
        <w:t>）审查公司的内控 制度；（</w:t>
      </w:r>
      <w:r>
        <w:rPr>
          <w:rFonts w:ascii="宋体" w:hAnsi="宋体" w:cs="宋体" w:eastAsia="宋体" w:hint="default"/>
        </w:rPr>
        <w:t>6</w:t>
      </w:r>
      <w:r>
        <w:rPr/>
        <w:t>）董事会授予的其他职权。</w:t>
      </w:r>
    </w:p>
    <w:p>
      <w:pPr>
        <w:pStyle w:val="BodyText"/>
        <w:spacing w:line="408" w:lineRule="auto" w:before="46"/>
        <w:ind w:right="0" w:firstLine="420"/>
        <w:jc w:val="left"/>
      </w:pPr>
      <w:r>
        <w:rPr>
          <w:spacing w:val="-1"/>
        </w:rPr>
        <w:t>审计委员会由三名成员组成。本报告期，各委员积极履行审计委员会的各项职责，每季度召开审计委</w:t>
      </w:r>
      <w:r>
        <w:rPr/>
        <w:t> 员会审议审计部提交的各项议案，并与天健会计师事务所关于</w:t>
      </w:r>
      <w:r>
        <w:rPr>
          <w:rFonts w:ascii="宋体" w:hAnsi="宋体" w:cs="宋体" w:eastAsia="宋体" w:hint="default"/>
        </w:rPr>
        <w:t>2014</w:t>
      </w:r>
      <w:r>
        <w:rPr/>
        <w:t>年度报告审计进行了充分的沟通。</w:t>
      </w:r>
    </w:p>
    <w:p>
      <w:pPr>
        <w:pStyle w:val="Heading3"/>
        <w:spacing w:line="243" w:lineRule="exact" w:before="0"/>
        <w:ind w:left="153" w:right="0"/>
        <w:jc w:val="left"/>
        <w:rPr>
          <w:rFonts w:ascii="宋体" w:hAnsi="宋体" w:cs="宋体" w:eastAsia="宋体" w:hint="default"/>
          <w:b w:val="0"/>
          <w:bCs w:val="0"/>
        </w:rPr>
      </w:pPr>
      <w:r>
        <w:rPr>
          <w:rFonts w:ascii="宋体" w:hAnsi="宋体" w:cs="宋体" w:eastAsia="宋体" w:hint="default"/>
        </w:rPr>
        <w:t>（三）提名委员会</w:t>
      </w:r>
      <w:r>
        <w:rPr>
          <w:rFonts w:ascii="宋体" w:hAnsi="宋体" w:cs="宋体" w:eastAsia="宋体" w:hint="default"/>
          <w:b w:val="0"/>
          <w:bCs w:val="0"/>
        </w:rPr>
      </w:r>
    </w:p>
    <w:p>
      <w:pPr>
        <w:pStyle w:val="BodyText"/>
        <w:spacing w:line="408" w:lineRule="auto" w:before="115"/>
        <w:ind w:right="1013" w:firstLine="420"/>
        <w:jc w:val="left"/>
      </w:pPr>
      <w:r>
        <w:rPr/>
        <w:t>提名委员会的职责为：（</w:t>
      </w:r>
      <w:r>
        <w:rPr>
          <w:rFonts w:ascii="宋体" w:hAnsi="宋体" w:cs="宋体" w:eastAsia="宋体" w:hint="default"/>
        </w:rPr>
        <w:t>1</w:t>
      </w:r>
      <w:r>
        <w:rPr/>
        <w:t>）</w:t>
      </w:r>
      <w:r>
        <w:rPr>
          <w:spacing w:val="-2"/>
        </w:rPr>
        <w:t> </w:t>
      </w:r>
      <w:r>
        <w:rPr/>
        <w:t>研究、拟定公司董事、总经理及其他高级管理人员的选择标准和程序，</w:t>
      </w:r>
      <w:r>
        <w:rPr/>
        <w:t> </w:t>
      </w:r>
      <w:r>
        <w:rPr>
          <w:spacing w:val="-3"/>
        </w:rPr>
        <w:t>并提出意见或建议；（</w:t>
      </w:r>
      <w:r>
        <w:rPr>
          <w:rFonts w:ascii="宋体" w:hAnsi="宋体" w:cs="宋体" w:eastAsia="宋体" w:hint="default"/>
          <w:spacing w:val="-3"/>
        </w:rPr>
        <w:t>2</w:t>
      </w:r>
      <w:r>
        <w:rPr>
          <w:spacing w:val="-3"/>
        </w:rPr>
        <w:t>）广泛搜寻、提供合格的董事、总经理及其他高级管理人员的人选；（</w:t>
      </w:r>
      <w:r>
        <w:rPr>
          <w:rFonts w:ascii="宋体" w:hAnsi="宋体" w:cs="宋体" w:eastAsia="宋体" w:hint="default"/>
          <w:spacing w:val="-3"/>
        </w:rPr>
        <w:t>3</w:t>
      </w:r>
      <w:r>
        <w:rPr>
          <w:spacing w:val="-3"/>
        </w:rPr>
        <w:t>）对董事、</w:t>
      </w:r>
      <w:r>
        <w:rPr>
          <w:spacing w:val="-92"/>
        </w:rPr>
        <w:t> </w:t>
      </w:r>
      <w:r>
        <w:rPr>
          <w:spacing w:val="-92"/>
        </w:rPr>
      </w:r>
      <w:r>
        <w:rPr>
          <w:spacing w:val="-3"/>
        </w:rPr>
        <w:t>总经理及其他高级管理人员的候选人进行审查、核查，并提出意见或建议；（</w:t>
      </w:r>
      <w:r>
        <w:rPr>
          <w:rFonts w:ascii="宋体" w:hAnsi="宋体" w:cs="宋体" w:eastAsia="宋体" w:hint="default"/>
          <w:spacing w:val="-3"/>
        </w:rPr>
        <w:t>4</w:t>
      </w:r>
      <w:r>
        <w:rPr>
          <w:spacing w:val="-3"/>
        </w:rPr>
        <w:t>）</w:t>
      </w:r>
      <w:r>
        <w:rPr>
          <w:spacing w:val="-22"/>
        </w:rPr>
        <w:t> </w:t>
      </w:r>
      <w:r>
        <w:rPr/>
        <w:t>董事会授予的其他职权。</w:t>
      </w:r>
    </w:p>
    <w:p>
      <w:pPr>
        <w:pStyle w:val="BodyText"/>
        <w:spacing w:line="240" w:lineRule="auto" w:before="46"/>
        <w:ind w:left="573" w:right="0"/>
        <w:jc w:val="left"/>
      </w:pPr>
      <w:r>
        <w:rPr/>
        <w:t>提名委员会由三名成员组成。本报告期，各委员积极履行了各项职责。</w:t>
      </w:r>
    </w:p>
    <w:p>
      <w:pPr>
        <w:spacing w:line="340" w:lineRule="auto" w:before="115"/>
        <w:ind w:left="573" w:right="1198" w:hanging="420"/>
        <w:jc w:val="left"/>
        <w:rPr>
          <w:rFonts w:ascii="宋体" w:hAnsi="宋体" w:cs="宋体" w:eastAsia="宋体" w:hint="default"/>
          <w:sz w:val="21"/>
          <w:szCs w:val="21"/>
        </w:rPr>
      </w:pPr>
      <w:r>
        <w:rPr>
          <w:rFonts w:ascii="宋体" w:hAnsi="宋体" w:cs="宋体" w:eastAsia="宋体" w:hint="default"/>
          <w:b/>
          <w:bCs/>
          <w:sz w:val="21"/>
          <w:szCs w:val="21"/>
        </w:rPr>
        <w:t>（四）薪酬与考核委员会</w:t>
      </w:r>
      <w:r>
        <w:rPr>
          <w:rFonts w:ascii="宋体" w:hAnsi="宋体" w:cs="宋体" w:eastAsia="宋体" w:hint="default"/>
          <w:b/>
          <w:bCs/>
          <w:w w:val="99"/>
          <w:sz w:val="21"/>
          <w:szCs w:val="21"/>
        </w:rPr>
        <w:t> </w:t>
      </w:r>
      <w:r>
        <w:rPr>
          <w:rFonts w:ascii="宋体" w:hAnsi="宋体" w:cs="宋体" w:eastAsia="宋体" w:hint="default"/>
          <w:sz w:val="21"/>
          <w:szCs w:val="21"/>
        </w:rPr>
        <w:t>薪酬与考核委员会的职责为：（</w:t>
      </w:r>
      <w:r>
        <w:rPr>
          <w:rFonts w:ascii="宋体" w:hAnsi="宋体" w:cs="宋体" w:eastAsia="宋体" w:hint="default"/>
          <w:sz w:val="21"/>
          <w:szCs w:val="21"/>
        </w:rPr>
        <w:t>1</w:t>
      </w:r>
      <w:r>
        <w:rPr>
          <w:rFonts w:ascii="宋体" w:hAnsi="宋体" w:cs="宋体" w:eastAsia="宋体" w:hint="default"/>
          <w:sz w:val="21"/>
          <w:szCs w:val="21"/>
        </w:rPr>
        <w:t>）根据董事及高级管理人员管理岗位的主要范围、职责、重要性以</w:t>
      </w:r>
    </w:p>
    <w:p>
      <w:pPr>
        <w:pStyle w:val="BodyText"/>
        <w:spacing w:line="408" w:lineRule="auto" w:before="105"/>
        <w:ind w:right="0"/>
        <w:jc w:val="left"/>
      </w:pPr>
      <w:r>
        <w:rPr/>
        <w:t>及其他相关企业相关岗位的薪酬水平制定薪酬计划或方案（薪酬计划或方案主要包括但不限于绩效评价标 准、程序及主要评价体系，奖励和惩罚的主要方案和制度等）；（</w:t>
      </w:r>
      <w:r>
        <w:rPr>
          <w:rFonts w:ascii="宋体" w:hAnsi="宋体" w:cs="宋体" w:eastAsia="宋体" w:hint="default"/>
        </w:rPr>
        <w:t>2</w:t>
      </w:r>
      <w:r>
        <w:rPr/>
        <w:t>）审查公司董事（非独立董事）及高 </w:t>
      </w:r>
      <w:r>
        <w:rPr>
          <w:spacing w:val="-3"/>
        </w:rPr>
        <w:t>级管理人员履行职责的情况并对其进行年度绩效考评；（</w:t>
      </w:r>
      <w:r>
        <w:rPr>
          <w:rFonts w:ascii="宋体" w:hAnsi="宋体" w:cs="宋体" w:eastAsia="宋体" w:hint="default"/>
          <w:spacing w:val="-3"/>
        </w:rPr>
        <w:t>3</w:t>
      </w:r>
      <w:r>
        <w:rPr>
          <w:spacing w:val="-3"/>
        </w:rPr>
        <w:t>）负责对公司薪酬制度执行情况进行监督；（</w:t>
      </w:r>
      <w:r>
        <w:rPr>
          <w:rFonts w:ascii="宋体" w:hAnsi="宋体" w:cs="宋体" w:eastAsia="宋体" w:hint="default"/>
          <w:spacing w:val="-3"/>
        </w:rPr>
        <w:t>4</w:t>
      </w:r>
      <w:r>
        <w:rPr>
          <w:spacing w:val="-3"/>
        </w:rPr>
        <w:t>）</w:t>
      </w:r>
      <w:r>
        <w:rPr>
          <w:spacing w:val="-90"/>
        </w:rPr>
        <w:t> </w:t>
      </w:r>
      <w:r>
        <w:rPr/>
        <w:t>董事会授权的其他事宜。</w:t>
      </w:r>
    </w:p>
    <w:p>
      <w:pPr>
        <w:pStyle w:val="BodyText"/>
        <w:spacing w:line="408" w:lineRule="auto" w:before="46"/>
        <w:ind w:right="0" w:firstLine="420"/>
        <w:jc w:val="left"/>
      </w:pPr>
      <w:r>
        <w:rPr>
          <w:spacing w:val="-1"/>
        </w:rPr>
        <w:t>薪酬与考核委员会由三名成员组成。本报告期，各委员积极履行了薪酬与考核委员会的各项职责，审</w:t>
      </w:r>
      <w:r>
        <w:rPr/>
        <w:t> 议了董事和高级管理人员</w:t>
      </w:r>
      <w:r>
        <w:rPr>
          <w:rFonts w:ascii="宋体" w:hAnsi="宋体" w:cs="宋体" w:eastAsia="宋体" w:hint="default"/>
        </w:rPr>
        <w:t>2014</w:t>
      </w:r>
      <w:r>
        <w:rPr/>
        <w:t>年度的薪酬情况。</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监事会对报告期内的监督事项无异议。</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31" w:firstLine="420"/>
        <w:jc w:val="both"/>
      </w:pPr>
      <w:r>
        <w:rPr>
          <w:spacing w:val="-1"/>
        </w:rPr>
        <w:t>公司建立了完善的绩效考评体系，高级管理人员的工作绩效与其收入直接挂钩。公司董事会薪酬与考</w:t>
      </w:r>
      <w:r>
        <w:rPr/>
        <w:t> </w:t>
      </w:r>
      <w:r>
        <w:rPr>
          <w:spacing w:val="-1"/>
        </w:rPr>
        <w:t>核委员会负责制定公司薪酬考核方案，对高级管理人员的工作能力、履职情况、责任目标完成情况进行考</w:t>
      </w:r>
      <w:r>
        <w:rPr>
          <w:spacing w:val="-83"/>
        </w:rPr>
        <w:t> </w:t>
      </w:r>
      <w:r>
        <w:rPr>
          <w:spacing w:val="-83"/>
        </w:rPr>
      </w:r>
      <w:r>
        <w:rPr/>
        <w:t>评，制定薪酬方案。</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bookmarkStart w:name="1、报告期内发现的内部控制重大缺陷的具体情况" w:id="146"/>
      <w:bookmarkEnd w:id="146"/>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、报告期内发现的内部控制重大缺陷的具体情况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6"/>
          <w:szCs w:val="26"/>
        </w:rPr>
      </w:pPr>
    </w:p>
    <w:p>
      <w:pPr>
        <w:spacing w:before="0"/>
        <w:ind w:left="153" w:right="0" w:firstLine="0"/>
        <w:jc w:val="left"/>
        <w:rPr>
          <w:rFonts w:ascii="宋体" w:hAnsi="宋体" w:cs="宋体" w:eastAsia="宋体" w:hint="default"/>
          <w:sz w:val="20"/>
          <w:szCs w:val="20"/>
        </w:rPr>
      </w:pPr>
      <w:bookmarkStart w:name="2、内控自我评价报告" w:id="147"/>
      <w:bookmarkEnd w:id="14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、内控自我评价报告</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财务报告重大缺陷的迹象包括：①公司董 事、监事和高级管理人员的舞弊行为；② 公司更正已公布的财务报告（并对主要指 标做出超过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以上的修正）；③注册会 计师发现的却未被公司内部控制识别的当 期财务报告中的重大错报；④审计委员会 和审计部门对公司的对外财务报告和财务 报告内部控制监督无效。财务报告重要缺 陷的迹象包括：①未依照公认会计准则选 择和应用会计政策；②未建立反舞弊程序 和控制措施；③对于非常规或特殊交易的 账务处理没有建立相应的控制机制或没有 实施且没有相应的补偿性控制；④对于期 末财务报告过程的控制存在一项或多项缺 陷且不能合理保证编制的财务报表达到真 实、完整的目标。一般缺陷是指除上述重 大缺陷、重要缺陷之外的其他控制缺陷。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离预期目标为重要缺陷； 如果缺陷发 </w:t>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45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润表相关的，以利润总额衡量。如果该缺 陷单独或连同其他缺陷可能导致的财务报 告错报金额小于利润总额的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，则认定</w:t>
            </w:r>
            <w:r>
              <w:rPr>
                <w:rFonts w:ascii="宋体" w:hAnsi="宋体" w:cs="宋体" w:eastAsia="宋体" w:hint="default"/>
                <w:sz w:val="18"/>
                <w:szCs w:val="18"/>
              </w:rPr>
              <w:t> </w:t>
            </w:r>
            <w:r>
              <w:rPr>
                <w:rFonts w:ascii="宋体" w:hAnsi="宋体" w:cs="宋体" w:eastAsia="宋体" w:hint="default"/>
                <w:spacing w:val="-3"/>
                <w:sz w:val="18"/>
                <w:szCs w:val="18"/>
              </w:rPr>
              <w:t>为一般缺陷；如果超过利润总额的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但</w:t>
            </w:r>
            <w:r>
              <w:rPr>
                <w:rFonts w:ascii="宋体" w:hAnsi="宋体" w:cs="宋体" w:eastAsia="宋体" w:hint="default"/>
                <w:spacing w:val="-87"/>
                <w:sz w:val="18"/>
                <w:szCs w:val="18"/>
              </w:rPr>
              <w:t> </w:t>
            </w:r>
            <w:r>
              <w:rPr>
                <w:rFonts w:ascii="宋体" w:hAnsi="宋体" w:cs="宋体" w:eastAsia="宋体" w:hint="default"/>
                <w:sz w:val="18"/>
                <w:szCs w:val="18"/>
              </w:rPr>
              <w:t>小于</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，则为重要缺陷；如果超过利润 总额的</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，则认定为重大缺陷。内部控 制缺陷可能导致或导致的损失与资产管理 相关的，以资产总额指标衡量。如果该缺 陷单独或连同其他缺陷可能导致的财务报 告错报金额小于资产总额的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，则认定</w:t>
            </w:r>
            <w:r>
              <w:rPr>
                <w:rFonts w:ascii="宋体" w:hAnsi="宋体" w:cs="宋体" w:eastAsia="宋体" w:hint="default"/>
                <w:sz w:val="18"/>
                <w:szCs w:val="18"/>
              </w:rPr>
              <w:t> </w:t>
            </w:r>
            <w:r>
              <w:rPr>
                <w:rFonts w:ascii="宋体" w:hAnsi="宋体" w:cs="宋体" w:eastAsia="宋体" w:hint="default"/>
                <w:spacing w:val="-3"/>
                <w:sz w:val="18"/>
                <w:szCs w:val="18"/>
              </w:rPr>
              <w:t>为一般缺陷；如果超过资产总额的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w:t>
            </w:r>
            <w:r>
              <w:rPr>
                <w:rFonts w:ascii="宋体" w:hAnsi="宋体" w:cs="宋体" w:eastAsia="宋体" w:hint="default"/>
                <w:spacing w:val="-87"/>
                <w:sz w:val="18"/>
                <w:szCs w:val="18"/>
              </w:rPr>
              <w:t> </w:t>
            </w:r>
            <w:r>
              <w:rPr>
                <w:rFonts w:ascii="宋体" w:hAnsi="宋体" w:cs="宋体" w:eastAsia="宋体" w:hint="default"/>
                <w:sz w:val="18"/>
                <w:szCs w:val="18"/>
              </w:rPr>
              <w:t>小于</w:t>
            </w:r>
            <w:r>
              <w:rPr>
                <w:rFonts w:ascii="宋体" w:hAnsi="宋体" w:cs="宋体" w:eastAsia="宋体" w:hint="default"/>
                <w:spacing w:val="8"/>
                <w:sz w:val="18"/>
                <w:szCs w:val="18"/>
              </w:rPr>
              <w:t>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认定为重要缺陷；如果超过资产</w:t>
            </w:r>
            <w:r>
              <w:rPr>
                <w:rFonts w:ascii="宋体" w:hAnsi="宋体" w:cs="宋体" w:eastAsia="宋体" w:hint="default"/>
                <w:sz w:val="18"/>
                <w:szCs w:val="18"/>
              </w:rPr>
              <w:t>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19"/>
              <w:ind w:left="22"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我们认为，利欧股份公司按照深圳证券交易所《中小企业板上市公司规范运作指引》规定于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 大方面保持了有效的财务报告内部控制。本结论是在受到审计报告中指出的固有限制的条件下形成的。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38" w:lineRule="auto" w:before="117"/>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88" w:right="575"/>
        <w:jc w:val="left"/>
        <w:rPr>
          <w:b w:val="0"/>
          <w:bCs w:val="0"/>
        </w:rPr>
      </w:pPr>
      <w:bookmarkStart w:name="第十节 财务报告" w:id="149"/>
      <w:bookmarkEnd w:id="149"/>
      <w:r>
        <w:rPr>
          <w:b w:val="0"/>
          <w:bCs w:val="0"/>
        </w:rPr>
      </w:r>
      <w:bookmarkStart w:name="_bookmark9" w:id="150"/>
      <w:bookmarkEnd w:id="150"/>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left="137" w:right="575"/>
        <w:jc w:val="left"/>
        <w:rPr>
          <w:b w:val="0"/>
          <w:bCs w:val="0"/>
        </w:rPr>
      </w:pPr>
      <w:bookmarkStart w:name="一、审计报告" w:id="151"/>
      <w:bookmarkEnd w:id="15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83"/>
        <w:gridCol w:w="4786"/>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3588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沃巍勇、罗联玬</w:t>
            </w:r>
          </w:p>
        </w:tc>
      </w:tr>
    </w:tbl>
    <w:p>
      <w:pPr>
        <w:spacing w:after="0" w:line="240" w:lineRule="auto"/>
        <w:jc w:val="left"/>
        <w:rPr>
          <w:rFonts w:ascii="宋体" w:hAnsi="宋体" w:cs="宋体" w:eastAsia="宋体" w:hint="default"/>
          <w:sz w:val="18"/>
          <w:szCs w:val="18"/>
        </w:rPr>
        <w:sectPr>
          <w:headerReference w:type="default" r:id="rId24"/>
          <w:pgSz w:w="11910" w:h="16840"/>
          <w:pgMar w:header="877" w:footer="979" w:top="1100" w:bottom="1160" w:left="1660" w:right="0"/>
        </w:sectPr>
      </w:pPr>
    </w:p>
    <w:p>
      <w:pPr>
        <w:spacing w:line="240" w:lineRule="auto" w:before="6"/>
        <w:rPr>
          <w:rFonts w:ascii="宋体" w:hAnsi="宋体" w:cs="宋体" w:eastAsia="宋体" w:hint="default"/>
          <w:b/>
          <w:bCs/>
          <w:sz w:val="21"/>
          <w:szCs w:val="21"/>
        </w:rPr>
      </w:pPr>
    </w:p>
    <w:p>
      <w:pPr>
        <w:pStyle w:val="BodyText"/>
        <w:spacing w:line="240" w:lineRule="auto"/>
        <w:ind w:left="557" w:right="-19"/>
        <w:jc w:val="left"/>
      </w:pPr>
      <w:r>
        <w:rPr/>
        <w:t>利欧集团股份有限公司全体股东：</w:t>
      </w:r>
    </w:p>
    <w:p>
      <w:pPr>
        <w:spacing w:before="10"/>
        <w:ind w:left="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1660" w:right="0"/>
          <w:cols w:num="2" w:equalWidth="0">
            <w:col w:w="3709" w:space="40"/>
            <w:col w:w="6501"/>
          </w:cols>
        </w:sectPr>
      </w:pPr>
    </w:p>
    <w:p>
      <w:pPr>
        <w:pStyle w:val="BodyText"/>
        <w:spacing w:line="338" w:lineRule="auto" w:before="133"/>
        <w:ind w:left="137" w:right="1794" w:firstLine="420"/>
        <w:jc w:val="both"/>
      </w:pPr>
      <w:r>
        <w:rPr>
          <w:spacing w:val="-8"/>
        </w:rPr>
        <w:t>我们审计了后附的利欧集团股份有限公司（以下简称利欧股份公司）财务报表，包括</w:t>
      </w:r>
      <w:r>
        <w:rPr>
          <w:rFonts w:ascii="Times New Roman" w:hAnsi="Times New Roman" w:cs="Times New Roman" w:eastAsia="Times New Roman" w:hint="default"/>
          <w:spacing w:val="-8"/>
        </w:rPr>
        <w:t>2015</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日的合并及母公司资产负债表，</w:t>
      </w:r>
      <w:r>
        <w:rPr>
          <w:rFonts w:ascii="Times New Roman" w:hAnsi="Times New Roman" w:cs="Times New Roman" w:eastAsia="Times New Roman" w:hint="default"/>
          <w:spacing w:val="-3"/>
        </w:rPr>
        <w:t>2015</w:t>
      </w:r>
      <w:r>
        <w:rPr>
          <w:spacing w:val="-3"/>
        </w:rPr>
        <w:t>年度的合并及母公司利润表、合并及母公司现</w:t>
      </w:r>
      <w:r>
        <w:rPr>
          <w:spacing w:val="-67"/>
        </w:rPr>
        <w:t> </w:t>
      </w:r>
      <w:r>
        <w:rPr>
          <w:spacing w:val="-67"/>
        </w:rPr>
      </w:r>
      <w:r>
        <w:rPr/>
        <w:t>金流量表、合并及母公司所有者权益变动表，以及财务报表附注。</w:t>
      </w:r>
    </w:p>
    <w:p>
      <w:pPr>
        <w:spacing w:line="240" w:lineRule="auto" w:before="0"/>
        <w:rPr>
          <w:rFonts w:ascii="宋体" w:hAnsi="宋体" w:cs="宋体" w:eastAsia="宋体" w:hint="default"/>
          <w:sz w:val="20"/>
          <w:szCs w:val="20"/>
        </w:rPr>
      </w:pPr>
    </w:p>
    <w:p>
      <w:pPr>
        <w:spacing w:line="357" w:lineRule="auto" w:before="147"/>
        <w:ind w:left="558" w:right="575"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编制和公允列报财务报表是利欧股份公司管理层的责任，这种责任包括：（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w:t>
      </w:r>
    </w:p>
    <w:p>
      <w:pPr>
        <w:pStyle w:val="BodyText"/>
        <w:spacing w:line="336" w:lineRule="auto" w:before="3"/>
        <w:ind w:left="137" w:right="575"/>
        <w:jc w:val="left"/>
      </w:pPr>
      <w:r>
        <w:rPr/>
        <w:t>业会计准则的规定编制财务报表，并使其实现公允反映；（</w:t>
      </w:r>
      <w:r>
        <w:rPr>
          <w:rFonts w:ascii="Times New Roman" w:hAnsi="Times New Roman" w:cs="Times New Roman" w:eastAsia="Times New Roman" w:hint="default"/>
        </w:rPr>
        <w:t>2</w:t>
      </w:r>
      <w:r>
        <w:rPr/>
        <w:t>）设计、执行和维护必要的内</w:t>
      </w:r>
      <w:r>
        <w:rPr>
          <w:spacing w:val="-91"/>
        </w:rPr>
        <w:t> </w:t>
      </w:r>
      <w:r>
        <w:rPr>
          <w:spacing w:val="-91"/>
        </w:rPr>
      </w:r>
      <w:r>
        <w:rPr/>
        <w:t>部控制，以使财务报表不存在由于舞弊或错误导致的重大错报。</w:t>
      </w:r>
    </w:p>
    <w:p>
      <w:pPr>
        <w:spacing w:line="240" w:lineRule="auto" w:before="0"/>
        <w:rPr>
          <w:rFonts w:ascii="宋体" w:hAnsi="宋体" w:cs="宋体" w:eastAsia="宋体" w:hint="default"/>
          <w:sz w:val="20"/>
          <w:szCs w:val="20"/>
        </w:rPr>
      </w:pPr>
    </w:p>
    <w:p>
      <w:pPr>
        <w:spacing w:line="355" w:lineRule="auto" w:before="151"/>
        <w:ind w:left="558" w:right="575"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3"/>
          <w:sz w:val="21"/>
          <w:szCs w:val="21"/>
        </w:rPr>
        <w:t>我们的责任是在执行审计工作的基础上对财务报表发表审计意见。我们按照中国注册会</w:t>
      </w:r>
    </w:p>
    <w:p>
      <w:pPr>
        <w:pStyle w:val="BodyText"/>
        <w:spacing w:line="355" w:lineRule="auto" w:before="33"/>
        <w:ind w:left="138" w:right="575"/>
        <w:jc w:val="left"/>
      </w:pPr>
      <w:r>
        <w:rPr>
          <w:spacing w:val="-3"/>
        </w:rPr>
        <w:t>计师审计准则的规定执行了审计工作。中国注册会计师审计准则要求我们遵守中国注册会计</w:t>
      </w:r>
      <w:r>
        <w:rPr>
          <w:spacing w:val="-73"/>
        </w:rPr>
        <w:t> </w:t>
      </w:r>
      <w:r>
        <w:rPr>
          <w:spacing w:val="-73"/>
        </w:rPr>
      </w:r>
      <w:r>
        <w:rPr/>
        <w:t>师职业道德守则，计划和执行审计工作以对财务报表是否不存在重大错报获取合理保证。</w:t>
      </w:r>
    </w:p>
    <w:p>
      <w:pPr>
        <w:pStyle w:val="BodyText"/>
        <w:spacing w:line="357" w:lineRule="auto" w:before="32"/>
        <w:ind w:left="138" w:right="1792" w:firstLine="420"/>
        <w:jc w:val="both"/>
      </w:pPr>
      <w:r>
        <w:rPr>
          <w:spacing w:val="-3"/>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w:t>
      </w:r>
      <w:r>
        <w:rPr>
          <w:spacing w:val="-82"/>
        </w:rPr>
        <w:t> </w:t>
      </w:r>
      <w:r>
        <w:rPr>
          <w:spacing w:val="-82"/>
        </w:rPr>
      </w:r>
      <w:r>
        <w:rPr>
          <w:spacing w:val="-3"/>
        </w:rPr>
        <w:t>估。在进行风险评估时，注册会计师考虑与财务报表编制和公允列报相关的内部控制，以设</w:t>
      </w:r>
      <w:r>
        <w:rPr>
          <w:spacing w:val="-72"/>
        </w:rPr>
        <w:t> </w:t>
      </w:r>
      <w:r>
        <w:rPr>
          <w:spacing w:val="-72"/>
        </w:rPr>
      </w:r>
      <w:r>
        <w:rPr>
          <w:spacing w:val="-3"/>
        </w:rPr>
        <w:t>计恰当的审计程序，但目的并非对内部控制的有效性发表意见。审计工作还包括评价管理层</w:t>
      </w:r>
      <w:r>
        <w:rPr>
          <w:spacing w:val="-75"/>
        </w:rPr>
        <w:t> </w:t>
      </w:r>
      <w:r>
        <w:rPr>
          <w:spacing w:val="-75"/>
        </w:rPr>
      </w:r>
      <w:r>
        <w:rPr/>
        <w:t>选用会计政策的恰当性和作出会计估计的合理性，以及评价财务报表的总体列报。</w:t>
      </w:r>
    </w:p>
    <w:p>
      <w:pPr>
        <w:pStyle w:val="BodyText"/>
        <w:spacing w:line="240" w:lineRule="auto" w:before="31"/>
        <w:ind w:left="558" w:right="575"/>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55" w:lineRule="auto"/>
        <w:ind w:left="558" w:right="575"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我们认为，利欧股份公司财务报表在所有重大方面按照企业会计准则的规定编制，公允</w:t>
      </w:r>
    </w:p>
    <w:p>
      <w:pPr>
        <w:pStyle w:val="BodyText"/>
        <w:spacing w:line="240" w:lineRule="auto" w:before="33"/>
        <w:ind w:left="138" w:right="575"/>
        <w:jc w:val="left"/>
      </w:pPr>
      <w:r>
        <w:rPr/>
        <w:t>反映了利欧股份公司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1</w:t>
      </w:r>
      <w:r>
        <w:rPr>
          <w:spacing w:val="-2"/>
        </w:rPr>
        <w:t>日</w:t>
      </w:r>
      <w:r>
        <w:rPr/>
        <w:t>的合并及母公司财务状况</w:t>
      </w:r>
      <w:r>
        <w:rPr>
          <w:spacing w:val="-88"/>
        </w:rPr>
        <w:t>，</w:t>
      </w:r>
      <w:r>
        <w:rPr/>
        <w:t>以及</w:t>
      </w:r>
      <w:r>
        <w:rPr>
          <w:rFonts w:ascii="Times New Roman" w:hAnsi="Times New Roman" w:cs="Times New Roman" w:eastAsia="Times New Roman" w:hint="default"/>
        </w:rPr>
        <w:t>2015</w:t>
      </w:r>
      <w:r>
        <w:rPr/>
        <w:t>年度的合并及母公</w:t>
      </w:r>
    </w:p>
    <w:p>
      <w:pPr>
        <w:spacing w:after="0" w:line="240" w:lineRule="auto"/>
        <w:jc w:val="left"/>
        <w:sectPr>
          <w:type w:val="continuous"/>
          <w:pgSz w:w="11910" w:h="16840"/>
          <w:pgMar w:top="1060" w:bottom="1160" w:left="1660" w:right="0"/>
        </w:sectPr>
      </w:pPr>
    </w:p>
    <w:p>
      <w:pPr>
        <w:spacing w:line="240" w:lineRule="auto" w:before="2"/>
        <w:rPr>
          <w:rFonts w:ascii="宋体" w:hAnsi="宋体" w:cs="宋体" w:eastAsia="宋体" w:hint="default"/>
          <w:sz w:val="19"/>
          <w:szCs w:val="19"/>
        </w:rPr>
      </w:pPr>
    </w:p>
    <w:p>
      <w:pPr>
        <w:pStyle w:val="BodyText"/>
        <w:spacing w:line="240" w:lineRule="auto" w:before="35"/>
        <w:ind w:left="737" w:right="3281"/>
        <w:jc w:val="left"/>
      </w:pPr>
      <w:r>
        <w:rPr/>
        <w:t>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5253" w:val="left" w:leader="none"/>
        </w:tabs>
        <w:spacing w:line="712" w:lineRule="auto"/>
        <w:ind w:left="1578" w:right="3281" w:hanging="420"/>
        <w:jc w:val="left"/>
      </w:pPr>
      <w:r>
        <w:rPr/>
        <w:t>天健会计师事务所（特殊普通合伙）</w:t>
        <w:tab/>
        <w:t>中国注册会计师：沃巍勇 中国·杭州</w:t>
        <w:tab/>
        <w:t>中国注册会计师：罗联玬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0"/>
        <w:ind w:left="6650" w:right="0" w:firstLine="0"/>
        <w:jc w:val="left"/>
        <w:rPr>
          <w:rFonts w:ascii="宋体" w:hAnsi="宋体" w:cs="宋体" w:eastAsia="宋体" w:hint="default"/>
          <w:sz w:val="24"/>
          <w:szCs w:val="24"/>
        </w:rPr>
      </w:pPr>
      <w:r>
        <w:rPr>
          <w:rFonts w:ascii="宋体" w:hAnsi="宋体" w:cs="宋体" w:eastAsia="宋体" w:hint="default"/>
          <w:sz w:val="24"/>
          <w:szCs w:val="24"/>
        </w:rPr>
        <w:t>二〇一六年四月十七日</w:t>
      </w:r>
    </w:p>
    <w:p>
      <w:pPr>
        <w:spacing w:line="240" w:lineRule="auto" w:before="9"/>
        <w:rPr>
          <w:rFonts w:ascii="宋体" w:hAnsi="宋体" w:cs="宋体" w:eastAsia="宋体" w:hint="default"/>
          <w:sz w:val="22"/>
          <w:szCs w:val="22"/>
        </w:rPr>
      </w:pPr>
    </w:p>
    <w:p>
      <w:pPr>
        <w:pStyle w:val="Heading2"/>
        <w:spacing w:line="240" w:lineRule="auto"/>
        <w:ind w:left="738" w:right="3281"/>
        <w:jc w:val="left"/>
        <w:rPr>
          <w:b w:val="0"/>
          <w:bCs w:val="0"/>
        </w:rPr>
      </w:pPr>
      <w:bookmarkStart w:name="二、财务报表" w:id="152"/>
      <w:bookmarkEnd w:id="152"/>
      <w:r>
        <w:rPr>
          <w:b w:val="0"/>
          <w:bCs w:val="0"/>
        </w:rPr>
      </w:r>
      <w:r>
        <w:rPr/>
        <w:t>二、财务报表</w:t>
      </w:r>
      <w:r>
        <w:rPr>
          <w:b w:val="0"/>
          <w:bCs w:val="0"/>
        </w:rPr>
      </w:r>
    </w:p>
    <w:p>
      <w:pPr>
        <w:spacing w:line="240" w:lineRule="auto" w:before="6"/>
        <w:rPr>
          <w:rFonts w:ascii="宋体" w:hAnsi="宋体" w:cs="宋体" w:eastAsia="宋体" w:hint="default"/>
          <w:b/>
          <w:bCs/>
          <w:sz w:val="23"/>
          <w:szCs w:val="23"/>
        </w:rPr>
      </w:pPr>
    </w:p>
    <w:p>
      <w:pPr>
        <w:spacing w:before="0"/>
        <w:ind w:left="738" w:right="3281"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8"/>
        <w:rPr>
          <w:rFonts w:ascii="宋体" w:hAnsi="宋体" w:cs="宋体" w:eastAsia="宋体" w:hint="default"/>
          <w:sz w:val="22"/>
          <w:szCs w:val="22"/>
        </w:rPr>
      </w:pPr>
    </w:p>
    <w:p>
      <w:pPr>
        <w:spacing w:before="0"/>
        <w:ind w:left="738" w:right="3281" w:firstLine="0"/>
        <w:jc w:val="left"/>
        <w:rPr>
          <w:rFonts w:ascii="宋体" w:hAnsi="宋体" w:cs="宋体" w:eastAsia="宋体" w:hint="default"/>
          <w:sz w:val="20"/>
          <w:szCs w:val="20"/>
        </w:rPr>
      </w:pPr>
      <w:bookmarkStart w:name="1、合并资产负债表" w:id="153"/>
      <w:bookmarkEnd w:id="153"/>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、合并资产负债表</w:t>
      </w:r>
      <w:r>
        <w:rPr>
          <w:rFonts w:ascii="宋体" w:hAnsi="宋体" w:cs="宋体" w:eastAsia="宋体" w:hint="default"/>
          <w:sz w:val="20"/>
          <w:szCs w:val="2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77" w:footer="979" w:top="1100" w:bottom="1160" w:left="1060" w:right="0"/>
        </w:sectPr>
      </w:pPr>
    </w:p>
    <w:p>
      <w:pPr>
        <w:spacing w:before="44"/>
        <w:ind w:left="738" w:right="-20"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w:t>
      </w:r>
    </w:p>
    <w:p>
      <w:pPr>
        <w:spacing w:line="240" w:lineRule="auto" w:before="4"/>
        <w:rPr>
          <w:rFonts w:ascii="宋体" w:hAnsi="宋体" w:cs="宋体" w:eastAsia="宋体" w:hint="default"/>
          <w:sz w:val="24"/>
          <w:szCs w:val="24"/>
        </w:rPr>
      </w:pPr>
      <w:r>
        <w:rPr/>
        <w:br w:type="column"/>
      </w:r>
      <w:r>
        <w:rPr>
          <w:rFonts w:ascii="宋体"/>
          <w:sz w:val="24"/>
        </w:rPr>
      </w:r>
    </w:p>
    <w:p>
      <w:pPr>
        <w:spacing w:before="0"/>
        <w:ind w:left="674"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1"/>
        <w:ind w:left="73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60" w:right="0"/>
          <w:cols w:num="3" w:equalWidth="0">
            <w:col w:w="3439" w:space="40"/>
            <w:col w:w="2159" w:space="1956"/>
            <w:col w:w="3256"/>
          </w:cols>
        </w:sectPr>
      </w:pP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5" w:space="0" w:color="D2D2D2"/>
              <w:left w:val="single" w:sz="10" w:space="0" w:color="D2D2D2"/>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770,546,898.26</w:t>
            </w:r>
          </w:p>
        </w:tc>
        <w:tc>
          <w:tcPr>
            <w:tcW w:w="3302"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179,467,891.43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76,516,288.16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45,769,566.02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1,967,701,268.69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1,461,078,437.28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130,824,750.89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80,735,693.80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147,363,692.02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69,920,045.49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364,244,083.05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448,763,042.75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78,052,893.18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36,165,902.02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3,535,249,874.25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2,321,900,578.79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102,151,800.00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110,841,914.89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96,745,428.04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3,589,412.75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3,794,178.95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449,150,309.69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458,824,541.23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261,561,520.65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114,058,618.60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454,899,356.94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236,580,252.49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3,166,166,351.19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762,100,191.70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12,817,004.43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3,940,527.60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43,830,710.54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25,975,890.16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259,769,319.84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170,487,762.83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4,864,777,700.92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1,879,507,391.60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8,400,027,575.17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4,201,407,970.39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98,207,177.51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414,116,792.07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10,930,847.50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2,333,342.50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129,640,622.52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58,349,154.00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1,139,339,476.54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828,566,738.78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136,197,330.05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134,110,119.72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85,344,208.04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68,472,472.68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103,815,577.31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51,771,050.23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784,103.32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830,369.24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297,037,187.57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249,306,947.05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7,500,000.00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2,028,796,530.36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1,815,356,986.27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117,500,000.00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25,060,515.28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206,250,000.00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137,500,000.00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2,533,875.85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2,654,610.89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57,711,429.79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44,308,373.48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581,555,820.92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301,962,984.37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2,610,352,351.28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2,117,319,970.64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1,509,427,649.00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391,424,450.00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3,304,787,781.59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910,053,162.69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-591,983.01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-1,672,658.39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1,465,721.23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1,075,087.49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110,692,457.45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96,096,139.44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798,002,664.68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606,759,661.56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5,723,784,290.94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2,003,735,842.79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65,890,932.95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80,352,156.96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5,789,675,223.89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2,084,087,999.75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8,400,027,575.17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4,201,407,970.39</w:t>
            </w:r>
          </w:p>
        </w:tc>
      </w:tr>
    </w:tbl>
    <w:p>
      <w:pPr>
        <w:spacing w:line="240" w:lineRule="auto" w:before="7"/>
        <w:rPr>
          <w:rFonts w:ascii="Times New Roman" w:hAnsi="Times New Roman" w:cs="Times New Roman" w:eastAsia="Times New Roman" w:hint="default"/>
          <w:sz w:val="19"/>
          <w:szCs w:val="19"/>
        </w:rPr>
      </w:pPr>
    </w:p>
    <w:p>
      <w:pPr>
        <w:tabs>
          <w:tab w:pos="2860" w:val="left" w:leader="none"/>
          <w:tab w:pos="6352" w:val="left" w:leader="none"/>
        </w:tabs>
        <w:spacing w:before="44"/>
        <w:ind w:left="0" w:right="1793" w:firstLine="0"/>
        <w:jc w:val="righ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pacing w:val="-2"/>
          <w:sz w:val="18"/>
          <w:szCs w:val="18"/>
        </w:rPr>
        <w:t>主管会计工作负责人：陈林富</w:t>
        <w:tab/>
        <w:t>会计机构负责人：陈林富</w:t>
      </w:r>
    </w:p>
    <w:p>
      <w:pPr>
        <w:spacing w:line="240" w:lineRule="auto" w:before="8"/>
        <w:rPr>
          <w:rFonts w:ascii="宋体" w:hAnsi="宋体" w:cs="宋体" w:eastAsia="宋体" w:hint="default"/>
          <w:sz w:val="22"/>
          <w:szCs w:val="22"/>
        </w:rPr>
      </w:pPr>
    </w:p>
    <w:p>
      <w:pPr>
        <w:spacing w:before="0"/>
        <w:ind w:left="737" w:right="3281" w:firstLine="0"/>
        <w:jc w:val="left"/>
        <w:rPr>
          <w:rFonts w:ascii="宋体" w:hAnsi="宋体" w:cs="宋体" w:eastAsia="宋体" w:hint="default"/>
          <w:sz w:val="20"/>
          <w:szCs w:val="20"/>
        </w:rPr>
      </w:pPr>
      <w:bookmarkStart w:name="2、母公司资产负债表" w:id="154"/>
      <w:bookmarkEnd w:id="154"/>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、母公司资产负债表</w:t>
      </w:r>
      <w:r>
        <w:rPr>
          <w:rFonts w:ascii="宋体" w:hAnsi="宋体" w:cs="宋体" w:eastAsia="宋体" w:hint="default"/>
          <w:sz w:val="20"/>
          <w:szCs w:val="20"/>
        </w:rPr>
      </w:r>
    </w:p>
    <w:p>
      <w:pPr>
        <w:spacing w:line="240" w:lineRule="auto" w:before="12"/>
        <w:rPr>
          <w:rFonts w:ascii="宋体" w:hAnsi="宋体" w:cs="宋体" w:eastAsia="宋体" w:hint="default"/>
          <w:b/>
          <w:bCs/>
          <w:sz w:val="21"/>
          <w:szCs w:val="21"/>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282,734,294.72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27,888,041.69</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6,937,745.16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3,645,833.00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368,973,696.13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331,423,320.60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57,983,092.96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41,363,589.23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654,378,618.61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392,328,312.94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155,349,932.04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205,828,576.68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8,943,791.47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1,526,357,379.62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1,011,421,465.61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102,151,800.00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150,500,000.00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4,513,449,809.91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1,512,124,843.58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150,799,780.21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142,965,167.44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214,646,102.44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109,776,661.14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119,969,455.53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121,939,597.66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8,687,447.86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9,711,188.41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8,003,241.50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120,906,088.83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130,257,762.83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5,390,821,673.19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2,182,567,274.15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6,917,179,052.81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3,193,988,739.76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30,347,177.51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312,686,792.07</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10,930,847.50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2,245,862.50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75,000,000.00</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201,885,214.40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188,804,775.86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37,068,976.56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34,853,711.08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24,270,201.24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20,093,657.14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13,315,570.71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10,847,350.27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671,169.47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666,787.57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231,492,827.90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240,979,696.60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7,500,000.00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652,481,985.29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818,678,633.09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117,500,000.00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206,250,000.00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137,500,000.00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41,146,711.83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32,585,388.71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537,396,711.83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287,585,388.71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1,189,878,697.12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1,106,264,021.80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1,509,427,649.00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391,424,450.00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3,309,010,007.96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913,829,526.87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110,692,457.45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96,096,139.44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798,170,241.28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686,374,601.65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5,727,300,355.69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2,087,724,717.96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6,917,179,052.81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3,193,988,739.76</w:t>
            </w:r>
          </w:p>
        </w:tc>
      </w:tr>
    </w:tbl>
    <w:p>
      <w:pPr>
        <w:spacing w:line="240" w:lineRule="auto" w:before="7"/>
        <w:rPr>
          <w:rFonts w:ascii="Times New Roman" w:hAnsi="Times New Roman" w:cs="Times New Roman" w:eastAsia="Times New Roman" w:hint="default"/>
          <w:sz w:val="19"/>
          <w:szCs w:val="19"/>
        </w:rPr>
      </w:pPr>
    </w:p>
    <w:p>
      <w:pPr>
        <w:tabs>
          <w:tab w:pos="2860" w:val="left" w:leader="none"/>
          <w:tab w:pos="6352" w:val="left" w:leader="none"/>
        </w:tabs>
        <w:spacing w:before="44"/>
        <w:ind w:left="0" w:right="1793" w:firstLine="0"/>
        <w:jc w:val="right"/>
        <w:rPr>
          <w:rFonts w:ascii="宋体" w:hAnsi="宋体" w:cs="宋体" w:eastAsia="宋体" w:hint="default"/>
          <w:sz w:val="18"/>
          <w:szCs w:val="18"/>
        </w:rPr>
      </w:pPr>
      <w:bookmarkStart w:name="法定代表人：王相荣              主管会计工作负责人： 陈林富   " w:id="155"/>
      <w:bookmarkEnd w:id="155"/>
      <w:r>
        <w:rPr/>
      </w:r>
      <w:r>
        <w:rPr>
          <w:rFonts w:ascii="宋体" w:hAnsi="宋体" w:cs="宋体" w:eastAsia="宋体" w:hint="default"/>
          <w:spacing w:val="-3"/>
          <w:sz w:val="18"/>
          <w:szCs w:val="18"/>
        </w:rPr>
        <w:t>法定代表人：王相荣</w:t>
        <w:tab/>
      </w:r>
      <w:r>
        <w:rPr>
          <w:rFonts w:ascii="宋体" w:hAnsi="宋体" w:cs="宋体" w:eastAsia="宋体" w:hint="default"/>
          <w:sz w:val="18"/>
          <w:szCs w:val="18"/>
        </w:rPr>
        <w:t>主管会计工作负责人：</w:t>
      </w:r>
      <w:r>
        <w:rPr>
          <w:rFonts w:ascii="宋体" w:hAnsi="宋体" w:cs="宋体" w:eastAsia="宋体" w:hint="default"/>
          <w:spacing w:val="-19"/>
          <w:sz w:val="18"/>
          <w:szCs w:val="18"/>
        </w:rPr>
        <w:t> </w:t>
      </w:r>
      <w:r>
        <w:rPr>
          <w:rFonts w:ascii="宋体" w:hAnsi="宋体" w:cs="宋体" w:eastAsia="宋体" w:hint="default"/>
          <w:sz w:val="18"/>
          <w:szCs w:val="18"/>
        </w:rPr>
        <w:t>陈林富</w:t>
        <w:tab/>
      </w:r>
      <w:r>
        <w:rPr>
          <w:rFonts w:ascii="宋体" w:hAnsi="宋体" w:cs="宋体" w:eastAsia="宋体" w:hint="default"/>
          <w:spacing w:val="-2"/>
          <w:sz w:val="18"/>
          <w:szCs w:val="18"/>
        </w:rPr>
        <w:t>会计机构负责人：陈林富</w:t>
      </w:r>
    </w:p>
    <w:p>
      <w:pPr>
        <w:spacing w:line="240" w:lineRule="auto" w:before="9"/>
        <w:rPr>
          <w:rFonts w:ascii="宋体" w:hAnsi="宋体" w:cs="宋体" w:eastAsia="宋体" w:hint="default"/>
          <w:sz w:val="22"/>
          <w:szCs w:val="22"/>
        </w:rPr>
      </w:pPr>
    </w:p>
    <w:p>
      <w:pPr>
        <w:spacing w:before="0"/>
        <w:ind w:left="737" w:right="3281" w:firstLine="0"/>
        <w:jc w:val="left"/>
        <w:rPr>
          <w:rFonts w:ascii="宋体" w:hAnsi="宋体" w:cs="宋体" w:eastAsia="宋体" w:hint="default"/>
          <w:sz w:val="20"/>
          <w:szCs w:val="20"/>
        </w:rPr>
      </w:pPr>
      <w:bookmarkStart w:name="3、合并利润表" w:id="156"/>
      <w:bookmarkEnd w:id="156"/>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、合并利润表</w:t>
      </w:r>
      <w:r>
        <w:rPr>
          <w:rFonts w:ascii="宋体" w:hAnsi="宋体" w:cs="宋体" w:eastAsia="宋体" w:hint="default"/>
          <w:sz w:val="20"/>
          <w:szCs w:val="20"/>
        </w:rPr>
      </w:r>
    </w:p>
    <w:p>
      <w:pPr>
        <w:spacing w:line="240" w:lineRule="auto" w:before="10"/>
        <w:rPr>
          <w:rFonts w:ascii="宋体" w:hAnsi="宋体" w:cs="宋体" w:eastAsia="宋体" w:hint="default"/>
          <w:b/>
          <w:bCs/>
          <w:sz w:val="21"/>
          <w:szCs w:val="21"/>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3057"/>
        <w:gridCol w:w="3222"/>
        <w:gridCol w:w="3278"/>
      </w:tblGrid>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4,392,227,658.28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2,874,269,599.64</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4,392,227,658.28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2,874,269,599.64</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4,131,759,834.26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2,772,844,402.59</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3,383,805,188.79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2,211,675,366.33</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32,891,664.87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15,800,924.36</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298,273,509.39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205,911,655.74</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361,626,872.51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267,986,002.39</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10,620,156.36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16,778,195.06</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44,542,442.34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54,692,258.71</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-8,597,505.00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-20,850,429.50</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3,231,153.08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109,477,697.48</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2,346,486.85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12,418,379.70</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25"/>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255,101,472.10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190,052,465.03</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40,861,312.96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68,293,241.93</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269,183.24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448,504.09</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8,784,257.18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6,043,972.44</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964,927.65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2,118,063.33</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9"/>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287,178,527.88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252,301,734.52</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47,203,761.25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39,175,868.28</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25"/>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239,974,766.63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213,125,866.24</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225,410,543.63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179,916,115.75</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14,564,223.00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33,209,750.49</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1,105,322.98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-2,925,302.89</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1,080,675.38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-2,748,888.89</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9"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3057"/>
        <w:gridCol w:w="3222"/>
        <w:gridCol w:w="3278"/>
      </w:tblGrid>
      <w:tr>
        <w:trPr>
          <w:trHeight w:val="28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净负债或净资产的变动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153"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9"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1,080,675.38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-2,748,888.89</w:t>
            </w:r>
          </w:p>
        </w:tc>
      </w:tr>
      <w:tr>
        <w:trPr>
          <w:trHeight w:val="79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3"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-2,834,176.34</w:t>
            </w:r>
          </w:p>
        </w:tc>
      </w:tr>
      <w:tr>
        <w:trPr>
          <w:trHeight w:val="55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153"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3"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3"/>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1,080,675.38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85,287.45</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24,647.60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-176,414.00</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241,080,089.61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210,200,563.35</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226,491,219.01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177,167,226.86</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14,588,870.60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33,033,336.49</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0.19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0.16</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0.16</w:t>
            </w:r>
          </w:p>
        </w:tc>
      </w:tr>
    </w:tbl>
    <w:p>
      <w:pPr>
        <w:spacing w:line="234" w:lineRule="exact" w:before="32"/>
        <w:ind w:left="737" w:right="1855"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元，上期被合并方实现的净利润 为：</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1"/>
          <w:szCs w:val="21"/>
        </w:rPr>
      </w:pPr>
    </w:p>
    <w:p>
      <w:pPr>
        <w:tabs>
          <w:tab w:pos="3707" w:val="left" w:leader="none"/>
          <w:tab w:pos="6858" w:val="left" w:leader="none"/>
        </w:tabs>
        <w:spacing w:before="0"/>
        <w:ind w:left="738"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主管会计工作负责人：陈林富</w:t>
        <w:tab/>
        <w:t>会计机构负责人：陈林富</w:t>
      </w:r>
    </w:p>
    <w:p>
      <w:pPr>
        <w:spacing w:line="240" w:lineRule="auto" w:before="6"/>
        <w:rPr>
          <w:rFonts w:ascii="宋体" w:hAnsi="宋体" w:cs="宋体" w:eastAsia="宋体" w:hint="default"/>
          <w:sz w:val="22"/>
          <w:szCs w:val="22"/>
        </w:rPr>
      </w:pPr>
    </w:p>
    <w:p>
      <w:pPr>
        <w:spacing w:before="0"/>
        <w:ind w:left="737" w:right="3281" w:firstLine="0"/>
        <w:jc w:val="left"/>
        <w:rPr>
          <w:rFonts w:ascii="宋体" w:hAnsi="宋体" w:cs="宋体" w:eastAsia="宋体" w:hint="default"/>
          <w:sz w:val="20"/>
          <w:szCs w:val="20"/>
        </w:rPr>
      </w:pPr>
      <w:bookmarkStart w:name="4、母公司利润表" w:id="157"/>
      <w:bookmarkEnd w:id="157"/>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spacing w:line="240" w:lineRule="auto" w:before="12"/>
        <w:rPr>
          <w:rFonts w:ascii="宋体" w:hAnsi="宋体" w:cs="宋体" w:eastAsia="宋体" w:hint="default"/>
          <w:b/>
          <w:bCs/>
          <w:sz w:val="21"/>
          <w:szCs w:val="21"/>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1,425,879,711.22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1,342,644,254.63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1,052,778,377.23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1,012,041,969.55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8,535,046.73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6,566,561.82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57,089,789.51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52,794,764.11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140,012,077.93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122,738,856.81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4,691,212.89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8,479,707.99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7,134,293.88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2,570,358.47</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-8,684,985.00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-20,306,349.50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-7,019,337.64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8,361,087.82</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2,346,486.85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7,683,487.82</w:t>
            </w:r>
          </w:p>
        </w:tc>
      </w:tr>
    </w:tbl>
    <w:p>
      <w:pPr>
        <w:spacing w:after="0" w:line="240" w:lineRule="auto"/>
        <w:jc w:val="right"/>
        <w:rPr>
          <w:rFonts w:ascii="宋体" w:hAnsi="宋体" w:cs="宋体" w:eastAsia="宋体" w:hint="default"/>
          <w:sz w:val="18"/>
          <w:szCs w:val="18"/>
        </w:rPr>
        <w:sectPr>
          <w:pgSz w:w="11910" w:h="16840"/>
          <w:pgMar w:header="877" w:footer="979" w:top="1100" w:bottom="1160" w:left="1060" w:right="0"/>
        </w:sectPr>
      </w:pPr>
    </w:p>
    <w:p>
      <w:pPr>
        <w:spacing w:line="240" w:lineRule="auto" w:before="6"/>
        <w:rPr>
          <w:rFonts w:ascii="宋体" w:hAnsi="宋体" w:cs="宋体" w:eastAsia="宋体" w:hint="default"/>
          <w:sz w:val="24"/>
          <w:szCs w:val="24"/>
        </w:rPr>
      </w:pPr>
      <w:r>
        <w:rPr/>
        <w:pict>
          <v:group style="position:absolute;margin-left:207.080002pt;margin-top:71.909981pt;width:163.35pt;height:16.9pt;mso-position-horizontal-relative:page;mso-position-vertical-relative:page;z-index:-978184" coordorigin="4142,1438" coordsize="3267,338">
            <v:group style="position:absolute;left:4153;top:1450;width:2;height:315" coordorigin="4153,1450" coordsize="2,315">
              <v:shape style="position:absolute;left:4153;top:1450;width:2;height:315" coordorigin="4153,1450" coordsize="0,315" path="m4153,1450l4153,1764e" filled="false" stroked="true" strokeweight="1.140pt" strokecolor="#ffffff">
                <v:path arrowok="t"/>
              </v:shape>
            </v:group>
            <v:group style="position:absolute;left:4164;top:1450;width:3244;height:315" coordorigin="4164,1450" coordsize="3244,315">
              <v:shape style="position:absolute;left:4164;top:1450;width:3244;height:315" coordorigin="4164,1450" coordsize="3244,315" path="m4164,1764l7408,1764,7408,1450,4164,1450,4164,1764xe" filled="true" fillcolor="#ffffff" stroked="false">
                <v:path arrowok="t"/>
                <v:fill type="solid"/>
              </v:shape>
            </v:group>
            <w10:wrap type="none"/>
          </v:group>
        </w:pict>
      </w:r>
      <w:r>
        <w:rPr/>
        <w:pict>
          <v:group style="position:absolute;margin-left:207.080002pt;margin-top:196.849976pt;width:163.35pt;height:16.8pt;mso-position-horizontal-relative:page;mso-position-vertical-relative:page;z-index:-978160" coordorigin="4142,3937" coordsize="3267,336">
            <v:group style="position:absolute;left:4153;top:3948;width:2;height:314" coordorigin="4153,3948" coordsize="2,314">
              <v:shape style="position:absolute;left:4153;top:3948;width:2;height:314" coordorigin="4153,3948" coordsize="0,314" path="m4153,3948l4153,4262e" filled="false" stroked="true" strokeweight="1.140pt" strokecolor="#ffffff">
                <v:path arrowok="t"/>
              </v:shape>
            </v:group>
            <v:group style="position:absolute;left:4164;top:3948;width:3244;height:314" coordorigin="4164,3948" coordsize="3244,314">
              <v:shape style="position:absolute;left:4164;top:3948;width:3244;height:314" coordorigin="4164,3948" coordsize="3244,314" path="m4164,4262l7408,4262,7408,3948,4164,3948,4164,4262xe" filled="true" fillcolor="#ffffff" stroked="false">
                <v:path arrowok="t"/>
                <v:fill type="solid"/>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2943"/>
        <w:gridCol w:w="1049"/>
        <w:gridCol w:w="2263"/>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4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139,934,590.41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125,506,774.20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2101" w:right="0"/>
              <w:jc w:val="left"/>
              <w:rPr>
                <w:rFonts w:ascii="宋体" w:hAnsi="宋体" w:cs="宋体" w:eastAsia="宋体" w:hint="default"/>
                <w:sz w:val="18"/>
                <w:szCs w:val="18"/>
              </w:rPr>
            </w:pPr>
            <w:r>
              <w:rPr>
                <w:rFonts w:ascii="宋体"/>
                <w:sz w:val="18"/>
              </w:rPr>
              <w:t>32,363,003.01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54,712,216.09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78,739.86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135,579.71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2191" w:right="0"/>
              <w:jc w:val="left"/>
              <w:rPr>
                <w:rFonts w:ascii="宋体" w:hAnsi="宋体" w:cs="宋体" w:eastAsia="宋体" w:hint="default"/>
                <w:sz w:val="18"/>
                <w:szCs w:val="18"/>
              </w:rPr>
            </w:pPr>
            <w:r>
              <w:rPr>
                <w:rFonts w:ascii="宋体"/>
                <w:sz w:val="18"/>
              </w:rPr>
              <w:t>5,487,639.87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3,601,773.00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868,429.79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1,576,218.07</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left="2011" w:right="0"/>
              <w:jc w:val="left"/>
              <w:rPr>
                <w:rFonts w:ascii="宋体" w:hAnsi="宋体" w:cs="宋体" w:eastAsia="宋体" w:hint="default"/>
                <w:sz w:val="18"/>
                <w:szCs w:val="18"/>
              </w:rPr>
            </w:pPr>
            <w:r>
              <w:rPr>
                <w:rFonts w:ascii="宋体"/>
                <w:sz w:val="18"/>
              </w:rPr>
              <w:t>166,809,953.55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176,617,217.29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2101" w:right="0"/>
              <w:jc w:val="left"/>
              <w:rPr>
                <w:rFonts w:ascii="宋体" w:hAnsi="宋体" w:cs="宋体" w:eastAsia="宋体" w:hint="default"/>
                <w:sz w:val="18"/>
                <w:szCs w:val="18"/>
              </w:rPr>
            </w:pPr>
            <w:r>
              <w:rPr>
                <w:rFonts w:ascii="宋体"/>
                <w:sz w:val="18"/>
              </w:rPr>
              <w:t>20,846,773.41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18,050,400.98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4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11"/>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2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145,963,180.14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158,566,816.31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-2,820,570.93</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 w:right="41"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-2,820,570.93</w:t>
            </w:r>
          </w:p>
        </w:tc>
      </w:tr>
      <w:tr>
        <w:trPr>
          <w:trHeight w:val="79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-2,820,570.93</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2011" w:right="0"/>
              <w:jc w:val="left"/>
              <w:rPr>
                <w:rFonts w:ascii="宋体" w:hAnsi="宋体" w:cs="宋体" w:eastAsia="宋体" w:hint="default"/>
                <w:sz w:val="18"/>
                <w:szCs w:val="18"/>
              </w:rPr>
            </w:pPr>
            <w:r>
              <w:rPr>
                <w:rFonts w:ascii="宋体"/>
                <w:sz w:val="18"/>
              </w:rPr>
              <w:t>145,963,180.14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155,746,245.38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gridSpan w:val="2"/>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7"/>
          <w:szCs w:val="17"/>
        </w:rPr>
      </w:pPr>
    </w:p>
    <w:p>
      <w:pPr>
        <w:tabs>
          <w:tab w:pos="2860" w:val="left" w:leader="none"/>
          <w:tab w:pos="6352" w:val="left" w:leader="none"/>
        </w:tabs>
        <w:spacing w:before="44"/>
        <w:ind w:left="0" w:right="1793" w:firstLine="0"/>
        <w:jc w:val="righ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z w:val="18"/>
          <w:szCs w:val="18"/>
        </w:rPr>
        <w:t>主管会计工作负责人：</w:t>
      </w:r>
      <w:r>
        <w:rPr>
          <w:rFonts w:ascii="宋体" w:hAnsi="宋体" w:cs="宋体" w:eastAsia="宋体" w:hint="default"/>
          <w:spacing w:val="-19"/>
          <w:sz w:val="18"/>
          <w:szCs w:val="18"/>
        </w:rPr>
        <w:t> </w:t>
      </w:r>
      <w:r>
        <w:rPr>
          <w:rFonts w:ascii="宋体" w:hAnsi="宋体" w:cs="宋体" w:eastAsia="宋体" w:hint="default"/>
          <w:sz w:val="18"/>
          <w:szCs w:val="18"/>
        </w:rPr>
        <w:t>陈林富</w:t>
        <w:tab/>
      </w:r>
      <w:r>
        <w:rPr>
          <w:rFonts w:ascii="宋体" w:hAnsi="宋体" w:cs="宋体" w:eastAsia="宋体" w:hint="default"/>
          <w:spacing w:val="-2"/>
          <w:sz w:val="18"/>
          <w:szCs w:val="18"/>
        </w:rPr>
        <w:t>会计机构负责人：陈林富</w:t>
      </w:r>
    </w:p>
    <w:p>
      <w:pPr>
        <w:spacing w:line="240" w:lineRule="auto" w:before="8"/>
        <w:rPr>
          <w:rFonts w:ascii="宋体" w:hAnsi="宋体" w:cs="宋体" w:eastAsia="宋体" w:hint="default"/>
          <w:sz w:val="22"/>
          <w:szCs w:val="22"/>
        </w:rPr>
      </w:pPr>
    </w:p>
    <w:p>
      <w:pPr>
        <w:spacing w:before="0"/>
        <w:ind w:left="737" w:right="3281" w:firstLine="0"/>
        <w:jc w:val="left"/>
        <w:rPr>
          <w:rFonts w:ascii="宋体" w:hAnsi="宋体" w:cs="宋体" w:eastAsia="宋体" w:hint="default"/>
          <w:sz w:val="20"/>
          <w:szCs w:val="20"/>
        </w:rPr>
      </w:pPr>
      <w:bookmarkStart w:name="5、合并现金流量表" w:id="158"/>
      <w:bookmarkEnd w:id="158"/>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、合并现金流量表</w:t>
      </w:r>
      <w:r>
        <w:rPr>
          <w:rFonts w:ascii="宋体" w:hAnsi="宋体" w:cs="宋体" w:eastAsia="宋体" w:hint="default"/>
          <w:sz w:val="20"/>
          <w:szCs w:val="20"/>
        </w:rPr>
      </w:r>
    </w:p>
    <w:p>
      <w:pPr>
        <w:spacing w:line="240" w:lineRule="auto" w:before="12"/>
        <w:rPr>
          <w:rFonts w:ascii="宋体" w:hAnsi="宋体" w:cs="宋体" w:eastAsia="宋体" w:hint="default"/>
          <w:b/>
          <w:bCs/>
          <w:sz w:val="21"/>
          <w:szCs w:val="21"/>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3"/>
        <w:gridCol w:w="3302"/>
      </w:tblGrid>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left="1832" w:right="0"/>
              <w:jc w:val="left"/>
              <w:rPr>
                <w:rFonts w:ascii="宋体" w:hAnsi="宋体" w:cs="宋体" w:eastAsia="宋体" w:hint="default"/>
                <w:sz w:val="18"/>
                <w:szCs w:val="18"/>
              </w:rPr>
            </w:pPr>
            <w:r>
              <w:rPr>
                <w:rFonts w:ascii="宋体"/>
                <w:sz w:val="18"/>
              </w:rPr>
              <w:t>3,960,444,052.48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7" w:right="0"/>
              <w:jc w:val="left"/>
              <w:rPr>
                <w:rFonts w:ascii="宋体" w:hAnsi="宋体" w:cs="宋体" w:eastAsia="宋体" w:hint="default"/>
                <w:sz w:val="18"/>
                <w:szCs w:val="18"/>
              </w:rPr>
            </w:pPr>
            <w:r>
              <w:rPr>
                <w:rFonts w:ascii="宋体"/>
                <w:sz w:val="18"/>
              </w:rPr>
              <w:t>3,214,277,566.94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39"/>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3"/>
        <w:gridCol w:w="3302"/>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84,755,641.76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75,282,825.53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691,314,893.11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85,890,777.46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4,736,514,587.35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3,375,451,169.93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2,817,370,416.69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2,602,744,720.01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400,650,310.21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305,810,062.43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150,626,327.12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102,380,496.80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1,038,353,590.14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474,493,112.78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4,407,000,644.16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3,485,428,392.02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329,513,943.19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-109,977,222.09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130,000,000.00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406,560.00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9,677,600.00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2,158,201.05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28,595,523.67</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170,573,231.41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163,310,991.28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203,137,992.46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331,584,114.95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286,363,888.84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163,338,989.02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159,548,929.59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614,530.00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758,860,005.52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320,665,966.00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378,323,416.85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108,865,760.00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1,583,096,240.80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593,485,245.02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-1,379,958,248.34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-261,901,130.07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1,731,654,983.68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128,927,412.60</w:t>
            </w:r>
          </w:p>
        </w:tc>
      </w:tr>
    </w:tbl>
    <w:p>
      <w:pPr>
        <w:spacing w:after="0" w:line="240" w:lineRule="auto"/>
        <w:jc w:val="right"/>
        <w:rPr>
          <w:rFonts w:ascii="宋体" w:hAnsi="宋体" w:cs="宋体" w:eastAsia="宋体" w:hint="default"/>
          <w:sz w:val="18"/>
          <w:szCs w:val="18"/>
        </w:rPr>
        <w:sectPr>
          <w:pgSz w:w="11910" w:h="16840"/>
          <w:pgMar w:header="877" w:footer="979" w:top="1100" w:bottom="116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966"/>
        <w:gridCol w:w="3302"/>
        <w:gridCol w:w="3302"/>
      </w:tblGrid>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355,000.00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1,114,860,000.00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656,730,000.00</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198,169,585.17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487,158,153.56</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3,044,684,568.85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1,272,815,566.16</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1,111,500,000.00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592,051,609.85</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54,140,673.93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45,531,365.33</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262,697,758.76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587,004,849.94</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1,428,338,432.69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1,224,587,825.12</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1,616,346,136.16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48,227,741.04</w:t>
            </w:r>
          </w:p>
        </w:tc>
      </w:tr>
      <w:tr>
        <w:trPr>
          <w:trHeight w:val="55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20,306,697.72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10,357,863.75</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586,208,528.73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-313,292,747.37</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129,290,089.66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442,582,837.03</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715,498,618.39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129,290,089.66</w:t>
            </w:r>
          </w:p>
        </w:tc>
      </w:tr>
    </w:tbl>
    <w:p>
      <w:pPr>
        <w:spacing w:line="240" w:lineRule="auto" w:before="7"/>
        <w:rPr>
          <w:rFonts w:ascii="Times New Roman" w:hAnsi="Times New Roman" w:cs="Times New Roman" w:eastAsia="Times New Roman" w:hint="default"/>
          <w:sz w:val="19"/>
          <w:szCs w:val="19"/>
        </w:rPr>
      </w:pPr>
    </w:p>
    <w:p>
      <w:pPr>
        <w:tabs>
          <w:tab w:pos="2860" w:val="left" w:leader="none"/>
          <w:tab w:pos="6352" w:val="left" w:leader="none"/>
        </w:tabs>
        <w:spacing w:before="44"/>
        <w:ind w:left="0" w:right="1793" w:firstLine="0"/>
        <w:jc w:val="righ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z w:val="18"/>
          <w:szCs w:val="18"/>
        </w:rPr>
        <w:t>主管会计工作负责人：</w:t>
      </w:r>
      <w:r>
        <w:rPr>
          <w:rFonts w:ascii="宋体" w:hAnsi="宋体" w:cs="宋体" w:eastAsia="宋体" w:hint="default"/>
          <w:spacing w:val="-19"/>
          <w:sz w:val="18"/>
          <w:szCs w:val="18"/>
        </w:rPr>
        <w:t> </w:t>
      </w:r>
      <w:r>
        <w:rPr>
          <w:rFonts w:ascii="宋体" w:hAnsi="宋体" w:cs="宋体" w:eastAsia="宋体" w:hint="default"/>
          <w:sz w:val="18"/>
          <w:szCs w:val="18"/>
        </w:rPr>
        <w:t>陈林富</w:t>
        <w:tab/>
      </w:r>
      <w:r>
        <w:rPr>
          <w:rFonts w:ascii="宋体" w:hAnsi="宋体" w:cs="宋体" w:eastAsia="宋体" w:hint="default"/>
          <w:spacing w:val="-2"/>
          <w:sz w:val="18"/>
          <w:szCs w:val="18"/>
        </w:rPr>
        <w:t>会计机构负责人：陈林富</w:t>
      </w:r>
    </w:p>
    <w:p>
      <w:pPr>
        <w:spacing w:line="240" w:lineRule="auto" w:before="8"/>
        <w:rPr>
          <w:rFonts w:ascii="宋体" w:hAnsi="宋体" w:cs="宋体" w:eastAsia="宋体" w:hint="default"/>
          <w:sz w:val="22"/>
          <w:szCs w:val="22"/>
        </w:rPr>
      </w:pPr>
    </w:p>
    <w:p>
      <w:pPr>
        <w:spacing w:before="0"/>
        <w:ind w:left="737" w:right="3281" w:firstLine="0"/>
        <w:jc w:val="left"/>
        <w:rPr>
          <w:rFonts w:ascii="宋体" w:hAnsi="宋体" w:cs="宋体" w:eastAsia="宋体" w:hint="default"/>
          <w:sz w:val="20"/>
          <w:szCs w:val="20"/>
        </w:rPr>
      </w:pPr>
      <w:bookmarkStart w:name="6、母公司现金流量表" w:id="159"/>
      <w:bookmarkEnd w:id="159"/>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、母公司现金流量表</w:t>
      </w:r>
      <w:r>
        <w:rPr>
          <w:rFonts w:ascii="宋体" w:hAnsi="宋体" w:cs="宋体" w:eastAsia="宋体" w:hint="default"/>
          <w:sz w:val="20"/>
          <w:szCs w:val="20"/>
        </w:rPr>
      </w:r>
    </w:p>
    <w:p>
      <w:pPr>
        <w:spacing w:line="240" w:lineRule="auto" w:before="12"/>
        <w:rPr>
          <w:rFonts w:ascii="宋体" w:hAnsi="宋体" w:cs="宋体" w:eastAsia="宋体" w:hint="default"/>
          <w:b/>
          <w:bCs/>
          <w:sz w:val="21"/>
          <w:szCs w:val="21"/>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3"/>
        <w:gridCol w:w="3302"/>
      </w:tblGrid>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1,415,958,228.33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1,364,663,135.94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71,486,188.89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61,711,063.19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640,711,810.74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133,186,792.35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2,128,156,227.96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1,559,560,991.48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926,208,875.35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1,072,140,712.11</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152,044,959.75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146,716,654.32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41,244,131.00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31,463,224.45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797,690,272.34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534,463,151.23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1,917,188,238.44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1,784,783,742.11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210,967,989.52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-225,222,750.63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406,560.00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9,677,600.00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1,903,610.52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27,046,151.00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13,484,161.83</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060" w:right="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943"/>
        <w:gridCol w:w="3313"/>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103,728,125.69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132,580,921.67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149,522,458.04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169,304,672.67</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159,516,230.17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121,155,753.43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229,078,789.59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614,530.00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913,139,450.51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339,969,507.17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415,893,797.07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35,510,000.00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1,717,628,267.34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497,249,790.60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-1,568,105,809.30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-327,945,117.93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1,731,299,983.68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128,312,882.60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1,006,000,000.00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519,300,000.00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124,869,585.17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506,158,153.56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2,862,169,568.85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1,153,771,036.16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354,600,000.00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49,385,406.24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39,409,720.33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230,107,987.35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587,004,849.94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1,279,993,393.59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981,014,570.27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1,582,176,175.26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172,756,465.89</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18,909,703.49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11,737,748.60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243,948,058.97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-368,673,654.07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24,318,317.88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392,991,971.95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268,266,376.85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24,318,317.88</w:t>
            </w:r>
          </w:p>
        </w:tc>
      </w:tr>
    </w:tbl>
    <w:p>
      <w:pPr>
        <w:spacing w:line="240" w:lineRule="auto" w:before="3"/>
        <w:rPr>
          <w:rFonts w:ascii="宋体" w:hAnsi="宋体" w:cs="宋体" w:eastAsia="宋体" w:hint="default"/>
          <w:sz w:val="17"/>
          <w:szCs w:val="17"/>
        </w:rPr>
      </w:pPr>
    </w:p>
    <w:p>
      <w:pPr>
        <w:tabs>
          <w:tab w:pos="3437" w:val="left" w:leader="none"/>
          <w:tab w:pos="6858" w:val="left" w:leader="none"/>
        </w:tabs>
        <w:spacing w:before="44"/>
        <w:ind w:left="738"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 陈林富</w:t>
        <w:tab/>
        <w:t>会计机构负责人：陈林富</w:t>
      </w:r>
    </w:p>
    <w:p>
      <w:pPr>
        <w:spacing w:after="0"/>
        <w:jc w:val="left"/>
        <w:rPr>
          <w:rFonts w:ascii="宋体" w:hAnsi="宋体" w:cs="宋体" w:eastAsia="宋体" w:hint="default"/>
          <w:sz w:val="18"/>
          <w:szCs w:val="18"/>
        </w:rPr>
        <w:sectPr>
          <w:pgSz w:w="11910" w:h="16840"/>
          <w:pgMar w:header="877" w:footer="979" w:top="1100" w:bottom="1160" w:left="1060" w:right="0"/>
        </w:sectPr>
      </w:pPr>
    </w:p>
    <w:p>
      <w:pPr>
        <w:spacing w:line="240" w:lineRule="auto" w:before="12"/>
        <w:rPr>
          <w:rFonts w:ascii="宋体" w:hAnsi="宋体" w:cs="宋体" w:eastAsia="宋体" w:hint="default"/>
          <w:sz w:val="2"/>
          <w:szCs w:val="2"/>
        </w:rPr>
      </w:pPr>
    </w:p>
    <w:p>
      <w:pPr>
        <w:spacing w:line="20" w:lineRule="exact"/>
        <w:ind w:left="13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7"/>
          <w:szCs w:val="17"/>
        </w:rPr>
      </w:pPr>
    </w:p>
    <w:p>
      <w:pPr>
        <w:spacing w:before="38"/>
        <w:ind w:left="1380" w:right="0" w:firstLine="0"/>
        <w:jc w:val="left"/>
        <w:rPr>
          <w:rFonts w:ascii="宋体" w:hAnsi="宋体" w:cs="宋体" w:eastAsia="宋体" w:hint="default"/>
          <w:sz w:val="20"/>
          <w:szCs w:val="20"/>
        </w:rPr>
      </w:pPr>
      <w:bookmarkStart w:name="7、合并所有者权益变动表" w:id="160"/>
      <w:bookmarkEnd w:id="160"/>
      <w:r>
        <w:rPr/>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、合并所有者权益变动表</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4"/>
        <w:ind w:left="138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515"/>
        <w:gridCol w:w="1506"/>
        <w:gridCol w:w="388"/>
        <w:gridCol w:w="425"/>
        <w:gridCol w:w="568"/>
        <w:gridCol w:w="1739"/>
        <w:gridCol w:w="566"/>
        <w:gridCol w:w="1277"/>
        <w:gridCol w:w="1276"/>
        <w:gridCol w:w="1351"/>
        <w:gridCol w:w="709"/>
        <w:gridCol w:w="1416"/>
        <w:gridCol w:w="1386"/>
        <w:gridCol w:w="1374"/>
      </w:tblGrid>
      <w:tr>
        <w:trPr>
          <w:trHeight w:val="402" w:hRule="exact"/>
        </w:trPr>
        <w:tc>
          <w:tcPr>
            <w:tcW w:w="2515" w:type="dxa"/>
            <w:vMerge w:val="restart"/>
            <w:tcBorders>
              <w:top w:val="single" w:sz="4" w:space="0" w:color="000000"/>
              <w:left w:val="single" w:sz="4" w:space="0" w:color="000000"/>
              <w:right w:val="single" w:sz="4" w:space="0" w:color="000000"/>
            </w:tcBorders>
            <w:shd w:val="clear" w:color="auto" w:fill="D2D2D2"/>
          </w:tcPr>
          <w:p>
            <w:pP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2" w:hRule="exact"/>
        </w:trPr>
        <w:tc>
          <w:tcPr>
            <w:tcW w:w="2515" w:type="dxa"/>
            <w:vMerge/>
            <w:tcBorders>
              <w:left w:val="single" w:sz="4" w:space="0" w:color="000000"/>
              <w:right w:val="single" w:sz="4" w:space="0" w:color="000000"/>
            </w:tcBorders>
            <w:shd w:val="clear" w:color="auto" w:fill="D2D2D2"/>
          </w:tcPr>
          <w:p>
            <w:pP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1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4" w:space="0" w:color="000000"/>
              <w:left w:val="single" w:sz="4" w:space="0" w:color="000000"/>
              <w:right w:val="single" w:sz="4" w:space="0" w:color="000000"/>
            </w:tcBorders>
            <w:shd w:val="clear" w:color="auto" w:fill="D2D2D2"/>
          </w:tcPr>
          <w:p>
            <w:pPr/>
          </w:p>
        </w:tc>
        <w:tc>
          <w:tcPr>
            <w:tcW w:w="1374"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515" w:type="dxa"/>
            <w:vMerge/>
            <w:tcBorders>
              <w:left w:val="single" w:sz="4" w:space="0" w:color="000000"/>
              <w:bottom w:val="nil" w:sz="6" w:space="0" w:color="auto"/>
              <w:right w:val="single" w:sz="4" w:space="0" w:color="000000"/>
            </w:tcBorders>
            <w:shd w:val="clear" w:color="auto" w:fill="D2D2D2"/>
          </w:tcPr>
          <w:p>
            <w:pPr/>
          </w:p>
        </w:tc>
        <w:tc>
          <w:tcPr>
            <w:tcW w:w="1506" w:type="dxa"/>
            <w:vMerge w:val="restart"/>
            <w:tcBorders>
              <w:top w:val="single" w:sz="4" w:space="0" w:color="000000"/>
              <w:left w:val="single" w:sz="4" w:space="0" w:color="000000"/>
              <w:right w:val="single" w:sz="4" w:space="0" w:color="000000"/>
            </w:tcBorders>
            <w:shd w:val="clear" w:color="auto" w:fill="D2D2D2"/>
          </w:tcPr>
          <w:p>
            <w:pPr/>
          </w:p>
        </w:tc>
        <w:tc>
          <w:tcPr>
            <w:tcW w:w="138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39"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351"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c>
          <w:tcPr>
            <w:tcW w:w="1374" w:type="dxa"/>
            <w:vMerge/>
            <w:tcBorders>
              <w:left w:val="single" w:sz="4" w:space="0" w:color="000000"/>
              <w:right w:val="single" w:sz="4" w:space="0" w:color="000000"/>
            </w:tcBorders>
            <w:shd w:val="clear" w:color="auto" w:fill="D2D2D2"/>
          </w:tcPr>
          <w:p>
            <w:pPr/>
          </w:p>
        </w:tc>
      </w:tr>
      <w:tr>
        <w:trPr>
          <w:trHeight w:val="230" w:hRule="exact"/>
        </w:trPr>
        <w:tc>
          <w:tcPr>
            <w:tcW w:w="25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6" w:type="dxa"/>
            <w:vMerge/>
            <w:tcBorders>
              <w:left w:val="single" w:sz="4" w:space="0" w:color="000000"/>
              <w:bottom w:val="nil" w:sz="6" w:space="0" w:color="auto"/>
              <w:right w:val="single" w:sz="4" w:space="0" w:color="000000"/>
            </w:tcBorders>
            <w:shd w:val="clear" w:color="auto" w:fill="D2D2D2"/>
          </w:tcPr>
          <w:p>
            <w:pPr/>
          </w:p>
        </w:tc>
        <w:tc>
          <w:tcPr>
            <w:tcW w:w="1380" w:type="dxa"/>
            <w:gridSpan w:val="3"/>
            <w:vMerge/>
            <w:tcBorders>
              <w:left w:val="single" w:sz="4" w:space="0" w:color="000000"/>
              <w:bottom w:val="single" w:sz="4" w:space="0" w:color="000000"/>
              <w:right w:val="single" w:sz="4" w:space="0" w:color="000000"/>
            </w:tcBorders>
            <w:shd w:val="clear" w:color="auto" w:fill="D2D2D2"/>
          </w:tcPr>
          <w:p>
            <w:pPr/>
          </w:p>
        </w:tc>
        <w:tc>
          <w:tcPr>
            <w:tcW w:w="173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351"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55" w:hRule="exact"/>
        </w:trPr>
        <w:tc>
          <w:tcPr>
            <w:tcW w:w="2515" w:type="dxa"/>
            <w:vMerge/>
            <w:tcBorders>
              <w:left w:val="single" w:sz="4" w:space="0" w:color="000000"/>
              <w:bottom w:val="nil" w:sz="6" w:space="0" w:color="auto"/>
              <w:right w:val="single" w:sz="4" w:space="0" w:color="000000"/>
            </w:tcBorders>
            <w:shd w:val="clear" w:color="auto" w:fill="D2D2D2"/>
          </w:tcPr>
          <w:p>
            <w:pPr/>
          </w:p>
        </w:tc>
        <w:tc>
          <w:tcPr>
            <w:tcW w:w="1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7"/>
              <w:ind w:left="394"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3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7"/>
              <w:ind w:left="99" w:right="9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1739"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5"/>
              <w:ind w:left="98" w:right="49" w:hanging="76"/>
              <w:jc w:val="left"/>
              <w:rPr>
                <w:rFonts w:ascii="宋体" w:hAnsi="宋体" w:cs="宋体" w:eastAsia="宋体" w:hint="default"/>
                <w:sz w:val="18"/>
                <w:szCs w:val="18"/>
              </w:rPr>
            </w:pPr>
            <w:r>
              <w:rPr>
                <w:rFonts w:ascii="宋体" w:hAnsi="宋体" w:cs="宋体" w:eastAsia="宋体" w:hint="default"/>
                <w:spacing w:val="-20"/>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277"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351"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5"/>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6" w:type="dxa"/>
            <w:vMerge/>
            <w:tcBorders>
              <w:left w:val="single" w:sz="4" w:space="0" w:color="000000"/>
              <w:bottom w:val="nil" w:sz="6" w:space="0" w:color="auto"/>
              <w:right w:val="single" w:sz="4" w:space="0" w:color="000000"/>
            </w:tcBorders>
            <w:shd w:val="clear" w:color="auto" w:fill="D2D2D2"/>
          </w:tcPr>
          <w:p>
            <w:pP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5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4" w:hRule="exact"/>
        </w:trPr>
        <w:tc>
          <w:tcPr>
            <w:tcW w:w="2515" w:type="dxa"/>
            <w:vMerge w:val="restart"/>
            <w:tcBorders>
              <w:top w:val="nil" w:sz="6" w:space="0" w:color="auto"/>
              <w:left w:val="single" w:sz="4" w:space="0" w:color="000000"/>
              <w:right w:val="single" w:sz="4" w:space="0" w:color="000000"/>
            </w:tcBorders>
            <w:shd w:val="clear" w:color="auto" w:fill="D2D2D2"/>
          </w:tcPr>
          <w:p>
            <w:pPr/>
          </w:p>
        </w:tc>
        <w:tc>
          <w:tcPr>
            <w:tcW w:w="1506" w:type="dxa"/>
            <w:vMerge/>
            <w:tcBorders>
              <w:left w:val="single" w:sz="4" w:space="0" w:color="000000"/>
              <w:right w:val="single" w:sz="4" w:space="0" w:color="000000"/>
            </w:tcBorders>
            <w:shd w:val="clear" w:color="auto" w:fill="D2D2D2"/>
          </w:tcPr>
          <w:p>
            <w:pPr/>
          </w:p>
        </w:tc>
        <w:tc>
          <w:tcPr>
            <w:tcW w:w="388"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8" w:type="dxa"/>
            <w:vMerge/>
            <w:tcBorders>
              <w:left w:val="single" w:sz="4" w:space="0" w:color="000000"/>
              <w:bottom w:val="nil" w:sz="6" w:space="0" w:color="auto"/>
              <w:right w:val="single" w:sz="4" w:space="0" w:color="000000"/>
            </w:tcBorders>
            <w:shd w:val="clear" w:color="auto" w:fill="D2D2D2"/>
          </w:tcPr>
          <w:p>
            <w:pPr/>
          </w:p>
        </w:tc>
        <w:tc>
          <w:tcPr>
            <w:tcW w:w="17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0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6"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515" w:type="dxa"/>
            <w:vMerge/>
            <w:tcBorders>
              <w:left w:val="single" w:sz="4" w:space="0" w:color="000000"/>
              <w:right w:val="single" w:sz="4" w:space="0" w:color="000000"/>
            </w:tcBorders>
            <w:shd w:val="clear" w:color="auto" w:fill="D2D2D2"/>
          </w:tcPr>
          <w:p>
            <w:pPr/>
          </w:p>
        </w:tc>
        <w:tc>
          <w:tcPr>
            <w:tcW w:w="1506" w:type="dxa"/>
            <w:vMerge/>
            <w:tcBorders>
              <w:left w:val="single" w:sz="4" w:space="0" w:color="000000"/>
              <w:right w:val="single" w:sz="4" w:space="0" w:color="000000"/>
            </w:tcBorders>
            <w:shd w:val="clear" w:color="auto" w:fill="D2D2D2"/>
          </w:tcPr>
          <w:p>
            <w:pPr/>
          </w:p>
        </w:tc>
        <w:tc>
          <w:tcPr>
            <w:tcW w:w="38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351"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386"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2515" w:type="dxa"/>
            <w:vMerge/>
            <w:tcBorders>
              <w:left w:val="single" w:sz="4" w:space="0" w:color="000000"/>
              <w:right w:val="single" w:sz="4" w:space="0" w:color="000000"/>
            </w:tcBorders>
            <w:shd w:val="clear" w:color="auto" w:fill="D2D2D2"/>
          </w:tcPr>
          <w:p>
            <w:pPr/>
          </w:p>
        </w:tc>
        <w:tc>
          <w:tcPr>
            <w:tcW w:w="1506" w:type="dxa"/>
            <w:vMerge/>
            <w:tcBorders>
              <w:left w:val="single" w:sz="4" w:space="0" w:color="000000"/>
              <w:bottom w:val="nil" w:sz="6" w:space="0" w:color="auto"/>
              <w:right w:val="single" w:sz="4" w:space="0" w:color="000000"/>
            </w:tcBorders>
            <w:shd w:val="clear" w:color="auto" w:fill="D2D2D2"/>
          </w:tcPr>
          <w:p>
            <w:pPr/>
          </w:p>
        </w:tc>
        <w:tc>
          <w:tcPr>
            <w:tcW w:w="38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73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351"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c>
          <w:tcPr>
            <w:tcW w:w="1374" w:type="dxa"/>
            <w:vMerge/>
            <w:tcBorders>
              <w:left w:val="single" w:sz="4" w:space="0" w:color="000000"/>
              <w:right w:val="single" w:sz="4" w:space="0" w:color="000000"/>
            </w:tcBorders>
            <w:shd w:val="clear" w:color="auto" w:fill="D2D2D2"/>
          </w:tcPr>
          <w:p>
            <w:pPr/>
          </w:p>
        </w:tc>
      </w:tr>
      <w:tr>
        <w:trPr>
          <w:trHeight w:val="176" w:hRule="exact"/>
        </w:trPr>
        <w:tc>
          <w:tcPr>
            <w:tcW w:w="2515" w:type="dxa"/>
            <w:vMerge/>
            <w:tcBorders>
              <w:left w:val="single" w:sz="4" w:space="0" w:color="000000"/>
              <w:right w:val="single" w:sz="4" w:space="0" w:color="000000"/>
            </w:tcBorders>
            <w:shd w:val="clear" w:color="auto" w:fill="D2D2D2"/>
          </w:tcPr>
          <w:p>
            <w:pPr/>
          </w:p>
        </w:tc>
        <w:tc>
          <w:tcPr>
            <w:tcW w:w="1506" w:type="dxa"/>
            <w:vMerge w:val="restart"/>
            <w:tcBorders>
              <w:top w:val="nil" w:sz="6" w:space="0" w:color="auto"/>
              <w:left w:val="single" w:sz="4" w:space="0" w:color="000000"/>
              <w:right w:val="single" w:sz="4" w:space="0" w:color="000000"/>
            </w:tcBorders>
            <w:shd w:val="clear" w:color="auto" w:fill="D2D2D2"/>
          </w:tcPr>
          <w:p>
            <w:pPr/>
          </w:p>
        </w:tc>
        <w:tc>
          <w:tcPr>
            <w:tcW w:w="38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
        </w:tc>
        <w:tc>
          <w:tcPr>
            <w:tcW w:w="1739"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351"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c>
          <w:tcPr>
            <w:tcW w:w="1374" w:type="dxa"/>
            <w:vMerge/>
            <w:tcBorders>
              <w:left w:val="single" w:sz="4" w:space="0" w:color="000000"/>
              <w:right w:val="single" w:sz="4" w:space="0" w:color="000000"/>
            </w:tcBorders>
            <w:shd w:val="clear" w:color="auto" w:fill="D2D2D2"/>
          </w:tcPr>
          <w:p>
            <w:pPr/>
          </w:p>
        </w:tc>
      </w:tr>
      <w:tr>
        <w:trPr>
          <w:trHeight w:val="161" w:hRule="exact"/>
        </w:trPr>
        <w:tc>
          <w:tcPr>
            <w:tcW w:w="2515" w:type="dxa"/>
            <w:vMerge/>
            <w:tcBorders>
              <w:left w:val="single" w:sz="4" w:space="0" w:color="000000"/>
              <w:bottom w:val="single" w:sz="4" w:space="0" w:color="000000"/>
              <w:right w:val="single" w:sz="4" w:space="0" w:color="000000"/>
            </w:tcBorders>
            <w:shd w:val="clear" w:color="auto" w:fill="D2D2D2"/>
          </w:tcPr>
          <w:p>
            <w:pPr/>
          </w:p>
        </w:tc>
        <w:tc>
          <w:tcPr>
            <w:tcW w:w="1506" w:type="dxa"/>
            <w:vMerge/>
            <w:tcBorders>
              <w:left w:val="single" w:sz="4" w:space="0" w:color="000000"/>
              <w:bottom w:val="single" w:sz="4" w:space="0" w:color="000000"/>
              <w:right w:val="single" w:sz="4" w:space="0" w:color="000000"/>
            </w:tcBorders>
            <w:shd w:val="clear" w:color="auto" w:fill="D2D2D2"/>
          </w:tcPr>
          <w:p>
            <w:pPr/>
          </w:p>
        </w:tc>
        <w:tc>
          <w:tcPr>
            <w:tcW w:w="388"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73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35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5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391,424,450.00</w:t>
            </w:r>
          </w:p>
        </w:tc>
        <w:tc>
          <w:tcPr>
            <w:tcW w:w="38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7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sz w:val="18"/>
              </w:rPr>
              <w:t>910,053,162.69</w:t>
            </w:r>
          </w:p>
        </w:tc>
        <w:tc>
          <w:tcPr>
            <w:tcW w:w="56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sz w:val="18"/>
              </w:rPr>
              <w:t>-1,672,658.39</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sz w:val="18"/>
              </w:rPr>
              <w:t>1,075,087.49</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sz w:val="18"/>
              </w:rPr>
              <w:t>96,096,139.44</w:t>
            </w:r>
          </w:p>
        </w:tc>
        <w:tc>
          <w:tcPr>
            <w:tcW w:w="709"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606,759,661.56</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80,352,156.96</w:t>
            </w:r>
          </w:p>
        </w:tc>
        <w:tc>
          <w:tcPr>
            <w:tcW w:w="1374" w:type="dxa"/>
            <w:vMerge w:val="restart"/>
            <w:tcBorders>
              <w:top w:val="single" w:sz="4" w:space="0" w:color="000000"/>
              <w:left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2,084,087,999.</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75</w:t>
            </w:r>
          </w:p>
        </w:tc>
      </w:tr>
      <w:tr>
        <w:trPr>
          <w:trHeight w:val="391" w:hRule="exact"/>
        </w:trPr>
        <w:tc>
          <w:tcPr>
            <w:tcW w:w="25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06" w:type="dxa"/>
            <w:vMerge/>
            <w:tcBorders>
              <w:left w:val="single" w:sz="9" w:space="0" w:color="D2D2D2"/>
              <w:right w:val="single" w:sz="4" w:space="0" w:color="000000"/>
            </w:tcBorders>
          </w:tcPr>
          <w:p>
            <w:pPr/>
          </w:p>
        </w:tc>
        <w:tc>
          <w:tcPr>
            <w:tcW w:w="38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73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3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c>
          <w:tcPr>
            <w:tcW w:w="1374" w:type="dxa"/>
            <w:vMerge/>
            <w:tcBorders>
              <w:left w:val="single" w:sz="4" w:space="0" w:color="000000"/>
              <w:right w:val="single" w:sz="4" w:space="0" w:color="000000"/>
            </w:tcBorders>
          </w:tcPr>
          <w:p>
            <w:pPr/>
          </w:p>
        </w:tc>
      </w:tr>
      <w:tr>
        <w:trPr>
          <w:trHeight w:val="161" w:hRule="exact"/>
        </w:trPr>
        <w:tc>
          <w:tcPr>
            <w:tcW w:w="25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6" w:type="dxa"/>
            <w:vMerge/>
            <w:tcBorders>
              <w:left w:val="single" w:sz="9" w:space="0" w:color="D2D2D2"/>
              <w:bottom w:val="single" w:sz="4" w:space="0" w:color="000000"/>
              <w:right w:val="single" w:sz="4" w:space="0" w:color="000000"/>
            </w:tcBorders>
          </w:tcPr>
          <w:p>
            <w:pPr/>
          </w:p>
        </w:tc>
        <w:tc>
          <w:tcPr>
            <w:tcW w:w="38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73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74" w:type="dxa"/>
            <w:vMerge/>
            <w:tcBorders>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6" w:type="dxa"/>
            <w:tcBorders>
              <w:top w:val="single" w:sz="4" w:space="0" w:color="000000"/>
              <w:left w:val="single" w:sz="13" w:space="0" w:color="D2D2D2"/>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6" w:type="dxa"/>
            <w:tcBorders>
              <w:top w:val="single" w:sz="4" w:space="0" w:color="000000"/>
              <w:left w:val="single" w:sz="13" w:space="0" w:color="D2D2D2"/>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06" w:type="dxa"/>
            <w:tcBorders>
              <w:top w:val="single" w:sz="4" w:space="0" w:color="000000"/>
              <w:left w:val="single" w:sz="13" w:space="0" w:color="D2D2D2"/>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6" w:type="dxa"/>
            <w:tcBorders>
              <w:top w:val="single" w:sz="4" w:space="0" w:color="000000"/>
              <w:left w:val="single" w:sz="13" w:space="0" w:color="D2D2D2"/>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5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391,424,450.00</w:t>
            </w:r>
          </w:p>
        </w:tc>
        <w:tc>
          <w:tcPr>
            <w:tcW w:w="38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7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sz w:val="18"/>
              </w:rPr>
              <w:t>910,053,162.69</w:t>
            </w:r>
          </w:p>
        </w:tc>
        <w:tc>
          <w:tcPr>
            <w:tcW w:w="56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sz w:val="18"/>
              </w:rPr>
              <w:t>-1,672,658.39</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sz w:val="18"/>
              </w:rPr>
              <w:t>1,075,087.49</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sz w:val="18"/>
              </w:rPr>
              <w:t>96,096,139.44</w:t>
            </w:r>
          </w:p>
        </w:tc>
        <w:tc>
          <w:tcPr>
            <w:tcW w:w="709"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606,759,661.56</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80,352,156.96</w:t>
            </w:r>
          </w:p>
        </w:tc>
        <w:tc>
          <w:tcPr>
            <w:tcW w:w="1374" w:type="dxa"/>
            <w:vMerge w:val="restart"/>
            <w:tcBorders>
              <w:top w:val="single" w:sz="4" w:space="0" w:color="000000"/>
              <w:left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2,084,087,999.</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75</w:t>
            </w:r>
          </w:p>
        </w:tc>
      </w:tr>
      <w:tr>
        <w:trPr>
          <w:trHeight w:val="391" w:hRule="exact"/>
        </w:trPr>
        <w:tc>
          <w:tcPr>
            <w:tcW w:w="25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06" w:type="dxa"/>
            <w:vMerge/>
            <w:tcBorders>
              <w:left w:val="single" w:sz="9" w:space="0" w:color="D2D2D2"/>
              <w:right w:val="single" w:sz="4" w:space="0" w:color="000000"/>
            </w:tcBorders>
          </w:tcPr>
          <w:p>
            <w:pPr/>
          </w:p>
        </w:tc>
        <w:tc>
          <w:tcPr>
            <w:tcW w:w="38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73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3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c>
          <w:tcPr>
            <w:tcW w:w="1374" w:type="dxa"/>
            <w:vMerge/>
            <w:tcBorders>
              <w:left w:val="single" w:sz="4" w:space="0" w:color="000000"/>
              <w:right w:val="single" w:sz="4" w:space="0" w:color="000000"/>
            </w:tcBorders>
          </w:tcPr>
          <w:p>
            <w:pPr/>
          </w:p>
        </w:tc>
      </w:tr>
      <w:tr>
        <w:trPr>
          <w:trHeight w:val="161" w:hRule="exact"/>
        </w:trPr>
        <w:tc>
          <w:tcPr>
            <w:tcW w:w="25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6" w:type="dxa"/>
            <w:vMerge/>
            <w:tcBorders>
              <w:left w:val="single" w:sz="9" w:space="0" w:color="D2D2D2"/>
              <w:bottom w:val="single" w:sz="4" w:space="0" w:color="000000"/>
              <w:right w:val="single" w:sz="4" w:space="0" w:color="000000"/>
            </w:tcBorders>
          </w:tcPr>
          <w:p>
            <w:pPr/>
          </w:p>
        </w:tc>
        <w:tc>
          <w:tcPr>
            <w:tcW w:w="38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73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74" w:type="dxa"/>
            <w:vMerge/>
            <w:tcBorders>
              <w:left w:val="single" w:sz="4" w:space="0" w:color="000000"/>
              <w:bottom w:val="single" w:sz="4" w:space="0" w:color="000000"/>
              <w:right w:val="single" w:sz="4" w:space="0" w:color="000000"/>
            </w:tcBorders>
          </w:tcPr>
          <w:p>
            <w:pPr/>
          </w:p>
        </w:tc>
      </w:tr>
      <w:tr>
        <w:trPr>
          <w:trHeight w:val="714"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62"/>
              <w:jc w:val="left"/>
              <w:rPr>
                <w:rFonts w:ascii="宋体" w:hAnsi="宋体" w:cs="宋体" w:eastAsia="宋体" w:hint="default"/>
                <w:sz w:val="18"/>
                <w:szCs w:val="18"/>
              </w:rPr>
            </w:pPr>
            <w:r>
              <w:rPr>
                <w:rFonts w:ascii="宋体" w:hAnsi="宋体" w:cs="宋体" w:eastAsia="宋体" w:hint="default"/>
                <w:sz w:val="18"/>
                <w:szCs w:val="18"/>
              </w:rPr>
              <w:t>三、本期增减变动金额</w:t>
            </w:r>
            <w:r>
              <w:rPr>
                <w:rFonts w:ascii="宋体" w:hAnsi="宋体" w:cs="宋体" w:eastAsia="宋体" w:hint="default"/>
                <w:sz w:val="18"/>
                <w:szCs w:val="18"/>
              </w:rPr>
              <w:t>(</w:t>
            </w:r>
            <w:r>
              <w:rPr>
                <w:rFonts w:ascii="宋体" w:hAnsi="宋体" w:cs="宋体" w:eastAsia="宋体" w:hint="default"/>
                <w:sz w:val="18"/>
                <w:szCs w:val="18"/>
              </w:rPr>
              <w:t>减少以 “－”号填列</w:t>
            </w:r>
            <w:r>
              <w:rPr>
                <w:rFonts w:ascii="宋体" w:hAnsi="宋体" w:cs="宋体" w:eastAsia="宋体" w:hint="default"/>
                <w:sz w:val="18"/>
                <w:szCs w:val="18"/>
              </w:rPr>
              <w:t>)</w:t>
            </w:r>
          </w:p>
        </w:tc>
        <w:tc>
          <w:tcPr>
            <w:tcW w:w="1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1,118,003,199.0</w:t>
            </w:r>
          </w:p>
          <w:p>
            <w:pPr>
              <w:pStyle w:val="TableParagraph"/>
              <w:spacing w:line="240" w:lineRule="auto" w:before="76"/>
              <w:ind w:right="0"/>
              <w:jc w:val="center"/>
              <w:rPr>
                <w:rFonts w:ascii="宋体" w:hAnsi="宋体" w:cs="宋体" w:eastAsia="宋体" w:hint="default"/>
                <w:sz w:val="18"/>
                <w:szCs w:val="18"/>
              </w:rPr>
            </w:pPr>
            <w:r>
              <w:rPr>
                <w:rFonts w:ascii="宋体"/>
                <w:sz w:val="18"/>
              </w:rPr>
              <w:t>0</w:t>
            </w: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sz w:val="18"/>
              </w:rPr>
              <w:t>2,394,734,618.90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sz w:val="18"/>
              </w:rPr>
              <w:t>1,080,675.38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sz w:val="18"/>
              </w:rPr>
              <w:t>390,633.74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sz w:val="18"/>
              </w:rPr>
              <w:t>14,596,318.01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191,243,003.12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-14,461,224.01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sz w:val="18"/>
              </w:rPr>
              <w:t>3,705,587,224.</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14</w:t>
            </w: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z w:val="18"/>
                <w:szCs w:val="18"/>
              </w:rPr>
              <w:t>综合收益总额</w:t>
            </w:r>
          </w:p>
        </w:tc>
        <w:tc>
          <w:tcPr>
            <w:tcW w:w="1506" w:type="dxa"/>
            <w:tcBorders>
              <w:top w:val="single" w:sz="4" w:space="0" w:color="000000"/>
              <w:left w:val="single" w:sz="13" w:space="0" w:color="D2D2D2"/>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sz w:val="18"/>
              </w:rPr>
              <w:t>1,080,675.38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225,410,543.63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14,588,870.60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left"/>
              <w:rPr>
                <w:rFonts w:ascii="宋体" w:hAnsi="宋体" w:cs="宋体" w:eastAsia="宋体" w:hint="default"/>
                <w:sz w:val="18"/>
                <w:szCs w:val="18"/>
              </w:rPr>
            </w:pPr>
            <w:r>
              <w:rPr>
                <w:rFonts w:ascii="宋体"/>
                <w:sz w:val="18"/>
              </w:rPr>
              <w:t>241,080,089.61</w:t>
            </w:r>
          </w:p>
        </w:tc>
      </w:tr>
      <w:tr>
        <w:trPr>
          <w:trHeight w:val="162" w:hRule="exact"/>
        </w:trPr>
        <w:tc>
          <w:tcPr>
            <w:tcW w:w="25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6" w:type="dxa"/>
            <w:vMerge w:val="restart"/>
            <w:tcBorders>
              <w:top w:val="single" w:sz="4" w:space="0" w:color="000000"/>
              <w:left w:val="single" w:sz="9" w:space="0" w:color="D2D2D2"/>
              <w:right w:val="single" w:sz="4" w:space="0" w:color="000000"/>
            </w:tcBorders>
          </w:tcPr>
          <w:p>
            <w:pPr>
              <w:pStyle w:val="TableParagraph"/>
              <w:spacing w:line="240" w:lineRule="auto" w:before="52"/>
              <w:ind w:right="173"/>
              <w:jc w:val="center"/>
              <w:rPr>
                <w:rFonts w:ascii="宋体" w:hAnsi="宋体" w:cs="宋体" w:eastAsia="宋体" w:hint="default"/>
                <w:sz w:val="18"/>
                <w:szCs w:val="18"/>
              </w:rPr>
            </w:pPr>
            <w:r>
              <w:rPr>
                <w:rFonts w:ascii="宋体"/>
                <w:sz w:val="18"/>
              </w:rPr>
              <w:t>335,154,299.0</w:t>
            </w:r>
          </w:p>
          <w:p>
            <w:pPr>
              <w:pStyle w:val="TableParagraph"/>
              <w:spacing w:line="240" w:lineRule="auto" w:before="76"/>
              <w:ind w:right="172"/>
              <w:jc w:val="center"/>
              <w:rPr>
                <w:rFonts w:ascii="宋体" w:hAnsi="宋体" w:cs="宋体" w:eastAsia="宋体" w:hint="default"/>
                <w:sz w:val="18"/>
                <w:szCs w:val="18"/>
              </w:rPr>
            </w:pPr>
            <w:r>
              <w:rPr>
                <w:rFonts w:ascii="宋体"/>
                <w:sz w:val="18"/>
              </w:rPr>
              <w:t>0</w:t>
            </w:r>
          </w:p>
        </w:tc>
        <w:tc>
          <w:tcPr>
            <w:tcW w:w="38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7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sz w:val="18"/>
              </w:rPr>
              <w:t>3,178,029,381.09</w:t>
            </w:r>
          </w:p>
        </w:tc>
        <w:tc>
          <w:tcPr>
            <w:tcW w:w="56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351"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sz w:val="18"/>
              </w:rPr>
              <w:t>355,000.00</w:t>
            </w:r>
          </w:p>
        </w:tc>
        <w:tc>
          <w:tcPr>
            <w:tcW w:w="1374" w:type="dxa"/>
            <w:vMerge w:val="restart"/>
            <w:tcBorders>
              <w:top w:val="single" w:sz="4" w:space="0" w:color="000000"/>
              <w:left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3,513,538,680.</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09</w:t>
            </w:r>
          </w:p>
        </w:tc>
      </w:tr>
      <w:tr>
        <w:trPr>
          <w:trHeight w:val="391" w:hRule="exact"/>
        </w:trPr>
        <w:tc>
          <w:tcPr>
            <w:tcW w:w="25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 </w:t>
            </w:r>
            <w:r>
              <w:rPr>
                <w:rFonts w:ascii="宋体" w:hAnsi="宋体" w:cs="宋体" w:eastAsia="宋体" w:hint="default"/>
                <w:sz w:val="18"/>
                <w:szCs w:val="18"/>
              </w:rPr>
              <w:t>所有者投入和减少资本</w:t>
            </w:r>
          </w:p>
        </w:tc>
        <w:tc>
          <w:tcPr>
            <w:tcW w:w="1506" w:type="dxa"/>
            <w:vMerge/>
            <w:tcBorders>
              <w:left w:val="single" w:sz="9" w:space="0" w:color="D2D2D2"/>
              <w:right w:val="single" w:sz="4" w:space="0" w:color="000000"/>
            </w:tcBorders>
          </w:tcPr>
          <w:p>
            <w:pPr/>
          </w:p>
        </w:tc>
        <w:tc>
          <w:tcPr>
            <w:tcW w:w="38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73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3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c>
          <w:tcPr>
            <w:tcW w:w="1374" w:type="dxa"/>
            <w:vMerge/>
            <w:tcBorders>
              <w:left w:val="single" w:sz="4" w:space="0" w:color="000000"/>
              <w:right w:val="single" w:sz="4" w:space="0" w:color="000000"/>
            </w:tcBorders>
          </w:tcPr>
          <w:p>
            <w:pPr/>
          </w:p>
        </w:tc>
      </w:tr>
      <w:tr>
        <w:trPr>
          <w:trHeight w:val="161" w:hRule="exact"/>
        </w:trPr>
        <w:tc>
          <w:tcPr>
            <w:tcW w:w="25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6" w:type="dxa"/>
            <w:vMerge/>
            <w:tcBorders>
              <w:left w:val="single" w:sz="9" w:space="0" w:color="D2D2D2"/>
              <w:bottom w:val="single" w:sz="4" w:space="0" w:color="000000"/>
              <w:right w:val="single" w:sz="4" w:space="0" w:color="000000"/>
            </w:tcBorders>
          </w:tcPr>
          <w:p>
            <w:pPr/>
          </w:p>
        </w:tc>
        <w:tc>
          <w:tcPr>
            <w:tcW w:w="38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73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74" w:type="dxa"/>
            <w:vMerge/>
            <w:tcBorders>
              <w:left w:val="single" w:sz="4" w:space="0" w:color="000000"/>
              <w:bottom w:val="single" w:sz="4" w:space="0" w:color="000000"/>
              <w:right w:val="single" w:sz="4" w:space="0" w:color="000000"/>
            </w:tcBorders>
          </w:tcPr>
          <w:p>
            <w:pPr/>
          </w:p>
        </w:tc>
      </w:tr>
      <w:tr>
        <w:trPr>
          <w:trHeight w:val="162" w:hRule="exact"/>
        </w:trPr>
        <w:tc>
          <w:tcPr>
            <w:tcW w:w="25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6" w:type="dxa"/>
            <w:vMerge w:val="restart"/>
            <w:tcBorders>
              <w:top w:val="single" w:sz="4" w:space="0" w:color="000000"/>
              <w:left w:val="single" w:sz="9" w:space="0" w:color="D2D2D2"/>
              <w:right w:val="single" w:sz="4" w:space="0" w:color="000000"/>
            </w:tcBorders>
          </w:tcPr>
          <w:p>
            <w:pPr>
              <w:pStyle w:val="TableParagraph"/>
              <w:spacing w:line="240" w:lineRule="auto" w:before="52"/>
              <w:ind w:right="173"/>
              <w:jc w:val="center"/>
              <w:rPr>
                <w:rFonts w:ascii="宋体" w:hAnsi="宋体" w:cs="宋体" w:eastAsia="宋体" w:hint="default"/>
                <w:sz w:val="18"/>
                <w:szCs w:val="18"/>
              </w:rPr>
            </w:pPr>
            <w:r>
              <w:rPr>
                <w:rFonts w:ascii="宋体"/>
                <w:sz w:val="18"/>
              </w:rPr>
              <w:t>335,154,299.0</w:t>
            </w:r>
          </w:p>
          <w:p>
            <w:pPr>
              <w:pStyle w:val="TableParagraph"/>
              <w:spacing w:line="240" w:lineRule="auto" w:before="76"/>
              <w:ind w:right="172"/>
              <w:jc w:val="center"/>
              <w:rPr>
                <w:rFonts w:ascii="宋体" w:hAnsi="宋体" w:cs="宋体" w:eastAsia="宋体" w:hint="default"/>
                <w:sz w:val="18"/>
                <w:szCs w:val="18"/>
              </w:rPr>
            </w:pPr>
            <w:r>
              <w:rPr>
                <w:rFonts w:ascii="宋体"/>
                <w:sz w:val="18"/>
              </w:rPr>
              <w:t>0</w:t>
            </w:r>
          </w:p>
        </w:tc>
        <w:tc>
          <w:tcPr>
            <w:tcW w:w="38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17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sz w:val="18"/>
              </w:rPr>
              <w:t>3,178,029,381.09</w:t>
            </w:r>
          </w:p>
        </w:tc>
        <w:tc>
          <w:tcPr>
            <w:tcW w:w="56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351"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sz w:val="18"/>
              </w:rPr>
              <w:t>355,000.00</w:t>
            </w:r>
          </w:p>
        </w:tc>
        <w:tc>
          <w:tcPr>
            <w:tcW w:w="1374" w:type="dxa"/>
            <w:vMerge w:val="restart"/>
            <w:tcBorders>
              <w:top w:val="single" w:sz="4" w:space="0" w:color="000000"/>
              <w:left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3,513,538,680.</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09</w:t>
            </w:r>
          </w:p>
        </w:tc>
      </w:tr>
      <w:tr>
        <w:trPr>
          <w:trHeight w:val="391" w:hRule="exact"/>
        </w:trPr>
        <w:tc>
          <w:tcPr>
            <w:tcW w:w="25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06" w:type="dxa"/>
            <w:vMerge/>
            <w:tcBorders>
              <w:left w:val="single" w:sz="9" w:space="0" w:color="D2D2D2"/>
              <w:right w:val="single" w:sz="4" w:space="0" w:color="000000"/>
            </w:tcBorders>
          </w:tcPr>
          <w:p>
            <w:pPr/>
          </w:p>
        </w:tc>
        <w:tc>
          <w:tcPr>
            <w:tcW w:w="38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73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35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c>
          <w:tcPr>
            <w:tcW w:w="1374" w:type="dxa"/>
            <w:vMerge/>
            <w:tcBorders>
              <w:left w:val="single" w:sz="4" w:space="0" w:color="000000"/>
              <w:right w:val="single" w:sz="4" w:space="0" w:color="000000"/>
            </w:tcBorders>
          </w:tcPr>
          <w:p>
            <w:pPr/>
          </w:p>
        </w:tc>
      </w:tr>
      <w:tr>
        <w:trPr>
          <w:trHeight w:val="162" w:hRule="exact"/>
        </w:trPr>
        <w:tc>
          <w:tcPr>
            <w:tcW w:w="25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6" w:type="dxa"/>
            <w:vMerge/>
            <w:tcBorders>
              <w:left w:val="single" w:sz="9" w:space="0" w:color="D2D2D2"/>
              <w:bottom w:val="single" w:sz="4" w:space="0" w:color="000000"/>
              <w:right w:val="single" w:sz="4" w:space="0" w:color="000000"/>
            </w:tcBorders>
          </w:tcPr>
          <w:p>
            <w:pPr/>
          </w:p>
        </w:tc>
        <w:tc>
          <w:tcPr>
            <w:tcW w:w="38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73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74" w:type="dxa"/>
            <w:vMerge/>
            <w:tcBorders>
              <w:left w:val="single" w:sz="4" w:space="0" w:color="000000"/>
              <w:bottom w:val="single" w:sz="4" w:space="0" w:color="000000"/>
              <w:right w:val="single" w:sz="4" w:space="0" w:color="000000"/>
            </w:tcBorders>
          </w:tcPr>
          <w:p>
            <w:pPr/>
          </w:p>
        </w:tc>
      </w:tr>
    </w:tbl>
    <w:p>
      <w:pPr>
        <w:spacing w:after="0"/>
        <w:sectPr>
          <w:headerReference w:type="default" r:id="rId25"/>
          <w:footerReference w:type="default" r:id="rId26"/>
          <w:pgSz w:w="16840" w:h="11910" w:orient="landscape"/>
          <w:pgMar w:header="867" w:footer="979" w:top="1060" w:bottom="1160" w:left="60" w:right="0"/>
          <w:pgNumType w:start="95"/>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37"/>
        <w:gridCol w:w="1494"/>
        <w:gridCol w:w="388"/>
        <w:gridCol w:w="425"/>
        <w:gridCol w:w="568"/>
        <w:gridCol w:w="1739"/>
        <w:gridCol w:w="566"/>
        <w:gridCol w:w="1277"/>
        <w:gridCol w:w="1276"/>
        <w:gridCol w:w="1351"/>
        <w:gridCol w:w="709"/>
        <w:gridCol w:w="1416"/>
        <w:gridCol w:w="1386"/>
        <w:gridCol w:w="1374"/>
      </w:tblGrid>
      <w:tr>
        <w:trPr>
          <w:trHeight w:val="729" w:hRule="exact"/>
        </w:trPr>
        <w:tc>
          <w:tcPr>
            <w:tcW w:w="25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 本</w:t>
            </w:r>
          </w:p>
        </w:tc>
        <w:tc>
          <w:tcPr>
            <w:tcW w:w="1494" w:type="dxa"/>
            <w:tcBorders>
              <w:top w:val="single" w:sz="15" w:space="0" w:color="000000"/>
              <w:left w:val="single" w:sz="4" w:space="0" w:color="000000"/>
              <w:bottom w:val="single" w:sz="4" w:space="0" w:color="000000"/>
              <w:right w:val="single" w:sz="4" w:space="0" w:color="000000"/>
            </w:tcBorders>
          </w:tcPr>
          <w:p>
            <w:pPr/>
          </w:p>
        </w:tc>
        <w:tc>
          <w:tcPr>
            <w:tcW w:w="38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73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51"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c>
          <w:tcPr>
            <w:tcW w:w="1374" w:type="dxa"/>
            <w:tcBorders>
              <w:top w:val="single" w:sz="6" w:space="0" w:color="000000"/>
              <w:left w:val="single" w:sz="4" w:space="0" w:color="000000"/>
              <w:bottom w:val="single" w:sz="4" w:space="0" w:color="000000"/>
              <w:right w:val="single" w:sz="4" w:space="0" w:color="000000"/>
            </w:tcBorders>
          </w:tcPr>
          <w:p>
            <w:pPr/>
          </w:p>
        </w:tc>
      </w:tr>
      <w:tr>
        <w:trPr>
          <w:trHeight w:val="714"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 金额</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z w:val="18"/>
                <w:szCs w:val="18"/>
              </w:rPr>
              <w:t>利润分配</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14,596,318.01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-34,167,540.51</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-19,571,222.50</w:t>
            </w: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14,596,318.01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-14,596,318.01</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w:t>
            </w:r>
            <w:r>
              <w:rPr>
                <w:rFonts w:ascii="宋体" w:hAnsi="宋体" w:cs="宋体" w:eastAsia="宋体" w:hint="default"/>
                <w:sz w:val="18"/>
                <w:szCs w:val="18"/>
              </w:rPr>
              <w:t>的分配</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-19,571,222.50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-19,571,222.50</w:t>
            </w: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 </w:t>
            </w:r>
            <w:r>
              <w:rPr>
                <w:rFonts w:ascii="宋体" w:hAnsi="宋体" w:cs="宋体" w:eastAsia="宋体" w:hint="default"/>
                <w:sz w:val="18"/>
                <w:szCs w:val="18"/>
              </w:rPr>
              <w:t>所有者权益内部结转</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782,848,900.00</w:t>
            </w: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-782,848,900.00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782,848,900.00</w:t>
            </w: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-782,848,900.00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390,633.74</w:t>
            </w: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390,633.74</w:t>
            </w: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6,649,686.19</w:t>
            </w: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6,649,686.19</w:t>
            </w: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6,259,052.45</w:t>
            </w: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6,259,052.45</w:t>
            </w:r>
          </w:p>
        </w:tc>
      </w:tr>
      <w:tr>
        <w:trPr>
          <w:trHeight w:val="402"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 </w:t>
            </w:r>
            <w:r>
              <w:rPr>
                <w:rFonts w:ascii="宋体" w:hAnsi="宋体" w:cs="宋体" w:eastAsia="宋体" w:hint="default"/>
                <w:sz w:val="18"/>
                <w:szCs w:val="18"/>
              </w:rPr>
              <w:t>其他</w:t>
            </w:r>
          </w:p>
        </w:tc>
        <w:tc>
          <w:tcPr>
            <w:tcW w:w="1494" w:type="dxa"/>
            <w:tcBorders>
              <w:top w:val="single" w:sz="4" w:space="0" w:color="000000"/>
              <w:left w:val="single" w:sz="4" w:space="0" w:color="000000"/>
              <w:bottom w:val="single" w:sz="4" w:space="0" w:color="000000"/>
              <w:right w:val="single" w:sz="4" w:space="0" w:color="000000"/>
            </w:tcBorders>
          </w:tcPr>
          <w:p>
            <w:pP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-445,862.19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-29,405,094.61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-29,850,956.80</w:t>
            </w:r>
          </w:p>
        </w:tc>
      </w:tr>
      <w:tr>
        <w:trPr>
          <w:trHeight w:val="714" w:hRule="exact"/>
        </w:trPr>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18"/>
                <w:szCs w:val="18"/>
              </w:rPr>
            </w:pPr>
            <w:r>
              <w:rPr>
                <w:rFonts w:ascii="宋体"/>
                <w:sz w:val="18"/>
              </w:rPr>
              <w:t>1,509,427,649</w:t>
            </w:r>
          </w:p>
          <w:p>
            <w:pPr>
              <w:pStyle w:val="TableParagraph"/>
              <w:spacing w:line="240" w:lineRule="auto" w:before="77"/>
              <w:ind w:right="200"/>
              <w:jc w:val="right"/>
              <w:rPr>
                <w:rFonts w:ascii="宋体" w:hAnsi="宋体" w:cs="宋体" w:eastAsia="宋体" w:hint="default"/>
                <w:sz w:val="18"/>
                <w:szCs w:val="18"/>
              </w:rPr>
            </w:pPr>
            <w:r>
              <w:rPr>
                <w:rFonts w:ascii="宋体"/>
                <w:sz w:val="18"/>
              </w:rPr>
              <w:t>.00</w:t>
            </w:r>
          </w:p>
        </w:tc>
        <w:tc>
          <w:tcPr>
            <w:tcW w:w="38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3,304,787,781.59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-591,983.01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1,465,721.23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110,692,457.45</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798,002,664.68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65,890,932.95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5,789,675,223.</w:t>
            </w:r>
          </w:p>
          <w:p>
            <w:pPr>
              <w:pStyle w:val="TableParagraph"/>
              <w:spacing w:line="240" w:lineRule="auto" w:before="77"/>
              <w:ind w:left="1" w:right="0"/>
              <w:jc w:val="center"/>
              <w:rPr>
                <w:rFonts w:ascii="宋体" w:hAnsi="宋体" w:cs="宋体" w:eastAsia="宋体" w:hint="default"/>
                <w:sz w:val="18"/>
                <w:szCs w:val="18"/>
              </w:rPr>
            </w:pPr>
            <w:r>
              <w:rPr>
                <w:rFonts w:ascii="宋体"/>
                <w:sz w:val="18"/>
              </w:rPr>
              <w:t>89</w:t>
            </w:r>
          </w:p>
        </w:tc>
      </w:tr>
    </w:tbl>
    <w:p>
      <w:pPr>
        <w:spacing w:before="51"/>
        <w:ind w:left="138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2526"/>
        <w:gridCol w:w="1326"/>
        <w:gridCol w:w="12607"/>
      </w:tblGrid>
      <w:tr>
        <w:trPr>
          <w:trHeight w:val="402" w:hRule="exact"/>
        </w:trPr>
        <w:tc>
          <w:tcPr>
            <w:tcW w:w="252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6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515"/>
        <w:gridCol w:w="1338"/>
        <w:gridCol w:w="660"/>
        <w:gridCol w:w="708"/>
        <w:gridCol w:w="426"/>
        <w:gridCol w:w="1416"/>
        <w:gridCol w:w="568"/>
        <w:gridCol w:w="1276"/>
        <w:gridCol w:w="1277"/>
        <w:gridCol w:w="1274"/>
        <w:gridCol w:w="709"/>
        <w:gridCol w:w="1416"/>
        <w:gridCol w:w="1388"/>
        <w:gridCol w:w="1501"/>
      </w:tblGrid>
      <w:tr>
        <w:trPr>
          <w:trHeight w:val="412" w:hRule="exact"/>
        </w:trPr>
        <w:tc>
          <w:tcPr>
            <w:tcW w:w="2515" w:type="dxa"/>
            <w:vMerge w:val="restart"/>
            <w:tcBorders>
              <w:top w:val="single" w:sz="6" w:space="0" w:color="000000"/>
              <w:left w:val="single" w:sz="4" w:space="0" w:color="000000"/>
              <w:right w:val="single" w:sz="4" w:space="0" w:color="000000"/>
            </w:tcBorders>
            <w:shd w:val="clear" w:color="auto" w:fill="D2D2D2"/>
          </w:tcPr>
          <w:p>
            <w:pPr/>
          </w:p>
        </w:tc>
        <w:tc>
          <w:tcPr>
            <w:tcW w:w="133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730" w:type="dxa"/>
            <w:gridSpan w:val="10"/>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8" w:type="dxa"/>
            <w:tcBorders>
              <w:top w:val="single" w:sz="15" w:space="0" w:color="000000"/>
              <w:left w:val="single" w:sz="4" w:space="0" w:color="000000"/>
              <w:bottom w:val="nil" w:sz="6" w:space="0" w:color="auto"/>
              <w:right w:val="single" w:sz="4" w:space="0" w:color="000000"/>
            </w:tcBorders>
            <w:shd w:val="clear" w:color="auto" w:fill="D2D2D2"/>
          </w:tcPr>
          <w:p>
            <w:pPr/>
          </w:p>
        </w:tc>
        <w:tc>
          <w:tcPr>
            <w:tcW w:w="1501" w:type="dxa"/>
            <w:tcBorders>
              <w:top w:val="single" w:sz="6" w:space="0" w:color="000000"/>
              <w:left w:val="single" w:sz="4" w:space="0" w:color="000000"/>
              <w:bottom w:val="nil" w:sz="6" w:space="0" w:color="auto"/>
              <w:right w:val="single" w:sz="4" w:space="0" w:color="000000"/>
            </w:tcBorders>
            <w:shd w:val="clear" w:color="auto" w:fill="D2D2D2"/>
          </w:tcPr>
          <w:p>
            <w:pPr/>
          </w:p>
        </w:tc>
      </w:tr>
      <w:tr>
        <w:trPr>
          <w:trHeight w:val="212" w:hRule="exact"/>
        </w:trPr>
        <w:tc>
          <w:tcPr>
            <w:tcW w:w="2515" w:type="dxa"/>
            <w:vMerge/>
            <w:tcBorders>
              <w:left w:val="single" w:sz="4" w:space="0" w:color="000000"/>
              <w:right w:val="single" w:sz="4" w:space="0" w:color="000000"/>
            </w:tcBorders>
            <w:shd w:val="clear" w:color="auto" w:fill="D2D2D2"/>
          </w:tcPr>
          <w:p>
            <w:pPr/>
          </w:p>
        </w:tc>
        <w:tc>
          <w:tcPr>
            <w:tcW w:w="13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0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7"/>
              <w:ind w:left="219"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7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99"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1" w:hRule="exact"/>
        </w:trPr>
        <w:tc>
          <w:tcPr>
            <w:tcW w:w="2515" w:type="dxa"/>
            <w:vMerge/>
            <w:tcBorders>
              <w:left w:val="single" w:sz="4" w:space="0" w:color="000000"/>
              <w:right w:val="single" w:sz="4" w:space="0" w:color="000000"/>
            </w:tcBorders>
            <w:shd w:val="clear" w:color="auto" w:fill="D2D2D2"/>
          </w:tcPr>
          <w:p>
            <w:pPr/>
          </w:p>
        </w:tc>
        <w:tc>
          <w:tcPr>
            <w:tcW w:w="1338" w:type="dxa"/>
            <w:vMerge/>
            <w:tcBorders>
              <w:left w:val="single" w:sz="4" w:space="0" w:color="000000"/>
              <w:right w:val="single" w:sz="4" w:space="0" w:color="000000"/>
            </w:tcBorders>
            <w:shd w:val="clear" w:color="auto" w:fill="D2D2D2"/>
          </w:tcPr>
          <w:p>
            <w:pPr/>
          </w:p>
        </w:tc>
        <w:tc>
          <w:tcPr>
            <w:tcW w:w="1794"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8" w:type="dxa"/>
            <w:vMerge/>
            <w:tcBorders>
              <w:left w:val="single" w:sz="4" w:space="0" w:color="000000"/>
              <w:bottom w:val="nil" w:sz="6" w:space="0" w:color="auto"/>
              <w:right w:val="single" w:sz="4" w:space="0" w:color="000000"/>
            </w:tcBorders>
            <w:shd w:val="clear" w:color="auto" w:fill="D2D2D2"/>
          </w:tcPr>
          <w:p>
            <w:pPr/>
          </w:p>
        </w:tc>
        <w:tc>
          <w:tcPr>
            <w:tcW w:w="150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515" w:type="dxa"/>
            <w:vMerge/>
            <w:tcBorders>
              <w:left w:val="single" w:sz="4" w:space="0" w:color="000000"/>
              <w:right w:val="single" w:sz="4" w:space="0" w:color="000000"/>
            </w:tcBorders>
            <w:shd w:val="clear" w:color="auto" w:fill="D2D2D2"/>
          </w:tcPr>
          <w:p>
            <w:pPr/>
          </w:p>
        </w:tc>
        <w:tc>
          <w:tcPr>
            <w:tcW w:w="1338" w:type="dxa"/>
            <w:vMerge/>
            <w:tcBorders>
              <w:left w:val="single" w:sz="4" w:space="0" w:color="000000"/>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nil" w:sz="6" w:space="0" w:color="auto"/>
              <w:left w:val="single" w:sz="4" w:space="0" w:color="000000"/>
              <w:right w:val="single" w:sz="4" w:space="0" w:color="000000"/>
            </w:tcBorders>
            <w:shd w:val="clear" w:color="auto" w:fill="D2D2D2"/>
          </w:tcPr>
          <w:p>
            <w:pPr/>
          </w:p>
        </w:tc>
        <w:tc>
          <w:tcPr>
            <w:tcW w:w="1501"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2515" w:type="dxa"/>
            <w:vMerge/>
            <w:tcBorders>
              <w:left w:val="single" w:sz="4" w:space="0" w:color="000000"/>
              <w:bottom w:val="single" w:sz="4" w:space="0" w:color="000000"/>
              <w:right w:val="single" w:sz="4" w:space="0" w:color="000000"/>
            </w:tcBorders>
            <w:shd w:val="clear" w:color="auto" w:fill="D2D2D2"/>
          </w:tcPr>
          <w:p>
            <w:pPr/>
          </w:p>
        </w:tc>
        <w:tc>
          <w:tcPr>
            <w:tcW w:w="1338"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5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8" w:type="dxa"/>
            <w:tcBorders>
              <w:top w:val="single" w:sz="14" w:space="0" w:color="D2D2D2"/>
              <w:left w:val="single" w:sz="9" w:space="0" w:color="D2D2D2"/>
              <w:bottom w:val="single" w:sz="4" w:space="0" w:color="000000"/>
              <w:right w:val="single" w:sz="4" w:space="0" w:color="000000"/>
            </w:tcBorders>
          </w:tcPr>
          <w:p>
            <w:pPr>
              <w:pStyle w:val="TableParagraph"/>
              <w:spacing w:line="240" w:lineRule="auto" w:before="38"/>
              <w:ind w:right="22"/>
              <w:jc w:val="right"/>
              <w:rPr>
                <w:rFonts w:ascii="宋体" w:hAnsi="宋体" w:cs="宋体" w:eastAsia="宋体" w:hint="default"/>
                <w:sz w:val="18"/>
                <w:szCs w:val="18"/>
              </w:rPr>
            </w:pPr>
            <w:r>
              <w:rPr>
                <w:rFonts w:ascii="宋体"/>
                <w:sz w:val="18"/>
              </w:rPr>
              <w:t>375,588,388.00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593,323,651.75</w:t>
            </w:r>
          </w:p>
        </w:tc>
        <w:tc>
          <w:tcPr>
            <w:tcW w:w="568"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center"/>
              <w:rPr>
                <w:rFonts w:ascii="宋体" w:hAnsi="宋体" w:cs="宋体" w:eastAsia="宋体" w:hint="default"/>
                <w:sz w:val="18"/>
                <w:szCs w:val="18"/>
              </w:rPr>
            </w:pPr>
            <w:r>
              <w:rPr>
                <w:rFonts w:ascii="宋体"/>
                <w:sz w:val="18"/>
              </w:rPr>
              <w:t>1,076,230.50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729,976.48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80,239,457.81</w:t>
            </w:r>
          </w:p>
        </w:tc>
        <w:tc>
          <w:tcPr>
            <w:tcW w:w="709" w:type="dxa"/>
            <w:tcBorders>
              <w:top w:val="single" w:sz="22" w:space="0" w:color="D2D2D2"/>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461,337,026.99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43,802,569.32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1,556,097,300.85</w:t>
            </w: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375,588,388.00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593,323,651.75</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center"/>
              <w:rPr>
                <w:rFonts w:ascii="宋体" w:hAnsi="宋体" w:cs="宋体" w:eastAsia="宋体" w:hint="default"/>
                <w:sz w:val="18"/>
                <w:szCs w:val="18"/>
              </w:rPr>
            </w:pPr>
            <w:r>
              <w:rPr>
                <w:rFonts w:ascii="宋体"/>
                <w:sz w:val="18"/>
              </w:rPr>
              <w:t>1,076,230.50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729,976.48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80,239,457.81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461,337,026.99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43,802,569.32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1,556,097,300.85</w:t>
            </w:r>
          </w:p>
        </w:tc>
      </w:tr>
      <w:tr>
        <w:trPr>
          <w:trHeight w:val="714"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三、本期增减变动金额</w:t>
            </w:r>
            <w:r>
              <w:rPr>
                <w:rFonts w:ascii="宋体" w:hAnsi="宋体" w:cs="宋体" w:eastAsia="宋体" w:hint="default"/>
                <w:sz w:val="18"/>
                <w:szCs w:val="18"/>
              </w:rPr>
              <w:t>(</w:t>
            </w:r>
            <w:r>
              <w:rPr>
                <w:rFonts w:ascii="宋体" w:hAnsi="宋体" w:cs="宋体" w:eastAsia="宋体" w:hint="default"/>
                <w:sz w:val="18"/>
                <w:szCs w:val="18"/>
              </w:rPr>
              <w:t>减少以 “－”号填列</w:t>
            </w:r>
            <w:r>
              <w:rPr>
                <w:rFonts w:ascii="宋体" w:hAnsi="宋体" w:cs="宋体" w:eastAsia="宋体" w:hint="default"/>
                <w:sz w:val="18"/>
                <w:szCs w:val="18"/>
              </w:rPr>
              <w:t>)</w:t>
            </w:r>
          </w:p>
        </w:tc>
        <w:tc>
          <w:tcPr>
            <w:tcW w:w="13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15,836,062.00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316,729,510.94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9" w:right="0"/>
              <w:jc w:val="center"/>
              <w:rPr>
                <w:rFonts w:ascii="宋体" w:hAnsi="宋体" w:cs="宋体" w:eastAsia="宋体" w:hint="default"/>
                <w:sz w:val="18"/>
                <w:szCs w:val="18"/>
              </w:rPr>
            </w:pPr>
            <w:r>
              <w:rPr>
                <w:rFonts w:ascii="宋体"/>
                <w:sz w:val="18"/>
              </w:rPr>
              <w:t>-2,748,888.89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345,111.01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9" w:right="0"/>
              <w:jc w:val="center"/>
              <w:rPr>
                <w:rFonts w:ascii="宋体" w:hAnsi="宋体" w:cs="宋体" w:eastAsia="宋体" w:hint="default"/>
                <w:sz w:val="18"/>
                <w:szCs w:val="18"/>
              </w:rPr>
            </w:pPr>
            <w:r>
              <w:rPr>
                <w:rFonts w:ascii="宋体"/>
                <w:sz w:val="18"/>
              </w:rPr>
              <w:t>15,856,681.63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145,422,634.57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36,549,587.64</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527,990,698.90</w:t>
            </w: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z w:val="18"/>
                <w:szCs w:val="18"/>
              </w:rPr>
              <w:t>综合收益总额</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-2,748,888.89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179,916,115.75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33,033,336.49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210,200,563.35</w:t>
            </w: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 </w:t>
            </w:r>
            <w:r>
              <w:rPr>
                <w:rFonts w:ascii="宋体" w:hAnsi="宋体" w:cs="宋体" w:eastAsia="宋体" w:hint="default"/>
                <w:sz w:val="18"/>
                <w:szCs w:val="18"/>
              </w:rPr>
              <w:t>所有者投入和减少资本</w:t>
            </w:r>
          </w:p>
        </w:tc>
        <w:tc>
          <w:tcPr>
            <w:tcW w:w="13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15,836,062.00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316,729,510.94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3,516,251.15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336,081,824.09</w:t>
            </w: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15,836,062.00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316,729,510.94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332,565,572.94</w:t>
            </w:r>
          </w:p>
        </w:tc>
      </w:tr>
      <w:tr>
        <w:trPr>
          <w:trHeight w:val="714"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 本</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 金额</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3,516,251.15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3,516,251.15</w:t>
            </w: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z w:val="18"/>
                <w:szCs w:val="18"/>
              </w:rPr>
              <w:t>利润分配</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15,856,681.63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-34,493,481.18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-18,636,799.55</w:t>
            </w: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15,856,681.63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-15,856,681.63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w:t>
            </w:r>
            <w:r>
              <w:rPr>
                <w:rFonts w:ascii="宋体" w:hAnsi="宋体" w:cs="宋体" w:eastAsia="宋体" w:hint="default"/>
                <w:sz w:val="18"/>
                <w:szCs w:val="18"/>
              </w:rPr>
              <w:t>的分配</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-18,636,799.55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-18,636,799.55</w:t>
            </w:r>
          </w:p>
        </w:tc>
      </w:tr>
      <w:tr>
        <w:trPr>
          <w:trHeight w:val="402"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2526"/>
        <w:gridCol w:w="1326"/>
        <w:gridCol w:w="660"/>
        <w:gridCol w:w="708"/>
        <w:gridCol w:w="426"/>
        <w:gridCol w:w="1416"/>
        <w:gridCol w:w="568"/>
        <w:gridCol w:w="1276"/>
        <w:gridCol w:w="1277"/>
        <w:gridCol w:w="1274"/>
        <w:gridCol w:w="709"/>
        <w:gridCol w:w="1416"/>
        <w:gridCol w:w="1388"/>
        <w:gridCol w:w="1501"/>
      </w:tblGrid>
      <w:tr>
        <w:trPr>
          <w:trHeight w:val="416" w:hRule="exact"/>
        </w:trPr>
        <w:tc>
          <w:tcPr>
            <w:tcW w:w="25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 </w:t>
            </w:r>
            <w:r>
              <w:rPr>
                <w:rFonts w:ascii="宋体" w:hAnsi="宋体" w:cs="宋体" w:eastAsia="宋体" w:hint="default"/>
                <w:sz w:val="18"/>
                <w:szCs w:val="18"/>
              </w:rPr>
              <w:t>所有者权益内部结转</w:t>
            </w:r>
          </w:p>
        </w:tc>
        <w:tc>
          <w:tcPr>
            <w:tcW w:w="1326" w:type="dxa"/>
            <w:tcBorders>
              <w:top w:val="single" w:sz="15" w:space="0" w:color="000000"/>
              <w:left w:val="single" w:sz="4" w:space="0" w:color="000000"/>
              <w:bottom w:val="single" w:sz="4" w:space="0" w:color="000000"/>
              <w:right w:val="single" w:sz="4" w:space="0" w:color="000000"/>
            </w:tcBorders>
          </w:tcPr>
          <w:p>
            <w:pPr/>
          </w:p>
        </w:tc>
        <w:tc>
          <w:tcPr>
            <w:tcW w:w="660"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388" w:type="dxa"/>
            <w:tcBorders>
              <w:top w:val="single" w:sz="15" w:space="0" w:color="000000"/>
              <w:left w:val="single" w:sz="4" w:space="0" w:color="000000"/>
              <w:bottom w:val="single" w:sz="4" w:space="0" w:color="000000"/>
              <w:right w:val="single" w:sz="4" w:space="0" w:color="000000"/>
            </w:tcBorders>
          </w:tcPr>
          <w:p>
            <w:pPr/>
          </w:p>
        </w:tc>
        <w:tc>
          <w:tcPr>
            <w:tcW w:w="1501" w:type="dxa"/>
            <w:tcBorders>
              <w:top w:val="single" w:sz="6" w:space="0" w:color="000000"/>
              <w:left w:val="single" w:sz="4" w:space="0" w:color="000000"/>
              <w:bottom w:val="single" w:sz="4" w:space="0" w:color="000000"/>
              <w:right w:val="single" w:sz="4" w:space="0" w:color="000000"/>
            </w:tcBorders>
          </w:tcPr>
          <w:p>
            <w:pP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345,111.01</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345,111.01</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8,113,062.20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8,113,062.20</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7,767,951.19</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7,767,951.19</w:t>
            </w: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 </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left"/>
              <w:rPr>
                <w:rFonts w:ascii="宋体" w:hAnsi="宋体" w:cs="宋体" w:eastAsia="宋体" w:hint="default"/>
                <w:sz w:val="18"/>
                <w:szCs w:val="18"/>
              </w:rPr>
            </w:pPr>
            <w:r>
              <w:rPr>
                <w:rFonts w:ascii="宋体"/>
                <w:sz w:val="18"/>
              </w:rPr>
              <w:t>391,424,450.00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910,053,162.69</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-1,672,658.39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1,075,087.49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96,096,139.44</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sz w:val="18"/>
              </w:rPr>
              <w:t>606,759,661.56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3" w:right="0"/>
              <w:jc w:val="left"/>
              <w:rPr>
                <w:rFonts w:ascii="宋体" w:hAnsi="宋体" w:cs="宋体" w:eastAsia="宋体" w:hint="default"/>
                <w:sz w:val="18"/>
                <w:szCs w:val="18"/>
              </w:rPr>
            </w:pPr>
            <w:r>
              <w:rPr>
                <w:rFonts w:ascii="宋体"/>
                <w:sz w:val="18"/>
              </w:rPr>
              <w:t>80,352,156.96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2,084,087,999.75</w:t>
            </w:r>
          </w:p>
        </w:tc>
      </w:tr>
    </w:tbl>
    <w:p>
      <w:pPr>
        <w:spacing w:line="240" w:lineRule="auto" w:before="3"/>
        <w:rPr>
          <w:rFonts w:ascii="Times New Roman" w:hAnsi="Times New Roman" w:cs="Times New Roman" w:eastAsia="Times New Roman" w:hint="default"/>
          <w:sz w:val="23"/>
          <w:szCs w:val="23"/>
        </w:rPr>
      </w:pPr>
    </w:p>
    <w:p>
      <w:pPr>
        <w:tabs>
          <w:tab w:pos="6980" w:val="left" w:leader="none"/>
          <w:tab w:pos="11840" w:val="left" w:leader="none"/>
        </w:tabs>
        <w:spacing w:before="44"/>
        <w:ind w:left="1400"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主管会计工作负责人：陈林富</w:t>
        <w:tab/>
        <w:t>会计机构负责人：陈林富</w:t>
      </w:r>
    </w:p>
    <w:p>
      <w:pPr>
        <w:spacing w:line="240" w:lineRule="auto" w:before="0"/>
        <w:rPr>
          <w:rFonts w:ascii="宋体" w:hAnsi="宋体" w:cs="宋体" w:eastAsia="宋体" w:hint="default"/>
          <w:sz w:val="18"/>
          <w:szCs w:val="18"/>
        </w:rPr>
      </w:pPr>
    </w:p>
    <w:p>
      <w:pPr>
        <w:spacing w:before="124"/>
        <w:ind w:left="1400" w:right="0" w:firstLine="0"/>
        <w:jc w:val="left"/>
        <w:rPr>
          <w:rFonts w:ascii="宋体" w:hAnsi="宋体" w:cs="宋体" w:eastAsia="宋体" w:hint="default"/>
          <w:sz w:val="20"/>
          <w:szCs w:val="20"/>
        </w:rPr>
      </w:pPr>
      <w:bookmarkStart w:name="8、母公司所有者权益变动表" w:id="161"/>
      <w:bookmarkEnd w:id="161"/>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、母公司所有者权益变动表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79" w:top="1060" w:bottom="1160" w:left="40" w:right="0"/>
        </w:sectPr>
      </w:pPr>
    </w:p>
    <w:p>
      <w:pPr>
        <w:spacing w:line="360" w:lineRule="auto" w:before="44"/>
        <w:ind w:left="1400" w:right="-20"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381" w:right="1777"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1060" w:bottom="1160" w:left="40" w:right="0"/>
          <w:cols w:num="2" w:equalWidth="0">
            <w:col w:w="4101" w:space="8779"/>
            <w:col w:w="392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4128" w:right="0" w:firstLine="0"/>
        <w:jc w:val="left"/>
        <w:rPr>
          <w:rFonts w:ascii="宋体" w:hAnsi="宋体" w:cs="宋体" w:eastAsia="宋体" w:hint="default"/>
          <w:sz w:val="18"/>
          <w:szCs w:val="18"/>
        </w:rPr>
      </w:pPr>
      <w:r>
        <w:rPr/>
        <w:pict>
          <v:shape style="position:absolute;margin-left:7.98pt;margin-top:-31.018282pt;width:825.55pt;height:141.2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1"/>
                    <w:gridCol w:w="1571"/>
                    <w:gridCol w:w="708"/>
                    <w:gridCol w:w="709"/>
                    <w:gridCol w:w="425"/>
                    <w:gridCol w:w="1645"/>
                    <w:gridCol w:w="1137"/>
                    <w:gridCol w:w="1265"/>
                    <w:gridCol w:w="1046"/>
                    <w:gridCol w:w="1700"/>
                    <w:gridCol w:w="1702"/>
                    <w:gridCol w:w="2036"/>
                  </w:tblGrid>
                  <w:tr>
                    <w:trPr>
                      <w:trHeight w:val="402" w:hRule="exact"/>
                    </w:trPr>
                    <w:tc>
                      <w:tcPr>
                        <w:tcW w:w="25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4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06" w:hRule="exact"/>
                    </w:trPr>
                    <w:tc>
                      <w:tcPr>
                        <w:tcW w:w="2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nil" w:sz="6" w:space="0" w:color="auto"/>
                        </w:tcBorders>
                        <w:shd w:val="clear" w:color="auto" w:fill="D2D2D2"/>
                      </w:tcPr>
                      <w:p>
                        <w:pPr>
                          <w:pStyle w:val="TableParagraph"/>
                          <w:spacing w:line="240" w:lineRule="auto" w:before="52"/>
                          <w:ind w:left="375" w:right="-44"/>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425" w:type="dxa"/>
                        <w:vMerge w:val="restart"/>
                        <w:tcBorders>
                          <w:top w:val="single" w:sz="4" w:space="0" w:color="000000"/>
                          <w:left w:val="nil" w:sz="6" w:space="0" w:color="auto"/>
                          <w:right w:val="single" w:sz="4" w:space="0" w:color="000000"/>
                        </w:tcBorders>
                        <w:shd w:val="clear" w:color="auto" w:fill="D2D2D2"/>
                      </w:tcPr>
                      <w:p>
                        <w:pPr/>
                      </w:p>
                    </w:tc>
                    <w:tc>
                      <w:tcPr>
                        <w:tcW w:w="16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7" w:hRule="exact"/>
                    </w:trPr>
                    <w:tc>
                      <w:tcPr>
                        <w:tcW w:w="2551" w:type="dxa"/>
                        <w:vMerge/>
                        <w:tcBorders>
                          <w:left w:val="single" w:sz="4" w:space="0" w:color="000000"/>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17" w:type="dxa"/>
                        <w:gridSpan w:val="2"/>
                        <w:vMerge/>
                        <w:tcBorders>
                          <w:left w:val="single" w:sz="4" w:space="0" w:color="000000"/>
                          <w:bottom w:val="nil" w:sz="6" w:space="0" w:color="auto"/>
                          <w:right w:val="nil" w:sz="6" w:space="0" w:color="auto"/>
                        </w:tcBorders>
                        <w:shd w:val="clear" w:color="auto" w:fill="D2D2D2"/>
                      </w:tcPr>
                      <w:p>
                        <w:pPr/>
                      </w:p>
                    </w:tc>
                    <w:tc>
                      <w:tcPr>
                        <w:tcW w:w="425" w:type="dxa"/>
                        <w:vMerge/>
                        <w:tcBorders>
                          <w:left w:val="nil" w:sz="6" w:space="0" w:color="auto"/>
                          <w:bottom w:val="nil" w:sz="6" w:space="0" w:color="auto"/>
                          <w:right w:val="single" w:sz="4" w:space="0" w:color="000000"/>
                        </w:tcBorders>
                        <w:shd w:val="clear" w:color="auto" w:fill="D2D2D2"/>
                      </w:tcPr>
                      <w:p>
                        <w:pPr/>
                      </w:p>
                    </w:tc>
                    <w:tc>
                      <w:tcPr>
                        <w:tcW w:w="16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7" w:hRule="exact"/>
                    </w:trPr>
                    <w:tc>
                      <w:tcPr>
                        <w:tcW w:w="2551" w:type="dxa"/>
                        <w:vMerge/>
                        <w:tcBorders>
                          <w:left w:val="single" w:sz="4" w:space="0" w:color="000000"/>
                          <w:bottom w:val="nil" w:sz="6" w:space="0" w:color="auto"/>
                          <w:right w:val="single" w:sz="4" w:space="0" w:color="000000"/>
                        </w:tcBorders>
                        <w:shd w:val="clear" w:color="auto" w:fill="D2D2D2"/>
                      </w:tcPr>
                      <w:p>
                        <w:pPr/>
                      </w:p>
                    </w:tc>
                    <w:tc>
                      <w:tcPr>
                        <w:tcW w:w="1571"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nil" w:sz="6" w:space="0" w:color="auto"/>
                        </w:tcBorders>
                        <w:shd w:val="clear" w:color="auto" w:fill="D2D2D2"/>
                      </w:tcPr>
                      <w:p>
                        <w:pPr/>
                      </w:p>
                    </w:tc>
                    <w:tc>
                      <w:tcPr>
                        <w:tcW w:w="709" w:type="dxa"/>
                        <w:tcBorders>
                          <w:top w:val="nil" w:sz="6" w:space="0" w:color="auto"/>
                          <w:left w:val="nil" w:sz="6" w:space="0" w:color="auto"/>
                          <w:bottom w:val="single" w:sz="4" w:space="0" w:color="000000"/>
                          <w:right w:val="nil" w:sz="6" w:space="0" w:color="auto"/>
                        </w:tcBorders>
                        <w:shd w:val="clear" w:color="auto" w:fill="D2D2D2"/>
                      </w:tcPr>
                      <w:p>
                        <w:pPr/>
                      </w:p>
                    </w:tc>
                    <w:tc>
                      <w:tcPr>
                        <w:tcW w:w="425" w:type="dxa"/>
                        <w:tcBorders>
                          <w:top w:val="nil" w:sz="6" w:space="0" w:color="auto"/>
                          <w:left w:val="nil" w:sz="6" w:space="0" w:color="auto"/>
                          <w:bottom w:val="single" w:sz="4" w:space="0" w:color="000000"/>
                          <w:right w:val="single" w:sz="4" w:space="0" w:color="000000"/>
                        </w:tcBorders>
                        <w:shd w:val="clear" w:color="auto" w:fill="D2D2D2"/>
                      </w:tcPr>
                      <w:p>
                        <w:pPr/>
                      </w:p>
                    </w:tc>
                    <w:tc>
                      <w:tcPr>
                        <w:tcW w:w="1645" w:type="dxa"/>
                        <w:vMerge/>
                        <w:tcBorders>
                          <w:left w:val="single" w:sz="4" w:space="0" w:color="000000"/>
                          <w:right w:val="single" w:sz="4" w:space="0" w:color="000000"/>
                        </w:tcBorders>
                        <w:shd w:val="clear" w:color="auto" w:fill="D2D2D2"/>
                      </w:tcPr>
                      <w:p>
                        <w:pPr/>
                      </w:p>
                    </w:tc>
                    <w:tc>
                      <w:tcPr>
                        <w:tcW w:w="1137"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2036" w:type="dxa"/>
                        <w:vMerge/>
                        <w:tcBorders>
                          <w:left w:val="single" w:sz="4" w:space="0" w:color="000000"/>
                          <w:right w:val="single" w:sz="4" w:space="0" w:color="000000"/>
                        </w:tcBorders>
                        <w:shd w:val="clear" w:color="auto" w:fill="D2D2D2"/>
                      </w:tcPr>
                      <w:p>
                        <w:pPr/>
                      </w:p>
                    </w:tc>
                  </w:tr>
                  <w:tr>
                    <w:trPr>
                      <w:trHeight w:val="104" w:hRule="exact"/>
                    </w:trPr>
                    <w:tc>
                      <w:tcPr>
                        <w:tcW w:w="2551" w:type="dxa"/>
                        <w:vMerge w:val="restart"/>
                        <w:tcBorders>
                          <w:top w:val="nil" w:sz="6" w:space="0" w:color="auto"/>
                          <w:left w:val="single" w:sz="4" w:space="0" w:color="000000"/>
                          <w:right w:val="single" w:sz="4" w:space="0" w:color="000000"/>
                        </w:tcBorders>
                        <w:shd w:val="clear" w:color="auto" w:fill="D2D2D2"/>
                      </w:tcPr>
                      <w:p>
                        <w:pPr/>
                      </w:p>
                    </w:tc>
                    <w:tc>
                      <w:tcPr>
                        <w:tcW w:w="1571"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5" w:type="dxa"/>
                        <w:vMerge/>
                        <w:tcBorders>
                          <w:left w:val="single" w:sz="4" w:space="0" w:color="000000"/>
                          <w:right w:val="single" w:sz="4" w:space="0" w:color="000000"/>
                        </w:tcBorders>
                        <w:shd w:val="clear" w:color="auto" w:fill="D2D2D2"/>
                      </w:tcPr>
                      <w:p>
                        <w:pPr/>
                      </w:p>
                    </w:tc>
                    <w:tc>
                      <w:tcPr>
                        <w:tcW w:w="1137"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2036" w:type="dxa"/>
                        <w:vMerge/>
                        <w:tcBorders>
                          <w:left w:val="single" w:sz="4" w:space="0" w:color="000000"/>
                          <w:right w:val="single" w:sz="4" w:space="0" w:color="000000"/>
                        </w:tcBorders>
                        <w:shd w:val="clear" w:color="auto" w:fill="D2D2D2"/>
                      </w:tcPr>
                      <w:p>
                        <w:pPr/>
                      </w:p>
                    </w:tc>
                  </w:tr>
                  <w:tr>
                    <w:trPr>
                      <w:trHeight w:val="95" w:hRule="exact"/>
                    </w:trPr>
                    <w:tc>
                      <w:tcPr>
                        <w:tcW w:w="2551"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645" w:type="dxa"/>
                        <w:vMerge/>
                        <w:tcBorders>
                          <w:left w:val="single" w:sz="4" w:space="0" w:color="000000"/>
                          <w:bottom w:val="nil" w:sz="6" w:space="0" w:color="auto"/>
                          <w:right w:val="single" w:sz="4" w:space="0" w:color="000000"/>
                        </w:tcBorders>
                        <w:shd w:val="clear" w:color="auto" w:fill="D2D2D2"/>
                      </w:tcPr>
                      <w:p>
                        <w:pPr/>
                      </w:p>
                    </w:tc>
                    <w:tc>
                      <w:tcPr>
                        <w:tcW w:w="1137"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203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551" w:type="dxa"/>
                        <w:vMerge/>
                        <w:tcBorders>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6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45" w:right="0"/>
                          <w:jc w:val="left"/>
                          <w:rPr>
                            <w:rFonts w:ascii="宋体" w:hAnsi="宋体" w:cs="宋体" w:eastAsia="宋体" w:hint="default"/>
                            <w:sz w:val="18"/>
                            <w:szCs w:val="18"/>
                          </w:rPr>
                        </w:pPr>
                        <w:r>
                          <w:rPr>
                            <w:rFonts w:ascii="宋体"/>
                            <w:sz w:val="18"/>
                          </w:rPr>
                          <w:t>391,424,450.00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2" w:right="0"/>
                          <w:jc w:val="left"/>
                          <w:rPr>
                            <w:rFonts w:ascii="宋体" w:hAnsi="宋体" w:cs="宋体" w:eastAsia="宋体" w:hint="default"/>
                            <w:sz w:val="18"/>
                            <w:szCs w:val="18"/>
                          </w:rPr>
                        </w:pPr>
                        <w:r>
                          <w:rPr>
                            <w:rFonts w:ascii="宋体"/>
                            <w:sz w:val="18"/>
                          </w:rPr>
                          <w:t>913,829,526.87</w:t>
                        </w: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sz w:val="18"/>
                          </w:rPr>
                          <w:t>96,096,139.44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9" w:right="0"/>
                          <w:jc w:val="left"/>
                          <w:rPr>
                            <w:rFonts w:ascii="宋体" w:hAnsi="宋体" w:cs="宋体" w:eastAsia="宋体" w:hint="default"/>
                            <w:sz w:val="18"/>
                            <w:szCs w:val="18"/>
                          </w:rPr>
                        </w:pPr>
                        <w:r>
                          <w:rPr>
                            <w:rFonts w:ascii="宋体"/>
                            <w:sz w:val="18"/>
                          </w:rPr>
                          <w:t>686,374,601.65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sz w:val="18"/>
                          </w:rPr>
                          <w:t>2,087,724,717.96</w:t>
                        </w: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16"/>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1"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16"/>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71"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6840" w:h="11910" w:orient="landscape"/>
          <w:pgMar w:top="1060" w:bottom="1160" w:left="4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551"/>
        <w:gridCol w:w="1571"/>
        <w:gridCol w:w="708"/>
        <w:gridCol w:w="709"/>
        <w:gridCol w:w="425"/>
        <w:gridCol w:w="1645"/>
        <w:gridCol w:w="1137"/>
        <w:gridCol w:w="1265"/>
        <w:gridCol w:w="1046"/>
        <w:gridCol w:w="1700"/>
        <w:gridCol w:w="1702"/>
        <w:gridCol w:w="2036"/>
      </w:tblGrid>
      <w:tr>
        <w:trPr>
          <w:trHeight w:val="416" w:hRule="exact"/>
        </w:trPr>
        <w:tc>
          <w:tcPr>
            <w:tcW w:w="255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391,424,450.00</w:t>
            </w:r>
          </w:p>
        </w:tc>
        <w:tc>
          <w:tcPr>
            <w:tcW w:w="708"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6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8"/>
              <w:jc w:val="center"/>
              <w:rPr>
                <w:rFonts w:ascii="宋体" w:hAnsi="宋体" w:cs="宋体" w:eastAsia="宋体" w:hint="default"/>
                <w:sz w:val="18"/>
                <w:szCs w:val="18"/>
              </w:rPr>
            </w:pPr>
            <w:r>
              <w:rPr>
                <w:rFonts w:ascii="宋体"/>
                <w:sz w:val="18"/>
              </w:rPr>
              <w:t>913,829,526.87</w:t>
            </w:r>
          </w:p>
        </w:tc>
        <w:tc>
          <w:tcPr>
            <w:tcW w:w="1137" w:type="dxa"/>
            <w:tcBorders>
              <w:top w:val="single" w:sz="15" w:space="0" w:color="000000"/>
              <w:left w:val="single" w:sz="4" w:space="0" w:color="000000"/>
              <w:bottom w:val="single" w:sz="4" w:space="0" w:color="000000"/>
              <w:right w:val="single" w:sz="4" w:space="0" w:color="000000"/>
            </w:tcBorders>
          </w:tcPr>
          <w:p>
            <w:pPr/>
          </w:p>
        </w:tc>
        <w:tc>
          <w:tcPr>
            <w:tcW w:w="1265" w:type="dxa"/>
            <w:tcBorders>
              <w:top w:val="single" w:sz="15" w:space="0" w:color="000000"/>
              <w:left w:val="single" w:sz="4" w:space="0" w:color="000000"/>
              <w:bottom w:val="single" w:sz="4" w:space="0" w:color="000000"/>
              <w:right w:val="single" w:sz="4" w:space="0" w:color="000000"/>
            </w:tcBorders>
          </w:tcPr>
          <w:p>
            <w:pPr/>
          </w:p>
        </w:tc>
        <w:tc>
          <w:tcPr>
            <w:tcW w:w="1046"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sz w:val="18"/>
              </w:rPr>
              <w:t>96,096,139.44</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sz w:val="18"/>
              </w:rPr>
              <w:t>686,374,601.65</w:t>
            </w:r>
          </w:p>
        </w:tc>
        <w:tc>
          <w:tcPr>
            <w:tcW w:w="20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sz w:val="18"/>
              </w:rPr>
              <w:t>2,087,724,717.96</w:t>
            </w:r>
          </w:p>
        </w:tc>
      </w:tr>
      <w:tr>
        <w:trPr>
          <w:trHeight w:val="71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三、本期增减变动金额</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减少以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8"/>
              <w:jc w:val="right"/>
              <w:rPr>
                <w:rFonts w:ascii="宋体" w:hAnsi="宋体" w:cs="宋体" w:eastAsia="宋体" w:hint="default"/>
                <w:sz w:val="18"/>
                <w:szCs w:val="18"/>
              </w:rPr>
            </w:pPr>
            <w:r>
              <w:rPr>
                <w:rFonts w:ascii="宋体"/>
                <w:sz w:val="18"/>
              </w:rPr>
              <w:t>1,118,003,199.00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2,395,180,481.09</w:t>
            </w: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0" w:right="0"/>
              <w:jc w:val="left"/>
              <w:rPr>
                <w:rFonts w:ascii="宋体" w:hAnsi="宋体" w:cs="宋体" w:eastAsia="宋体" w:hint="default"/>
                <w:sz w:val="18"/>
                <w:szCs w:val="18"/>
              </w:rPr>
            </w:pPr>
            <w:r>
              <w:rPr>
                <w:rFonts w:ascii="宋体"/>
                <w:sz w:val="18"/>
              </w:rPr>
              <w:t>14,596,318.01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51" w:right="0"/>
              <w:jc w:val="left"/>
              <w:rPr>
                <w:rFonts w:ascii="宋体" w:hAnsi="宋体" w:cs="宋体" w:eastAsia="宋体" w:hint="default"/>
                <w:sz w:val="18"/>
                <w:szCs w:val="18"/>
              </w:rPr>
            </w:pPr>
            <w:r>
              <w:rPr>
                <w:rFonts w:ascii="宋体"/>
                <w:sz w:val="18"/>
              </w:rPr>
              <w:t>111,795,639.63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57"/>
              <w:jc w:val="right"/>
              <w:rPr>
                <w:rFonts w:ascii="宋体" w:hAnsi="宋体" w:cs="宋体" w:eastAsia="宋体" w:hint="default"/>
                <w:sz w:val="18"/>
                <w:szCs w:val="18"/>
              </w:rPr>
            </w:pPr>
            <w:r>
              <w:rPr>
                <w:rFonts w:ascii="宋体"/>
                <w:sz w:val="18"/>
              </w:rPr>
              <w:t>3,639,575,637.73</w:t>
            </w: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综合收益总额</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sz w:val="18"/>
              </w:rPr>
              <w:t>145,963,180.14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7"/>
              <w:jc w:val="right"/>
              <w:rPr>
                <w:rFonts w:ascii="宋体" w:hAnsi="宋体" w:cs="宋体" w:eastAsia="宋体" w:hint="default"/>
                <w:sz w:val="18"/>
                <w:szCs w:val="18"/>
              </w:rPr>
            </w:pPr>
            <w:r>
              <w:rPr>
                <w:rFonts w:ascii="宋体"/>
                <w:sz w:val="18"/>
              </w:rPr>
              <w:t>145,963,180.14</w:t>
            </w: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所有者投入和减少资本</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8"/>
              <w:jc w:val="right"/>
              <w:rPr>
                <w:rFonts w:ascii="宋体" w:hAnsi="宋体" w:cs="宋体" w:eastAsia="宋体" w:hint="default"/>
                <w:sz w:val="18"/>
                <w:szCs w:val="18"/>
              </w:rPr>
            </w:pPr>
            <w:r>
              <w:rPr>
                <w:rFonts w:ascii="宋体"/>
                <w:sz w:val="18"/>
              </w:rPr>
              <w:t>335,154,299.00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3,178,029,381.09</w:t>
            </w: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7"/>
              <w:jc w:val="right"/>
              <w:rPr>
                <w:rFonts w:ascii="宋体" w:hAnsi="宋体" w:cs="宋体" w:eastAsia="宋体" w:hint="default"/>
                <w:sz w:val="18"/>
                <w:szCs w:val="18"/>
              </w:rPr>
            </w:pPr>
            <w:r>
              <w:rPr>
                <w:rFonts w:ascii="宋体"/>
                <w:sz w:val="18"/>
              </w:rPr>
              <w:t>3,513,183,680.09</w:t>
            </w: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8"/>
              <w:jc w:val="right"/>
              <w:rPr>
                <w:rFonts w:ascii="宋体" w:hAnsi="宋体" w:cs="宋体" w:eastAsia="宋体" w:hint="default"/>
                <w:sz w:val="18"/>
                <w:szCs w:val="18"/>
              </w:rPr>
            </w:pPr>
            <w:r>
              <w:rPr>
                <w:rFonts w:ascii="宋体"/>
                <w:sz w:val="18"/>
              </w:rPr>
              <w:t>335,154,299.00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3,178,029,381.09</w:t>
            </w: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7"/>
              <w:jc w:val="right"/>
              <w:rPr>
                <w:rFonts w:ascii="宋体" w:hAnsi="宋体" w:cs="宋体" w:eastAsia="宋体" w:hint="default"/>
                <w:sz w:val="18"/>
                <w:szCs w:val="18"/>
              </w:rPr>
            </w:pPr>
            <w:r>
              <w:rPr>
                <w:rFonts w:ascii="宋体"/>
                <w:sz w:val="18"/>
              </w:rPr>
              <w:t>3,513,183,680.09</w:t>
            </w:r>
          </w:p>
        </w:tc>
      </w:tr>
      <w:tr>
        <w:trPr>
          <w:trHeight w:val="71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．其他权益工具持有者投入资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金额</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利润分配</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0" w:right="0"/>
              <w:jc w:val="left"/>
              <w:rPr>
                <w:rFonts w:ascii="宋体" w:hAnsi="宋体" w:cs="宋体" w:eastAsia="宋体" w:hint="default"/>
                <w:sz w:val="18"/>
                <w:szCs w:val="18"/>
              </w:rPr>
            </w:pPr>
            <w:r>
              <w:rPr>
                <w:rFonts w:ascii="宋体"/>
                <w:sz w:val="18"/>
              </w:rPr>
              <w:t>14,596,318.01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sz w:val="18"/>
              </w:rPr>
              <w:t>-34,167,540.51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sz w:val="18"/>
              </w:rPr>
              <w:t>-19,571,222.50</w:t>
            </w: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0" w:right="0"/>
              <w:jc w:val="left"/>
              <w:rPr>
                <w:rFonts w:ascii="宋体" w:hAnsi="宋体" w:cs="宋体" w:eastAsia="宋体" w:hint="default"/>
                <w:sz w:val="18"/>
                <w:szCs w:val="18"/>
              </w:rPr>
            </w:pPr>
            <w:r>
              <w:rPr>
                <w:rFonts w:ascii="宋体"/>
                <w:sz w:val="18"/>
              </w:rPr>
              <w:t>14,596,318.01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sz w:val="18"/>
              </w:rPr>
              <w:t>-14,596,318.01</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sz w:val="18"/>
              </w:rPr>
              <w:t>-19,571,222.50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sz w:val="18"/>
              </w:rPr>
              <w:t>-19,571,222.50</w:t>
            </w: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所有者权益内部结转</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8"/>
              <w:jc w:val="right"/>
              <w:rPr>
                <w:rFonts w:ascii="宋体" w:hAnsi="宋体" w:cs="宋体" w:eastAsia="宋体" w:hint="default"/>
                <w:sz w:val="18"/>
                <w:szCs w:val="18"/>
              </w:rPr>
            </w:pPr>
            <w:r>
              <w:rPr>
                <w:rFonts w:ascii="宋体"/>
                <w:sz w:val="18"/>
              </w:rPr>
              <w:t>782,848,900.00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sz w:val="18"/>
              </w:rPr>
              <w:t>-782,848,900.00</w:t>
            </w: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8"/>
              <w:jc w:val="right"/>
              <w:rPr>
                <w:rFonts w:ascii="宋体" w:hAnsi="宋体" w:cs="宋体" w:eastAsia="宋体" w:hint="default"/>
                <w:sz w:val="18"/>
                <w:szCs w:val="18"/>
              </w:rPr>
            </w:pPr>
            <w:r>
              <w:rPr>
                <w:rFonts w:ascii="宋体"/>
                <w:sz w:val="18"/>
              </w:rPr>
              <w:t>782,848,900.00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sz w:val="18"/>
              </w:rPr>
              <w:t>-782,848,900.00</w:t>
            </w: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专项储备</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3,242,644.2</w:t>
            </w:r>
          </w:p>
          <w:p>
            <w:pPr>
              <w:pStyle w:val="TableParagraph"/>
              <w:spacing w:line="240" w:lineRule="auto" w:before="77"/>
              <w:ind w:right="1"/>
              <w:jc w:val="center"/>
              <w:rPr>
                <w:rFonts w:ascii="宋体" w:hAnsi="宋体" w:cs="宋体" w:eastAsia="宋体" w:hint="default"/>
                <w:sz w:val="18"/>
                <w:szCs w:val="18"/>
              </w:rPr>
            </w:pPr>
            <w:r>
              <w:rPr>
                <w:rFonts w:ascii="宋体"/>
                <w:sz w:val="18"/>
              </w:rPr>
              <w:t>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17" w:right="0"/>
              <w:jc w:val="left"/>
              <w:rPr>
                <w:rFonts w:ascii="宋体" w:hAnsi="宋体" w:cs="宋体" w:eastAsia="宋体" w:hint="default"/>
                <w:sz w:val="18"/>
                <w:szCs w:val="18"/>
              </w:rPr>
            </w:pPr>
            <w:r>
              <w:rPr>
                <w:rFonts w:ascii="宋体"/>
                <w:sz w:val="18"/>
              </w:rPr>
              <w:t>3,242,644.25</w:t>
            </w: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sz w:val="18"/>
              </w:rPr>
              <w:t>3,242,644.2</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sz w:val="18"/>
              </w:rPr>
              <w:t>3,242,644.25</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4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551"/>
        <w:gridCol w:w="1571"/>
        <w:gridCol w:w="708"/>
        <w:gridCol w:w="709"/>
        <w:gridCol w:w="425"/>
        <w:gridCol w:w="1645"/>
        <w:gridCol w:w="1137"/>
        <w:gridCol w:w="1265"/>
        <w:gridCol w:w="1046"/>
        <w:gridCol w:w="1700"/>
        <w:gridCol w:w="1702"/>
        <w:gridCol w:w="2036"/>
      </w:tblGrid>
      <w:tr>
        <w:trPr>
          <w:trHeight w:val="377" w:hRule="exact"/>
        </w:trPr>
        <w:tc>
          <w:tcPr>
            <w:tcW w:w="255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645" w:type="dxa"/>
            <w:tcBorders>
              <w:top w:val="single" w:sz="15" w:space="0" w:color="000000"/>
              <w:left w:val="single" w:sz="4" w:space="0" w:color="000000"/>
              <w:bottom w:val="single" w:sz="4" w:space="0" w:color="000000"/>
              <w:right w:val="single" w:sz="4" w:space="0" w:color="000000"/>
            </w:tcBorders>
          </w:tcPr>
          <w:p>
            <w:pPr/>
          </w:p>
        </w:tc>
        <w:tc>
          <w:tcPr>
            <w:tcW w:w="1137" w:type="dxa"/>
            <w:tcBorders>
              <w:top w:val="single" w:sz="15" w:space="0" w:color="000000"/>
              <w:left w:val="single" w:sz="4" w:space="0" w:color="000000"/>
              <w:bottom w:val="single" w:sz="4" w:space="0" w:color="000000"/>
              <w:right w:val="single" w:sz="4" w:space="0" w:color="000000"/>
            </w:tcBorders>
          </w:tcPr>
          <w:p>
            <w:pPr/>
          </w:p>
        </w:tc>
        <w:tc>
          <w:tcPr>
            <w:tcW w:w="1265" w:type="dxa"/>
            <w:tcBorders>
              <w:top w:val="single" w:sz="15" w:space="0" w:color="000000"/>
              <w:left w:val="single" w:sz="4" w:space="0" w:color="000000"/>
              <w:bottom w:val="single" w:sz="4" w:space="0" w:color="000000"/>
              <w:right w:val="single" w:sz="4" w:space="0" w:color="000000"/>
            </w:tcBorders>
          </w:tcPr>
          <w:p>
            <w:pPr/>
          </w:p>
        </w:tc>
        <w:tc>
          <w:tcPr>
            <w:tcW w:w="10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w:t>
            </w:r>
          </w:p>
        </w:tc>
        <w:tc>
          <w:tcPr>
            <w:tcW w:w="1700"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203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w:t>
            </w:r>
          </w:p>
        </w:tc>
        <w:tc>
          <w:tcPr>
            <w:tcW w:w="157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left"/>
              <w:rPr>
                <w:rFonts w:ascii="宋体" w:hAnsi="宋体" w:cs="宋体" w:eastAsia="宋体" w:hint="default"/>
                <w:sz w:val="18"/>
                <w:szCs w:val="18"/>
              </w:rPr>
            </w:pPr>
            <w:r>
              <w:rPr>
                <w:rFonts w:ascii="宋体"/>
                <w:sz w:val="18"/>
              </w:rPr>
              <w:t>1,509,427,649.00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 w:right="0"/>
              <w:jc w:val="left"/>
              <w:rPr>
                <w:rFonts w:ascii="宋体" w:hAnsi="宋体" w:cs="宋体" w:eastAsia="宋体" w:hint="default"/>
                <w:sz w:val="18"/>
                <w:szCs w:val="18"/>
              </w:rPr>
            </w:pPr>
            <w:r>
              <w:rPr>
                <w:rFonts w:ascii="宋体"/>
                <w:sz w:val="18"/>
              </w:rPr>
              <w:t>3,309,010,007.96</w:t>
            </w:r>
          </w:p>
        </w:tc>
        <w:tc>
          <w:tcPr>
            <w:tcW w:w="11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宋体" w:hAnsi="宋体" w:cs="宋体" w:eastAsia="宋体" w:hint="default"/>
                <w:sz w:val="18"/>
                <w:szCs w:val="18"/>
              </w:rPr>
            </w:pPr>
            <w:r>
              <w:rPr>
                <w:rFonts w:ascii="宋体"/>
                <w:sz w:val="18"/>
              </w:rPr>
              <w:t>110,692,457.45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宋体" w:hAnsi="宋体" w:cs="宋体" w:eastAsia="宋体" w:hint="default"/>
                <w:sz w:val="18"/>
                <w:szCs w:val="18"/>
              </w:rPr>
            </w:pPr>
            <w:r>
              <w:rPr>
                <w:rFonts w:ascii="宋体"/>
                <w:sz w:val="18"/>
              </w:rPr>
              <w:t>798,170,241.28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sz w:val="18"/>
              </w:rPr>
              <w:t>5,727,300,355.69</w:t>
            </w:r>
          </w:p>
        </w:tc>
      </w:tr>
    </w:tbl>
    <w:p>
      <w:pPr>
        <w:spacing w:before="51"/>
        <w:ind w:left="140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2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434" w:type="dxa"/>
        <w:tblLayout w:type="fixed"/>
        <w:tblCellMar>
          <w:top w:w="0" w:type="dxa"/>
          <w:left w:w="0" w:type="dxa"/>
          <w:bottom w:w="0" w:type="dxa"/>
          <w:right w:w="0" w:type="dxa"/>
        </w:tblCellMar>
        <w:tblLook w:val="01E0"/>
      </w:tblPr>
      <w:tblGrid>
        <w:gridCol w:w="2529"/>
        <w:gridCol w:w="1430"/>
        <w:gridCol w:w="708"/>
        <w:gridCol w:w="708"/>
        <w:gridCol w:w="426"/>
        <w:gridCol w:w="1417"/>
        <w:gridCol w:w="993"/>
        <w:gridCol w:w="1586"/>
        <w:gridCol w:w="1276"/>
        <w:gridCol w:w="1700"/>
        <w:gridCol w:w="1419"/>
        <w:gridCol w:w="1702"/>
      </w:tblGrid>
      <w:tr>
        <w:trPr>
          <w:trHeight w:val="402" w:hRule="exact"/>
        </w:trPr>
        <w:tc>
          <w:tcPr>
            <w:tcW w:w="2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6"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534" w:right="73"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158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z w:val="18"/>
              </w:rPr>
              <w:t>375,588,388.00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597,100,015.93</w:t>
            </w: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2,820,570.93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80,239,457.81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562,301,266.52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1,618,049,699.19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3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375,588,388.00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597,100,015.93</w:t>
            </w: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2,820,570.93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80,239,457.81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562,301,266.52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1,618,049,699.19</w:t>
            </w: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三、本期增减变动金额</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减少以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15,836,062.00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316,729,510.94</w:t>
            </w: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-2,820,570.93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15,856,681.63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124,073,335.13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469,675,018.77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综合收益总额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-2,820,570.93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158,566,816.31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155,746,245.38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所有者投入和减少资本</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15,836,062.00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316,729,510.94</w:t>
            </w: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332,565,572.94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15,836,062.00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316,729,510.94</w:t>
            </w: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332,565,572.94</w:t>
            </w: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．其他权益工具持有者投入资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43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金额</w:t>
            </w:r>
          </w:p>
        </w:tc>
        <w:tc>
          <w:tcPr>
            <w:tcW w:w="143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3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利润分配</w:t>
            </w:r>
          </w:p>
        </w:tc>
        <w:tc>
          <w:tcPr>
            <w:tcW w:w="1430"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15,856,681.63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-34,493,481.18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-18,636,799.55</w:t>
            </w:r>
          </w:p>
        </w:tc>
      </w:tr>
    </w:tbl>
    <w:p>
      <w:pPr>
        <w:spacing w:after="0" w:line="240" w:lineRule="auto"/>
        <w:jc w:val="right"/>
        <w:rPr>
          <w:rFonts w:ascii="宋体" w:hAnsi="宋体" w:cs="宋体" w:eastAsia="宋体" w:hint="default"/>
          <w:sz w:val="18"/>
          <w:szCs w:val="18"/>
        </w:rPr>
        <w:sectPr>
          <w:footerReference w:type="default" r:id="rId27"/>
          <w:pgSz w:w="16840" w:h="11910" w:orient="landscape"/>
          <w:pgMar w:footer="979" w:header="867" w:top="1060" w:bottom="1160" w:left="40" w:right="0"/>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53"/>
        <w:gridCol w:w="1418"/>
        <w:gridCol w:w="708"/>
        <w:gridCol w:w="708"/>
        <w:gridCol w:w="426"/>
        <w:gridCol w:w="1417"/>
        <w:gridCol w:w="993"/>
        <w:gridCol w:w="1586"/>
        <w:gridCol w:w="1276"/>
        <w:gridCol w:w="1700"/>
        <w:gridCol w:w="1419"/>
        <w:gridCol w:w="1702"/>
      </w:tblGrid>
      <w:tr>
        <w:trPr>
          <w:trHeight w:val="416" w:hRule="exact"/>
        </w:trPr>
        <w:tc>
          <w:tcPr>
            <w:tcW w:w="255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158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15,856,681.63</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-15,856,681.63</w:t>
            </w:r>
          </w:p>
        </w:tc>
        <w:tc>
          <w:tcPr>
            <w:tcW w:w="1702"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-18,636,799.55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-18,636,799.55</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3,114,724.02</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3,114,724.02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3,114,724.02</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3,114,724.02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391,424,450.00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913,829,526.87</w:t>
            </w:r>
          </w:p>
        </w:tc>
        <w:tc>
          <w:tcPr>
            <w:tcW w:w="99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96,096,139.44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686,374,601.65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2,087,724,717.96</w:t>
            </w:r>
          </w:p>
        </w:tc>
      </w:tr>
    </w:tbl>
    <w:p>
      <w:pPr>
        <w:tabs>
          <w:tab w:pos="6630" w:val="left" w:leader="none"/>
          <w:tab w:pos="12390" w:val="left" w:leader="none"/>
        </w:tabs>
        <w:spacing w:before="88"/>
        <w:ind w:left="1500" w:right="0" w:firstLine="0"/>
        <w:jc w:val="left"/>
        <w:rPr>
          <w:rFonts w:ascii="宋体" w:hAnsi="宋体" w:cs="宋体" w:eastAsia="宋体" w:hint="default"/>
          <w:sz w:val="18"/>
          <w:szCs w:val="18"/>
        </w:rPr>
      </w:pPr>
      <w:bookmarkStart w:name="法定代表人：王相荣                               " w:id="162"/>
      <w:bookmarkEnd w:id="162"/>
      <w:r>
        <w:rPr/>
      </w:r>
      <w:r>
        <w:rPr>
          <w:rFonts w:ascii="宋体" w:hAnsi="宋体" w:cs="宋体" w:eastAsia="宋体" w:hint="default"/>
          <w:sz w:val="18"/>
          <w:szCs w:val="18"/>
        </w:rPr>
        <w:t>法定代表人：王相荣</w:t>
        <w:tab/>
        <w:t>主管会计工作负责人：陈林富</w:t>
        <w:tab/>
        <w:t>会计机构负责人：陈林富</w:t>
      </w:r>
    </w:p>
    <w:p>
      <w:pPr>
        <w:spacing w:after="0"/>
        <w:jc w:val="left"/>
        <w:rPr>
          <w:rFonts w:ascii="宋体" w:hAnsi="宋体" w:cs="宋体" w:eastAsia="宋体" w:hint="default"/>
          <w:sz w:val="18"/>
          <w:szCs w:val="18"/>
        </w:rPr>
        <w:sectPr>
          <w:footerReference w:type="default" r:id="rId28"/>
          <w:pgSz w:w="16840" w:h="11910" w:orient="landscape"/>
          <w:pgMar w:footer="979" w:header="867" w:top="1060" w:bottom="1160" w:left="360" w:right="0"/>
        </w:sectPr>
      </w:pPr>
    </w:p>
    <w:p>
      <w:pPr>
        <w:spacing w:line="240" w:lineRule="auto" w:before="8"/>
        <w:rPr>
          <w:rFonts w:ascii="宋体" w:hAnsi="宋体" w:cs="宋体" w:eastAsia="宋体" w:hint="default"/>
          <w:sz w:val="26"/>
          <w:szCs w:val="26"/>
        </w:rPr>
      </w:pPr>
    </w:p>
    <w:p>
      <w:pPr>
        <w:pStyle w:val="Heading3"/>
        <w:spacing w:line="240" w:lineRule="auto" w:before="35"/>
        <w:ind w:left="574" w:right="0"/>
        <w:jc w:val="left"/>
        <w:rPr>
          <w:rFonts w:ascii="黑体" w:hAnsi="黑体" w:cs="黑体" w:eastAsia="黑体" w:hint="default"/>
          <w:b w:val="0"/>
          <w:bCs w:val="0"/>
        </w:rPr>
      </w:pPr>
      <w:bookmarkStart w:name="三、公司基本情况" w:id="163"/>
      <w:bookmarkEnd w:id="163"/>
      <w:r>
        <w:rPr>
          <w:b w:val="0"/>
          <w:bCs w:val="0"/>
        </w:rPr>
      </w:r>
      <w:r>
        <w:rPr>
          <w:rFonts w:ascii="黑体" w:hAnsi="黑体" w:cs="黑体" w:eastAsia="黑体" w:hint="default"/>
        </w:rPr>
        <w:t>三、公司基本情况</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408" w:lineRule="auto"/>
        <w:ind w:right="1131" w:firstLine="420"/>
        <w:jc w:val="both"/>
      </w:pPr>
      <w:r>
        <w:rPr/>
        <w:t>利欧集团股份有限公司</w:t>
      </w:r>
      <w:r>
        <w:rPr>
          <w:rFonts w:ascii="宋体" w:hAnsi="宋体" w:cs="宋体" w:eastAsia="宋体" w:hint="default"/>
        </w:rPr>
        <w:t>(</w:t>
      </w:r>
      <w:r>
        <w:rPr/>
        <w:t>以下简称公司或本公司</w:t>
      </w:r>
      <w:r>
        <w:rPr>
          <w:rFonts w:ascii="宋体" w:hAnsi="宋体" w:cs="宋体" w:eastAsia="宋体" w:hint="default"/>
        </w:rPr>
        <w:t>)</w:t>
      </w:r>
      <w:r>
        <w:rPr/>
        <w:t>系经浙江省人民政府浙政股〔</w:t>
      </w:r>
      <w:r>
        <w:rPr>
          <w:rFonts w:ascii="宋体" w:hAnsi="宋体" w:cs="宋体" w:eastAsia="宋体" w:hint="default"/>
        </w:rPr>
        <w:t>2005</w:t>
      </w:r>
      <w:r>
        <w:rPr/>
        <w:t>〕</w:t>
      </w:r>
      <w:r>
        <w:rPr>
          <w:rFonts w:ascii="宋体" w:hAnsi="宋体" w:cs="宋体" w:eastAsia="宋体" w:hint="default"/>
        </w:rPr>
        <w:t>5</w:t>
      </w:r>
      <w:r>
        <w:rPr>
          <w:rFonts w:ascii="宋体" w:hAnsi="宋体" w:cs="宋体" w:eastAsia="宋体" w:hint="default"/>
          <w:spacing w:val="-24"/>
        </w:rPr>
        <w:t> </w:t>
      </w:r>
      <w:r>
        <w:rPr/>
        <w:t>号文批准，由 </w:t>
      </w:r>
      <w:r>
        <w:rPr>
          <w:spacing w:val="-1"/>
        </w:rPr>
        <w:t>王相荣、张灵正、王壮利、温岭中恒投资有限公司、颜土富和王珍萍共同发起，在原浙江利欧电气有限公</w:t>
      </w:r>
      <w:r>
        <w:rPr>
          <w:spacing w:val="-83"/>
        </w:rPr>
        <w:t> </w:t>
      </w:r>
      <w:r>
        <w:rPr>
          <w:spacing w:val="-83"/>
        </w:rPr>
      </w:r>
      <w:r>
        <w:rPr/>
        <w:t>司基础上整体变更设立的股份有限公司，于</w:t>
      </w:r>
      <w:r>
        <w:rPr>
          <w:spacing w:val="-39"/>
        </w:rPr>
        <w:t> </w:t>
      </w:r>
      <w:r>
        <w:rPr>
          <w:rFonts w:ascii="宋体" w:hAnsi="宋体" w:cs="宋体" w:eastAsia="宋体" w:hint="default"/>
        </w:rPr>
        <w:t>2005</w:t>
      </w:r>
      <w:r>
        <w:rPr>
          <w:rFonts w:ascii="宋体" w:hAnsi="宋体" w:cs="宋体" w:eastAsia="宋体" w:hint="default"/>
          <w:spacing w:val="-39"/>
        </w:rPr>
        <w:t> </w:t>
      </w:r>
      <w:r>
        <w:rPr/>
        <w:t>年</w:t>
      </w:r>
      <w:r>
        <w:rPr>
          <w:spacing w:val="-39"/>
        </w:rPr>
        <w:t> </w:t>
      </w:r>
      <w:r>
        <w:rPr>
          <w:rFonts w:ascii="宋体" w:hAnsi="宋体" w:cs="宋体" w:eastAsia="宋体" w:hint="default"/>
        </w:rPr>
        <w:t>2</w:t>
      </w:r>
      <w:r>
        <w:rPr>
          <w:rFonts w:ascii="宋体" w:hAnsi="宋体" w:cs="宋体" w:eastAsia="宋体" w:hint="default"/>
          <w:spacing w:val="-39"/>
        </w:rPr>
        <w:t> </w:t>
      </w:r>
      <w:r>
        <w:rPr/>
        <w:t>月</w:t>
      </w:r>
      <w:r>
        <w:rPr>
          <w:spacing w:val="-39"/>
        </w:rPr>
        <w:t> </w:t>
      </w:r>
      <w:r>
        <w:rPr>
          <w:rFonts w:ascii="宋体" w:hAnsi="宋体" w:cs="宋体" w:eastAsia="宋体" w:hint="default"/>
        </w:rPr>
        <w:t>1</w:t>
      </w:r>
      <w:r>
        <w:rPr>
          <w:rFonts w:ascii="宋体" w:hAnsi="宋体" w:cs="宋体" w:eastAsia="宋体" w:hint="default"/>
          <w:spacing w:val="-39"/>
        </w:rPr>
        <w:t> </w:t>
      </w:r>
      <w:r>
        <w:rPr/>
        <w:t>日在浙江省工商行政管理局登记注册，公司现 持有统一社会信用代码为</w:t>
      </w:r>
      <w:r>
        <w:rPr>
          <w:spacing w:val="-55"/>
        </w:rPr>
        <w:t> </w:t>
      </w:r>
      <w:r>
        <w:rPr>
          <w:rFonts w:ascii="宋体" w:hAnsi="宋体" w:cs="宋体" w:eastAsia="宋体" w:hint="default"/>
        </w:rPr>
        <w:t>91330000728913048T</w:t>
      </w:r>
      <w:r>
        <w:rPr>
          <w:rFonts w:ascii="宋体" w:hAnsi="宋体" w:cs="宋体" w:eastAsia="宋体" w:hint="default"/>
          <w:spacing w:val="-55"/>
        </w:rPr>
        <w:t> </w:t>
      </w:r>
      <w:r>
        <w:rPr/>
        <w:t>的营业执照。公司现有注册资本</w:t>
      </w:r>
      <w:r>
        <w:rPr>
          <w:spacing w:val="-55"/>
        </w:rPr>
        <w:t> </w:t>
      </w:r>
      <w:r>
        <w:rPr>
          <w:rFonts w:ascii="宋体" w:hAnsi="宋体" w:cs="宋体" w:eastAsia="宋体" w:hint="default"/>
        </w:rPr>
        <w:t>150,942.7649</w:t>
      </w:r>
      <w:r>
        <w:rPr>
          <w:rFonts w:ascii="宋体" w:hAnsi="宋体" w:cs="宋体" w:eastAsia="宋体" w:hint="default"/>
          <w:spacing w:val="-56"/>
        </w:rPr>
        <w:t> </w:t>
      </w:r>
      <w:r>
        <w:rPr>
          <w:spacing w:val="-3"/>
        </w:rPr>
        <w:t>万元，股份</w:t>
      </w:r>
      <w:r>
        <w:rPr/>
        <w:t> 总数</w:t>
      </w:r>
      <w:r>
        <w:rPr>
          <w:spacing w:val="-54"/>
        </w:rPr>
        <w:t> </w:t>
      </w:r>
      <w:r>
        <w:rPr>
          <w:rFonts w:ascii="宋体" w:hAnsi="宋体" w:cs="宋体" w:eastAsia="宋体" w:hint="default"/>
        </w:rPr>
        <w:t>150,942.7649</w:t>
      </w:r>
      <w:r>
        <w:rPr>
          <w:rFonts w:ascii="宋体" w:hAnsi="宋体" w:cs="宋体" w:eastAsia="宋体" w:hint="default"/>
          <w:spacing w:val="-53"/>
        </w:rPr>
        <w:t> </w:t>
      </w:r>
      <w:r>
        <w:rPr/>
        <w:t>万股</w:t>
      </w:r>
      <w:r>
        <w:rPr>
          <w:rFonts w:ascii="宋体" w:hAnsi="宋体" w:cs="宋体" w:eastAsia="宋体" w:hint="default"/>
        </w:rPr>
        <w:t>(</w:t>
      </w:r>
      <w:r>
        <w:rPr/>
        <w:t>每股面值</w:t>
      </w:r>
      <w:r>
        <w:rPr>
          <w:spacing w:val="-54"/>
        </w:rPr>
        <w:t> </w:t>
      </w:r>
      <w:r>
        <w:rPr>
          <w:rFonts w:ascii="宋体" w:hAnsi="宋体" w:cs="宋体" w:eastAsia="宋体" w:hint="default"/>
        </w:rPr>
        <w:t>1</w:t>
      </w:r>
      <w:r>
        <w:rPr>
          <w:rFonts w:ascii="宋体" w:hAnsi="宋体" w:cs="宋体" w:eastAsia="宋体" w:hint="default"/>
          <w:spacing w:val="-54"/>
        </w:rPr>
        <w:t> </w:t>
      </w:r>
      <w:r>
        <w:rPr/>
        <w:t>元</w:t>
      </w:r>
      <w:r>
        <w:rPr>
          <w:rFonts w:ascii="宋体" w:hAnsi="宋体" w:cs="宋体" w:eastAsia="宋体" w:hint="default"/>
        </w:rPr>
        <w:t>)</w:t>
      </w:r>
      <w:r>
        <w:rPr/>
        <w:t>。公司股票已在深圳证券交易所挂牌交易。</w:t>
      </w:r>
    </w:p>
    <w:p>
      <w:pPr>
        <w:pStyle w:val="BodyText"/>
        <w:spacing w:line="408" w:lineRule="auto" w:before="85"/>
        <w:ind w:right="1024" w:firstLine="420"/>
        <w:jc w:val="left"/>
        <w:rPr>
          <w:rFonts w:ascii="宋体" w:hAnsi="宋体" w:cs="宋体" w:eastAsia="宋体" w:hint="default"/>
        </w:rPr>
      </w:pPr>
      <w:r>
        <w:rPr/>
        <w:t>本公司属专用设备制造业。经营范围：泵、园林机械、清洗机械设备、电机、汽油机、阀门、模具、 </w:t>
      </w:r>
      <w:r>
        <w:rPr>
          <w:spacing w:val="-3"/>
        </w:rPr>
        <w:t>五金工具、电气控制柜、成套供水设备、农业机械、机械设备、环保设备、电器零部件及相关配件的生产、</w:t>
      </w:r>
      <w:r>
        <w:rPr>
          <w:spacing w:val="-94"/>
        </w:rPr>
        <w:t> </w:t>
      </w:r>
      <w:r>
        <w:rPr>
          <w:spacing w:val="-94"/>
        </w:rPr>
      </w:r>
      <w:r>
        <w:rPr/>
        <w:t>销售，设计、制作、代理、发布国内各类广告，企业营销策划，进出口经营业务，实业投资。</w:t>
      </w:r>
      <w:r>
        <w:rPr>
          <w:rFonts w:ascii="宋体" w:hAnsi="宋体" w:cs="宋体" w:eastAsia="宋体" w:hint="default"/>
        </w:rPr>
        <w:t>(</w:t>
      </w:r>
      <w:r>
        <w:rPr/>
        <w:t>依法须经</w:t>
      </w:r>
      <w:r>
        <w:rPr>
          <w:spacing w:val="-24"/>
        </w:rPr>
        <w:t> </w:t>
      </w:r>
      <w:r>
        <w:rPr>
          <w:spacing w:val="-24"/>
        </w:rPr>
      </w:r>
      <w:r>
        <w:rPr/>
        <w:t>批准的项目，经相关部门批准后方可开展经营活动</w:t>
      </w:r>
      <w:r>
        <w:rPr>
          <w:rFonts w:ascii="宋体" w:hAnsi="宋体" w:cs="宋体" w:eastAsia="宋体" w:hint="default"/>
        </w:rPr>
        <w:t>)</w:t>
      </w:r>
    </w:p>
    <w:p>
      <w:pPr>
        <w:pStyle w:val="BodyText"/>
        <w:spacing w:line="441" w:lineRule="auto" w:before="85"/>
        <w:ind w:left="574" w:right="0"/>
        <w:jc w:val="left"/>
      </w:pPr>
      <w:r>
        <w:rPr/>
        <w:t>本财务报表业经公司</w:t>
      </w:r>
      <w:r>
        <w:rPr>
          <w:spacing w:val="-53"/>
        </w:rPr>
        <w:t> </w:t>
      </w:r>
      <w:r>
        <w:rPr>
          <w:rFonts w:ascii="宋体" w:hAnsi="宋体" w:cs="宋体" w:eastAsia="宋体" w:hint="default"/>
        </w:rPr>
        <w:t>2016</w:t>
      </w:r>
      <w:r>
        <w:rPr>
          <w:rFonts w:ascii="宋体" w:hAnsi="宋体" w:cs="宋体" w:eastAsia="宋体" w:hint="default"/>
          <w:spacing w:val="-1"/>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日第四届董事会第二十二次会议批准对外报出。 </w:t>
      </w:r>
      <w:r>
        <w:rPr>
          <w:spacing w:val="-1"/>
        </w:rPr>
        <w:t>本公司纳入本期合并财务报表范围的子公司如下所示，具体情况详见本财务报表附注合并范围的变更</w:t>
      </w:r>
    </w:p>
    <w:p>
      <w:pPr>
        <w:pStyle w:val="BodyText"/>
        <w:spacing w:line="240" w:lineRule="auto" w:before="18"/>
        <w:ind w:left="154" w:right="0"/>
        <w:jc w:val="left"/>
      </w:pPr>
      <w:r>
        <w:rPr/>
        <w:t>和在其他主体中的权益之说明。</w:t>
      </w:r>
    </w:p>
    <w:p>
      <w:pPr>
        <w:spacing w:line="240" w:lineRule="auto" w:before="13"/>
        <w:rPr>
          <w:rFonts w:ascii="宋体" w:hAnsi="宋体" w:cs="宋体" w:eastAsia="宋体" w:hint="default"/>
          <w:sz w:val="12"/>
          <w:szCs w:val="12"/>
        </w:rPr>
      </w:pPr>
    </w:p>
    <w:tbl>
      <w:tblPr>
        <w:tblW w:w="0" w:type="auto"/>
        <w:jc w:val="left"/>
        <w:tblInd w:w="831" w:type="dxa"/>
        <w:tblLayout w:type="fixed"/>
        <w:tblCellMar>
          <w:top w:w="0" w:type="dxa"/>
          <w:left w:w="0" w:type="dxa"/>
          <w:bottom w:w="0" w:type="dxa"/>
          <w:right w:w="0" w:type="dxa"/>
        </w:tblCellMar>
        <w:tblLook w:val="01E0"/>
      </w:tblPr>
      <w:tblGrid>
        <w:gridCol w:w="3921"/>
        <w:gridCol w:w="2170"/>
        <w:gridCol w:w="2170"/>
      </w:tblGrid>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17"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3"/>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17"/>
              <w:jc w:val="right"/>
              <w:rPr>
                <w:rFonts w:ascii="宋体" w:hAnsi="宋体" w:cs="宋体" w:eastAsia="宋体" w:hint="default"/>
                <w:sz w:val="21"/>
                <w:szCs w:val="21"/>
              </w:rPr>
            </w:pPr>
            <w:r>
              <w:rPr>
                <w:rFonts w:ascii="宋体" w:hAnsi="宋体" w:cs="宋体" w:eastAsia="宋体" w:hint="default"/>
                <w:sz w:val="21"/>
                <w:szCs w:val="21"/>
              </w:rPr>
              <w:t>子公司简称</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浙江大农实业股份有限公司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66"/>
              <w:jc w:val="right"/>
              <w:rPr>
                <w:rFonts w:ascii="宋体" w:hAnsi="宋体" w:cs="宋体" w:eastAsia="宋体" w:hint="default"/>
                <w:sz w:val="21"/>
                <w:szCs w:val="21"/>
              </w:rPr>
            </w:pPr>
            <w:r>
              <w:rPr>
                <w:rFonts w:ascii="宋体" w:hAnsi="宋体" w:cs="宋体" w:eastAsia="宋体" w:hint="default"/>
                <w:sz w:val="21"/>
                <w:szCs w:val="21"/>
              </w:rPr>
              <w:t>大农实业</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温岭大农实业有限公司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6"/>
              <w:jc w:val="right"/>
              <w:rPr>
                <w:rFonts w:ascii="宋体" w:hAnsi="宋体" w:cs="宋体" w:eastAsia="宋体" w:hint="default"/>
                <w:sz w:val="21"/>
                <w:szCs w:val="21"/>
              </w:rPr>
            </w:pPr>
            <w:r>
              <w:rPr>
                <w:rFonts w:ascii="宋体" w:hAnsi="宋体" w:cs="宋体" w:eastAsia="宋体" w:hint="default"/>
                <w:sz w:val="21"/>
                <w:szCs w:val="21"/>
              </w:rPr>
              <w:t>温岭大农</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浙江利欧</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66"/>
              <w:jc w:val="right"/>
              <w:rPr>
                <w:rFonts w:ascii="宋体" w:hAnsi="宋体" w:cs="宋体" w:eastAsia="宋体" w:hint="default"/>
                <w:sz w:val="21"/>
                <w:szCs w:val="21"/>
              </w:rPr>
            </w:pPr>
            <w:r>
              <w:rPr>
                <w:rFonts w:ascii="宋体" w:hAnsi="宋体" w:cs="宋体" w:eastAsia="宋体" w:hint="default"/>
                <w:sz w:val="21"/>
                <w:szCs w:val="21"/>
              </w:rPr>
              <w:t>香港利欧</w:t>
            </w:r>
          </w:p>
        </w:tc>
      </w:tr>
      <w:tr>
        <w:trPr>
          <w:trHeight w:val="63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30" w:right="0"/>
              <w:jc w:val="left"/>
              <w:rPr>
                <w:rFonts w:ascii="宋体" w:hAnsi="宋体" w:cs="宋体" w:eastAsia="宋体" w:hint="default"/>
                <w:sz w:val="21"/>
                <w:szCs w:val="21"/>
              </w:rPr>
            </w:pPr>
            <w:r>
              <w:rPr>
                <w:rFonts w:ascii="宋体"/>
                <w:sz w:val="21"/>
              </w:rPr>
              <w:t>GAMA European Garden</w:t>
            </w:r>
            <w:r>
              <w:rPr>
                <w:rFonts w:ascii="宋体"/>
                <w:spacing w:val="-2"/>
                <w:sz w:val="21"/>
              </w:rPr>
              <w:t> </w:t>
            </w:r>
            <w:r>
              <w:rPr>
                <w:rFonts w:ascii="宋体"/>
                <w:sz w:val="21"/>
              </w:rPr>
              <w:t>Machinery</w:t>
            </w:r>
          </w:p>
          <w:p>
            <w:pPr>
              <w:pStyle w:val="TableParagraph"/>
              <w:spacing w:line="240" w:lineRule="auto" w:before="37"/>
              <w:ind w:left="228" w:right="0"/>
              <w:jc w:val="left"/>
              <w:rPr>
                <w:rFonts w:ascii="宋体" w:hAnsi="宋体" w:cs="宋体" w:eastAsia="宋体" w:hint="default"/>
                <w:sz w:val="21"/>
                <w:szCs w:val="21"/>
              </w:rPr>
            </w:pPr>
            <w:r>
              <w:rPr>
                <w:rFonts w:ascii="宋体"/>
                <w:sz w:val="21"/>
              </w:rPr>
              <w:t>Co. Ltd.</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湖南利欧泵业有限公司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6"/>
              <w:jc w:val="right"/>
              <w:rPr>
                <w:rFonts w:ascii="宋体" w:hAnsi="宋体" w:cs="宋体" w:eastAsia="宋体" w:hint="default"/>
                <w:sz w:val="21"/>
                <w:szCs w:val="21"/>
              </w:rPr>
            </w:pPr>
            <w:r>
              <w:rPr>
                <w:rFonts w:ascii="宋体" w:hAnsi="宋体" w:cs="宋体" w:eastAsia="宋体" w:hint="default"/>
                <w:sz w:val="21"/>
                <w:szCs w:val="21"/>
              </w:rPr>
              <w:t>湖南利欧</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浙江利欧环境科技有限公司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66"/>
              <w:jc w:val="right"/>
              <w:rPr>
                <w:rFonts w:ascii="宋体" w:hAnsi="宋体" w:cs="宋体" w:eastAsia="宋体" w:hint="default"/>
                <w:sz w:val="21"/>
                <w:szCs w:val="21"/>
              </w:rPr>
            </w:pPr>
            <w:r>
              <w:rPr>
                <w:rFonts w:ascii="宋体" w:hAnsi="宋体" w:cs="宋体" w:eastAsia="宋体" w:hint="default"/>
                <w:sz w:val="21"/>
                <w:szCs w:val="21"/>
              </w:rPr>
              <w:t>利欧科技</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成都利欧环境科技有限公司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66"/>
              <w:jc w:val="right"/>
              <w:rPr>
                <w:rFonts w:ascii="宋体" w:hAnsi="宋体" w:cs="宋体" w:eastAsia="宋体" w:hint="default"/>
                <w:sz w:val="21"/>
                <w:szCs w:val="21"/>
              </w:rPr>
            </w:pPr>
            <w:r>
              <w:rPr>
                <w:rFonts w:ascii="宋体" w:hAnsi="宋体" w:cs="宋体" w:eastAsia="宋体" w:hint="default"/>
                <w:sz w:val="21"/>
                <w:szCs w:val="21"/>
              </w:rPr>
              <w:t>成都利欧</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陕西利欧环境科技有限公司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6"/>
              <w:jc w:val="right"/>
              <w:rPr>
                <w:rFonts w:ascii="宋体" w:hAnsi="宋体" w:cs="宋体" w:eastAsia="宋体" w:hint="default"/>
                <w:sz w:val="21"/>
                <w:szCs w:val="21"/>
              </w:rPr>
            </w:pPr>
            <w:r>
              <w:rPr>
                <w:rFonts w:ascii="宋体" w:hAnsi="宋体" w:cs="宋体" w:eastAsia="宋体" w:hint="default"/>
                <w:sz w:val="21"/>
                <w:szCs w:val="21"/>
              </w:rPr>
              <w:t>陕西利欧</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天津利欧艾瑞环境科技有限公司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66"/>
              <w:jc w:val="right"/>
              <w:rPr>
                <w:rFonts w:ascii="宋体" w:hAnsi="宋体" w:cs="宋体" w:eastAsia="宋体" w:hint="default"/>
                <w:sz w:val="21"/>
                <w:szCs w:val="21"/>
              </w:rPr>
            </w:pPr>
            <w:r>
              <w:rPr>
                <w:rFonts w:ascii="宋体" w:hAnsi="宋体" w:cs="宋体" w:eastAsia="宋体" w:hint="default"/>
                <w:sz w:val="21"/>
                <w:szCs w:val="21"/>
              </w:rPr>
              <w:t>天津利欧</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安徽利欧环境科技有限公司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66"/>
              <w:jc w:val="right"/>
              <w:rPr>
                <w:rFonts w:ascii="宋体" w:hAnsi="宋体" w:cs="宋体" w:eastAsia="宋体" w:hint="default"/>
                <w:sz w:val="21"/>
                <w:szCs w:val="21"/>
              </w:rPr>
            </w:pPr>
            <w:r>
              <w:rPr>
                <w:rFonts w:ascii="宋体" w:hAnsi="宋体" w:cs="宋体" w:eastAsia="宋体" w:hint="default"/>
                <w:sz w:val="21"/>
                <w:szCs w:val="21"/>
              </w:rPr>
              <w:t>安徽利欧</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北京利欧永大环境科技有限公司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6"/>
              <w:jc w:val="right"/>
              <w:rPr>
                <w:rFonts w:ascii="宋体" w:hAnsi="宋体" w:cs="宋体" w:eastAsia="宋体" w:hint="default"/>
                <w:sz w:val="21"/>
                <w:szCs w:val="21"/>
              </w:rPr>
            </w:pPr>
            <w:r>
              <w:rPr>
                <w:rFonts w:ascii="宋体" w:hAnsi="宋体" w:cs="宋体" w:eastAsia="宋体" w:hint="default"/>
                <w:sz w:val="21"/>
                <w:szCs w:val="21"/>
              </w:rPr>
              <w:t>北京利欧</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深圳利欧环境科技有限公司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66"/>
              <w:jc w:val="right"/>
              <w:rPr>
                <w:rFonts w:ascii="宋体" w:hAnsi="宋体" w:cs="宋体" w:eastAsia="宋体" w:hint="default"/>
                <w:sz w:val="21"/>
                <w:szCs w:val="21"/>
              </w:rPr>
            </w:pPr>
            <w:r>
              <w:rPr>
                <w:rFonts w:ascii="宋体" w:hAnsi="宋体" w:cs="宋体" w:eastAsia="宋体" w:hint="default"/>
                <w:sz w:val="21"/>
                <w:szCs w:val="21"/>
              </w:rPr>
              <w:t>深圳利欧</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利欧</w:t>
            </w: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工业泵技术中心有限公司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66"/>
              <w:jc w:val="right"/>
              <w:rPr>
                <w:rFonts w:ascii="宋体" w:hAnsi="宋体" w:cs="宋体" w:eastAsia="宋体" w:hint="default"/>
                <w:sz w:val="21"/>
                <w:szCs w:val="21"/>
              </w:rPr>
            </w:pPr>
            <w:r>
              <w:rPr>
                <w:rFonts w:ascii="宋体" w:hAnsi="宋体" w:cs="宋体" w:eastAsia="宋体" w:hint="default"/>
                <w:sz w:val="21"/>
                <w:szCs w:val="21"/>
              </w:rPr>
              <w:t>技术中心</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云南利欧水泵销售有限公司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6"/>
              <w:jc w:val="right"/>
              <w:rPr>
                <w:rFonts w:ascii="宋体" w:hAnsi="宋体" w:cs="宋体" w:eastAsia="宋体" w:hint="default"/>
                <w:sz w:val="21"/>
                <w:szCs w:val="21"/>
              </w:rPr>
            </w:pPr>
            <w:r>
              <w:rPr>
                <w:rFonts w:ascii="宋体" w:hAnsi="宋体" w:cs="宋体" w:eastAsia="宋体" w:hint="default"/>
                <w:sz w:val="21"/>
                <w:szCs w:val="21"/>
              </w:rPr>
              <w:t>云南利欧</w:t>
            </w:r>
          </w:p>
        </w:tc>
      </w:tr>
    </w:tbl>
    <w:p>
      <w:pPr>
        <w:spacing w:after="0" w:line="240" w:lineRule="auto"/>
        <w:jc w:val="right"/>
        <w:rPr>
          <w:rFonts w:ascii="宋体" w:hAnsi="宋体" w:cs="宋体" w:eastAsia="宋体" w:hint="default"/>
          <w:sz w:val="21"/>
          <w:szCs w:val="21"/>
        </w:rPr>
        <w:sectPr>
          <w:headerReference w:type="default" r:id="rId29"/>
          <w:footerReference w:type="default" r:id="rId30"/>
          <w:pgSz w:w="11910" w:h="16840"/>
          <w:pgMar w:header="877" w:footer="979" w:top="1100" w:bottom="1160" w:left="980" w:right="0"/>
          <w:pgNumType w:start="102"/>
        </w:sectPr>
      </w:pPr>
    </w:p>
    <w:p>
      <w:pPr>
        <w:spacing w:line="240" w:lineRule="auto" w:before="10"/>
        <w:rPr>
          <w:rFonts w:ascii="Times New Roman" w:hAnsi="Times New Roman" w:cs="Times New Roman" w:eastAsia="Times New Roman" w:hint="default"/>
          <w:sz w:val="27"/>
          <w:szCs w:val="27"/>
        </w:rPr>
      </w:pPr>
    </w:p>
    <w:tbl>
      <w:tblPr>
        <w:tblW w:w="0" w:type="auto"/>
        <w:jc w:val="left"/>
        <w:tblInd w:w="831" w:type="dxa"/>
        <w:tblLayout w:type="fixed"/>
        <w:tblCellMar>
          <w:top w:w="0" w:type="dxa"/>
          <w:left w:w="0" w:type="dxa"/>
          <w:bottom w:w="0" w:type="dxa"/>
          <w:right w:w="0" w:type="dxa"/>
        </w:tblCellMar>
        <w:tblLook w:val="01E0"/>
      </w:tblPr>
      <w:tblGrid>
        <w:gridCol w:w="3921"/>
        <w:gridCol w:w="2170"/>
        <w:gridCol w:w="2170"/>
      </w:tblGrid>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湖南利欧天鹅工业泵有限公司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5]</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湖南天鹅</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长沙翔鹅机械铸造有限公司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9"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翔鹅铸造</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长沙恒流流体机械科技顾问有限公司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9"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恒流机械</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湖南同安贸易有限公司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9"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同安贸易</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湖南晟廷科技有限公司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9"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晟廷科技</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大连利欧华能泵业有限公司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大连华能</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利欧</w:t>
            </w: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泵业有限公司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7]</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利欧大连</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无锡利欧锡泵制造有限公司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无锡锡泵</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无锡市锡泵设备安装成套有限公司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8]</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锡泵安装</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上海漫酷广告有限公司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上海漫酷</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上海聚胜万合广告有限公司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9]</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聚胜广告</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上海易合广告有限公司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9]</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易合广告</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上海漫酷网络技术有限公司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9]</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漫酷网络</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上海氩氪广告有限公司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上海氩氪</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上海沃动市场营销策划有限公司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上海沃动</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银色琥珀文化传播</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琥珀传播</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琥之珀文化传播</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11]</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琥珀上海</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上海聚嘉网络技术有限公司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聚嘉网络</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利欧中东公司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中东利欧</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温岭滨泰科进出口有限公司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温岭滨泰</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利欧集团数字科技上海有限公司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利欧数字</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江苏万圣伟业网络科技有限公司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万圣伟业</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宿迁梦想网络科技有限公司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宿迁梦想</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淮安爱月科技有限公司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淮安爱月</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淮安乘风科技有限公司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淮安乘风</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北京乘风网络科技有限公司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北京乘风</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南京亿来易往网络科技有限公司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亿来易往</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江苏万圣广告传媒有限公司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万圣传媒</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江苏万圣伟业金融信息有限公司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万圣金融</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831" w:type="dxa"/>
        <w:tblLayout w:type="fixed"/>
        <w:tblCellMar>
          <w:top w:w="0" w:type="dxa"/>
          <w:left w:w="0" w:type="dxa"/>
          <w:bottom w:w="0" w:type="dxa"/>
          <w:right w:w="0" w:type="dxa"/>
        </w:tblCellMar>
        <w:tblLook w:val="01E0"/>
      </w:tblPr>
      <w:tblGrid>
        <w:gridCol w:w="3921"/>
        <w:gridCol w:w="2170"/>
        <w:gridCol w:w="2170"/>
      </w:tblGrid>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南京智推文化传媒有限公司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智推传媒</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上海诱梦网络科技有限公司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诱梦网络</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北京微创时代广告有限公司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微创时代</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江苏大网时代信息技术有限公司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江苏大网</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天津微创时代信息技术有限公司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天津微创</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曲水掌悦无限信息技术有限公司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曲水掌悦</w:t>
            </w:r>
          </w:p>
        </w:tc>
      </w:tr>
      <w:tr>
        <w:trPr>
          <w:trHeight w:val="478"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0" w:right="0"/>
              <w:jc w:val="left"/>
              <w:rPr>
                <w:rFonts w:ascii="宋体" w:hAnsi="宋体" w:cs="宋体" w:eastAsia="宋体" w:hint="default"/>
                <w:sz w:val="21"/>
                <w:szCs w:val="21"/>
              </w:rPr>
            </w:pPr>
            <w:r>
              <w:rPr>
                <w:rFonts w:ascii="宋体" w:hAnsi="宋体" w:cs="宋体" w:eastAsia="宋体" w:hint="default"/>
                <w:sz w:val="21"/>
                <w:szCs w:val="21"/>
              </w:rPr>
              <w:t>上海利柯网络科技有限公司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利柯网络</w:t>
            </w:r>
          </w:p>
        </w:tc>
      </w:tr>
      <w:tr>
        <w:trPr>
          <w:trHeight w:val="479"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0" w:right="0"/>
              <w:jc w:val="left"/>
              <w:rPr>
                <w:rFonts w:ascii="宋体" w:hAnsi="宋体" w:cs="宋体" w:eastAsia="宋体" w:hint="default"/>
                <w:sz w:val="21"/>
                <w:szCs w:val="21"/>
              </w:rPr>
            </w:pPr>
            <w:r>
              <w:rPr>
                <w:rFonts w:ascii="宋体" w:hAnsi="宋体" w:cs="宋体" w:eastAsia="宋体" w:hint="default"/>
                <w:sz w:val="21"/>
                <w:szCs w:val="21"/>
              </w:rPr>
              <w:t>利欧集团浙江泵业有限公司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hAnsi="宋体" w:cs="宋体" w:eastAsia="宋体" w:hint="default"/>
                <w:sz w:val="21"/>
                <w:szCs w:val="21"/>
              </w:rPr>
              <w:t>利欧泵业</w:t>
            </w:r>
          </w:p>
        </w:tc>
      </w:tr>
    </w:tbl>
    <w:p>
      <w:pPr>
        <w:spacing w:line="240" w:lineRule="auto" w:before="4"/>
        <w:rPr>
          <w:rFonts w:ascii="Times New Roman" w:hAnsi="Times New Roman" w:cs="Times New Roman" w:eastAsia="Times New Roman" w:hint="default"/>
          <w:sz w:val="7"/>
          <w:szCs w:val="7"/>
        </w:rPr>
      </w:pPr>
    </w:p>
    <w:p>
      <w:pPr>
        <w:spacing w:line="518" w:lineRule="auto" w:before="44"/>
        <w:ind w:left="513" w:right="755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：系大农实业之全资子公司；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：系香港利欧控股的子公司；</w:t>
      </w:r>
    </w:p>
    <w:p>
      <w:pPr>
        <w:spacing w:line="516" w:lineRule="auto" w:before="63"/>
        <w:ind w:left="514" w:right="647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：原名为浙江利欧友林供水系统有限公司；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：系利欧科技之控股子公司；</w:t>
      </w:r>
    </w:p>
    <w:p>
      <w:pPr>
        <w:spacing w:line="516" w:lineRule="auto" w:before="66"/>
        <w:ind w:left="514" w:right="66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：原名为长沙利欧天鹅工业泵有限公司；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z w:val="18"/>
          <w:szCs w:val="18"/>
        </w:rPr>
        <w:t>：系湖南天鹅之全资子公司；</w:t>
      </w:r>
    </w:p>
    <w:p>
      <w:pPr>
        <w:spacing w:line="518" w:lineRule="auto" w:before="65"/>
        <w:ind w:left="513" w:right="746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z w:val="18"/>
          <w:szCs w:val="18"/>
        </w:rPr>
        <w:t>：系大连华能之全资子公司；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：系无锡锡泵之全资子公司；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：系上海漫酷之全资子公司；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：系上海氩氪之全资子公司；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z w:val="18"/>
          <w:szCs w:val="18"/>
        </w:rPr>
        <w:t>：系琥珀传播之全资子公司；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：系万圣伟业之全资子公司；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z w:val="18"/>
          <w:szCs w:val="18"/>
        </w:rPr>
        <w:t>：系微创时代之全资子公司。</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Heading3"/>
        <w:spacing w:line="240" w:lineRule="auto" w:before="0"/>
        <w:ind w:left="573" w:right="0"/>
        <w:jc w:val="left"/>
        <w:rPr>
          <w:rFonts w:ascii="黑体" w:hAnsi="黑体" w:cs="黑体" w:eastAsia="黑体" w:hint="default"/>
          <w:b w:val="0"/>
          <w:bCs w:val="0"/>
        </w:rPr>
      </w:pPr>
      <w:bookmarkStart w:name="四、财务报表的编制基础" w:id="164"/>
      <w:bookmarkEnd w:id="164"/>
      <w:r>
        <w:rPr>
          <w:b w:val="0"/>
          <w:bCs w:val="0"/>
        </w:rPr>
      </w:r>
      <w:r>
        <w:rPr>
          <w:rFonts w:ascii="黑体" w:hAnsi="黑体" w:cs="黑体" w:eastAsia="黑体" w:hint="default"/>
        </w:rPr>
        <w:t>四、财务报表的编制基础</w:t>
      </w:r>
      <w:r>
        <w:rPr>
          <w:rFonts w:ascii="黑体" w:hAnsi="黑体" w:cs="黑体" w:eastAsia="黑体" w:hint="default"/>
          <w:b w:val="0"/>
          <w:bCs w:val="0"/>
        </w:rPr>
      </w:r>
    </w:p>
    <w:p>
      <w:pPr>
        <w:spacing w:line="240" w:lineRule="auto" w:before="10"/>
        <w:rPr>
          <w:rFonts w:ascii="黑体" w:hAnsi="黑体" w:cs="黑体" w:eastAsia="黑体" w:hint="default"/>
          <w:b/>
          <w:bCs/>
          <w:sz w:val="17"/>
          <w:szCs w:val="17"/>
        </w:rPr>
      </w:pPr>
    </w:p>
    <w:p>
      <w:pPr>
        <w:pStyle w:val="BodyText"/>
        <w:spacing w:line="444" w:lineRule="auto"/>
        <w:ind w:left="574" w:right="6552"/>
        <w:jc w:val="left"/>
      </w:pPr>
      <w:bookmarkStart w:name="(一) 编制基础" w:id="165"/>
      <w:bookmarkEnd w:id="165"/>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编制基础 本公司财务报表以持续经营为编制基础。 </w:t>
      </w:r>
      <w:bookmarkStart w:name="(二) 持续经营能力评价" w:id="166"/>
      <w:bookmarkEnd w:id="166"/>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持续经营能力评价</w:t>
      </w:r>
    </w:p>
    <w:p>
      <w:pPr>
        <w:pStyle w:val="BodyText"/>
        <w:spacing w:line="240" w:lineRule="auto" w:before="54"/>
        <w:ind w:left="574" w:right="0"/>
        <w:jc w:val="left"/>
      </w:pPr>
      <w:r>
        <w:rPr/>
        <w:t>本公司不存在导致对报告期末起</w:t>
      </w:r>
      <w:r>
        <w:rPr>
          <w:spacing w:val="-53"/>
        </w:rPr>
        <w:t> </w:t>
      </w:r>
      <w:r>
        <w:rPr>
          <w:rFonts w:ascii="宋体" w:hAnsi="宋体" w:cs="宋体" w:eastAsia="宋体" w:hint="default"/>
        </w:rPr>
        <w:t>12</w:t>
      </w:r>
      <w:r>
        <w:rPr>
          <w:rFonts w:ascii="宋体" w:hAnsi="宋体" w:cs="宋体" w:eastAsia="宋体" w:hint="default"/>
          <w:spacing w:val="-54"/>
        </w:rPr>
        <w:t> </w:t>
      </w:r>
      <w:r>
        <w:rPr/>
        <w:t>个月内的持续经营假设产生重大疑虑的事项或情况。</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6"/>
          <w:szCs w:val="26"/>
        </w:rPr>
      </w:pPr>
    </w:p>
    <w:p>
      <w:pPr>
        <w:pStyle w:val="Heading3"/>
        <w:spacing w:line="240" w:lineRule="auto" w:before="35"/>
        <w:ind w:left="574" w:right="0"/>
        <w:jc w:val="left"/>
        <w:rPr>
          <w:rFonts w:ascii="黑体" w:hAnsi="黑体" w:cs="黑体" w:eastAsia="黑体" w:hint="default"/>
          <w:b w:val="0"/>
          <w:bCs w:val="0"/>
        </w:rPr>
      </w:pPr>
      <w:bookmarkStart w:name="五、重要会计政策及会计估计" w:id="167"/>
      <w:bookmarkEnd w:id="167"/>
      <w:r>
        <w:rPr>
          <w:b w:val="0"/>
          <w:bCs w:val="0"/>
        </w:rPr>
      </w:r>
      <w:r>
        <w:rPr>
          <w:rFonts w:ascii="黑体" w:hAnsi="黑体" w:cs="黑体" w:eastAsia="黑体" w:hint="default"/>
        </w:rPr>
        <w:t>五、重要会计政策及会计估计</w:t>
      </w:r>
      <w:r>
        <w:rPr>
          <w:rFonts w:ascii="黑体" w:hAnsi="黑体" w:cs="黑体" w:eastAsia="黑体" w:hint="default"/>
          <w:b w:val="0"/>
          <w:bCs w:val="0"/>
        </w:rPr>
      </w:r>
    </w:p>
    <w:p>
      <w:pPr>
        <w:spacing w:line="240" w:lineRule="auto" w:before="9"/>
        <w:rPr>
          <w:rFonts w:ascii="黑体" w:hAnsi="黑体" w:cs="黑体" w:eastAsia="黑体" w:hint="default"/>
          <w:b/>
          <w:bCs/>
          <w:sz w:val="17"/>
          <w:szCs w:val="17"/>
        </w:rPr>
      </w:pPr>
    </w:p>
    <w:p>
      <w:pPr>
        <w:pStyle w:val="BodyText"/>
        <w:spacing w:line="410" w:lineRule="auto"/>
        <w:ind w:left="154" w:right="1017" w:firstLine="420"/>
        <w:jc w:val="left"/>
      </w:pPr>
      <w:r>
        <w:rPr>
          <w:spacing w:val="-3"/>
        </w:rPr>
        <w:t>重要提示：本公司根据实际生产经营特点针对应收款项坏账准备计提、固定资产折旧、无形资产摊销、</w:t>
      </w:r>
      <w:r>
        <w:rPr/>
        <w:t> 收入确认等交易或事项制定了具体会计政策和会计估计。</w:t>
      </w:r>
    </w:p>
    <w:p>
      <w:pPr>
        <w:pStyle w:val="BodyText"/>
        <w:spacing w:line="444" w:lineRule="auto" w:before="84"/>
        <w:ind w:left="574" w:right="0"/>
        <w:jc w:val="left"/>
      </w:pPr>
      <w:bookmarkStart w:name="(一) 遵循企业会计准则的声明" w:id="168"/>
      <w:bookmarkEnd w:id="168"/>
      <w:r>
        <w:rPr/>
      </w:r>
      <w:r>
        <w:rPr>
          <w:rFonts w:ascii="宋体" w:hAnsi="宋体" w:cs="宋体" w:eastAsia="宋体" w:hint="default"/>
        </w:rPr>
        <w:t>(</w:t>
      </w:r>
      <w:r>
        <w:rPr/>
        <w:t>一</w:t>
      </w:r>
      <w:r>
        <w:rPr>
          <w:rFonts w:ascii="宋体" w:hAnsi="宋体" w:cs="宋体" w:eastAsia="宋体" w:hint="default"/>
        </w:rPr>
        <w:t>) </w:t>
      </w:r>
      <w:r>
        <w:rPr/>
        <w:t>遵循企业会计准则的声明 </w:t>
      </w:r>
      <w:r>
        <w:rPr>
          <w:spacing w:val="-1"/>
        </w:rPr>
        <w:t>本公司所编制的财务报表符合企业会计准则的要求，真实、完整地反映了公司的财务状况、经营成果</w:t>
      </w:r>
    </w:p>
    <w:p>
      <w:pPr>
        <w:pStyle w:val="BodyText"/>
        <w:spacing w:line="444" w:lineRule="auto" w:before="14"/>
        <w:ind w:left="574" w:right="8442" w:hanging="420"/>
        <w:jc w:val="left"/>
      </w:pPr>
      <w:r>
        <w:rPr/>
        <w:t>和现金流量等有关信息。 </w:t>
      </w:r>
      <w:bookmarkStart w:name="(二) 会计期间" w:id="169"/>
      <w:bookmarkEnd w:id="169"/>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会计期间</w:t>
      </w:r>
    </w:p>
    <w:p>
      <w:pPr>
        <w:pStyle w:val="BodyText"/>
        <w:spacing w:line="444" w:lineRule="auto" w:before="55"/>
        <w:ind w:left="574" w:right="6142"/>
        <w:jc w:val="left"/>
      </w:pPr>
      <w:r>
        <w:rPr/>
        <w:t>会计年度自公历</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 </w:t>
      </w:r>
      <w:bookmarkStart w:name="(三) 营业周期" w:id="170"/>
      <w:bookmarkEnd w:id="170"/>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营业周期</w:t>
      </w:r>
    </w:p>
    <w:p>
      <w:pPr>
        <w:pStyle w:val="BodyText"/>
        <w:spacing w:line="444" w:lineRule="auto" w:before="54"/>
        <w:ind w:left="574" w:right="3090"/>
        <w:jc w:val="left"/>
      </w:pPr>
      <w:r>
        <w:rPr/>
        <w:t>公司经营业务的营业周期较短，以</w:t>
      </w:r>
      <w:r>
        <w:rPr>
          <w:spacing w:val="-54"/>
        </w:rPr>
        <w:t> </w:t>
      </w:r>
      <w:r>
        <w:rPr>
          <w:rFonts w:ascii="宋体" w:hAnsi="宋体" w:cs="宋体" w:eastAsia="宋体" w:hint="default"/>
        </w:rPr>
        <w:t>12</w:t>
      </w:r>
      <w:r>
        <w:rPr>
          <w:rFonts w:ascii="宋体" w:hAnsi="宋体" w:cs="宋体" w:eastAsia="宋体" w:hint="default"/>
          <w:spacing w:val="-54"/>
        </w:rPr>
        <w:t> </w:t>
      </w:r>
      <w:r>
        <w:rPr/>
        <w:t>个月作为资产和负债的流动性划分标准。 </w:t>
      </w:r>
      <w:bookmarkStart w:name="(四) 记账本位币" w:id="171"/>
      <w:bookmarkEnd w:id="171"/>
      <w:r>
        <w:rPr/>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记账本位币</w:t>
      </w:r>
    </w:p>
    <w:p>
      <w:pPr>
        <w:pStyle w:val="BodyText"/>
        <w:spacing w:line="240" w:lineRule="auto" w:before="53"/>
        <w:ind w:left="574" w:right="0"/>
        <w:jc w:val="left"/>
      </w:pPr>
      <w:r>
        <w:rPr/>
        <w:t>采用人民币为记账本位币。</w:t>
      </w:r>
    </w:p>
    <w:p>
      <w:pPr>
        <w:spacing w:line="240" w:lineRule="auto" w:before="10"/>
        <w:rPr>
          <w:rFonts w:ascii="宋体" w:hAnsi="宋体" w:cs="宋体" w:eastAsia="宋体" w:hint="default"/>
          <w:sz w:val="14"/>
          <w:szCs w:val="14"/>
        </w:rPr>
      </w:pPr>
    </w:p>
    <w:p>
      <w:pPr>
        <w:pStyle w:val="BodyText"/>
        <w:spacing w:line="408" w:lineRule="auto"/>
        <w:ind w:left="574" w:right="4978"/>
        <w:jc w:val="left"/>
      </w:pPr>
      <w:bookmarkStart w:name="(五) 同一控制下和非同一控制下企业合并的会计处理方法" w:id="172"/>
      <w:bookmarkEnd w:id="172"/>
      <w:r>
        <w:rPr/>
      </w: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同一控制下和非同一控制下企业合并的会计处理方法 </w:t>
      </w:r>
      <w:bookmarkStart w:name="1. 同一控制下企业合并的会计处理方法" w:id="173"/>
      <w:bookmarkEnd w:id="173"/>
      <w:r>
        <w:rPr/>
      </w:r>
      <w:r>
        <w:rPr>
          <w:rFonts w:ascii="宋体" w:hAnsi="宋体" w:cs="宋体" w:eastAsia="宋体" w:hint="default"/>
        </w:rPr>
        <w:t>1.</w:t>
      </w:r>
      <w:r>
        <w:rPr>
          <w:rFonts w:ascii="宋体" w:hAnsi="宋体" w:cs="宋体" w:eastAsia="宋体" w:hint="default"/>
          <w:spacing w:val="-1"/>
        </w:rPr>
        <w:t> </w:t>
      </w:r>
      <w:r>
        <w:rPr/>
        <w:t>同一控制下企业合并的会计处理方法</w:t>
      </w:r>
    </w:p>
    <w:p>
      <w:pPr>
        <w:pStyle w:val="BodyText"/>
        <w:spacing w:line="408" w:lineRule="auto" w:before="46"/>
        <w:ind w:left="154" w:right="1132" w:firstLine="420"/>
        <w:jc w:val="both"/>
      </w:pPr>
      <w:r>
        <w:rPr>
          <w:spacing w:val="-1"/>
        </w:rPr>
        <w:t>公司在企业合并中取得的资产和负债，按照合并日被合并方在最终控制方合并财务报表中的账面价值</w:t>
      </w:r>
      <w:r>
        <w:rPr/>
        <w:t> </w:t>
      </w: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BodyText"/>
        <w:spacing w:line="408" w:lineRule="auto" w:before="46"/>
        <w:ind w:left="574" w:right="0"/>
        <w:jc w:val="left"/>
      </w:pPr>
      <w:bookmarkStart w:name="2. 非同一控制下企业合并的会计处理方法" w:id="174"/>
      <w:bookmarkEnd w:id="174"/>
      <w:r>
        <w:rPr/>
      </w:r>
      <w:r>
        <w:rPr>
          <w:rFonts w:ascii="宋体" w:hAnsi="宋体" w:cs="宋体" w:eastAsia="宋体" w:hint="default"/>
        </w:rPr>
        <w:t>2. </w:t>
      </w:r>
      <w:r>
        <w:rPr/>
        <w:t>非同一控制下企业合并的会计处理方法 </w:t>
      </w:r>
      <w:r>
        <w:rPr>
          <w:spacing w:val="3"/>
        </w:rPr>
        <w:t>公司在购买日对合并成本大于合并中取得的被购买方可辨认净资产公允价值份额的差额，确认为商</w:t>
      </w:r>
    </w:p>
    <w:p>
      <w:pPr>
        <w:pStyle w:val="BodyText"/>
        <w:spacing w:line="408" w:lineRule="auto" w:before="46"/>
        <w:ind w:left="154" w:right="113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pStyle w:val="BodyText"/>
        <w:spacing w:line="240" w:lineRule="auto" w:before="46"/>
        <w:ind w:left="574" w:right="0"/>
        <w:jc w:val="left"/>
      </w:pPr>
      <w:bookmarkStart w:name="(六) 合并财务报表的编制方法" w:id="175"/>
      <w:bookmarkEnd w:id="175"/>
      <w:r>
        <w:rPr/>
      </w: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1"/>
        </w:rPr>
        <w:t> </w:t>
      </w:r>
      <w:r>
        <w:rPr/>
        <w:t>合并财务报表的编制方法</w:t>
      </w:r>
    </w:p>
    <w:p>
      <w:pPr>
        <w:spacing w:line="240" w:lineRule="auto" w:before="10"/>
        <w:rPr>
          <w:rFonts w:ascii="宋体" w:hAnsi="宋体" w:cs="宋体" w:eastAsia="宋体" w:hint="default"/>
          <w:sz w:val="14"/>
          <w:szCs w:val="14"/>
        </w:rPr>
      </w:pPr>
    </w:p>
    <w:p>
      <w:pPr>
        <w:pStyle w:val="BodyText"/>
        <w:spacing w:line="240" w:lineRule="auto"/>
        <w:ind w:left="574" w:right="0"/>
        <w:jc w:val="left"/>
      </w:pPr>
      <w:bookmarkStart w:name="1. 母公司将其控制的所有子公司纳入合并财务报表的合并范围。合并财务报表以母公司" w:id="176"/>
      <w:bookmarkEnd w:id="176"/>
      <w:r>
        <w:rPr/>
      </w:r>
      <w:r>
        <w:rPr>
          <w:rFonts w:ascii="宋体" w:hAnsi="宋体" w:cs="宋体" w:eastAsia="宋体" w:hint="default"/>
        </w:rPr>
        <w:t>1.</w:t>
      </w:r>
      <w:r>
        <w:rPr>
          <w:rFonts w:ascii="宋体" w:hAnsi="宋体" w:cs="宋体" w:eastAsia="宋体" w:hint="default"/>
          <w:spacing w:val="73"/>
        </w:rPr>
        <w:t> </w:t>
      </w:r>
      <w:r>
        <w:rPr/>
        <w:t>母公司将其控制的所有子公司纳入合并财务报表的合并范围。合并财务报表以母公司及其子公司</w:t>
      </w:r>
    </w:p>
    <w:p>
      <w:pPr>
        <w:spacing w:line="240" w:lineRule="auto" w:before="10"/>
        <w:rPr>
          <w:rFonts w:ascii="宋体" w:hAnsi="宋体" w:cs="宋体" w:eastAsia="宋体" w:hint="default"/>
          <w:sz w:val="14"/>
          <w:szCs w:val="14"/>
        </w:rPr>
      </w:pPr>
    </w:p>
    <w:p>
      <w:pPr>
        <w:pStyle w:val="BodyText"/>
        <w:spacing w:line="240" w:lineRule="auto"/>
        <w:ind w:left="154" w:right="0"/>
        <w:jc w:val="both"/>
      </w:pPr>
      <w:r>
        <w:rPr/>
        <w:t>的财务报表为基础，根据其他有关资料，由母公司按照《企业会计准则第</w:t>
      </w:r>
      <w:r>
        <w:rPr>
          <w:spacing w:val="-67"/>
        </w:rPr>
        <w:t> </w:t>
      </w:r>
      <w:r>
        <w:rPr>
          <w:rFonts w:ascii="宋体" w:hAnsi="宋体" w:cs="宋体" w:eastAsia="宋体" w:hint="default"/>
        </w:rPr>
        <w:t>33</w:t>
      </w:r>
      <w:r>
        <w:rPr>
          <w:rFonts w:ascii="宋体" w:hAnsi="宋体" w:cs="宋体" w:eastAsia="宋体" w:hint="default"/>
          <w:spacing w:val="-67"/>
        </w:rPr>
        <w:t> </w:t>
      </w:r>
      <w:r>
        <w:rPr/>
        <w:t>号</w:t>
      </w:r>
      <w:r>
        <w:rPr>
          <w:rFonts w:ascii="Times New Roman" w:hAnsi="Times New Roman" w:cs="Times New Roman" w:eastAsia="Times New Roman" w:hint="default"/>
        </w:rPr>
        <w:t>——</w:t>
      </w:r>
      <w:r>
        <w:rPr/>
        <w:t>合并财务报表》编制。</w:t>
      </w:r>
    </w:p>
    <w:p>
      <w:pPr>
        <w:pStyle w:val="BodyText"/>
        <w:spacing w:line="408" w:lineRule="auto" w:before="177"/>
        <w:ind w:left="573" w:right="1829"/>
        <w:jc w:val="left"/>
      </w:pPr>
      <w:bookmarkStart w:name="2. 对同一子公司的股权在连续两个会计年度买入再卖出，或卖出再买入的相关会计处理" w:id="177"/>
      <w:bookmarkEnd w:id="177"/>
      <w:r>
        <w:rPr/>
      </w:r>
      <w:r>
        <w:rPr>
          <w:rFonts w:ascii="宋体" w:hAnsi="宋体" w:cs="宋体" w:eastAsia="宋体" w:hint="default"/>
        </w:rPr>
        <w:t>2.</w:t>
      </w:r>
      <w:r>
        <w:rPr>
          <w:rFonts w:ascii="宋体" w:hAnsi="宋体" w:cs="宋体" w:eastAsia="宋体" w:hint="default"/>
          <w:spacing w:val="-1"/>
        </w:rPr>
        <w:t> </w:t>
      </w:r>
      <w:r>
        <w:rPr/>
        <w:t>对同一子公司的股权在连续两个会计年度买入再卖出，或卖出再买入的相关会计处理方法 </w:t>
      </w:r>
      <w:bookmarkStart w:name="(七) 现金及现金等价物的确定标准" w:id="178"/>
      <w:bookmarkEnd w:id="178"/>
      <w:r>
        <w:rPr/>
      </w: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1"/>
        </w:rPr>
        <w:t> </w:t>
      </w:r>
      <w:r>
        <w:rPr/>
        <w:t>现金及现金等价物的确定标准</w:t>
      </w:r>
    </w:p>
    <w:p>
      <w:pPr>
        <w:pStyle w:val="BodyText"/>
        <w:spacing w:line="408" w:lineRule="auto" w:before="46"/>
        <w:ind w:left="154" w:right="0" w:firstLine="420"/>
        <w:jc w:val="left"/>
      </w:pPr>
      <w:r>
        <w:rPr>
          <w:spacing w:val="-1"/>
        </w:rPr>
        <w:t>列示于现金流量表中的现金是指库存现金以及可以随时用于支付的存款。现金等价物是指企业持有的</w:t>
      </w:r>
      <w:r>
        <w:rPr/>
        <w:t> 期限短、流动性强、易于转换为已知金额现金、价值变动风险很小的投资。</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44" w:lineRule="auto" w:before="35"/>
        <w:ind w:left="574" w:right="7498"/>
        <w:jc w:val="left"/>
      </w:pPr>
      <w:bookmarkStart w:name="(八) 外币业务和外币报表折算" w:id="179"/>
      <w:bookmarkEnd w:id="179"/>
      <w:r>
        <w:rPr/>
      </w: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1"/>
        </w:rPr>
        <w:t> </w:t>
      </w:r>
      <w:r>
        <w:rPr/>
        <w:t>外币业务和外币报表折算 </w:t>
      </w:r>
      <w:r>
        <w:rPr>
          <w:rFonts w:ascii="宋体" w:hAnsi="宋体" w:cs="宋体" w:eastAsia="宋体" w:hint="default"/>
        </w:rPr>
        <w:t>1.</w:t>
      </w:r>
      <w:r>
        <w:rPr/>
        <w:t>外币业务折算</w:t>
      </w:r>
    </w:p>
    <w:p>
      <w:pPr>
        <w:pStyle w:val="BodyText"/>
        <w:spacing w:line="408" w:lineRule="auto" w:before="54"/>
        <w:ind w:left="154" w:right="1130" w:firstLine="420"/>
        <w:jc w:val="both"/>
      </w:pPr>
      <w:r>
        <w:rPr>
          <w:spacing w:val="-1"/>
        </w:rPr>
        <w:t>外币交易在初始确认时，采用交易发生日的即期汇率折算为人民币金额。资产负债表日，外币货币性</w:t>
      </w:r>
      <w:r>
        <w:rPr/>
        <w:t> </w:t>
      </w: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pStyle w:val="BodyText"/>
        <w:spacing w:line="441" w:lineRule="auto" w:before="85"/>
        <w:ind w:left="574" w:right="0"/>
        <w:jc w:val="left"/>
      </w:pPr>
      <w:r>
        <w:rPr>
          <w:rFonts w:ascii="宋体" w:hAnsi="宋体" w:cs="宋体" w:eastAsia="宋体" w:hint="default"/>
        </w:rPr>
        <w:t>2. </w:t>
      </w:r>
      <w:r>
        <w:rPr/>
        <w:t>外币财务报表折算 </w:t>
      </w:r>
      <w:r>
        <w:rPr>
          <w:spacing w:val="-1"/>
        </w:rPr>
        <w:t>资产负债表中的资产和负债项目，采用资产负债表日的即期汇率折算；所有者权益项目除“未分配利</w:t>
      </w:r>
    </w:p>
    <w:p>
      <w:pPr>
        <w:pStyle w:val="BodyText"/>
        <w:spacing w:line="410" w:lineRule="auto" w:before="16"/>
        <w:ind w:left="154" w:right="0"/>
        <w:jc w:val="left"/>
      </w:pPr>
      <w:r>
        <w:rPr>
          <w:spacing w:val="-1"/>
        </w:rPr>
        <w:t>润”项目外，其他项目采用交易发生日的即期汇率折算；利润表中的收入和费用项目，采用交易发生日的</w:t>
      </w:r>
      <w:r>
        <w:rPr>
          <w:spacing w:val="-86"/>
        </w:rPr>
        <w:t> </w:t>
      </w:r>
      <w:r>
        <w:rPr>
          <w:spacing w:val="-86"/>
        </w:rPr>
      </w:r>
      <w:r>
        <w:rPr/>
        <w:t>即期汇率折算。按照上述折算产生的外币财务报表折算差额，计入其他综合收益。</w:t>
      </w:r>
    </w:p>
    <w:p>
      <w:pPr>
        <w:pStyle w:val="BodyText"/>
        <w:spacing w:line="240" w:lineRule="auto" w:before="85"/>
        <w:ind w:left="573" w:right="0"/>
        <w:jc w:val="left"/>
      </w:pP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1"/>
        </w:rPr>
        <w:t> </w:t>
      </w:r>
      <w:r>
        <w:rPr/>
        <w:t>金融工具</w:t>
      </w:r>
    </w:p>
    <w:p>
      <w:pPr>
        <w:spacing w:line="240" w:lineRule="auto" w:before="10"/>
        <w:rPr>
          <w:rFonts w:ascii="宋体" w:hAnsi="宋体" w:cs="宋体" w:eastAsia="宋体" w:hint="default"/>
          <w:sz w:val="17"/>
          <w:szCs w:val="17"/>
        </w:rPr>
      </w:pPr>
    </w:p>
    <w:p>
      <w:pPr>
        <w:pStyle w:val="BodyText"/>
        <w:spacing w:line="441" w:lineRule="auto"/>
        <w:ind w:left="574" w:right="0"/>
        <w:jc w:val="left"/>
      </w:pPr>
      <w:r>
        <w:rPr>
          <w:rFonts w:ascii="宋体" w:hAnsi="宋体" w:cs="宋体" w:eastAsia="宋体" w:hint="default"/>
        </w:rPr>
        <w:t>1. </w:t>
      </w:r>
      <w:r>
        <w:rPr/>
        <w:t>金融资产和金融负债的分类 </w:t>
      </w:r>
      <w:r>
        <w:rPr>
          <w:spacing w:val="-1"/>
        </w:rPr>
        <w:t>金融资产在初始确认时划分为以下四类：以公允价值计量且其变动计入当期损益的金融资产（包括交</w:t>
      </w:r>
    </w:p>
    <w:p>
      <w:pPr>
        <w:pStyle w:val="BodyText"/>
        <w:spacing w:line="408" w:lineRule="auto" w:before="17"/>
        <w:ind w:left="154" w:right="0"/>
        <w:jc w:val="left"/>
      </w:pPr>
      <w:r>
        <w:rPr>
          <w:spacing w:val="-1"/>
        </w:rPr>
        <w:t>易性金融资产和在初始确认时指定为以公允价值计量且其变动计入当期损益的金融资产）、持有至到期投</w:t>
      </w:r>
      <w:r>
        <w:rPr>
          <w:spacing w:val="-81"/>
        </w:rPr>
        <w:t> </w:t>
      </w:r>
      <w:r>
        <w:rPr>
          <w:spacing w:val="-81"/>
        </w:rPr>
      </w:r>
      <w:r>
        <w:rPr/>
        <w:t>资、贷款和应收款项、可供出售金融资产。</w:t>
      </w:r>
    </w:p>
    <w:p>
      <w:pPr>
        <w:pStyle w:val="BodyText"/>
        <w:spacing w:line="408" w:lineRule="auto" w:before="46"/>
        <w:ind w:left="154" w:right="1027" w:firstLine="420"/>
        <w:jc w:val="both"/>
      </w:pPr>
      <w:r>
        <w:rPr/>
        <w:t>金融负债在初始确认时划分为以下两类：以公允价值计量且其变动计入当期损益的金融负债（包括交 </w:t>
      </w:r>
      <w:r>
        <w:rPr>
          <w:spacing w:val="-3"/>
        </w:rPr>
        <w:t>易性金融负债和在初始确认时指定为以公允价值计量且其变动计入当期损益的金融负债）、其他金融负债。</w:t>
      </w:r>
    </w:p>
    <w:p>
      <w:pPr>
        <w:pStyle w:val="BodyText"/>
        <w:spacing w:line="408" w:lineRule="auto" w:before="46"/>
        <w:ind w:left="574" w:right="1092"/>
        <w:jc w:val="left"/>
      </w:pPr>
      <w:bookmarkStart w:name="2. 金融资产和金融负债的确认依据、计量方法和终止确认条件" w:id="180"/>
      <w:bookmarkEnd w:id="180"/>
      <w:r>
        <w:rPr/>
      </w:r>
      <w:r>
        <w:rPr>
          <w:rFonts w:ascii="宋体" w:hAnsi="宋体" w:cs="宋体" w:eastAsia="宋体" w:hint="default"/>
        </w:rPr>
        <w:t>2. </w:t>
      </w:r>
      <w:r>
        <w:rPr/>
        <w:t>金融资产和金融负债的确认依据、计量方法和终止确认条件 公司成为金融工具合同的一方时，确认一项金融资产或金融负债。初始确认金融资产或金融负债时，</w:t>
      </w:r>
    </w:p>
    <w:p>
      <w:pPr>
        <w:pStyle w:val="BodyText"/>
        <w:spacing w:line="408" w:lineRule="auto" w:before="46"/>
        <w:ind w:left="154" w:right="0"/>
        <w:jc w:val="left"/>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408" w:lineRule="auto" w:before="46"/>
        <w:ind w:right="1110" w:firstLine="420"/>
        <w:jc w:val="both"/>
      </w:pPr>
      <w:r>
        <w:rPr/>
        <w:t>公司按照公允价值对金融资产进行后续计量，且不扣除将来处置该金融资产时可能发生的交易费用， 但下列情况除外：</w:t>
      </w:r>
      <w:r>
        <w:rPr>
          <w:rFonts w:ascii="宋体" w:hAnsi="宋体" w:cs="宋体" w:eastAsia="宋体" w:hint="default"/>
        </w:rPr>
        <w:t>(1) </w:t>
      </w:r>
      <w:r>
        <w:rPr/>
        <w:t>持有至到期投资以及贷款和应收款项采用实际利率法，按摊余成本计量；</w:t>
      </w:r>
      <w:r>
        <w:rPr>
          <w:rFonts w:ascii="宋体" w:hAnsi="宋体" w:cs="宋体" w:eastAsia="宋体" w:hint="default"/>
        </w:rPr>
        <w:t>(2)</w:t>
      </w:r>
      <w:r>
        <w:rPr>
          <w:rFonts w:ascii="宋体" w:hAnsi="宋体" w:cs="宋体" w:eastAsia="宋体" w:hint="default"/>
          <w:spacing w:val="-23"/>
        </w:rPr>
        <w:t> </w:t>
      </w:r>
      <w:r>
        <w:rPr/>
        <w:t>在活</w:t>
      </w:r>
      <w:r>
        <w:rPr>
          <w:spacing w:val="-2"/>
        </w:rPr>
        <w:t> </w:t>
      </w:r>
      <w:r>
        <w:rPr>
          <w:spacing w:val="-1"/>
        </w:rPr>
        <w:t>跃市场中没有报价且其公允价值不能可靠计量的权益工具投资，以及与该权益工具挂钩并须通过交付该权</w:t>
      </w:r>
      <w:r>
        <w:rPr>
          <w:spacing w:val="-81"/>
        </w:rPr>
        <w:t> </w:t>
      </w:r>
      <w:r>
        <w:rPr>
          <w:spacing w:val="-81"/>
        </w:rPr>
      </w:r>
      <w:r>
        <w:rPr/>
        <w:t>益工具结算的衍生金融资产，按照成本计量。</w:t>
      </w:r>
    </w:p>
    <w:p>
      <w:pPr>
        <w:pStyle w:val="BodyText"/>
        <w:spacing w:line="408" w:lineRule="auto" w:before="46"/>
        <w:ind w:right="1131"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23"/>
        </w:rPr>
        <w:t> </w:t>
      </w:r>
      <w:r>
        <w:rPr/>
        <w:t>以公允价值计量 </w:t>
      </w:r>
      <w:r>
        <w:rPr>
          <w:spacing w:val="-1"/>
        </w:rPr>
        <w:t>且其变动计入当期损益的金融负债，按照公允价值计量，且不扣除将来结清金融负债时可能发生的交易费</w:t>
      </w:r>
      <w:r>
        <w:rPr>
          <w:spacing w:val="-81"/>
        </w:rPr>
        <w:t> </w:t>
      </w:r>
      <w:r>
        <w:rPr>
          <w:spacing w:val="-81"/>
        </w:rPr>
      </w:r>
      <w:r>
        <w:rPr>
          <w:spacing w:val="-3"/>
        </w:rPr>
        <w:t>用；</w:t>
      </w:r>
      <w:r>
        <w:rPr>
          <w:rFonts w:ascii="宋体" w:hAnsi="宋体" w:cs="宋体" w:eastAsia="宋体" w:hint="default"/>
          <w:spacing w:val="-3"/>
        </w:rPr>
        <w:t>(2)</w:t>
      </w:r>
      <w:r>
        <w:rPr>
          <w:rFonts w:ascii="宋体" w:hAnsi="宋体" w:cs="宋体" w:eastAsia="宋体" w:hint="default"/>
          <w:spacing w:val="-8"/>
        </w:rPr>
        <w:t> </w:t>
      </w:r>
      <w:r>
        <w:rPr/>
        <w:t>与在活跃市场中没有报价、公允价值不能可靠计量的权益工具挂钩并须通过交付该权益工具结算</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jc w:val="both"/>
      </w:pPr>
      <w:r>
        <w:rPr/>
        <w:t>的衍生金融负债，按照成本计量；</w:t>
      </w:r>
      <w:r>
        <w:rPr>
          <w:rFonts w:ascii="宋体" w:hAnsi="宋体" w:cs="宋体" w:eastAsia="宋体" w:hint="default"/>
        </w:rPr>
        <w:t>(3)</w:t>
      </w:r>
      <w:r>
        <w:rPr>
          <w:rFonts w:ascii="宋体" w:hAnsi="宋体" w:cs="宋体" w:eastAsia="宋体" w:hint="default"/>
          <w:spacing w:val="-22"/>
        </w:rPr>
        <w:t> </w:t>
      </w:r>
      <w:r>
        <w:rPr/>
        <w:t>不属于指定为以公允价值计量且其变动计入当期损益的金融负债的 </w:t>
      </w:r>
      <w:r>
        <w:rPr>
          <w:spacing w:val="3"/>
        </w:rPr>
        <w:t>财务担保合同，或没有指定为以公允价值计量且其变动计入当期损益并将以低于市场利率贷款的贷款承</w:t>
      </w:r>
      <w:r>
        <w:rPr>
          <w:spacing w:val="-82"/>
        </w:rPr>
        <w:t> </w:t>
      </w:r>
      <w:r>
        <w:rPr>
          <w:spacing w:val="-82"/>
        </w:rPr>
      </w:r>
      <w:r>
        <w:rPr/>
        <w:t>诺，在初始确认后按照下列两项金额之中的较高者进行后续计量：</w:t>
      </w:r>
      <w:r>
        <w:rPr>
          <w:rFonts w:ascii="宋体" w:hAnsi="宋体" w:cs="宋体" w:eastAsia="宋体" w:hint="default"/>
        </w:rPr>
        <w:t>1)</w:t>
      </w:r>
      <w:r>
        <w:rPr>
          <w:rFonts w:ascii="宋体" w:hAnsi="宋体" w:cs="宋体" w:eastAsia="宋体" w:hint="default"/>
          <w:spacing w:val="-13"/>
        </w:rPr>
        <w:t> </w:t>
      </w:r>
      <w:r>
        <w:rPr/>
        <w:t>按照《企业会计准则第</w:t>
      </w:r>
      <w:r>
        <w:rPr>
          <w:spacing w:val="-58"/>
        </w:rPr>
        <w:t> </w:t>
      </w:r>
      <w:r>
        <w:rPr>
          <w:rFonts w:ascii="宋体" w:hAnsi="宋体" w:cs="宋体" w:eastAsia="宋体" w:hint="default"/>
        </w:rPr>
        <w:t>13</w:t>
      </w:r>
      <w:r>
        <w:rPr>
          <w:rFonts w:ascii="宋体" w:hAnsi="宋体" w:cs="宋体" w:eastAsia="宋体" w:hint="default"/>
          <w:spacing w:val="-58"/>
        </w:rPr>
        <w:t> </w:t>
      </w:r>
      <w:r>
        <w:rPr/>
        <w:t>号——或 有事项》确定的金额；</w:t>
      </w:r>
      <w:r>
        <w:rPr>
          <w:rFonts w:ascii="宋体" w:hAnsi="宋体" w:cs="宋体" w:eastAsia="宋体" w:hint="default"/>
        </w:rPr>
        <w:t>2)</w:t>
      </w:r>
      <w:r>
        <w:rPr>
          <w:rFonts w:ascii="宋体" w:hAnsi="宋体" w:cs="宋体" w:eastAsia="宋体" w:hint="default"/>
          <w:spacing w:val="-13"/>
        </w:rPr>
        <w:t> </w:t>
      </w:r>
      <w:r>
        <w:rPr/>
        <w:t>初始确认金额扣除按照《企业会计准则第</w:t>
      </w:r>
      <w:r>
        <w:rPr>
          <w:spacing w:val="-59"/>
        </w:rPr>
        <w:t> </w:t>
      </w:r>
      <w:r>
        <w:rPr>
          <w:rFonts w:ascii="宋体" w:hAnsi="宋体" w:cs="宋体" w:eastAsia="宋体" w:hint="default"/>
        </w:rPr>
        <w:t>14</w:t>
      </w:r>
      <w:r>
        <w:rPr>
          <w:rFonts w:ascii="宋体" w:hAnsi="宋体" w:cs="宋体" w:eastAsia="宋体" w:hint="default"/>
          <w:spacing w:val="-60"/>
        </w:rPr>
        <w:t> </w:t>
      </w:r>
      <w:r>
        <w:rPr/>
        <w:t>号——收入》的原则确定的累积摊 销额后的余额。</w:t>
      </w:r>
    </w:p>
    <w:p>
      <w:pPr>
        <w:pStyle w:val="BodyText"/>
        <w:spacing w:line="408" w:lineRule="auto" w:before="87"/>
        <w:ind w:right="1130" w:firstLine="420"/>
        <w:jc w:val="both"/>
      </w:pPr>
      <w:r>
        <w:rPr>
          <w:spacing w:val="-3"/>
        </w:rPr>
        <w:t>金融资产或金融负债公允价值变动形成的利得或损失，除与套期保值有关外，按照如下方法处理：</w:t>
      </w:r>
      <w:r>
        <w:rPr>
          <w:rFonts w:ascii="宋体" w:hAnsi="宋体" w:cs="宋体" w:eastAsia="宋体" w:hint="default"/>
          <w:spacing w:val="-3"/>
        </w:rPr>
        <w:t>(1)</w:t>
      </w:r>
      <w:r>
        <w:rPr>
          <w:rFonts w:ascii="宋体" w:hAnsi="宋体" w:cs="宋体" w:eastAsia="宋体"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5"/>
        </w:rPr>
        <w:t> </w:t>
      </w:r>
      <w:r>
        <w:rPr>
          <w:spacing w:val="-85"/>
        </w:rPr>
      </w:r>
      <w:r>
        <w:rPr/>
        <w:t>与初始入账金额之间的差额确认为投资收益，同时调整公允价值变动收益。</w:t>
      </w:r>
      <w:r>
        <w:rPr>
          <w:rFonts w:ascii="宋体" w:hAnsi="宋体" w:cs="宋体" w:eastAsia="宋体" w:hint="default"/>
        </w:rPr>
        <w:t>(2)</w:t>
      </w:r>
      <w:r>
        <w:rPr>
          <w:rFonts w:ascii="宋体" w:hAnsi="宋体" w:cs="宋体" w:eastAsia="宋体" w:hint="default"/>
          <w:spacing w:val="-21"/>
        </w:rPr>
        <w:t> </w:t>
      </w:r>
      <w:r>
        <w:rPr/>
        <w:t>可供出售金融资产的公允 </w:t>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BodyText"/>
        <w:spacing w:line="410" w:lineRule="auto" w:before="85"/>
        <w:ind w:right="113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BodyText"/>
        <w:spacing w:line="408" w:lineRule="auto" w:before="83"/>
        <w:ind w:left="574" w:right="0"/>
        <w:jc w:val="left"/>
      </w:pPr>
      <w:bookmarkStart w:name="3. 金融资产转移的确认依据和计量方法" w:id="181"/>
      <w:bookmarkEnd w:id="181"/>
      <w:r>
        <w:rPr/>
      </w:r>
      <w:r>
        <w:rPr>
          <w:rFonts w:ascii="宋体" w:hAnsi="宋体" w:cs="宋体" w:eastAsia="宋体" w:hint="default"/>
        </w:rPr>
        <w:t>3.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408" w:lineRule="auto" w:before="46"/>
        <w:ind w:right="1130"/>
        <w:jc w:val="both"/>
      </w:pPr>
      <w:r>
        <w:rPr>
          <w:spacing w:val="-1"/>
        </w:rPr>
        <w:t>金融资产所有权上几乎所有的风险和报酬的，继续确认所转移的金融资产，并将收到的对价确认为一项金</w:t>
      </w:r>
      <w:r>
        <w:rPr>
          <w:spacing w:val="-81"/>
        </w:rPr>
        <w:t> </w:t>
      </w:r>
      <w:r>
        <w:rPr>
          <w:spacing w:val="-81"/>
        </w:rPr>
      </w:r>
      <w:r>
        <w:rPr>
          <w:spacing w:val="-3"/>
        </w:rPr>
        <w:t>融负债。公司既没有转移也没有保留金融资产所有权上几乎所有的风险和报酬的，分别下列情况处理：</w:t>
      </w:r>
      <w:r>
        <w:rPr>
          <w:rFonts w:ascii="宋体" w:hAnsi="宋体" w:cs="宋体" w:eastAsia="宋体" w:hint="default"/>
          <w:spacing w:val="-3"/>
        </w:rPr>
        <w:t>(1)</w:t>
      </w:r>
      <w:r>
        <w:rPr>
          <w:rFonts w:ascii="宋体" w:hAnsi="宋体" w:cs="宋体" w:eastAsia="宋体" w:hint="default"/>
          <w:spacing w:val="-86"/>
        </w:rPr>
        <w:t> </w:t>
      </w:r>
      <w:r>
        <w:rPr/>
        <w:t>放弃了对该金融资产控制的，终止确认该金融资产；</w:t>
      </w:r>
      <w:r>
        <w:rPr>
          <w:rFonts w:ascii="宋体" w:hAnsi="宋体" w:cs="宋体" w:eastAsia="宋体" w:hint="default"/>
        </w:rPr>
        <w:t>(2)</w:t>
      </w:r>
      <w:r>
        <w:rPr>
          <w:rFonts w:ascii="宋体" w:hAnsi="宋体" w:cs="宋体" w:eastAsia="宋体" w:hint="default"/>
          <w:spacing w:val="-21"/>
        </w:rPr>
        <w:t> </w:t>
      </w:r>
      <w:r>
        <w:rPr/>
        <w:t>未放弃对该金融资产控制的，按照继续涉入所转 移金融资产的程度确认有关金融资产，并相应确认有关负债。</w:t>
      </w:r>
    </w:p>
    <w:p>
      <w:pPr>
        <w:pStyle w:val="BodyText"/>
        <w:spacing w:line="408" w:lineRule="auto" w:before="46"/>
        <w:ind w:right="1130"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21"/>
        </w:rPr>
        <w:t> </w:t>
      </w:r>
      <w:r>
        <w:rPr/>
        <w:t>所转移金融资产 的账面价值；</w:t>
      </w:r>
      <w:r>
        <w:rPr>
          <w:rFonts w:ascii="宋体" w:hAnsi="宋体" w:cs="宋体" w:eastAsia="宋体" w:hint="default"/>
        </w:rPr>
        <w:t>(2)</w:t>
      </w:r>
      <w:r>
        <w:rPr>
          <w:rFonts w:ascii="宋体" w:hAnsi="宋体" w:cs="宋体" w:eastAsia="宋体" w:hint="default"/>
          <w:spacing w:val="-22"/>
        </w:rPr>
        <w:t> </w:t>
      </w:r>
      <w:r>
        <w:rPr/>
        <w:t>因转移而收到的对价，与原直接计入所有者权益的公允价值变动累计额之和。金融资产 </w:t>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宋体" w:hAnsi="宋体" w:cs="宋体" w:eastAsia="宋体" w:hint="default"/>
        </w:rPr>
        <w:t>(1)</w:t>
      </w:r>
      <w:r>
        <w:rPr>
          <w:rFonts w:ascii="宋体" w:hAnsi="宋体" w:cs="宋体" w:eastAsia="宋体" w:hint="default"/>
          <w:spacing w:val="-22"/>
        </w:rPr>
        <w:t> </w:t>
      </w:r>
      <w:r>
        <w:rPr/>
        <w:t>终止确认部分的账 面价值；</w:t>
      </w:r>
      <w:r>
        <w:rPr>
          <w:rFonts w:ascii="宋体" w:hAnsi="宋体" w:cs="宋体" w:eastAsia="宋体" w:hint="default"/>
        </w:rPr>
        <w:t>(2)</w:t>
      </w:r>
      <w:r>
        <w:rPr>
          <w:rFonts w:ascii="宋体" w:hAnsi="宋体" w:cs="宋体" w:eastAsia="宋体" w:hint="default"/>
          <w:spacing w:val="-22"/>
        </w:rPr>
        <w:t> </w:t>
      </w:r>
      <w:r>
        <w:rPr/>
        <w:t>终止确认部分的对价，与原直接计入所有者权益的公允价值变动累计额中对应终止确认部分 的金额之和。</w:t>
      </w:r>
    </w:p>
    <w:p>
      <w:pPr>
        <w:pStyle w:val="BodyText"/>
        <w:spacing w:line="408" w:lineRule="auto" w:before="46"/>
        <w:ind w:left="574" w:right="0"/>
        <w:jc w:val="left"/>
      </w:pPr>
      <w:r>
        <w:rPr>
          <w:rFonts w:ascii="宋体" w:hAnsi="宋体" w:cs="宋体" w:eastAsia="宋体" w:hint="default"/>
        </w:rPr>
        <w:t>4. </w:t>
      </w:r>
      <w:r>
        <w:rPr/>
        <w:t>金融资产和金融负债的公允价值确定方法 </w:t>
      </w:r>
      <w:r>
        <w:rPr>
          <w:spacing w:val="3"/>
        </w:rPr>
        <w:t>公司采用在当前情况下适用并且有足够可利用数据和其他信息支持的估值技术确定相关金融资产和</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154" w:right="0"/>
        <w:jc w:val="left"/>
      </w:pPr>
      <w:r>
        <w:rPr/>
        <w:t>金融负债的公允价值。公司将估值技术使用的输入值分以下层级，并依次使用：</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1"/>
        </w:rPr>
        <w:t> </w:t>
      </w:r>
      <w:r>
        <w:rPr/>
        <w:t>第一层次输入值是在计量日能够取得的相同资产或负债在活跃市场上未经调整的报价；</w:t>
      </w:r>
    </w:p>
    <w:p>
      <w:pPr>
        <w:spacing w:line="240" w:lineRule="auto" w:before="10"/>
        <w:rPr>
          <w:rFonts w:ascii="宋体" w:hAnsi="宋体" w:cs="宋体" w:eastAsia="宋体" w:hint="default"/>
          <w:sz w:val="14"/>
          <w:szCs w:val="14"/>
        </w:rPr>
      </w:pPr>
    </w:p>
    <w:p>
      <w:pPr>
        <w:pStyle w:val="BodyText"/>
        <w:spacing w:line="408" w:lineRule="auto"/>
        <w:ind w:right="1131" w:firstLine="420"/>
        <w:jc w:val="both"/>
      </w:pPr>
      <w:r>
        <w:rPr>
          <w:rFonts w:ascii="宋体" w:hAnsi="宋体" w:cs="宋体" w:eastAsia="宋体" w:hint="default"/>
        </w:rPr>
        <w:t>(2)</w:t>
      </w:r>
      <w:r>
        <w:rPr>
          <w:rFonts w:ascii="宋体" w:hAnsi="宋体" w:cs="宋体" w:eastAsia="宋体" w:hint="default"/>
          <w:spacing w:val="-22"/>
        </w:rPr>
        <w:t> </w:t>
      </w:r>
      <w:r>
        <w:rPr/>
        <w:t>第二层次输入值是除第一层次输入值外相关资产或负债直接或间接可观察的输入值，包括：活跃 </w:t>
      </w:r>
      <w:r>
        <w:rPr>
          <w:spacing w:val="-1"/>
        </w:rPr>
        <w:t>市场中类似资产或负债的报价；非活跃市场中相同或类似资产或负债的报价；除报价以外的其他可观察输</w:t>
      </w:r>
      <w:r>
        <w:rPr>
          <w:spacing w:val="-81"/>
        </w:rPr>
        <w:t> </w:t>
      </w:r>
      <w:r>
        <w:rPr>
          <w:spacing w:val="-81"/>
        </w:rPr>
      </w:r>
      <w:r>
        <w:rPr/>
        <w:t>入值，如在正常报价间隔期间可观察的利率和收益率曲线等；市场验证的输入值等；</w:t>
      </w:r>
    </w:p>
    <w:p>
      <w:pPr>
        <w:pStyle w:val="BodyText"/>
        <w:spacing w:line="408" w:lineRule="auto" w:before="46"/>
        <w:ind w:right="1131" w:firstLine="420"/>
        <w:jc w:val="both"/>
      </w:pPr>
      <w:r>
        <w:rPr>
          <w:rFonts w:ascii="宋体" w:hAnsi="宋体" w:cs="宋体" w:eastAsia="宋体" w:hint="default"/>
        </w:rPr>
        <w:t>(3)</w:t>
      </w:r>
      <w:r>
        <w:rPr>
          <w:rFonts w:ascii="宋体" w:hAnsi="宋体" w:cs="宋体" w:eastAsia="宋体" w:hint="default"/>
          <w:spacing w:val="-22"/>
        </w:rPr>
        <w:t> </w:t>
      </w:r>
      <w:r>
        <w:rPr/>
        <w:t>第三层次输入值是相关资产或负债的不可观察输入值，包括不能直接观察或无法由可观察市场数 </w:t>
      </w:r>
      <w:r>
        <w:rPr>
          <w:spacing w:val="-1"/>
        </w:rPr>
        <w:t>据验证的利率、股票波动率、企业合并中承担的弃置义务的未来现金流量、使用自身数据作出的财务预测</w:t>
      </w:r>
      <w:r>
        <w:rPr>
          <w:spacing w:val="-83"/>
        </w:rPr>
        <w:t> </w:t>
      </w:r>
      <w:r>
        <w:rPr>
          <w:spacing w:val="-83"/>
        </w:rPr>
      </w:r>
      <w:r>
        <w:rPr/>
        <w:t>等。</w:t>
      </w:r>
    </w:p>
    <w:p>
      <w:pPr>
        <w:pStyle w:val="BodyText"/>
        <w:spacing w:line="240" w:lineRule="auto" w:before="46"/>
        <w:ind w:left="574" w:right="0"/>
        <w:jc w:val="left"/>
      </w:pPr>
      <w:r>
        <w:rPr>
          <w:rFonts w:ascii="宋体" w:hAnsi="宋体" w:cs="宋体" w:eastAsia="宋体" w:hint="default"/>
        </w:rPr>
        <w:t>5.</w:t>
      </w:r>
      <w:r>
        <w:rPr>
          <w:rFonts w:ascii="宋体" w:hAnsi="宋体" w:cs="宋体" w:eastAsia="宋体" w:hint="default"/>
          <w:spacing w:val="-1"/>
        </w:rPr>
        <w:t> </w:t>
      </w:r>
      <w:r>
        <w:rPr/>
        <w:t>金融资产的减值测试和减值准备计提方法</w:t>
      </w:r>
    </w:p>
    <w:p>
      <w:pPr>
        <w:spacing w:line="240" w:lineRule="auto" w:before="10"/>
        <w:rPr>
          <w:rFonts w:ascii="宋体" w:hAnsi="宋体" w:cs="宋体" w:eastAsia="宋体" w:hint="default"/>
          <w:sz w:val="14"/>
          <w:szCs w:val="14"/>
        </w:rPr>
      </w:pPr>
    </w:p>
    <w:p>
      <w:pPr>
        <w:pStyle w:val="BodyText"/>
        <w:spacing w:line="408" w:lineRule="auto"/>
        <w:ind w:left="154" w:right="1140" w:firstLine="420"/>
        <w:jc w:val="both"/>
      </w:pPr>
      <w:r>
        <w:rPr>
          <w:rFonts w:ascii="宋体" w:hAnsi="宋体" w:cs="宋体" w:eastAsia="宋体" w:hint="default"/>
        </w:rPr>
        <w:t>(1)</w:t>
      </w:r>
      <w:r>
        <w:rPr>
          <w:rFonts w:ascii="宋体" w:hAnsi="宋体" w:cs="宋体" w:eastAsia="宋体" w:hint="default"/>
          <w:spacing w:val="27"/>
        </w:rPr>
        <w:t> </w:t>
      </w:r>
      <w:r>
        <w:rPr>
          <w:spacing w:val="3"/>
        </w:rPr>
        <w:t>资产负债表日对以公允价值计量且其变动计入当期损益的金融资产以外的金融资产的账面价值</w:t>
      </w:r>
      <w:r>
        <w:rPr/>
        <w:t> 进行检查，如有客观证据表明该金融资产发生减值的，计提减值准备。</w:t>
      </w:r>
    </w:p>
    <w:p>
      <w:pPr>
        <w:pStyle w:val="BodyText"/>
        <w:spacing w:line="408" w:lineRule="auto" w:before="46"/>
        <w:ind w:right="1131" w:firstLine="420"/>
        <w:jc w:val="both"/>
      </w:pPr>
      <w:r>
        <w:rPr>
          <w:rFonts w:ascii="宋体" w:hAnsi="宋体" w:cs="宋体" w:eastAsia="宋体" w:hint="default"/>
        </w:rPr>
        <w:t>(2)</w:t>
      </w:r>
      <w:r>
        <w:rPr>
          <w:rFonts w:ascii="宋体" w:hAnsi="宋体" w:cs="宋体" w:eastAsia="宋体" w:hint="default"/>
          <w:spacing w:val="-23"/>
        </w:rPr>
        <w:t> </w:t>
      </w:r>
      <w:r>
        <w:rPr/>
        <w:t>对于持有至到期投资、贷款和应收款，先将单项金额重大的金融资产区分开来，单独进行减值测 </w:t>
      </w:r>
      <w:r>
        <w:rPr>
          <w:spacing w:val="-1"/>
        </w:rPr>
        <w:t>试；对单项金额不重大的金融资产，可以单独进行减值测试，或包括在具有类似信用风险特征的金融资产</w:t>
      </w:r>
      <w:r>
        <w:rPr>
          <w:spacing w:val="-83"/>
        </w:rPr>
        <w:t> </w:t>
      </w:r>
      <w:r>
        <w:rPr>
          <w:spacing w:val="-83"/>
        </w:rPr>
      </w:r>
      <w:r>
        <w:rPr>
          <w:spacing w:val="-1"/>
        </w:rPr>
        <w:t>组合中进行减值测试；单独测试未发生减值的金融资产（包括单项金额重大和不重大的金融资产），包括</w:t>
      </w:r>
      <w:r>
        <w:rPr>
          <w:spacing w:val="-86"/>
        </w:rPr>
        <w:t> </w:t>
      </w:r>
      <w:r>
        <w:rPr>
          <w:spacing w:val="-86"/>
        </w:rPr>
      </w:r>
      <w:r>
        <w:rPr>
          <w:spacing w:val="-1"/>
        </w:rPr>
        <w:t>在具有类似信用风险特征的金融资产组合中再进行减值测试。测试结果表明其发生了减值的，根据其账面</w:t>
      </w:r>
      <w:r>
        <w:rPr>
          <w:spacing w:val="-81"/>
        </w:rPr>
        <w:t> </w:t>
      </w:r>
      <w:r>
        <w:rPr>
          <w:spacing w:val="-81"/>
        </w:rPr>
      </w:r>
      <w:r>
        <w:rPr/>
        <w:t>价值高于预计未来现金流量现值的差额确认减值损失。</w:t>
      </w:r>
    </w:p>
    <w:p>
      <w:pPr>
        <w:pStyle w:val="BodyText"/>
        <w:spacing w:line="240" w:lineRule="auto" w:before="46"/>
        <w:ind w:left="574" w:right="0"/>
        <w:jc w:val="left"/>
      </w:pPr>
      <w:r>
        <w:rPr>
          <w:rFonts w:ascii="宋体" w:hAnsi="宋体" w:cs="宋体" w:eastAsia="宋体" w:hint="default"/>
        </w:rPr>
        <w:t>(3)</w:t>
      </w:r>
      <w:r>
        <w:rPr>
          <w:rFonts w:ascii="宋体" w:hAnsi="宋体" w:cs="宋体" w:eastAsia="宋体" w:hint="default"/>
          <w:spacing w:val="-1"/>
        </w:rPr>
        <w:t> </w:t>
      </w:r>
      <w:r>
        <w:rPr/>
        <w:t>可供出售金融资产</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表明可供出售债务工具投资发生减值的客观证据包括：</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①</w:t>
      </w:r>
      <w:r>
        <w:rPr>
          <w:spacing w:val="-1"/>
        </w:rPr>
        <w:t> </w:t>
      </w:r>
      <w:r>
        <w:rPr/>
        <w:t>债务人发生严重财务困难；</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②</w:t>
      </w:r>
      <w:r>
        <w:rPr>
          <w:spacing w:val="-1"/>
        </w:rPr>
        <w:t> </w:t>
      </w:r>
      <w:r>
        <w:rPr/>
        <w:t>债务人违反了合同条款，如偿付利息或本金发生违约或逾期；</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③</w:t>
      </w:r>
      <w:r>
        <w:rPr>
          <w:spacing w:val="-1"/>
        </w:rPr>
        <w:t> </w:t>
      </w:r>
      <w:r>
        <w:rPr/>
        <w:t>公司出于经济或法律等方面因素的考虑，对发生财务困难的债务人作出让步；</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④</w:t>
      </w:r>
      <w:r>
        <w:rPr>
          <w:spacing w:val="-1"/>
        </w:rPr>
        <w:t> </w:t>
      </w:r>
      <w:r>
        <w:rPr/>
        <w:t>债务人很可能倒闭或进行其他财务重组；</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⑤</w:t>
      </w:r>
      <w:r>
        <w:rPr>
          <w:spacing w:val="-1"/>
        </w:rPr>
        <w:t> </w:t>
      </w:r>
      <w:r>
        <w:rPr/>
        <w:t>因债务人发生重大财务困难，该债务工具无法在活跃市场继续交易；</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⑥</w:t>
      </w:r>
      <w:r>
        <w:rPr>
          <w:spacing w:val="-1"/>
        </w:rPr>
        <w:t> </w:t>
      </w:r>
      <w:r>
        <w:rPr/>
        <w:t>其他表明可供出售债务工具已经发生减值的情况。</w:t>
      </w:r>
    </w:p>
    <w:p>
      <w:pPr>
        <w:spacing w:line="240" w:lineRule="auto" w:before="10"/>
        <w:rPr>
          <w:rFonts w:ascii="宋体" w:hAnsi="宋体" w:cs="宋体" w:eastAsia="宋体" w:hint="default"/>
          <w:sz w:val="14"/>
          <w:szCs w:val="14"/>
        </w:rPr>
      </w:pPr>
    </w:p>
    <w:p>
      <w:pPr>
        <w:pStyle w:val="BodyText"/>
        <w:spacing w:line="408" w:lineRule="auto"/>
        <w:ind w:left="154" w:right="1131" w:firstLine="420"/>
        <w:jc w:val="both"/>
      </w:pPr>
      <w:r>
        <w:rPr>
          <w:rFonts w:ascii="宋体" w:hAnsi="宋体" w:cs="宋体" w:eastAsia="宋体" w:hint="default"/>
        </w:rPr>
        <w:t>2)</w:t>
      </w:r>
      <w:r>
        <w:rPr>
          <w:rFonts w:ascii="宋体" w:hAnsi="宋体" w:cs="宋体" w:eastAsia="宋体" w:hint="default"/>
          <w:spacing w:val="59"/>
        </w:rPr>
        <w:t> </w:t>
      </w:r>
      <w:r>
        <w:rPr/>
        <w:t>表明可供出售权益工具投资发生减值的客观证据包括权益工具投资的公允价值发生严重或非暂时 </w:t>
      </w:r>
      <w:r>
        <w:rPr>
          <w:spacing w:val="-1"/>
        </w:rPr>
        <w:t>性下跌，以及被投资单位经营所处的技术、市场、经济或法律环境等发生重大不利变化使公司可能无法收</w:t>
      </w:r>
      <w:r>
        <w:rPr>
          <w:spacing w:val="-83"/>
        </w:rPr>
        <w:t> </w:t>
      </w:r>
      <w:r>
        <w:rPr>
          <w:spacing w:val="-83"/>
        </w:rPr>
      </w:r>
      <w:r>
        <w:rPr/>
        <w:t>回投资成本。</w:t>
      </w:r>
    </w:p>
    <w:p>
      <w:pPr>
        <w:pStyle w:val="BodyText"/>
        <w:spacing w:line="408" w:lineRule="auto" w:before="46"/>
        <w:ind w:left="154" w:right="1130" w:firstLine="420"/>
        <w:jc w:val="both"/>
      </w:pPr>
      <w:r>
        <w:rPr>
          <w:spacing w:val="-1"/>
        </w:rPr>
        <w:t>本公司于资产负债表日对各项可供出售权益工具投资单独进行检查。对于以公允价值计量的权益工具</w:t>
      </w:r>
      <w:r>
        <w:rPr/>
        <w:t> 投资，若其于资产负债表日的公允价值低于其成本超过</w:t>
      </w:r>
      <w:r>
        <w:rPr>
          <w:spacing w:val="-59"/>
        </w:rPr>
        <w:t> </w:t>
      </w:r>
      <w:r>
        <w:rPr>
          <w:rFonts w:ascii="宋体" w:hAnsi="宋体" w:cs="宋体" w:eastAsia="宋体" w:hint="default"/>
        </w:rPr>
        <w:t>50%</w:t>
      </w:r>
      <w:r>
        <w:rPr/>
        <w:t>（含</w:t>
      </w:r>
      <w:r>
        <w:rPr>
          <w:spacing w:val="-60"/>
        </w:rPr>
        <w:t> </w:t>
      </w:r>
      <w:r>
        <w:rPr>
          <w:rFonts w:ascii="宋体" w:hAnsi="宋体" w:cs="宋体" w:eastAsia="宋体" w:hint="default"/>
        </w:rPr>
        <w:t>50%</w:t>
      </w:r>
      <w:r>
        <w:rPr/>
        <w:t>）或低于其成本持续时间超过</w:t>
      </w:r>
      <w:r>
        <w:rPr>
          <w:spacing w:val="-59"/>
        </w:rPr>
        <w:t> </w:t>
      </w:r>
      <w:r>
        <w:rPr>
          <w:rFonts w:ascii="宋体" w:hAnsi="宋体" w:cs="宋体" w:eastAsia="宋体" w:hint="default"/>
        </w:rPr>
        <w:t>12</w:t>
      </w:r>
      <w:r>
        <w:rPr>
          <w:rFonts w:ascii="宋体" w:hAnsi="宋体" w:cs="宋体" w:eastAsia="宋体" w:hint="default"/>
          <w:spacing w:val="-59"/>
        </w:rPr>
        <w:t> </w:t>
      </w:r>
      <w:r>
        <w:rPr/>
        <w:t>个月</w:t>
      </w:r>
    </w:p>
    <w:p>
      <w:pPr>
        <w:pStyle w:val="BodyText"/>
        <w:spacing w:line="240" w:lineRule="auto" w:before="46"/>
        <w:ind w:left="154" w:right="0"/>
        <w:jc w:val="left"/>
      </w:pPr>
      <w:r>
        <w:rPr/>
        <w:t>（含</w:t>
      </w:r>
      <w:r>
        <w:rPr>
          <w:spacing w:val="-61"/>
        </w:rPr>
        <w:t> </w:t>
      </w:r>
      <w:r>
        <w:rPr>
          <w:rFonts w:ascii="宋体" w:hAnsi="宋体" w:cs="宋体" w:eastAsia="宋体" w:hint="default"/>
        </w:rPr>
        <w:t>12</w:t>
      </w:r>
      <w:r>
        <w:rPr>
          <w:rFonts w:ascii="宋体" w:hAnsi="宋体" w:cs="宋体" w:eastAsia="宋体" w:hint="default"/>
          <w:spacing w:val="-61"/>
        </w:rPr>
        <w:t> </w:t>
      </w:r>
      <w:r>
        <w:rPr/>
        <w:t>个月）的，则表明其发生减值；若其于资产负债表日的公允价值低于其成本超过</w:t>
      </w:r>
      <w:r>
        <w:rPr>
          <w:spacing w:val="-61"/>
        </w:rPr>
        <w:t> </w:t>
      </w:r>
      <w:r>
        <w:rPr>
          <w:rFonts w:ascii="宋体" w:hAnsi="宋体" w:cs="宋体" w:eastAsia="宋体" w:hint="default"/>
        </w:rPr>
        <w:t>20%</w:t>
      </w:r>
      <w:r>
        <w:rPr/>
        <w:t>（含</w:t>
      </w:r>
      <w:r>
        <w:rPr>
          <w:spacing w:val="-61"/>
        </w:rPr>
        <w:t> </w:t>
      </w:r>
      <w:r>
        <w:rPr>
          <w:rFonts w:ascii="宋体" w:hAnsi="宋体" w:cs="宋体" w:eastAsia="宋体" w:hint="default"/>
        </w:rPr>
        <w:t>20%</w:t>
      </w:r>
      <w:r>
        <w:rPr/>
        <w:t>）但</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154" w:right="1023"/>
        <w:jc w:val="left"/>
      </w:pPr>
      <w:r>
        <w:rPr/>
        <w:t>尚未达到</w:t>
      </w:r>
      <w:r>
        <w:rPr>
          <w:spacing w:val="-57"/>
        </w:rPr>
        <w:t> </w:t>
      </w:r>
      <w:r>
        <w:rPr>
          <w:rFonts w:ascii="宋体" w:hAnsi="宋体" w:cs="宋体" w:eastAsia="宋体" w:hint="default"/>
        </w:rPr>
        <w:t>50%</w:t>
      </w:r>
      <w:r>
        <w:rPr/>
        <w:t>的，或低于其成本持续时间超过</w:t>
      </w:r>
      <w:r>
        <w:rPr>
          <w:spacing w:val="-57"/>
        </w:rPr>
        <w:t> </w:t>
      </w:r>
      <w:r>
        <w:rPr>
          <w:rFonts w:ascii="宋体" w:hAnsi="宋体" w:cs="宋体" w:eastAsia="宋体" w:hint="default"/>
        </w:rPr>
        <w:t>6</w:t>
      </w:r>
      <w:r>
        <w:rPr>
          <w:rFonts w:ascii="宋体" w:hAnsi="宋体" w:cs="宋体" w:eastAsia="宋体" w:hint="default"/>
          <w:spacing w:val="-58"/>
        </w:rPr>
        <w:t> </w:t>
      </w:r>
      <w:r>
        <w:rPr>
          <w:spacing w:val="-5"/>
        </w:rPr>
        <w:t>个月（含</w:t>
      </w:r>
      <w:r>
        <w:rPr>
          <w:spacing w:val="-58"/>
        </w:rPr>
        <w:t> </w:t>
      </w:r>
      <w:r>
        <w:rPr>
          <w:rFonts w:ascii="宋体" w:hAnsi="宋体" w:cs="宋体" w:eastAsia="宋体" w:hint="default"/>
        </w:rPr>
        <w:t>6</w:t>
      </w:r>
      <w:r>
        <w:rPr>
          <w:rFonts w:ascii="宋体" w:hAnsi="宋体" w:cs="宋体" w:eastAsia="宋体" w:hint="default"/>
          <w:spacing w:val="-58"/>
        </w:rPr>
        <w:t> </w:t>
      </w:r>
      <w:r>
        <w:rPr>
          <w:spacing w:val="-3"/>
        </w:rPr>
        <w:t>个月）但未超过</w:t>
      </w:r>
      <w:r>
        <w:rPr>
          <w:spacing w:val="-58"/>
        </w:rPr>
        <w:t> </w:t>
      </w:r>
      <w:r>
        <w:rPr>
          <w:rFonts w:ascii="宋体" w:hAnsi="宋体" w:cs="宋体" w:eastAsia="宋体" w:hint="default"/>
        </w:rPr>
        <w:t>12</w:t>
      </w:r>
      <w:r>
        <w:rPr>
          <w:rFonts w:ascii="宋体" w:hAnsi="宋体" w:cs="宋体" w:eastAsia="宋体" w:hint="default"/>
          <w:spacing w:val="-57"/>
        </w:rPr>
        <w:t> </w:t>
      </w:r>
      <w:r>
        <w:rPr/>
        <w:t>个月的，本公司会综合考虑 </w:t>
      </w:r>
      <w:r>
        <w:rPr>
          <w:spacing w:val="-3"/>
        </w:rPr>
        <w:t>其他相关因素，诸如价格波动率等，判断该权益工具投资是否发生减值。对于以成本计量的权益工具投资，</w:t>
      </w:r>
      <w:r>
        <w:rPr>
          <w:spacing w:val="-90"/>
        </w:rPr>
        <w:t> </w:t>
      </w:r>
      <w:r>
        <w:rPr>
          <w:spacing w:val="-90"/>
        </w:rPr>
      </w:r>
      <w:r>
        <w:rPr/>
        <w:t>公司综合考虑被投资单位经营所处的技术、市场、经济或法律环境等是否发生重大不利变化，判断该权益</w:t>
      </w:r>
      <w:r>
        <w:rPr/>
        <w:t> 工具是否发生减值。</w:t>
      </w:r>
    </w:p>
    <w:p>
      <w:pPr>
        <w:pStyle w:val="BodyText"/>
        <w:spacing w:line="408" w:lineRule="auto" w:before="46"/>
        <w:ind w:left="154"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BodyText"/>
        <w:spacing w:line="408" w:lineRule="auto" w:before="46"/>
        <w:ind w:left="154" w:right="1130"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3"/>
        </w:rPr>
        <w:t> </w:t>
      </w:r>
      <w:r>
        <w:rPr>
          <w:spacing w:val="-83"/>
        </w:rPr>
      </w:r>
      <w:r>
        <w:rPr/>
        <w:t>损失一经确认，不予转回。</w:t>
      </w:r>
    </w:p>
    <w:p>
      <w:pPr>
        <w:pStyle w:val="BodyText"/>
        <w:spacing w:line="240" w:lineRule="auto" w:before="46"/>
        <w:ind w:left="574" w:right="0"/>
        <w:jc w:val="left"/>
      </w:pPr>
      <w:bookmarkStart w:name="(十) 应收款项" w:id="182"/>
      <w:bookmarkEnd w:id="182"/>
      <w:r>
        <w:rPr/>
      </w: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1"/>
        </w:rPr>
        <w:t> </w:t>
      </w:r>
      <w:r>
        <w:rPr/>
        <w:t>应收款项</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单项金额重大并单项计提坏账准备的应收款项</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843"/>
        <w:gridCol w:w="4395"/>
      </w:tblGrid>
      <w:tr>
        <w:trPr>
          <w:trHeight w:val="47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635"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单项金额重大并单项计提坏账准备的计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提方法</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pStyle w:val="BodyText"/>
        <w:spacing w:line="240" w:lineRule="auto" w:before="63"/>
        <w:ind w:left="574" w:right="0"/>
        <w:jc w:val="left"/>
      </w:pPr>
      <w:r>
        <w:rPr>
          <w:rFonts w:ascii="宋体" w:hAnsi="宋体" w:cs="宋体" w:eastAsia="宋体" w:hint="default"/>
        </w:rPr>
        <w:t>2</w:t>
      </w:r>
      <w:r>
        <w:rPr/>
        <w:t>．按组合计提坏账准备的应收款项</w:t>
      </w:r>
    </w:p>
    <w:p>
      <w:pPr>
        <w:spacing w:line="240" w:lineRule="auto" w:before="10"/>
        <w:rPr>
          <w:rFonts w:ascii="宋体" w:hAnsi="宋体" w:cs="宋体" w:eastAsia="宋体" w:hint="default"/>
          <w:sz w:val="14"/>
          <w:szCs w:val="14"/>
        </w:rPr>
      </w:pPr>
    </w:p>
    <w:p>
      <w:pPr>
        <w:pStyle w:val="BodyText"/>
        <w:spacing w:line="417" w:lineRule="auto"/>
        <w:ind w:left="262" w:right="6343" w:firstLine="312"/>
        <w:jc w:val="left"/>
      </w:pPr>
      <w:r>
        <w:rPr/>
        <w:pict>
          <v:group style="position:absolute;margin-left:56.700001pt;margin-top:20.483681pt;width:411.6pt;height:.1pt;mso-position-horizontal-relative:page;mso-position-vertical-relative:paragraph;z-index:-978088" coordorigin="1134,410" coordsize="8232,2">
            <v:shape style="position:absolute;left:1134;top:410;width:8232;height:2" coordorigin="1134,410" coordsize="8232,0" path="m1134,410l9366,410e" filled="false" stroked="true" strokeweight=".48pt" strokecolor="#000000">
              <v:path arrowok="t"/>
            </v:shape>
            <w10:wrap type="none"/>
          </v:group>
        </w:pict>
      </w:r>
      <w:r>
        <w:rPr/>
        <w:pict>
          <v:shape style="position:absolute;margin-left:56.700001pt;margin-top:44.12368pt;width:411.6pt;height:56.1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8"/>
                    <w:gridCol w:w="5334"/>
                  </w:tblGrid>
                  <w:tr>
                    <w:trPr>
                      <w:trHeight w:val="479"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07"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相同账龄的应收款项具有类似的风险信用特征</w:t>
                        </w:r>
                      </w:p>
                    </w:tc>
                  </w:tr>
                  <w:tr>
                    <w:trPr>
                      <w:trHeight w:val="634"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应收合并财务报表范围内关</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联方的款项组合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应收合并范围内的关联方款项具有类似的信用风险特征</w:t>
                        </w:r>
                      </w:p>
                    </w:tc>
                  </w:tr>
                </w:tbl>
                <w:p>
                  <w:pPr/>
                </w:p>
              </w:txbxContent>
            </v:textbox>
            <w10:wrap type="none"/>
          </v:shape>
        </w:pict>
      </w:r>
      <w:r>
        <w:rPr>
          <w:rFonts w:ascii="宋体" w:hAnsi="宋体" w:cs="宋体" w:eastAsia="宋体" w:hint="default"/>
        </w:rPr>
        <w:t>(1)</w:t>
      </w:r>
      <w:r>
        <w:rPr>
          <w:rFonts w:ascii="宋体" w:hAnsi="宋体" w:cs="宋体" w:eastAsia="宋体" w:hint="default"/>
          <w:spacing w:val="-1"/>
        </w:rPr>
        <w:t> </w:t>
      </w:r>
      <w:r>
        <w:rPr/>
        <w:t>确定组合的依据及坏账准备的计提方法 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5"/>
        <w:ind w:left="262" w:right="0"/>
        <w:jc w:val="left"/>
      </w:pPr>
      <w:r>
        <w:rPr/>
        <w:t>按组合计提坏账准备的计提方法</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913"/>
        <w:gridCol w:w="5334"/>
      </w:tblGrid>
      <w:tr>
        <w:trPr>
          <w:trHeight w:val="479" w:hRule="exact"/>
        </w:trPr>
        <w:tc>
          <w:tcPr>
            <w:tcW w:w="2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634" w:hRule="exact"/>
        </w:trPr>
        <w:tc>
          <w:tcPr>
            <w:tcW w:w="2913"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应收合并财务报表范围内关</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联方的款项组合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spacing w:line="240" w:lineRule="auto" w:before="13"/>
        <w:rPr>
          <w:rFonts w:ascii="宋体" w:hAnsi="宋体" w:cs="宋体" w:eastAsia="宋体" w:hint="default"/>
          <w:sz w:val="5"/>
          <w:szCs w:val="5"/>
        </w:rPr>
      </w:pPr>
    </w:p>
    <w:p>
      <w:pPr>
        <w:pStyle w:val="BodyText"/>
        <w:spacing w:line="240" w:lineRule="auto" w:before="35"/>
        <w:ind w:left="574" w:right="0"/>
        <w:jc w:val="left"/>
      </w:pPr>
      <w:r>
        <w:rPr>
          <w:rFonts w:ascii="宋体" w:hAnsi="宋体" w:cs="宋体" w:eastAsia="宋体" w:hint="default"/>
        </w:rPr>
        <w:t>(2)</w:t>
      </w:r>
      <w:r>
        <w:rPr>
          <w:rFonts w:ascii="宋体" w:hAnsi="宋体" w:cs="宋体" w:eastAsia="宋体" w:hint="default"/>
          <w:spacing w:val="-1"/>
        </w:rPr>
        <w:t> </w:t>
      </w:r>
      <w:r>
        <w:rPr/>
        <w:t>账龄分析法</w:t>
      </w:r>
    </w:p>
    <w:p>
      <w:pPr>
        <w:pStyle w:val="BodyText"/>
        <w:spacing w:line="240" w:lineRule="auto" w:before="94"/>
        <w:ind w:left="574" w:right="0"/>
        <w:jc w:val="left"/>
      </w:pPr>
      <w:r>
        <w:rPr>
          <w:rFonts w:ascii="宋体" w:hAnsi="宋体" w:cs="宋体" w:eastAsia="宋体" w:hint="default"/>
        </w:rPr>
        <w:t>1)</w:t>
      </w:r>
      <w:r>
        <w:rPr>
          <w:rFonts w:ascii="宋体" w:hAnsi="宋体" w:cs="宋体" w:eastAsia="宋体" w:hint="default"/>
          <w:spacing w:val="-1"/>
        </w:rPr>
        <w:t> </w:t>
      </w:r>
      <w:r>
        <w:rPr/>
        <w:t>应收账款计提比例</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2567"/>
        <w:gridCol w:w="1844"/>
        <w:gridCol w:w="1984"/>
        <w:gridCol w:w="1844"/>
      </w:tblGrid>
      <w:tr>
        <w:trPr>
          <w:trHeight w:val="947"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3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本公司及微型小</w:t>
            </w:r>
          </w:p>
          <w:p>
            <w:pPr>
              <w:pStyle w:val="TableParagraph"/>
              <w:spacing w:line="273" w:lineRule="auto" w:before="37"/>
              <w:ind w:left="129" w:right="128" w:firstLine="51"/>
              <w:jc w:val="left"/>
              <w:rPr>
                <w:rFonts w:ascii="宋体" w:hAnsi="宋体" w:cs="宋体" w:eastAsia="宋体" w:hint="default"/>
                <w:sz w:val="21"/>
                <w:szCs w:val="21"/>
              </w:rPr>
            </w:pPr>
            <w:r>
              <w:rPr>
                <w:rFonts w:ascii="宋体" w:hAnsi="宋体" w:cs="宋体" w:eastAsia="宋体" w:hint="default"/>
                <w:sz w:val="21"/>
                <w:szCs w:val="21"/>
              </w:rPr>
              <w:t>型水泵等下属子 公司计提比例</w:t>
            </w:r>
            <w:r>
              <w:rPr>
                <w:rFonts w:ascii="宋体" w:hAnsi="宋体" w:cs="宋体" w:eastAsia="宋体" w:hint="default"/>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本公司工业泵板块</w:t>
            </w:r>
          </w:p>
          <w:p>
            <w:pPr>
              <w:pStyle w:val="TableParagraph"/>
              <w:spacing w:line="273" w:lineRule="auto" w:before="37"/>
              <w:ind w:left="434" w:right="146" w:hanging="290"/>
              <w:jc w:val="left"/>
              <w:rPr>
                <w:rFonts w:ascii="宋体" w:hAnsi="宋体" w:cs="宋体" w:eastAsia="宋体" w:hint="default"/>
                <w:sz w:val="21"/>
                <w:szCs w:val="21"/>
              </w:rPr>
            </w:pPr>
            <w:r>
              <w:rPr>
                <w:rFonts w:ascii="宋体" w:hAnsi="宋体" w:cs="宋体" w:eastAsia="宋体" w:hint="default"/>
                <w:sz w:val="21"/>
                <w:szCs w:val="21"/>
              </w:rPr>
              <w:t>下属子公司计提比 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本公司互联网板</w:t>
            </w:r>
          </w:p>
          <w:p>
            <w:pPr>
              <w:pStyle w:val="TableParagraph"/>
              <w:spacing w:line="273" w:lineRule="auto" w:before="37"/>
              <w:ind w:left="154" w:right="157" w:firstLine="26"/>
              <w:jc w:val="left"/>
              <w:rPr>
                <w:rFonts w:ascii="宋体" w:hAnsi="宋体" w:cs="宋体" w:eastAsia="宋体" w:hint="default"/>
                <w:sz w:val="21"/>
                <w:szCs w:val="21"/>
              </w:rPr>
            </w:pPr>
            <w:r>
              <w:rPr>
                <w:rFonts w:ascii="宋体" w:hAnsi="宋体" w:cs="宋体" w:eastAsia="宋体" w:hint="default"/>
                <w:sz w:val="21"/>
                <w:szCs w:val="21"/>
              </w:rPr>
              <w:t>块下属子公司计 提比例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105"/>
                <w:sz w:val="21"/>
                <w:szCs w:val="21"/>
              </w:rPr>
              <w:t>，</w:t>
            </w:r>
            <w:r>
              <w:rPr>
                <w:rFonts w:ascii="宋体" w:hAnsi="宋体" w:cs="宋体" w:eastAsia="宋体" w:hint="default"/>
                <w:sz w:val="21"/>
                <w:szCs w:val="21"/>
              </w:rPr>
              <w:t>以下</w:t>
            </w:r>
            <w:r>
              <w:rPr>
                <w:rFonts w:ascii="宋体" w:hAnsi="宋体" w:cs="宋体" w:eastAsia="宋体" w:hint="default"/>
                <w:spacing w:val="-1"/>
                <w:sz w:val="21"/>
                <w:szCs w:val="21"/>
              </w:rPr>
              <w:t>同</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5</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0.5</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567"/>
        <w:gridCol w:w="1844"/>
        <w:gridCol w:w="1984"/>
        <w:gridCol w:w="1844"/>
      </w:tblGrid>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11" w:right="0"/>
              <w:jc w:val="left"/>
              <w:rPr>
                <w:rFonts w:ascii="宋体" w:hAnsi="宋体" w:cs="宋体" w:eastAsia="宋体" w:hint="default"/>
                <w:sz w:val="21"/>
                <w:szCs w:val="21"/>
              </w:rPr>
            </w:pPr>
            <w:r>
              <w:rPr>
                <w:rFonts w:ascii="宋体"/>
                <w:sz w:val="21"/>
              </w:rPr>
              <w:t>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15"/>
              <w:jc w:val="right"/>
              <w:rPr>
                <w:rFonts w:ascii="宋体" w:hAnsi="宋体" w:cs="宋体" w:eastAsia="宋体" w:hint="default"/>
                <w:sz w:val="21"/>
                <w:szCs w:val="21"/>
              </w:rPr>
            </w:pPr>
            <w:r>
              <w:rPr>
                <w:rFonts w:ascii="宋体"/>
                <w:sz w:val="21"/>
              </w:rPr>
              <w:t>10</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11" w:right="0"/>
              <w:jc w:val="left"/>
              <w:rPr>
                <w:rFonts w:ascii="宋体" w:hAnsi="宋体" w:cs="宋体" w:eastAsia="宋体" w:hint="default"/>
                <w:sz w:val="21"/>
                <w:szCs w:val="21"/>
              </w:rPr>
            </w:pPr>
            <w:r>
              <w:rPr>
                <w:rFonts w:ascii="宋体"/>
                <w:sz w:val="21"/>
              </w:rPr>
              <w:t>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30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15"/>
              <w:jc w:val="right"/>
              <w:rPr>
                <w:rFonts w:ascii="宋体" w:hAnsi="宋体" w:cs="宋体" w:eastAsia="宋体" w:hint="default"/>
                <w:sz w:val="21"/>
                <w:szCs w:val="21"/>
              </w:rPr>
            </w:pPr>
            <w:r>
              <w:rPr>
                <w:rFonts w:ascii="宋体"/>
                <w:sz w:val="21"/>
              </w:rPr>
              <w:t>20</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9" w:right="0"/>
              <w:jc w:val="lef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60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61"/>
              <w:jc w:val="right"/>
              <w:rPr>
                <w:rFonts w:ascii="宋体" w:hAnsi="宋体" w:cs="宋体" w:eastAsia="宋体" w:hint="default"/>
                <w:sz w:val="21"/>
                <w:szCs w:val="21"/>
              </w:rPr>
            </w:pPr>
            <w:r>
              <w:rPr>
                <w:rFonts w:ascii="宋体"/>
                <w:sz w:val="21"/>
              </w:rPr>
              <w:t>100</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9" w:right="0"/>
              <w:jc w:val="lef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80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61"/>
              <w:jc w:val="right"/>
              <w:rPr>
                <w:rFonts w:ascii="宋体" w:hAnsi="宋体" w:cs="宋体" w:eastAsia="宋体" w:hint="default"/>
                <w:sz w:val="21"/>
                <w:szCs w:val="21"/>
              </w:rPr>
            </w:pPr>
            <w:r>
              <w:rPr>
                <w:rFonts w:ascii="宋体"/>
                <w:sz w:val="21"/>
              </w:rPr>
              <w:t>100</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59" w:right="0"/>
              <w:jc w:val="lef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sz w:val="21"/>
              </w:rPr>
              <w:t>100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61"/>
              <w:jc w:val="right"/>
              <w:rPr>
                <w:rFonts w:ascii="宋体" w:hAnsi="宋体" w:cs="宋体" w:eastAsia="宋体" w:hint="default"/>
                <w:sz w:val="21"/>
                <w:szCs w:val="21"/>
              </w:rPr>
            </w:pPr>
            <w:r>
              <w:rPr>
                <w:rFonts w:ascii="宋体"/>
                <w:sz w:val="21"/>
              </w:rPr>
              <w:t>100</w:t>
            </w:r>
          </w:p>
        </w:tc>
      </w:tr>
    </w:tbl>
    <w:p>
      <w:pPr>
        <w:pStyle w:val="BodyText"/>
        <w:spacing w:line="240" w:lineRule="auto" w:before="63"/>
        <w:ind w:left="574" w:right="0"/>
        <w:jc w:val="left"/>
      </w:pPr>
      <w:r>
        <w:rPr>
          <w:rFonts w:ascii="宋体" w:hAnsi="宋体" w:cs="宋体" w:eastAsia="宋体" w:hint="default"/>
        </w:rPr>
        <w:t>2)</w:t>
      </w:r>
      <w:r>
        <w:rPr>
          <w:rFonts w:ascii="宋体" w:hAnsi="宋体" w:cs="宋体" w:eastAsia="宋体" w:hint="default"/>
          <w:spacing w:val="-1"/>
        </w:rPr>
        <w:t> </w:t>
      </w:r>
      <w:r>
        <w:rPr/>
        <w:t>其他应收款计提比例</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2567"/>
        <w:gridCol w:w="1844"/>
        <w:gridCol w:w="1984"/>
        <w:gridCol w:w="1844"/>
      </w:tblGrid>
      <w:tr>
        <w:trPr>
          <w:trHeight w:val="946"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3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本公司及微型小</w:t>
            </w:r>
          </w:p>
          <w:p>
            <w:pPr>
              <w:pStyle w:val="TableParagraph"/>
              <w:spacing w:line="273" w:lineRule="auto" w:before="37"/>
              <w:ind w:left="129" w:right="128" w:firstLine="51"/>
              <w:jc w:val="left"/>
              <w:rPr>
                <w:rFonts w:ascii="宋体" w:hAnsi="宋体" w:cs="宋体" w:eastAsia="宋体" w:hint="default"/>
                <w:sz w:val="21"/>
                <w:szCs w:val="21"/>
              </w:rPr>
            </w:pPr>
            <w:r>
              <w:rPr>
                <w:rFonts w:ascii="宋体" w:hAnsi="宋体" w:cs="宋体" w:eastAsia="宋体" w:hint="default"/>
                <w:sz w:val="21"/>
                <w:szCs w:val="21"/>
              </w:rPr>
              <w:t>型水泵等下属子 公司计提比例</w:t>
            </w:r>
            <w:r>
              <w:rPr>
                <w:rFonts w:ascii="宋体" w:hAnsi="宋体" w:cs="宋体" w:eastAsia="宋体" w:hint="default"/>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5" w:right="0"/>
              <w:jc w:val="left"/>
              <w:rPr>
                <w:rFonts w:ascii="宋体" w:hAnsi="宋体" w:cs="宋体" w:eastAsia="宋体" w:hint="default"/>
                <w:sz w:val="21"/>
                <w:szCs w:val="21"/>
              </w:rPr>
            </w:pPr>
            <w:r>
              <w:rPr>
                <w:rFonts w:ascii="宋体" w:hAnsi="宋体" w:cs="宋体" w:eastAsia="宋体" w:hint="default"/>
                <w:sz w:val="21"/>
                <w:szCs w:val="21"/>
              </w:rPr>
              <w:t>本公司工业泵板块</w:t>
            </w:r>
          </w:p>
          <w:p>
            <w:pPr>
              <w:pStyle w:val="TableParagraph"/>
              <w:spacing w:line="273" w:lineRule="auto" w:before="37"/>
              <w:ind w:left="434" w:right="146" w:hanging="290"/>
              <w:jc w:val="left"/>
              <w:rPr>
                <w:rFonts w:ascii="宋体" w:hAnsi="宋体" w:cs="宋体" w:eastAsia="宋体" w:hint="default"/>
                <w:sz w:val="21"/>
                <w:szCs w:val="21"/>
              </w:rPr>
            </w:pPr>
            <w:r>
              <w:rPr>
                <w:rFonts w:ascii="宋体" w:hAnsi="宋体" w:cs="宋体" w:eastAsia="宋体" w:hint="default"/>
                <w:sz w:val="21"/>
                <w:szCs w:val="21"/>
              </w:rPr>
              <w:t>下属子公司计提比 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81" w:right="0"/>
              <w:jc w:val="left"/>
              <w:rPr>
                <w:rFonts w:ascii="宋体" w:hAnsi="宋体" w:cs="宋体" w:eastAsia="宋体" w:hint="default"/>
                <w:sz w:val="21"/>
                <w:szCs w:val="21"/>
              </w:rPr>
            </w:pPr>
            <w:r>
              <w:rPr>
                <w:rFonts w:ascii="宋体" w:hAnsi="宋体" w:cs="宋体" w:eastAsia="宋体" w:hint="default"/>
                <w:sz w:val="21"/>
                <w:szCs w:val="21"/>
              </w:rPr>
              <w:t>本公司互联网板</w:t>
            </w:r>
          </w:p>
          <w:p>
            <w:pPr>
              <w:pStyle w:val="TableParagraph"/>
              <w:spacing w:line="273" w:lineRule="auto" w:before="37"/>
              <w:ind w:left="154" w:right="157" w:firstLine="26"/>
              <w:jc w:val="left"/>
              <w:rPr>
                <w:rFonts w:ascii="宋体" w:hAnsi="宋体" w:cs="宋体" w:eastAsia="宋体" w:hint="default"/>
                <w:sz w:val="21"/>
                <w:szCs w:val="21"/>
              </w:rPr>
            </w:pPr>
            <w:r>
              <w:rPr>
                <w:rFonts w:ascii="宋体" w:hAnsi="宋体" w:cs="宋体" w:eastAsia="宋体" w:hint="default"/>
                <w:sz w:val="21"/>
                <w:szCs w:val="21"/>
              </w:rPr>
              <w:t>块下属子公司计 提比例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105"/>
                <w:sz w:val="21"/>
                <w:szCs w:val="21"/>
              </w:rPr>
              <w:t>，</w:t>
            </w:r>
            <w:r>
              <w:rPr>
                <w:rFonts w:ascii="宋体" w:hAnsi="宋体" w:cs="宋体" w:eastAsia="宋体" w:hint="default"/>
                <w:sz w:val="21"/>
                <w:szCs w:val="21"/>
              </w:rPr>
              <w:t>以下</w:t>
            </w:r>
            <w:r>
              <w:rPr>
                <w:rFonts w:ascii="宋体" w:hAnsi="宋体" w:cs="宋体" w:eastAsia="宋体" w:hint="default"/>
                <w:spacing w:val="-1"/>
                <w:sz w:val="21"/>
                <w:szCs w:val="21"/>
              </w:rPr>
              <w:t>同</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4" w:right="0"/>
              <w:jc w:val="left"/>
              <w:rPr>
                <w:rFonts w:ascii="宋体" w:hAnsi="宋体" w:cs="宋体" w:eastAsia="宋体" w:hint="default"/>
                <w:sz w:val="21"/>
                <w:szCs w:val="21"/>
              </w:rPr>
            </w:pPr>
            <w:r>
              <w:rPr>
                <w:rFonts w:ascii="宋体"/>
                <w:sz w:val="21"/>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5</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61"/>
              <w:jc w:val="right"/>
              <w:rPr>
                <w:rFonts w:ascii="宋体" w:hAnsi="宋体" w:cs="宋体" w:eastAsia="宋体" w:hint="default"/>
                <w:sz w:val="21"/>
                <w:szCs w:val="21"/>
              </w:rPr>
            </w:pPr>
            <w:r>
              <w:rPr>
                <w:rFonts w:ascii="宋体"/>
                <w:sz w:val="21"/>
              </w:rPr>
              <w:t>0.5</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11" w:right="0"/>
              <w:jc w:val="left"/>
              <w:rPr>
                <w:rFonts w:ascii="宋体" w:hAnsi="宋体" w:cs="宋体" w:eastAsia="宋体" w:hint="default"/>
                <w:sz w:val="21"/>
                <w:szCs w:val="21"/>
              </w:rPr>
            </w:pPr>
            <w:r>
              <w:rPr>
                <w:rFonts w:ascii="宋体"/>
                <w:sz w:val="21"/>
              </w:rPr>
              <w:t>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15"/>
              <w:jc w:val="right"/>
              <w:rPr>
                <w:rFonts w:ascii="宋体" w:hAnsi="宋体" w:cs="宋体" w:eastAsia="宋体" w:hint="default"/>
                <w:sz w:val="21"/>
                <w:szCs w:val="21"/>
              </w:rPr>
            </w:pPr>
            <w:r>
              <w:rPr>
                <w:rFonts w:ascii="宋体"/>
                <w:sz w:val="21"/>
              </w:rPr>
              <w:t>10</w:t>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11" w:right="0"/>
              <w:jc w:val="left"/>
              <w:rPr>
                <w:rFonts w:ascii="宋体" w:hAnsi="宋体" w:cs="宋体" w:eastAsia="宋体" w:hint="default"/>
                <w:sz w:val="21"/>
                <w:szCs w:val="21"/>
              </w:rPr>
            </w:pPr>
            <w:r>
              <w:rPr>
                <w:rFonts w:ascii="宋体"/>
                <w:sz w:val="21"/>
              </w:rPr>
              <w:t>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30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15"/>
              <w:jc w:val="right"/>
              <w:rPr>
                <w:rFonts w:ascii="宋体" w:hAnsi="宋体" w:cs="宋体" w:eastAsia="宋体" w:hint="default"/>
                <w:sz w:val="21"/>
                <w:szCs w:val="21"/>
              </w:rPr>
            </w:pPr>
            <w:r>
              <w:rPr>
                <w:rFonts w:ascii="宋体"/>
                <w:sz w:val="21"/>
              </w:rPr>
              <w:t>20</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59" w:right="0"/>
              <w:jc w:val="lef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60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62"/>
              <w:jc w:val="right"/>
              <w:rPr>
                <w:rFonts w:ascii="宋体" w:hAnsi="宋体" w:cs="宋体" w:eastAsia="宋体" w:hint="default"/>
                <w:sz w:val="21"/>
                <w:szCs w:val="21"/>
              </w:rPr>
            </w:pPr>
            <w:r>
              <w:rPr>
                <w:rFonts w:ascii="宋体"/>
                <w:spacing w:val="-1"/>
                <w:sz w:val="21"/>
              </w:rPr>
              <w:t>100</w:t>
            </w:r>
            <w:r>
              <w:rPr>
                <w:rFonts w:ascii="宋体"/>
                <w:sz w:val="21"/>
              </w:rPr>
            </w:r>
          </w:p>
        </w:tc>
      </w:tr>
      <w:tr>
        <w:trPr>
          <w:trHeight w:val="47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9" w:right="0"/>
              <w:jc w:val="lef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80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61"/>
              <w:jc w:val="right"/>
              <w:rPr>
                <w:rFonts w:ascii="宋体" w:hAnsi="宋体" w:cs="宋体" w:eastAsia="宋体" w:hint="default"/>
                <w:sz w:val="21"/>
                <w:szCs w:val="21"/>
              </w:rPr>
            </w:pPr>
            <w:r>
              <w:rPr>
                <w:rFonts w:ascii="宋体"/>
                <w:sz w:val="21"/>
              </w:rPr>
              <w:t>100</w:t>
            </w:r>
          </w:p>
        </w:tc>
      </w:tr>
      <w:tr>
        <w:trPr>
          <w:trHeight w:val="47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9" w:right="0"/>
              <w:jc w:val="left"/>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100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61"/>
              <w:jc w:val="right"/>
              <w:rPr>
                <w:rFonts w:ascii="宋体" w:hAnsi="宋体" w:cs="宋体" w:eastAsia="宋体" w:hint="default"/>
                <w:sz w:val="21"/>
                <w:szCs w:val="21"/>
              </w:rPr>
            </w:pPr>
            <w:r>
              <w:rPr>
                <w:rFonts w:ascii="宋体"/>
                <w:sz w:val="21"/>
              </w:rPr>
              <w:t>100</w:t>
            </w:r>
          </w:p>
        </w:tc>
      </w:tr>
    </w:tbl>
    <w:p>
      <w:pPr>
        <w:pStyle w:val="BodyText"/>
        <w:spacing w:line="240" w:lineRule="auto" w:before="63"/>
        <w:ind w:left="574" w:right="0"/>
        <w:jc w:val="left"/>
      </w:pPr>
      <w:r>
        <w:rPr>
          <w:rFonts w:ascii="宋体" w:hAnsi="宋体" w:cs="宋体" w:eastAsia="宋体" w:hint="default"/>
        </w:rPr>
        <w:t>3</w:t>
      </w:r>
      <w:r>
        <w:rPr/>
        <w:t>．单项金额虽不重大但单项计提坏账准备的应收款项</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095"/>
        <w:gridCol w:w="5143"/>
      </w:tblGrid>
      <w:tr>
        <w:trPr>
          <w:trHeight w:val="634"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14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应收款项的未来现金流量现值与按组合计提坏账准备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的应收款项的未来现金流量现值存在显著差异。</w:t>
            </w:r>
          </w:p>
        </w:tc>
      </w:tr>
      <w:tr>
        <w:trPr>
          <w:trHeight w:val="635"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14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账面价值的差额计提坏账准备。</w:t>
            </w:r>
          </w:p>
        </w:tc>
      </w:tr>
    </w:tbl>
    <w:p>
      <w:pPr>
        <w:pStyle w:val="BodyText"/>
        <w:spacing w:line="408" w:lineRule="auto" w:before="63"/>
        <w:ind w:left="154" w:right="0" w:firstLine="420"/>
        <w:jc w:val="left"/>
      </w:pPr>
      <w:r>
        <w:rPr>
          <w:spacing w:val="-1"/>
        </w:rPr>
        <w:t>对应收票据、应收利息、长期应收款等其他应收款项，根据其未来现金流量现值低于其账面价值的差</w:t>
      </w:r>
      <w:r>
        <w:rPr/>
        <w:t> 额计提坏账准备。</w:t>
      </w:r>
    </w:p>
    <w:p>
      <w:pPr>
        <w:pStyle w:val="BodyText"/>
        <w:spacing w:line="408" w:lineRule="auto" w:before="46"/>
        <w:ind w:right="1023" w:firstLine="420"/>
        <w:jc w:val="left"/>
      </w:pPr>
      <w:r>
        <w:rPr>
          <w:rFonts w:ascii="宋体" w:hAnsi="宋体" w:cs="宋体" w:eastAsia="宋体" w:hint="default"/>
        </w:rPr>
        <w:t>[</w:t>
      </w:r>
      <w:r>
        <w:rPr/>
        <w:t>注</w:t>
      </w:r>
      <w:r>
        <w:rPr>
          <w:spacing w:val="-50"/>
        </w:rPr>
        <w:t> </w:t>
      </w:r>
      <w:r>
        <w:rPr>
          <w:rFonts w:ascii="宋体" w:hAnsi="宋体" w:cs="宋体" w:eastAsia="宋体" w:hint="default"/>
          <w:spacing w:val="-10"/>
        </w:rPr>
        <w:t>1]</w:t>
      </w:r>
      <w:r>
        <w:rPr>
          <w:spacing w:val="-10"/>
        </w:rPr>
        <w:t>：截止</w:t>
      </w:r>
      <w:r>
        <w:rPr>
          <w:spacing w:val="-51"/>
        </w:rPr>
        <w:t> </w:t>
      </w: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spacing w:val="-5"/>
        </w:rPr>
        <w:t>日，本公司工业泵板块下属子公司包括湖南利欧、利欧天鹅、大连华能、</w:t>
      </w:r>
      <w:r>
        <w:rPr/>
        <w:t> 无锡锡泵及该等子公司下属子公司。</w:t>
      </w:r>
    </w:p>
    <w:p>
      <w:pPr>
        <w:pStyle w:val="BodyText"/>
        <w:spacing w:line="408" w:lineRule="auto" w:before="46"/>
        <w:ind w:right="1023" w:firstLine="420"/>
        <w:jc w:val="left"/>
      </w:pPr>
      <w:r>
        <w:rPr>
          <w:rFonts w:ascii="宋体" w:hAnsi="宋体" w:cs="宋体" w:eastAsia="宋体" w:hint="default"/>
        </w:rPr>
        <w:t>[</w:t>
      </w:r>
      <w:r>
        <w:rPr/>
        <w:t>注</w:t>
      </w:r>
      <w:r>
        <w:rPr>
          <w:spacing w:val="-50"/>
        </w:rPr>
        <w:t> </w:t>
      </w:r>
      <w:r>
        <w:rPr>
          <w:rFonts w:ascii="宋体" w:hAnsi="宋体" w:cs="宋体" w:eastAsia="宋体" w:hint="default"/>
          <w:spacing w:val="-10"/>
        </w:rPr>
        <w:t>2]</w:t>
      </w:r>
      <w:r>
        <w:rPr>
          <w:spacing w:val="-10"/>
        </w:rPr>
        <w:t>：截止</w:t>
      </w:r>
      <w:r>
        <w:rPr>
          <w:spacing w:val="-51"/>
        </w:rPr>
        <w:t> </w:t>
      </w: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spacing w:val="-5"/>
        </w:rPr>
        <w:t>日，本公司互联网板块下属子公司包括上海漫酷、上海氩氪、琥珀传播、</w:t>
      </w:r>
      <w:r>
        <w:rPr/>
        <w:t> 万圣伟业、微创时代、聚嘉网络、利欧数字及该等子公司下属子公司。</w:t>
      </w:r>
    </w:p>
    <w:p>
      <w:pPr>
        <w:pStyle w:val="BodyText"/>
        <w:spacing w:line="408" w:lineRule="auto" w:before="46"/>
        <w:ind w:left="573" w:right="8981"/>
        <w:jc w:val="left"/>
      </w:pPr>
      <w:bookmarkStart w:name="(十一) 存货" w:id="183"/>
      <w:bookmarkEnd w:id="183"/>
      <w:r>
        <w:rPr/>
      </w:r>
      <w:r>
        <w:rPr>
          <w:rFonts w:ascii="宋体" w:hAnsi="宋体" w:cs="宋体" w:eastAsia="宋体" w:hint="default"/>
        </w:rPr>
        <w:t>(</w:t>
      </w:r>
      <w:r>
        <w:rPr/>
        <w:t>十一</w:t>
      </w:r>
      <w:r>
        <w:rPr>
          <w:rFonts w:ascii="宋体" w:hAnsi="宋体" w:cs="宋体" w:eastAsia="宋体" w:hint="default"/>
        </w:rPr>
        <w:t>)</w:t>
      </w:r>
      <w:r>
        <w:rPr>
          <w:rFonts w:ascii="宋体" w:hAnsi="宋体" w:cs="宋体" w:eastAsia="宋体" w:hint="default"/>
          <w:spacing w:val="7"/>
        </w:rPr>
        <w:t> </w:t>
      </w:r>
      <w:r>
        <w:rPr/>
        <w:t>存货 </w:t>
      </w:r>
      <w:bookmarkStart w:name="1. 存货的分类" w:id="184"/>
      <w:bookmarkEnd w:id="184"/>
      <w:r>
        <w:rPr/>
      </w:r>
      <w:r>
        <w:rPr>
          <w:rFonts w:ascii="宋体" w:hAnsi="宋体" w:cs="宋体" w:eastAsia="宋体" w:hint="default"/>
        </w:rPr>
        <w:t>1.</w:t>
      </w:r>
      <w:r>
        <w:rPr>
          <w:rFonts w:ascii="宋体" w:hAnsi="宋体" w:cs="宋体" w:eastAsia="宋体" w:hint="default"/>
          <w:spacing w:val="-1"/>
        </w:rPr>
        <w:t> </w:t>
      </w:r>
      <w:r>
        <w:rPr/>
        <w:t>存货的分类</w:t>
      </w:r>
    </w:p>
    <w:p>
      <w:pPr>
        <w:pStyle w:val="BodyText"/>
        <w:spacing w:line="408" w:lineRule="auto" w:before="46"/>
        <w:ind w:right="0" w:firstLine="420"/>
        <w:jc w:val="left"/>
      </w:pPr>
      <w:r>
        <w:rPr>
          <w:spacing w:val="-1"/>
        </w:rPr>
        <w:t>存货包括在日常活动中持有以备出售的产成品或商品、处在生产过程中的在产品、在生产过程或提供</w:t>
      </w:r>
      <w:r>
        <w:rPr/>
        <w:t> 劳务过程中耗用的材料和物料等。</w:t>
      </w:r>
    </w:p>
    <w:p>
      <w:pPr>
        <w:pStyle w:val="BodyText"/>
        <w:spacing w:line="408" w:lineRule="auto" w:before="46"/>
        <w:ind w:left="573" w:right="6973"/>
        <w:jc w:val="left"/>
      </w:pPr>
      <w:bookmarkStart w:name="2. 发出存货的计价方法" w:id="185"/>
      <w:bookmarkEnd w:id="185"/>
      <w:r>
        <w:rPr/>
      </w:r>
      <w:r>
        <w:rPr>
          <w:rFonts w:ascii="宋体" w:hAnsi="宋体" w:cs="宋体" w:eastAsia="宋体" w:hint="default"/>
        </w:rPr>
        <w:t>2. </w:t>
      </w:r>
      <w:r>
        <w:rPr/>
        <w:t>发出存货的计价方法 发出存货采用月末一次加权平均法。</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0"/>
        <w:jc w:val="left"/>
      </w:pPr>
      <w:bookmarkStart w:name="3. 存货可变现净值的确定依据" w:id="186"/>
      <w:bookmarkEnd w:id="186"/>
      <w:r>
        <w:rPr/>
      </w:r>
      <w:r>
        <w:rPr>
          <w:rFonts w:ascii="宋体" w:hAnsi="宋体" w:cs="宋体" w:eastAsia="宋体" w:hint="default"/>
        </w:rPr>
        <w:t>3. </w:t>
      </w:r>
      <w:r>
        <w:rPr/>
        <w:t>存货可变现净值的确定依据 </w:t>
      </w:r>
      <w:r>
        <w:rPr>
          <w:spacing w:val="-1"/>
        </w:rPr>
        <w:t>资产负债表日，存货采用成本与可变现净值孰低计量，按照单个存货成本高于可变现净值的差额计提</w:t>
      </w:r>
    </w:p>
    <w:p>
      <w:pPr>
        <w:pStyle w:val="BodyText"/>
        <w:spacing w:line="408" w:lineRule="auto" w:before="46"/>
        <w:ind w:left="154" w:right="1023"/>
        <w:jc w:val="left"/>
      </w:pPr>
      <w:r>
        <w:rPr/>
        <w:t>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pStyle w:val="BodyText"/>
        <w:spacing w:line="408" w:lineRule="auto" w:before="46"/>
        <w:ind w:left="573" w:right="7393"/>
        <w:jc w:val="left"/>
      </w:pPr>
      <w:bookmarkStart w:name="4. 存货的盘存制度" w:id="187"/>
      <w:bookmarkEnd w:id="187"/>
      <w:r>
        <w:rPr/>
      </w:r>
      <w:r>
        <w:rPr>
          <w:rFonts w:ascii="宋体" w:hAnsi="宋体" w:cs="宋体" w:eastAsia="宋体" w:hint="default"/>
        </w:rPr>
        <w:t>4. </w:t>
      </w:r>
      <w:r>
        <w:rPr/>
        <w:t>存货的盘存制度 存货的盘存制度为永续盘存制。</w:t>
      </w:r>
    </w:p>
    <w:p>
      <w:pPr>
        <w:pStyle w:val="BodyText"/>
        <w:spacing w:line="240" w:lineRule="auto" w:before="46"/>
        <w:ind w:left="573" w:right="0"/>
        <w:jc w:val="left"/>
      </w:pPr>
      <w:bookmarkStart w:name="5. 低值易耗品和包装物的摊销方法" w:id="188"/>
      <w:bookmarkEnd w:id="188"/>
      <w:r>
        <w:rPr/>
      </w:r>
      <w:r>
        <w:rPr>
          <w:rFonts w:ascii="宋体" w:hAnsi="宋体" w:cs="宋体" w:eastAsia="宋体" w:hint="default"/>
        </w:rPr>
        <w:t>5.</w:t>
      </w:r>
      <w:r>
        <w:rPr>
          <w:rFonts w:ascii="宋体" w:hAnsi="宋体" w:cs="宋体" w:eastAsia="宋体" w:hint="default"/>
          <w:spacing w:val="-1"/>
        </w:rPr>
        <w:t> </w:t>
      </w:r>
      <w:r>
        <w:rPr/>
        <w:t>低值易耗品和包装物的摊销方法</w:t>
      </w:r>
    </w:p>
    <w:p>
      <w:pPr>
        <w:spacing w:line="240" w:lineRule="auto" w:before="10"/>
        <w:rPr>
          <w:rFonts w:ascii="宋体" w:hAnsi="宋体" w:cs="宋体" w:eastAsia="宋体" w:hint="default"/>
          <w:sz w:val="14"/>
          <w:szCs w:val="14"/>
        </w:rPr>
      </w:pPr>
    </w:p>
    <w:p>
      <w:pPr>
        <w:pStyle w:val="BodyText"/>
        <w:spacing w:line="408" w:lineRule="auto"/>
        <w:ind w:left="573" w:right="7813"/>
        <w:jc w:val="left"/>
      </w:pPr>
      <w:r>
        <w:rPr>
          <w:rFonts w:ascii="宋体" w:hAnsi="宋体" w:cs="宋体" w:eastAsia="宋体" w:hint="default"/>
        </w:rPr>
        <w:t>(1) </w:t>
      </w:r>
      <w:r>
        <w:rPr/>
        <w:t>低值易耗品 按照一次转销法进行摊销。 </w:t>
      </w:r>
      <w:r>
        <w:rPr>
          <w:rFonts w:ascii="宋体" w:hAnsi="宋体" w:cs="宋体" w:eastAsia="宋体" w:hint="default"/>
        </w:rPr>
        <w:t>(2)</w:t>
      </w:r>
      <w:r>
        <w:rPr>
          <w:rFonts w:ascii="宋体" w:hAnsi="宋体" w:cs="宋体" w:eastAsia="宋体" w:hint="default"/>
          <w:spacing w:val="1"/>
        </w:rPr>
        <w:t> </w:t>
      </w:r>
      <w:r>
        <w:rPr/>
        <w:t>包装物 按照一次转销法进行摊销。 </w:t>
      </w:r>
      <w:bookmarkStart w:name="(十二) 长期股权投资" w:id="189"/>
      <w:bookmarkEnd w:id="189"/>
      <w:r>
        <w:rPr/>
      </w: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1"/>
        </w:rPr>
        <w:t> </w:t>
      </w:r>
      <w:r>
        <w:rPr/>
        <w:t>长期股权投资</w:t>
      </w:r>
    </w:p>
    <w:p>
      <w:pPr>
        <w:pStyle w:val="BodyText"/>
        <w:spacing w:line="408" w:lineRule="auto" w:before="46"/>
        <w:ind w:left="574" w:right="0"/>
        <w:jc w:val="left"/>
      </w:pPr>
      <w:bookmarkStart w:name="1. 共同控制、重要影响的判断" w:id="190"/>
      <w:bookmarkEnd w:id="190"/>
      <w:r>
        <w:rPr/>
      </w:r>
      <w:r>
        <w:rPr>
          <w:rFonts w:ascii="宋体" w:hAnsi="宋体" w:cs="宋体" w:eastAsia="宋体" w:hint="default"/>
        </w:rPr>
        <w:t>1. </w:t>
      </w:r>
      <w:r>
        <w:rPr/>
        <w:t>共同控制、重要影响的判断 </w:t>
      </w:r>
      <w:r>
        <w:rPr>
          <w:spacing w:val="-1"/>
        </w:rPr>
        <w:t>按照相关约定对某项安排所共有的控制，并且该安排的相关活动必须经过分享控制权的参与方一致同</w:t>
      </w:r>
    </w:p>
    <w:p>
      <w:pPr>
        <w:pStyle w:val="BodyText"/>
        <w:spacing w:line="408" w:lineRule="auto" w:before="46"/>
        <w:ind w:left="154" w:right="0"/>
        <w:jc w:val="left"/>
      </w:pPr>
      <w:r>
        <w:rPr>
          <w:spacing w:val="-1"/>
        </w:rPr>
        <w:t>意后才能决策，认定为共同控制。对被投资单位的财务和经营政策有参与决策的权力，但并不能够控制或</w:t>
      </w:r>
      <w:r>
        <w:rPr>
          <w:spacing w:val="-83"/>
        </w:rPr>
        <w:t> </w:t>
      </w:r>
      <w:r>
        <w:rPr>
          <w:spacing w:val="-83"/>
        </w:rPr>
      </w:r>
      <w:r>
        <w:rPr/>
        <w:t>者与其他方一起共同控制这些政策的制定，认定为重大影响。</w:t>
      </w:r>
    </w:p>
    <w:p>
      <w:pPr>
        <w:pStyle w:val="BodyText"/>
        <w:spacing w:line="240" w:lineRule="auto" w:before="46"/>
        <w:ind w:left="573" w:right="0"/>
        <w:jc w:val="left"/>
      </w:pPr>
      <w:bookmarkStart w:name="2. 投资成本的确定" w:id="191"/>
      <w:bookmarkEnd w:id="191"/>
      <w:r>
        <w:rPr/>
      </w:r>
      <w:r>
        <w:rPr>
          <w:rFonts w:ascii="宋体" w:hAnsi="宋体" w:cs="宋体" w:eastAsia="宋体" w:hint="default"/>
        </w:rPr>
        <w:t>2.</w:t>
      </w:r>
      <w:r>
        <w:rPr>
          <w:rFonts w:ascii="宋体" w:hAnsi="宋体" w:cs="宋体" w:eastAsia="宋体" w:hint="default"/>
          <w:spacing w:val="-1"/>
        </w:rPr>
        <w:t> </w:t>
      </w:r>
      <w:r>
        <w:rPr/>
        <w:t>投资成本的确定</w:t>
      </w:r>
    </w:p>
    <w:p>
      <w:pPr>
        <w:spacing w:line="240" w:lineRule="auto" w:before="10"/>
        <w:rPr>
          <w:rFonts w:ascii="宋体" w:hAnsi="宋体" w:cs="宋体" w:eastAsia="宋体" w:hint="default"/>
          <w:sz w:val="14"/>
          <w:szCs w:val="14"/>
        </w:rPr>
      </w:pPr>
    </w:p>
    <w:p>
      <w:pPr>
        <w:pStyle w:val="BodyText"/>
        <w:spacing w:line="408" w:lineRule="auto"/>
        <w:ind w:right="1131" w:firstLine="420"/>
        <w:jc w:val="both"/>
      </w:pPr>
      <w:r>
        <w:rPr>
          <w:rFonts w:ascii="宋体" w:hAnsi="宋体" w:cs="宋体" w:eastAsia="宋体" w:hint="default"/>
        </w:rPr>
        <w:t>(1)</w:t>
      </w:r>
      <w:r>
        <w:rPr>
          <w:rFonts w:ascii="宋体" w:hAnsi="宋体" w:cs="宋体" w:eastAsia="宋体" w:hint="default"/>
          <w:spacing w:val="-23"/>
        </w:rPr>
        <w:t> </w:t>
      </w:r>
      <w:r>
        <w:rPr/>
        <w:t>同一控制下的企业合并形成的，合并方以支付现金、转让非现金资产、承担债务或发行权益性证 </w:t>
      </w:r>
      <w:r>
        <w:rPr>
          <w:spacing w:val="-1"/>
        </w:rPr>
        <w:t>券作为合并对价的，在合并日按照取得被合并方所有者权益在最终控制方合并财务报表中的账面价值的份</w:t>
      </w:r>
      <w:r>
        <w:rPr>
          <w:spacing w:val="-81"/>
        </w:rPr>
        <w:t> </w:t>
      </w:r>
      <w:r>
        <w:rPr>
          <w:spacing w:val="-81"/>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BodyText"/>
        <w:spacing w:line="408" w:lineRule="auto" w:before="46"/>
        <w:ind w:right="1018" w:firstLine="420"/>
        <w:jc w:val="left"/>
      </w:pPr>
      <w:r>
        <w:rPr>
          <w:spacing w:val="-3"/>
        </w:rPr>
        <w:t>公司通过多次交易分步实现同一控制下企业合并形成的长期股权投资，判断是否属于“一揽子交易”。</w:t>
      </w:r>
      <w:r>
        <w:rPr/>
        <w:t> </w:t>
      </w:r>
      <w:r>
        <w:rPr>
          <w:spacing w:val="-3"/>
        </w:rPr>
        <w:t>属于“一揽子交易”的，把各项交易作为一项取得控制权的交易进行会计处理。不属于“一揽子交易”的，</w:t>
      </w:r>
      <w:r>
        <w:rPr>
          <w:spacing w:val="-94"/>
        </w:rPr>
        <w:t> </w:t>
      </w:r>
      <w:r>
        <w:rPr>
          <w:spacing w:val="-94"/>
        </w:rPr>
      </w:r>
      <w:r>
        <w:rPr/>
        <w:t>在合并日，根据合并后应享有被合并方净资产在最终控制方合并财务报表中的账面价值的份额确定初始投</w:t>
      </w:r>
      <w:r>
        <w:rPr/>
        <w:t> 资成本。合并日长期股权投资的初始投资成本，与达到合并前的长期股权投资账面价值加上合并日进一步 取得股份新支付对价的账面价值之和的差额，调整资本公积；资本公积不足冲减的，调整留存收益。</w:t>
      </w:r>
    </w:p>
    <w:p>
      <w:pPr>
        <w:pStyle w:val="BodyText"/>
        <w:spacing w:line="240" w:lineRule="auto" w:before="46"/>
        <w:ind w:left="573" w:right="0"/>
        <w:jc w:val="left"/>
      </w:pPr>
      <w:r>
        <w:rPr>
          <w:rFonts w:ascii="宋体" w:hAnsi="宋体" w:cs="宋体" w:eastAsia="宋体" w:hint="default"/>
        </w:rPr>
        <w:t>(2)</w:t>
      </w:r>
      <w:r>
        <w:rPr>
          <w:rFonts w:ascii="宋体" w:hAnsi="宋体" w:cs="宋体" w:eastAsia="宋体" w:hint="default"/>
          <w:spacing w:val="33"/>
        </w:rPr>
        <w:t> </w:t>
      </w:r>
      <w:r>
        <w:rPr>
          <w:spacing w:val="3"/>
        </w:rPr>
        <w:t>非同一控制下的企业合并形成的，在购买日按照支付的合并对价的公允价值作为其初始投资成</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154" w:right="0"/>
        <w:jc w:val="both"/>
      </w:pPr>
      <w:r>
        <w:rPr/>
        <w:t>本。</w:t>
      </w:r>
    </w:p>
    <w:p>
      <w:pPr>
        <w:spacing w:line="240" w:lineRule="auto" w:before="10"/>
        <w:rPr>
          <w:rFonts w:ascii="宋体" w:hAnsi="宋体" w:cs="宋体" w:eastAsia="宋体" w:hint="default"/>
          <w:sz w:val="14"/>
          <w:szCs w:val="14"/>
        </w:rPr>
      </w:pPr>
    </w:p>
    <w:p>
      <w:pPr>
        <w:pStyle w:val="BodyText"/>
        <w:spacing w:line="408" w:lineRule="auto"/>
        <w:ind w:left="154" w:right="1132" w:firstLine="420"/>
        <w:jc w:val="both"/>
      </w:pPr>
      <w:r>
        <w:rPr>
          <w:spacing w:val="-1"/>
        </w:rPr>
        <w:t>公司通过多次交易分步实现非同一控制下企业合并形成的长期股权投资，区分个别财务报表和合并财</w:t>
      </w:r>
      <w:r>
        <w:rPr/>
        <w:t> 务报表进行相关会计处理：</w:t>
      </w:r>
    </w:p>
    <w:p>
      <w:pPr>
        <w:pStyle w:val="BodyText"/>
        <w:spacing w:line="408" w:lineRule="auto" w:before="46"/>
        <w:ind w:right="1134" w:firstLine="420"/>
        <w:jc w:val="both"/>
      </w:pPr>
      <w:r>
        <w:rPr>
          <w:rFonts w:ascii="宋体" w:hAnsi="宋体" w:cs="宋体" w:eastAsia="宋体" w:hint="default"/>
        </w:rPr>
        <w:t>1)</w:t>
      </w:r>
      <w:r>
        <w:rPr>
          <w:rFonts w:ascii="宋体" w:hAnsi="宋体" w:cs="宋体" w:eastAsia="宋体" w:hint="default"/>
          <w:spacing w:val="69"/>
        </w:rPr>
        <w:t> </w:t>
      </w:r>
      <w:r>
        <w:rPr/>
        <w:t>在个别财务报表中，按照原持有的股权投资的账面价值加上新增投资成本之和，作为改按成本法 核算的初始投资成本。</w:t>
      </w:r>
    </w:p>
    <w:p>
      <w:pPr>
        <w:pStyle w:val="BodyText"/>
        <w:spacing w:line="408" w:lineRule="auto" w:before="46"/>
        <w:ind w:left="154" w:right="1109" w:firstLine="420"/>
        <w:jc w:val="both"/>
      </w:pPr>
      <w:r>
        <w:rPr>
          <w:rFonts w:ascii="宋体" w:hAnsi="宋体" w:cs="宋体" w:eastAsia="宋体" w:hint="default"/>
        </w:rPr>
        <w:t>2)</w:t>
      </w:r>
      <w:r>
        <w:rPr>
          <w:rFonts w:ascii="宋体" w:hAnsi="宋体" w:cs="宋体" w:eastAsia="宋体" w:hint="default"/>
          <w:spacing w:val="57"/>
        </w:rPr>
        <w:t> </w:t>
      </w:r>
      <w:r>
        <w:rPr/>
        <w:t>在合并财务报表中，判断是否属于“一揽子交易”。属于“一揽子交易”的，把各项交易作为一 项取得控制权的交易进行会计处理。不属于“一揽子交易”的，对于购买日之前持有的被购买方的股权， </w:t>
      </w:r>
      <w:r>
        <w:rPr>
          <w:spacing w:val="-1"/>
        </w:rPr>
        <w:t>按照该股权在购买日的公允价值进行重新计量，公允价值与其账面价值的差额计入当期投资收益；购买日</w:t>
      </w:r>
      <w:r>
        <w:rPr>
          <w:spacing w:val="-81"/>
        </w:rPr>
        <w:t> </w:t>
      </w:r>
      <w:r>
        <w:rPr>
          <w:spacing w:val="-81"/>
        </w:rPr>
      </w:r>
      <w:r>
        <w:rPr>
          <w:spacing w:val="-1"/>
        </w:rPr>
        <w:t>之前持有的被购买方的股权涉及权益法核算下的其他综合收益等的，与其相关的其他综合收益等转为购买</w:t>
      </w:r>
      <w:r>
        <w:rPr>
          <w:spacing w:val="-81"/>
        </w:rPr>
        <w:t> </w:t>
      </w:r>
      <w:r>
        <w:rPr>
          <w:spacing w:val="-81"/>
        </w:rPr>
      </w:r>
      <w:r>
        <w:rPr>
          <w:spacing w:val="3"/>
        </w:rPr>
        <w:t>日所属当期收益。但由于被投资方重新计量设定受益计划净负债或净资产变动而产生的其他综合收益除</w:t>
      </w:r>
      <w:r>
        <w:rPr>
          <w:spacing w:val="-82"/>
        </w:rPr>
        <w:t> </w:t>
      </w:r>
      <w:r>
        <w:rPr>
          <w:spacing w:val="-82"/>
        </w:rPr>
      </w:r>
      <w:r>
        <w:rPr/>
        <w:t>外。</w:t>
      </w:r>
    </w:p>
    <w:p>
      <w:pPr>
        <w:pStyle w:val="BodyText"/>
        <w:spacing w:line="408" w:lineRule="auto" w:before="46"/>
        <w:ind w:left="154" w:right="1110" w:firstLine="420"/>
        <w:jc w:val="both"/>
      </w:pPr>
      <w:r>
        <w:rPr>
          <w:rFonts w:ascii="宋体" w:hAnsi="宋体" w:cs="宋体" w:eastAsia="宋体" w:hint="default"/>
        </w:rPr>
        <w:t>(3)</w:t>
      </w:r>
      <w:r>
        <w:rPr>
          <w:rFonts w:ascii="宋体" w:hAnsi="宋体" w:cs="宋体" w:eastAsia="宋体" w:hint="default"/>
          <w:spacing w:val="-20"/>
        </w:rPr>
        <w:t> </w:t>
      </w:r>
      <w:r>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 </w:t>
      </w:r>
      <w:r>
        <w:rPr>
          <w:rFonts w:ascii="宋体" w:hAnsi="宋体" w:cs="宋体" w:eastAsia="宋体" w:hint="default"/>
        </w:rPr>
        <w:t>12</w:t>
      </w:r>
      <w:r>
        <w:rPr>
          <w:rFonts w:ascii="宋体" w:hAnsi="宋体" w:cs="宋体" w:eastAsia="宋体" w:hint="default"/>
          <w:spacing w:val="-22"/>
        </w:rPr>
        <w:t> </w:t>
      </w:r>
      <w:r>
        <w:rPr/>
        <w:t>号</w:t>
      </w:r>
      <w:r>
        <w:rPr>
          <w:rFonts w:ascii="Times New Roman" w:hAnsi="Times New Roman" w:cs="Times New Roman" w:eastAsia="Times New Roman" w:hint="default"/>
        </w:rPr>
        <w:t>——</w:t>
      </w:r>
      <w:r>
        <w:rPr/>
        <w:t>债务重组》确定其初始投资成本；以非货币性资产交换取得的，按《企业</w:t>
      </w:r>
    </w:p>
    <w:p>
      <w:pPr>
        <w:pStyle w:val="BodyText"/>
        <w:spacing w:line="240" w:lineRule="auto" w:before="14"/>
        <w:ind w:right="0"/>
        <w:jc w:val="both"/>
      </w:pPr>
      <w:r>
        <w:rPr/>
        <w:t>会计准则第</w:t>
      </w:r>
      <w:r>
        <w:rPr>
          <w:spacing w:val="-53"/>
        </w:rPr>
        <w:t> </w:t>
      </w:r>
      <w:r>
        <w:rPr>
          <w:rFonts w:ascii="宋体" w:hAnsi="宋体" w:cs="宋体" w:eastAsia="宋体" w:hint="default"/>
        </w:rPr>
        <w:t>7</w:t>
      </w:r>
      <w:r>
        <w:rPr>
          <w:rFonts w:ascii="宋体" w:hAnsi="宋体" w:cs="宋体" w:eastAsia="宋体" w:hint="default"/>
          <w:spacing w:val="-53"/>
        </w:rPr>
        <w:t> </w:t>
      </w:r>
      <w:r>
        <w:rPr/>
        <w:t>号</w:t>
      </w:r>
      <w:r>
        <w:rPr>
          <w:rFonts w:ascii="Times New Roman" w:hAnsi="Times New Roman" w:cs="Times New Roman" w:eastAsia="Times New Roman" w:hint="default"/>
        </w:rPr>
        <w:t>——</w:t>
      </w:r>
      <w:r>
        <w:rPr/>
        <w:t>非货币性资产交换》确定其初始投资成本。</w:t>
      </w:r>
    </w:p>
    <w:p>
      <w:pPr>
        <w:pStyle w:val="BodyText"/>
        <w:spacing w:line="408" w:lineRule="auto" w:before="177"/>
        <w:ind w:left="573" w:right="0"/>
        <w:jc w:val="left"/>
      </w:pPr>
      <w:bookmarkStart w:name="3. 后续计量及损益确认方法" w:id="192"/>
      <w:bookmarkEnd w:id="192"/>
      <w:r>
        <w:rPr/>
      </w:r>
      <w:r>
        <w:rPr>
          <w:rFonts w:ascii="宋体" w:hAnsi="宋体" w:cs="宋体" w:eastAsia="宋体" w:hint="default"/>
        </w:rPr>
        <w:t>3. </w:t>
      </w:r>
      <w:r>
        <w:rPr/>
        <w:t>后续计量及损益确认方法 </w:t>
      </w:r>
      <w:r>
        <w:rPr>
          <w:spacing w:val="-1"/>
        </w:rPr>
        <w:t>对被投资单位实施控制的长期股权投资采用成本法核算；对联营企业和合营企业的长期股权投资，采</w:t>
      </w:r>
    </w:p>
    <w:p>
      <w:pPr>
        <w:pStyle w:val="BodyText"/>
        <w:spacing w:line="240" w:lineRule="auto" w:before="46"/>
        <w:ind w:right="0"/>
        <w:jc w:val="both"/>
      </w:pPr>
      <w:r>
        <w:rPr/>
        <w:t>用权益法核算。</w:t>
      </w:r>
    </w:p>
    <w:p>
      <w:pPr>
        <w:spacing w:line="240" w:lineRule="auto" w:before="10"/>
        <w:rPr>
          <w:rFonts w:ascii="宋体" w:hAnsi="宋体" w:cs="宋体" w:eastAsia="宋体" w:hint="default"/>
          <w:sz w:val="14"/>
          <w:szCs w:val="14"/>
        </w:rPr>
      </w:pPr>
    </w:p>
    <w:p>
      <w:pPr>
        <w:pStyle w:val="BodyText"/>
        <w:spacing w:line="240" w:lineRule="auto"/>
        <w:ind w:left="573" w:right="0"/>
        <w:jc w:val="left"/>
      </w:pPr>
      <w:bookmarkStart w:name="4. 通过多次交易分步处置对子公司投资至丧失控制权的处理方法" w:id="193"/>
      <w:bookmarkEnd w:id="193"/>
      <w:r>
        <w:rPr/>
      </w:r>
      <w:r>
        <w:rPr>
          <w:rFonts w:ascii="宋体" w:hAnsi="宋体" w:cs="宋体" w:eastAsia="宋体" w:hint="default"/>
        </w:rPr>
        <w:t>4.</w:t>
      </w:r>
      <w:r>
        <w:rPr>
          <w:rFonts w:ascii="宋体" w:hAnsi="宋体" w:cs="宋体" w:eastAsia="宋体" w:hint="default"/>
          <w:spacing w:val="-1"/>
        </w:rPr>
        <w:t> </w:t>
      </w:r>
      <w:r>
        <w:rPr/>
        <w:t>通过多次交易分步处置对子公司投资至丧失控制权的处理方法</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(1) </w:t>
      </w:r>
      <w:r>
        <w:rPr/>
        <w:t>个别财务报表 </w:t>
      </w:r>
      <w:r>
        <w:rPr>
          <w:spacing w:val="-1"/>
        </w:rPr>
        <w:t>对处置的股权，其账面价值与实际取得价款之间的差额，计入当期损益。对于剩余股权，对被投资单</w:t>
      </w:r>
    </w:p>
    <w:p>
      <w:pPr>
        <w:pStyle w:val="BodyText"/>
        <w:spacing w:line="408" w:lineRule="auto" w:before="46"/>
        <w:ind w:right="1110"/>
        <w:jc w:val="both"/>
      </w:pPr>
      <w:r>
        <w:rPr/>
        <w:t>位仍具有重大影响或者与其他方一起实施共同控制的，转为权益法核算；不能再对被投资单位实施控制、 共同控制或重大影响的，确认为可供出售金融资产，按照《企业会计准则第 </w:t>
      </w:r>
      <w:r>
        <w:rPr>
          <w:rFonts w:ascii="宋体" w:hAnsi="宋体" w:cs="宋体" w:eastAsia="宋体" w:hint="default"/>
        </w:rPr>
        <w:t>22</w:t>
      </w:r>
      <w:r>
        <w:rPr>
          <w:rFonts w:ascii="宋体" w:hAnsi="宋体" w:cs="宋体" w:eastAsia="宋体" w:hint="default"/>
          <w:spacing w:val="-22"/>
        </w:rPr>
        <w:t> </w:t>
      </w:r>
      <w:r>
        <w:rPr/>
        <w:t>号——金融工具确认和计 量》的相关规定进行核算。</w:t>
      </w:r>
    </w:p>
    <w:p>
      <w:pPr>
        <w:pStyle w:val="BodyText"/>
        <w:spacing w:line="240" w:lineRule="auto" w:before="46"/>
        <w:ind w:left="574" w:right="0"/>
        <w:jc w:val="left"/>
      </w:pPr>
      <w:r>
        <w:rPr>
          <w:rFonts w:ascii="宋体" w:hAnsi="宋体" w:cs="宋体" w:eastAsia="宋体" w:hint="default"/>
        </w:rPr>
        <w:t>(2)</w:t>
      </w:r>
      <w:r>
        <w:rPr>
          <w:rFonts w:ascii="宋体" w:hAnsi="宋体" w:cs="宋体" w:eastAsia="宋体" w:hint="default"/>
          <w:spacing w:val="-1"/>
        </w:rPr>
        <w:t> </w:t>
      </w:r>
      <w:r>
        <w:rPr/>
        <w:t>合并财务报表</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rFonts w:ascii="宋体" w:hAnsi="宋体" w:cs="宋体" w:eastAsia="宋体" w:hint="default"/>
        </w:rPr>
        <w:t>1) </w:t>
      </w:r>
      <w:r>
        <w:rPr/>
        <w:t>通过多次交易分步处置对子公司投资至丧失控制权，且不属于“一揽子交易”的 </w:t>
      </w:r>
      <w:r>
        <w:rPr>
          <w:spacing w:val="-1"/>
        </w:rPr>
        <w:t>在丧失控制权之前，处置价款与处置长期股权投资相对应享有子公司自购买日或合并日开始持续计算</w:t>
      </w:r>
    </w:p>
    <w:p>
      <w:pPr>
        <w:pStyle w:val="BodyText"/>
        <w:spacing w:line="408" w:lineRule="auto" w:before="46"/>
        <w:ind w:left="573" w:right="0" w:hanging="420"/>
        <w:jc w:val="left"/>
      </w:pPr>
      <w:r>
        <w:rPr/>
        <w:t>的净资产份额之间的差额，调整资本公积（资本溢价），资本溢价不足冲减的，冲减留存收益。 </w:t>
      </w:r>
      <w:r>
        <w:rPr>
          <w:spacing w:val="-1"/>
        </w:rPr>
        <w:t>丧失对原子公司控制权时，对于剩余股权，按照其在丧失控制权日的公允价值进行重新计量。处置股</w:t>
      </w:r>
    </w:p>
    <w:p>
      <w:pPr>
        <w:pStyle w:val="BodyText"/>
        <w:spacing w:line="240" w:lineRule="auto" w:before="46"/>
        <w:ind w:right="0"/>
        <w:jc w:val="both"/>
      </w:pPr>
      <w:r>
        <w:rPr/>
        <w:t>权取得的对价与剩余股权公允价值之和，减去按原持股比例计算应享有原有子公司自购买日或合并日开始</w:t>
      </w:r>
    </w:p>
    <w:p>
      <w:pPr>
        <w:spacing w:after="0" w:line="240"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154" w:right="0"/>
        <w:jc w:val="left"/>
      </w:pP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w:t>
      </w:r>
    </w:p>
    <w:p>
      <w:pPr>
        <w:pStyle w:val="BodyText"/>
        <w:spacing w:line="408" w:lineRule="auto" w:before="46"/>
        <w:ind w:left="573" w:right="0"/>
        <w:jc w:val="left"/>
      </w:pPr>
      <w:r>
        <w:rPr>
          <w:rFonts w:ascii="宋体" w:hAnsi="宋体" w:cs="宋体" w:eastAsia="宋体" w:hint="default"/>
        </w:rPr>
        <w:t>2) </w:t>
      </w:r>
      <w:r>
        <w:rPr/>
        <w:t>通过多次交易分步处置对子公司投资至丧失控制权，且属于“一揽子交易”的 </w:t>
      </w:r>
      <w:r>
        <w:rPr>
          <w:spacing w:val="-1"/>
        </w:rPr>
        <w:t>将各项交易作为一项处置子公司并丧失控制权的交易进行会计处理。但是，在丧失控制权之前每一次</w:t>
      </w:r>
    </w:p>
    <w:p>
      <w:pPr>
        <w:pStyle w:val="BodyText"/>
        <w:spacing w:line="408" w:lineRule="auto" w:before="46"/>
        <w:ind w:right="0"/>
        <w:jc w:val="left"/>
      </w:pPr>
      <w:r>
        <w:rPr>
          <w:spacing w:val="-1"/>
        </w:rPr>
        <w:t>处置价款与处置投资对应的享有该子公司净资产份额的差额，在合并财务报表中确认为其他综合收益，在</w:t>
      </w:r>
      <w:r>
        <w:rPr>
          <w:spacing w:val="-81"/>
        </w:rPr>
        <w:t> </w:t>
      </w:r>
      <w:r>
        <w:rPr>
          <w:spacing w:val="-81"/>
        </w:rPr>
      </w:r>
      <w:r>
        <w:rPr/>
        <w:t>丧失控制权时一并转入丧失控制权当期的损益。</w:t>
      </w:r>
    </w:p>
    <w:p>
      <w:pPr>
        <w:pStyle w:val="BodyText"/>
        <w:spacing w:line="240" w:lineRule="auto" w:before="46"/>
        <w:ind w:left="574" w:right="0"/>
        <w:jc w:val="left"/>
      </w:pPr>
      <w:bookmarkStart w:name="(十三) 投资性房地产" w:id="194"/>
      <w:bookmarkEnd w:id="194"/>
      <w:r>
        <w:rPr/>
      </w:r>
      <w:r>
        <w:rPr>
          <w:rFonts w:ascii="宋体" w:hAnsi="宋体" w:cs="宋体" w:eastAsia="宋体" w:hint="default"/>
        </w:rPr>
        <w:t>(</w:t>
      </w:r>
      <w:r>
        <w:rPr/>
        <w:t>十三</w:t>
      </w:r>
      <w:r>
        <w:rPr>
          <w:rFonts w:ascii="宋体" w:hAnsi="宋体" w:cs="宋体" w:eastAsia="宋体" w:hint="default"/>
        </w:rPr>
        <w:t>)</w:t>
      </w:r>
      <w:r>
        <w:rPr>
          <w:rFonts w:ascii="宋体" w:hAnsi="宋体" w:cs="宋体" w:eastAsia="宋体" w:hint="default"/>
          <w:spacing w:val="-1"/>
        </w:rPr>
        <w:t> </w:t>
      </w:r>
      <w:r>
        <w:rPr/>
        <w:t>投资性房地产</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23"/>
        </w:rPr>
        <w:t> </w:t>
      </w:r>
      <w:r>
        <w:rPr/>
        <w:t>投资性房地产包括已出租的土地使用权、持有并准备增值后转让的土地使用权和已出租的建筑物。</w:t>
      </w:r>
    </w:p>
    <w:p>
      <w:pPr>
        <w:spacing w:line="240" w:lineRule="auto" w:before="10"/>
        <w:rPr>
          <w:rFonts w:ascii="宋体" w:hAnsi="宋体" w:cs="宋体" w:eastAsia="宋体" w:hint="default"/>
          <w:sz w:val="14"/>
          <w:szCs w:val="14"/>
        </w:rPr>
      </w:pPr>
    </w:p>
    <w:p>
      <w:pPr>
        <w:pStyle w:val="BodyText"/>
        <w:spacing w:line="408" w:lineRule="auto"/>
        <w:ind w:left="154" w:right="1126" w:firstLine="420"/>
        <w:jc w:val="left"/>
      </w:pPr>
      <w:r>
        <w:rPr>
          <w:rFonts w:ascii="宋体" w:hAnsi="宋体" w:cs="宋体" w:eastAsia="宋体" w:hint="default"/>
        </w:rPr>
        <w:t>2.</w:t>
      </w:r>
      <w:r>
        <w:rPr>
          <w:rFonts w:ascii="宋体" w:hAnsi="宋体" w:cs="宋体" w:eastAsia="宋体" w:hint="default"/>
          <w:spacing w:val="71"/>
        </w:rPr>
        <w:t> </w:t>
      </w:r>
      <w:r>
        <w:rPr/>
        <w:t>投资性房地产按照成本进行初始计量，采用成本模式进行后续计量，并采用与固定资产和无形资 产相同的方法计提折旧或进行摊销。</w:t>
      </w:r>
    </w:p>
    <w:p>
      <w:pPr>
        <w:spacing w:before="112"/>
        <w:ind w:left="574" w:right="0" w:firstLine="0"/>
        <w:jc w:val="left"/>
        <w:rPr>
          <w:rFonts w:ascii="宋体" w:hAnsi="宋体" w:cs="宋体" w:eastAsia="宋体" w:hint="default"/>
          <w:sz w:val="18"/>
          <w:szCs w:val="18"/>
        </w:rPr>
      </w:pPr>
      <w:bookmarkStart w:name="(十四) 固定资产" w:id="195"/>
      <w:bookmarkEnd w:id="195"/>
      <w:r>
        <w:rPr/>
      </w:r>
      <w:r>
        <w:rPr>
          <w:rFonts w:ascii="宋体" w:hAnsi="宋体" w:cs="宋体" w:eastAsia="宋体" w:hint="default"/>
          <w:sz w:val="18"/>
          <w:szCs w:val="18"/>
        </w:rPr>
        <w:t>(</w:t>
      </w:r>
      <w:r>
        <w:rPr>
          <w:rFonts w:ascii="宋体" w:hAnsi="宋体" w:cs="宋体" w:eastAsia="宋体" w:hint="default"/>
          <w:sz w:val="18"/>
          <w:szCs w:val="18"/>
        </w:rPr>
        <w:t>十四</w:t>
      </w:r>
      <w:r>
        <w:rPr>
          <w:rFonts w:ascii="宋体" w:hAnsi="宋体" w:cs="宋体" w:eastAsia="宋体" w:hint="default"/>
          <w:sz w:val="18"/>
          <w:szCs w:val="18"/>
        </w:rPr>
        <w:t>) </w:t>
      </w:r>
      <w:r>
        <w:rPr>
          <w:rFonts w:ascii="宋体" w:hAnsi="宋体" w:cs="宋体" w:eastAsia="宋体" w:hint="default"/>
          <w:sz w:val="18"/>
          <w:szCs w:val="18"/>
        </w:rPr>
        <w:t>固定资产</w:t>
      </w:r>
    </w:p>
    <w:p>
      <w:pPr>
        <w:spacing w:line="240" w:lineRule="auto" w:before="11"/>
        <w:rPr>
          <w:rFonts w:ascii="宋体" w:hAnsi="宋体" w:cs="宋体" w:eastAsia="宋体" w:hint="default"/>
          <w:sz w:val="18"/>
          <w:szCs w:val="18"/>
        </w:rPr>
      </w:pPr>
    </w:p>
    <w:p>
      <w:pPr>
        <w:pStyle w:val="BodyText"/>
        <w:spacing w:line="408" w:lineRule="auto"/>
        <w:ind w:left="574" w:right="0"/>
        <w:jc w:val="left"/>
      </w:pPr>
      <w:r>
        <w:rPr>
          <w:rFonts w:ascii="宋体" w:hAnsi="宋体" w:cs="宋体" w:eastAsia="宋体" w:hint="default"/>
        </w:rPr>
        <w:t>1. </w:t>
      </w:r>
      <w:r>
        <w:rPr/>
        <w:t>固定资产确认条件 </w:t>
      </w:r>
      <w:r>
        <w:rPr>
          <w:spacing w:val="-1"/>
        </w:rPr>
        <w:t>固定资产是指为生产商品、提供劳务、出租或经营管理而持有的，使用年限超过一个会计年度的有形</w:t>
      </w:r>
    </w:p>
    <w:p>
      <w:pPr>
        <w:pStyle w:val="BodyText"/>
        <w:spacing w:line="408" w:lineRule="auto" w:before="46"/>
        <w:ind w:left="573" w:right="3193" w:hanging="420"/>
        <w:jc w:val="left"/>
      </w:pPr>
      <w:r>
        <w:rPr/>
        <w:t>资产。固定资产在同时满足经济利益很可能流入、成本能够可靠计量时予以确认。 </w:t>
      </w:r>
      <w:r>
        <w:rPr>
          <w:rFonts w:ascii="宋体" w:hAnsi="宋体" w:cs="宋体" w:eastAsia="宋体" w:hint="default"/>
        </w:rPr>
        <w:t>2.</w:t>
      </w:r>
      <w:r>
        <w:rPr>
          <w:rFonts w:ascii="宋体" w:hAnsi="宋体" w:cs="宋体" w:eastAsia="宋体" w:hint="default"/>
          <w:spacing w:val="-1"/>
        </w:rPr>
        <w:t> </w:t>
      </w:r>
      <w:r>
        <w:rPr/>
        <w:t>各类固定资产的折旧方法</w:t>
      </w:r>
    </w:p>
    <w:tbl>
      <w:tblPr>
        <w:tblW w:w="0" w:type="auto"/>
        <w:jc w:val="left"/>
        <w:tblInd w:w="927" w:type="dxa"/>
        <w:tblLayout w:type="fixed"/>
        <w:tblCellMar>
          <w:top w:w="0" w:type="dxa"/>
          <w:left w:w="0" w:type="dxa"/>
          <w:bottom w:w="0" w:type="dxa"/>
          <w:right w:w="0" w:type="dxa"/>
        </w:tblCellMar>
        <w:tblLook w:val="01E0"/>
      </w:tblPr>
      <w:tblGrid>
        <w:gridCol w:w="2004"/>
        <w:gridCol w:w="1611"/>
        <w:gridCol w:w="1484"/>
        <w:gridCol w:w="1485"/>
        <w:gridCol w:w="1486"/>
      </w:tblGrid>
      <w:tr>
        <w:trPr>
          <w:trHeight w:val="481"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69" w:val="left" w:leader="none"/>
              </w:tabs>
              <w:spacing w:line="240" w:lineRule="auto" w:before="46"/>
              <w:ind w:left="349"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折旧年限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64"/>
              <w:jc w:val="righ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p>
        </w:tc>
      </w:tr>
      <w:tr>
        <w:trPr>
          <w:trHeight w:val="48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3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0" w:right="0"/>
              <w:jc w:val="center"/>
              <w:rPr>
                <w:rFonts w:ascii="宋体" w:hAnsi="宋体" w:cs="宋体" w:eastAsia="宋体" w:hint="default"/>
                <w:sz w:val="21"/>
                <w:szCs w:val="21"/>
              </w:rPr>
            </w:pPr>
            <w:r>
              <w:rPr>
                <w:rFonts w:ascii="宋体"/>
                <w:sz w:val="21"/>
              </w:rPr>
              <w:t>20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z w:val="21"/>
              </w:rPr>
              <w:t>4.75</w:t>
            </w:r>
          </w:p>
        </w:tc>
      </w:tr>
      <w:tr>
        <w:trPr>
          <w:trHeight w:val="482"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3-10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9.50-31.67</w:t>
            </w:r>
          </w:p>
        </w:tc>
      </w:tr>
      <w:tr>
        <w:trPr>
          <w:trHeight w:val="48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9" w:right="0"/>
              <w:jc w:val="center"/>
              <w:rPr>
                <w:rFonts w:ascii="宋体" w:hAnsi="宋体" w:cs="宋体" w:eastAsia="宋体" w:hint="default"/>
                <w:sz w:val="21"/>
                <w:szCs w:val="21"/>
              </w:rPr>
            </w:pPr>
            <w:r>
              <w:rPr>
                <w:rFonts w:ascii="宋体"/>
                <w:sz w:val="21"/>
              </w:rPr>
              <w:t>5</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19.00</w:t>
            </w:r>
          </w:p>
        </w:tc>
      </w:tr>
      <w:tr>
        <w:trPr>
          <w:trHeight w:val="48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sz w:val="21"/>
              </w:rPr>
              <w:t>3-10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9.50-31.67</w:t>
            </w:r>
          </w:p>
        </w:tc>
      </w:tr>
    </w:tbl>
    <w:p>
      <w:pPr>
        <w:pStyle w:val="BodyText"/>
        <w:spacing w:line="240" w:lineRule="auto" w:before="46"/>
        <w:ind w:left="574" w:right="0"/>
        <w:jc w:val="left"/>
      </w:pPr>
      <w:bookmarkStart w:name="(十五) 在建工程" w:id="196"/>
      <w:bookmarkEnd w:id="196"/>
      <w:r>
        <w:rPr/>
      </w:r>
      <w:r>
        <w:rPr>
          <w:rFonts w:ascii="宋体" w:hAnsi="宋体" w:cs="宋体" w:eastAsia="宋体" w:hint="default"/>
        </w:rPr>
        <w:t>(</w:t>
      </w:r>
      <w:r>
        <w:rPr/>
        <w:t>十五</w:t>
      </w:r>
      <w:r>
        <w:rPr>
          <w:rFonts w:ascii="宋体" w:hAnsi="宋体" w:cs="宋体" w:eastAsia="宋体" w:hint="default"/>
        </w:rPr>
        <w:t>)</w:t>
      </w:r>
      <w:r>
        <w:rPr>
          <w:rFonts w:ascii="宋体" w:hAnsi="宋体" w:cs="宋体" w:eastAsia="宋体" w:hint="default"/>
          <w:spacing w:val="-1"/>
        </w:rPr>
        <w:t> </w:t>
      </w:r>
      <w:r>
        <w:rPr/>
        <w:t>在建工程</w:t>
      </w:r>
    </w:p>
    <w:p>
      <w:pPr>
        <w:spacing w:line="240" w:lineRule="auto" w:before="10"/>
        <w:rPr>
          <w:rFonts w:ascii="宋体" w:hAnsi="宋体" w:cs="宋体" w:eastAsia="宋体" w:hint="default"/>
          <w:sz w:val="14"/>
          <w:szCs w:val="14"/>
        </w:rPr>
      </w:pPr>
    </w:p>
    <w:p>
      <w:pPr>
        <w:pStyle w:val="BodyText"/>
        <w:spacing w:line="408" w:lineRule="auto"/>
        <w:ind w:left="154" w:right="1141" w:firstLine="420"/>
        <w:jc w:val="both"/>
      </w:pPr>
      <w:r>
        <w:rPr>
          <w:rFonts w:ascii="宋体" w:hAnsi="宋体" w:cs="宋体" w:eastAsia="宋体" w:hint="default"/>
        </w:rPr>
        <w:t>1.</w:t>
      </w:r>
      <w:r>
        <w:rPr>
          <w:rFonts w:ascii="宋体" w:hAnsi="宋体" w:cs="宋体" w:eastAsia="宋体" w:hint="default"/>
          <w:spacing w:val="63"/>
        </w:rPr>
        <w:t> </w:t>
      </w:r>
      <w:r>
        <w:rPr/>
        <w:t>在建工程同时满足经济利益很可能流入、成本能够可靠计量则予以确认。在建工程按建造该项资 产达到预定可使用状态前所发生的实际成本计量。</w:t>
      </w:r>
    </w:p>
    <w:p>
      <w:pPr>
        <w:pStyle w:val="BodyText"/>
        <w:spacing w:line="408" w:lineRule="auto" w:before="46"/>
        <w:ind w:left="154" w:right="1131" w:firstLine="420"/>
        <w:jc w:val="both"/>
      </w:pPr>
      <w:r>
        <w:rPr>
          <w:rFonts w:ascii="宋体" w:hAnsi="宋体" w:cs="宋体" w:eastAsia="宋体" w:hint="default"/>
        </w:rPr>
        <w:t>2.</w:t>
      </w:r>
      <w:r>
        <w:rPr>
          <w:rFonts w:ascii="宋体" w:hAnsi="宋体" w:cs="宋体" w:eastAsia="宋体" w:hint="default"/>
          <w:spacing w:val="59"/>
        </w:rPr>
        <w:t> </w:t>
      </w:r>
      <w:r>
        <w:rPr/>
        <w:t>在建工程达到预定可使用状态时，按工程实际成本转入固定资产。已达到预定可使用状态但尚未 </w:t>
      </w:r>
      <w:r>
        <w:rPr>
          <w:spacing w:val="-1"/>
        </w:rPr>
        <w:t>办理竣工决算的，先按估计价值转入固定资产，待办理竣工决算后再按实际成本调整原暂估价值，但不再</w:t>
      </w:r>
      <w:r>
        <w:rPr>
          <w:spacing w:val="-83"/>
        </w:rPr>
        <w:t> </w:t>
      </w:r>
      <w:r>
        <w:rPr>
          <w:spacing w:val="-83"/>
        </w:rPr>
      </w:r>
      <w:r>
        <w:rPr/>
        <w:t>调整原已计提的折旧。</w:t>
      </w:r>
    </w:p>
    <w:p>
      <w:pPr>
        <w:pStyle w:val="BodyText"/>
        <w:spacing w:line="240" w:lineRule="auto" w:before="46"/>
        <w:ind w:left="574" w:right="0"/>
        <w:jc w:val="left"/>
      </w:pPr>
      <w:r>
        <w:rPr>
          <w:rFonts w:ascii="宋体" w:hAnsi="宋体" w:cs="宋体" w:eastAsia="宋体" w:hint="default"/>
        </w:rPr>
        <w:t>(</w:t>
      </w:r>
      <w:r>
        <w:rPr/>
        <w:t>十六</w:t>
      </w:r>
      <w:r>
        <w:rPr>
          <w:rFonts w:ascii="宋体" w:hAnsi="宋体" w:cs="宋体" w:eastAsia="宋体" w:hint="default"/>
        </w:rPr>
        <w:t>)</w:t>
      </w:r>
      <w:r>
        <w:rPr>
          <w:rFonts w:ascii="宋体" w:hAnsi="宋体" w:cs="宋体" w:eastAsia="宋体" w:hint="default"/>
          <w:spacing w:val="-1"/>
        </w:rPr>
        <w:t> </w:t>
      </w:r>
      <w:r>
        <w:rPr/>
        <w:t>借款费用</w:t>
      </w:r>
    </w:p>
    <w:p>
      <w:pPr>
        <w:spacing w:line="240" w:lineRule="auto" w:before="10"/>
        <w:rPr>
          <w:rFonts w:ascii="宋体" w:hAnsi="宋体" w:cs="宋体" w:eastAsia="宋体" w:hint="default"/>
          <w:sz w:val="14"/>
          <w:szCs w:val="14"/>
        </w:rPr>
      </w:pPr>
    </w:p>
    <w:p>
      <w:pPr>
        <w:pStyle w:val="BodyText"/>
        <w:spacing w:line="408" w:lineRule="auto"/>
        <w:ind w:left="574" w:right="0"/>
        <w:jc w:val="left"/>
      </w:pPr>
      <w:r>
        <w:rPr>
          <w:rFonts w:ascii="宋体" w:hAnsi="宋体" w:cs="宋体" w:eastAsia="宋体" w:hint="default"/>
        </w:rPr>
        <w:t>1. </w:t>
      </w:r>
      <w:r>
        <w:rPr/>
        <w:t>借款费用资本化的确认原则 </w:t>
      </w:r>
      <w:r>
        <w:rPr>
          <w:spacing w:val="-1"/>
        </w:rPr>
        <w:t>公司发生的借款费用，可直接归属于符合资本化条件的资产的购建或者生产的，予以资本化，计入相</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3" w:right="4453" w:hanging="420"/>
        <w:jc w:val="left"/>
      </w:pPr>
      <w:r>
        <w:rPr/>
        <w:t>关资产成本；其他借款费用，在发生时确认为费用，计入当期损益。 </w:t>
      </w:r>
      <w:r>
        <w:rPr>
          <w:rFonts w:ascii="宋体" w:hAnsi="宋体" w:cs="宋体" w:eastAsia="宋体" w:hint="default"/>
        </w:rPr>
        <w:t>2.</w:t>
      </w:r>
      <w:r>
        <w:rPr>
          <w:rFonts w:ascii="宋体" w:hAnsi="宋体" w:cs="宋体" w:eastAsia="宋体" w:hint="default"/>
          <w:spacing w:val="-1"/>
        </w:rPr>
        <w:t> </w:t>
      </w:r>
      <w:r>
        <w:rPr/>
        <w:t>借款费用资本化期间</w:t>
      </w:r>
    </w:p>
    <w:p>
      <w:pPr>
        <w:pStyle w:val="BodyText"/>
        <w:spacing w:line="408" w:lineRule="auto" w:before="46"/>
        <w:ind w:right="1098" w:firstLine="420"/>
        <w:jc w:val="left"/>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5"/>
        </w:rPr>
        <w:t> </w:t>
      </w:r>
      <w:r>
        <w:rPr/>
        <w:t>借款费用已经发生； </w:t>
      </w:r>
      <w:r>
        <w:rPr>
          <w:rFonts w:ascii="宋体" w:hAnsi="宋体" w:cs="宋体" w:eastAsia="宋体" w:hint="default"/>
        </w:rPr>
        <w:t>3)</w:t>
      </w:r>
      <w:r>
        <w:rPr>
          <w:rFonts w:ascii="宋体" w:hAnsi="宋体" w:cs="宋体" w:eastAsia="宋体" w:hint="default"/>
          <w:spacing w:val="-2"/>
        </w:rPr>
        <w:t> </w:t>
      </w:r>
      <w:r>
        <w:rPr/>
        <w:t>为使资产达到预定可使用或可销售状态所必要的购建或者生产活动已经开始。</w:t>
      </w:r>
    </w:p>
    <w:p>
      <w:pPr>
        <w:pStyle w:val="BodyText"/>
        <w:spacing w:line="408" w:lineRule="auto" w:before="46"/>
        <w:ind w:right="1014" w:firstLine="420"/>
        <w:jc w:val="left"/>
      </w:pPr>
      <w:r>
        <w:rPr>
          <w:rFonts w:ascii="宋体" w:hAnsi="宋体" w:cs="宋体" w:eastAsia="宋体" w:hint="default"/>
        </w:rPr>
        <w:t>(2)</w:t>
      </w:r>
      <w:r>
        <w:rPr>
          <w:rFonts w:ascii="宋体" w:hAnsi="宋体" w:cs="宋体" w:eastAsia="宋体" w:hint="default"/>
          <w:spacing w:val="5"/>
        </w:rPr>
        <w:t> </w:t>
      </w:r>
      <w:r>
        <w:rPr>
          <w:spacing w:val="-3"/>
        </w:rPr>
        <w:t>若符合资本化条件的资产在购建或者生产过程中发生非正常中断，并且中断时间连续超过</w:t>
      </w:r>
      <w:r>
        <w:rPr>
          <w:spacing w:val="-62"/>
        </w:rPr>
        <w:t> </w:t>
      </w:r>
      <w:r>
        <w:rPr>
          <w:rFonts w:ascii="宋体" w:hAnsi="宋体" w:cs="宋体" w:eastAsia="宋体" w:hint="default"/>
        </w:rPr>
        <w:t>3</w:t>
      </w:r>
      <w:r>
        <w:rPr>
          <w:rFonts w:ascii="宋体" w:hAnsi="宋体" w:cs="宋体" w:eastAsia="宋体" w:hint="default"/>
          <w:spacing w:val="-62"/>
        </w:rPr>
        <w:t> </w:t>
      </w:r>
      <w:r>
        <w:rPr/>
        <w:t>个月， 暂停借款费用的资本化；中断期间发生的借款费用确认为当期费用，直至资产的购建或者生产活动重新开 始。</w:t>
      </w:r>
    </w:p>
    <w:p>
      <w:pPr>
        <w:pStyle w:val="BodyText"/>
        <w:spacing w:line="408" w:lineRule="auto" w:before="46"/>
        <w:ind w:left="154" w:right="1118" w:firstLine="420"/>
        <w:jc w:val="left"/>
      </w:pPr>
      <w:r>
        <w:rPr>
          <w:rFonts w:ascii="宋体" w:hAnsi="宋体" w:cs="宋体" w:eastAsia="宋体" w:hint="default"/>
        </w:rPr>
        <w:t>(3)</w:t>
      </w:r>
      <w:r>
        <w:rPr>
          <w:rFonts w:ascii="宋体" w:hAnsi="宋体" w:cs="宋体" w:eastAsia="宋体" w:hint="default"/>
          <w:spacing w:val="27"/>
        </w:rPr>
        <w:t> </w:t>
      </w:r>
      <w:r>
        <w:rPr>
          <w:spacing w:val="3"/>
        </w:rPr>
        <w:t>当所购建或者生产符合资本化条件的资产达到预定可使用或可销售状态时，借款费用停止资本</w:t>
      </w:r>
      <w:r>
        <w:rPr/>
        <w:t> 化。</w:t>
      </w:r>
    </w:p>
    <w:p>
      <w:pPr>
        <w:pStyle w:val="BodyText"/>
        <w:spacing w:line="408" w:lineRule="auto" w:before="46"/>
        <w:ind w:left="574" w:right="0"/>
        <w:jc w:val="left"/>
      </w:pPr>
      <w:r>
        <w:rPr>
          <w:rFonts w:ascii="宋体" w:hAnsi="宋体" w:cs="宋体" w:eastAsia="宋体" w:hint="default"/>
        </w:rPr>
        <w:t>3. </w:t>
      </w:r>
      <w:r>
        <w:rPr/>
        <w:t>借款费用资本化率以及资本化金额 </w:t>
      </w:r>
      <w:r>
        <w:rPr>
          <w:spacing w:val="-1"/>
        </w:rPr>
        <w:t>为购建或者生产符合资本化条件的资产而借入专门借款的，以专门借款当期实际发生的利息费用（包</w:t>
      </w:r>
    </w:p>
    <w:p>
      <w:pPr>
        <w:pStyle w:val="BodyText"/>
        <w:spacing w:line="408" w:lineRule="auto" w:before="46"/>
        <w:ind w:left="154" w:right="1131"/>
        <w:jc w:val="both"/>
      </w:pPr>
      <w:r>
        <w:rPr>
          <w:spacing w:val="-1"/>
        </w:rPr>
        <w:t>括按照实际利率法确定的折价或溢价的摊销），减去将尚未动用的借款资金存入银行取得的利息收入或进</w:t>
      </w:r>
      <w:r>
        <w:rPr>
          <w:spacing w:val="-81"/>
        </w:rPr>
        <w:t> </w:t>
      </w:r>
      <w:r>
        <w:rPr>
          <w:spacing w:val="-81"/>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pStyle w:val="BodyText"/>
        <w:spacing w:line="240" w:lineRule="auto" w:before="46"/>
        <w:ind w:left="469" w:right="0"/>
        <w:jc w:val="left"/>
      </w:pPr>
      <w:bookmarkStart w:name="(十七) 无形资产" w:id="197"/>
      <w:bookmarkEnd w:id="197"/>
      <w:r>
        <w:rPr/>
      </w:r>
      <w:r>
        <w:rPr>
          <w:rFonts w:ascii="宋体" w:hAnsi="宋体" w:cs="宋体" w:eastAsia="宋体" w:hint="default"/>
        </w:rPr>
        <w:t>(</w:t>
      </w:r>
      <w:r>
        <w:rPr/>
        <w:t>十七</w:t>
      </w:r>
      <w:r>
        <w:rPr>
          <w:rFonts w:ascii="宋体" w:hAnsi="宋体" w:cs="宋体" w:eastAsia="宋体" w:hint="default"/>
        </w:rPr>
        <w:t>)</w:t>
      </w:r>
      <w:r>
        <w:rPr>
          <w:rFonts w:ascii="宋体" w:hAnsi="宋体" w:cs="宋体" w:eastAsia="宋体" w:hint="default"/>
          <w:spacing w:val="-2"/>
        </w:rPr>
        <w:t> </w:t>
      </w:r>
      <w:r>
        <w:rPr/>
        <w:t>无形资产</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pStyle w:val="BodyText"/>
        <w:spacing w:line="408" w:lineRule="auto"/>
        <w:ind w:right="1127" w:firstLine="420"/>
        <w:jc w:val="left"/>
      </w:pPr>
      <w:r>
        <w:rPr>
          <w:rFonts w:ascii="宋体" w:hAnsi="宋体" w:cs="宋体" w:eastAsia="宋体" w:hint="default"/>
        </w:rPr>
        <w:t>2.</w:t>
      </w:r>
      <w:r>
        <w:rPr>
          <w:rFonts w:ascii="宋体" w:hAnsi="宋体" w:cs="宋体" w:eastAsia="宋体" w:hint="default"/>
          <w:spacing w:val="71"/>
        </w:rPr>
        <w:t> </w:t>
      </w:r>
      <w:r>
        <w:rPr/>
        <w:t>使用寿命有限的无形资产，在使用寿命内按照与该项无形资产有关的经济利益的预期实现方式系 统合理地摊销，无法可靠确定预期实现方式的，采用直线法摊销。具体年限如下：</w:t>
      </w:r>
    </w:p>
    <w:tbl>
      <w:tblPr>
        <w:tblW w:w="0" w:type="auto"/>
        <w:jc w:val="left"/>
        <w:tblInd w:w="2794" w:type="dxa"/>
        <w:tblLayout w:type="fixed"/>
        <w:tblCellMar>
          <w:top w:w="0" w:type="dxa"/>
          <w:left w:w="0" w:type="dxa"/>
          <w:bottom w:w="0" w:type="dxa"/>
          <w:right w:w="0" w:type="dxa"/>
        </w:tblCellMar>
        <w:tblLook w:val="01E0"/>
      </w:tblPr>
      <w:tblGrid>
        <w:gridCol w:w="2489"/>
        <w:gridCol w:w="1846"/>
      </w:tblGrid>
      <w:tr>
        <w:trPr>
          <w:trHeight w:val="478"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7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50</w:t>
            </w:r>
          </w:p>
        </w:tc>
      </w:tr>
      <w:tr>
        <w:trPr>
          <w:trHeight w:val="478"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478"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sz w:val="21"/>
              </w:rPr>
              <w:t>5</w:t>
            </w:r>
          </w:p>
        </w:tc>
      </w:tr>
      <w:tr>
        <w:trPr>
          <w:trHeight w:val="47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3"/>
              <w:jc w:val="center"/>
              <w:rPr>
                <w:rFonts w:ascii="宋体" w:hAnsi="宋体" w:cs="宋体" w:eastAsia="宋体" w:hint="default"/>
                <w:sz w:val="21"/>
                <w:szCs w:val="21"/>
              </w:rPr>
            </w:pPr>
            <w:r>
              <w:rPr>
                <w:rFonts w:ascii="宋体"/>
                <w:sz w:val="21"/>
              </w:rPr>
              <w:t>5</w:t>
            </w:r>
          </w:p>
        </w:tc>
      </w:tr>
      <w:tr>
        <w:trPr>
          <w:trHeight w:val="478"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sz w:val="21"/>
              </w:rPr>
              <w:t>8</w:t>
            </w:r>
          </w:p>
        </w:tc>
      </w:tr>
      <w:tr>
        <w:trPr>
          <w:trHeight w:val="478"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排污权</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sz w:val="21"/>
              </w:rPr>
              <w:t>10</w:t>
            </w:r>
          </w:p>
        </w:tc>
      </w:tr>
      <w:tr>
        <w:trPr>
          <w:trHeight w:val="479"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软件著作权及域名组合</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10</w:t>
            </w:r>
          </w:p>
        </w:tc>
      </w:tr>
    </w:tbl>
    <w:p>
      <w:pPr>
        <w:spacing w:line="240" w:lineRule="auto" w:before="3"/>
        <w:rPr>
          <w:rFonts w:ascii="宋体" w:hAnsi="宋体" w:cs="宋体" w:eastAsia="宋体" w:hint="default"/>
          <w:sz w:val="5"/>
          <w:szCs w:val="5"/>
        </w:rPr>
      </w:pPr>
    </w:p>
    <w:p>
      <w:pPr>
        <w:spacing w:line="477" w:lineRule="auto" w:before="44"/>
        <w:ind w:left="153" w:right="1120"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：系香港利欧下属子公司 </w:t>
      </w:r>
      <w:r>
        <w:rPr>
          <w:rFonts w:ascii="宋体" w:hAnsi="宋体" w:cs="宋体" w:eastAsia="宋体" w:hint="default"/>
          <w:sz w:val="18"/>
          <w:szCs w:val="18"/>
        </w:rPr>
        <w:t>GAMA European Garden Machinery Co.</w:t>
      </w:r>
      <w:r>
        <w:rPr>
          <w:rFonts w:ascii="宋体" w:hAnsi="宋体" w:cs="宋体" w:eastAsia="宋体" w:hint="default"/>
          <w:spacing w:val="33"/>
          <w:sz w:val="18"/>
          <w:szCs w:val="18"/>
        </w:rPr>
        <w:t> </w:t>
      </w:r>
      <w:r>
        <w:rPr>
          <w:rFonts w:ascii="宋体" w:hAnsi="宋体" w:cs="宋体" w:eastAsia="宋体" w:hint="default"/>
          <w:sz w:val="18"/>
          <w:szCs w:val="18"/>
        </w:rPr>
        <w:t>Ltd.</w:t>
      </w:r>
      <w:r>
        <w:rPr>
          <w:rFonts w:ascii="宋体" w:hAnsi="宋体" w:cs="宋体" w:eastAsia="宋体" w:hint="default"/>
          <w:sz w:val="18"/>
          <w:szCs w:val="18"/>
        </w:rPr>
        <w:t>购买的拥有永久所有权的土地，该土地无 需计提摊销。</w:t>
      </w:r>
    </w:p>
    <w:p>
      <w:pPr>
        <w:spacing w:after="0" w:line="477"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010" w:firstLine="420"/>
        <w:jc w:val="left"/>
      </w:pPr>
      <w:r>
        <w:rPr>
          <w:rFonts w:ascii="宋体" w:hAnsi="宋体" w:cs="宋体" w:eastAsia="宋体" w:hint="default"/>
        </w:rPr>
        <w:t>3.</w:t>
      </w:r>
      <w:r>
        <w:rPr>
          <w:rFonts w:ascii="宋体" w:hAnsi="宋体" w:cs="宋体" w:eastAsia="宋体" w:hint="default"/>
          <w:spacing w:val="-22"/>
        </w:rPr>
        <w:t> </w:t>
      </w:r>
      <w:r>
        <w:rPr/>
        <w:t>内部研究开发项目研究阶段的支出，于发生时计入当期损益。内部研究开发项目开发阶段的支出， </w:t>
      </w:r>
      <w:r>
        <w:rPr>
          <w:spacing w:val="-7"/>
        </w:rPr>
        <w:t>同时满足下列条件的，确认为无形资产：</w:t>
      </w:r>
      <w:r>
        <w:rPr>
          <w:rFonts w:ascii="宋体" w:hAnsi="宋体" w:cs="宋体" w:eastAsia="宋体" w:hint="default"/>
          <w:spacing w:val="-7"/>
        </w:rPr>
        <w:t>(1)</w:t>
      </w:r>
      <w:r>
        <w:rPr>
          <w:rFonts w:ascii="宋体" w:hAnsi="宋体" w:cs="宋体" w:eastAsia="宋体" w:hint="default"/>
          <w:spacing w:val="16"/>
        </w:rPr>
        <w:t> </w:t>
      </w:r>
      <w:r>
        <w:rPr/>
        <w:t>完成该无形资产以使其能够使用或出售在技术上具有可行性； </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15"/>
        </w:rPr>
        <w:t> </w:t>
      </w:r>
      <w:r>
        <w:rPr/>
        <w:t>无形资产产生经济利益的方式，包括能够证明运用该 </w:t>
      </w:r>
      <w:r>
        <w:rPr>
          <w:spacing w:val="-3"/>
        </w:rPr>
        <w:t>无形资产生产的产品存在市场或无形资产自身存在市场，无形资产将在内部使用的，能证明其有用性；</w:t>
      </w:r>
      <w:r>
        <w:rPr>
          <w:rFonts w:ascii="宋体" w:hAnsi="宋体" w:cs="宋体" w:eastAsia="宋体" w:hint="default"/>
          <w:spacing w:val="-3"/>
        </w:rPr>
        <w:t>(4)</w:t>
      </w:r>
      <w:r>
        <w:rPr>
          <w:rFonts w:ascii="宋体" w:hAnsi="宋体" w:cs="宋体" w:eastAsia="宋体" w:hint="default"/>
          <w:spacing w:val="-86"/>
        </w:rPr>
        <w:t> </w:t>
      </w:r>
      <w:r>
        <w:rPr/>
        <w:t>有足够的技术、财务资源和其他资源支持，以完成该无形资产的开发，并有能力使用或出售该无形资产； </w:t>
      </w:r>
      <w:r>
        <w:rPr>
          <w:rFonts w:ascii="宋体" w:hAnsi="宋体" w:cs="宋体" w:eastAsia="宋体" w:hint="default"/>
        </w:rPr>
        <w:t>(5)</w:t>
      </w:r>
      <w:r>
        <w:rPr>
          <w:rFonts w:ascii="宋体" w:hAnsi="宋体" w:cs="宋体" w:eastAsia="宋体" w:hint="default"/>
          <w:spacing w:val="-1"/>
        </w:rPr>
        <w:t> </w:t>
      </w:r>
      <w:r>
        <w:rPr/>
        <w:t>归属于该无形资产开发阶段的支出能够可靠地计量。</w:t>
      </w:r>
    </w:p>
    <w:p>
      <w:pPr>
        <w:pStyle w:val="BodyText"/>
        <w:spacing w:line="408" w:lineRule="auto" w:before="46"/>
        <w:ind w:left="154" w:right="1023" w:firstLine="420"/>
        <w:jc w:val="left"/>
      </w:pPr>
      <w:r>
        <w:rPr/>
        <w:t>公司划分内部研究开发项目研究阶段支出和开发阶段支出的具体标准：研究阶段，是指为获取新的技 </w:t>
      </w:r>
      <w:r>
        <w:rPr>
          <w:spacing w:val="-3"/>
        </w:rPr>
        <w:t>术和知识等进行的有计划的调查，为进一步的开发活动进行资料及相关方面的准备，将来是否会转入开发、</w:t>
      </w:r>
      <w:r>
        <w:rPr>
          <w:spacing w:val="-92"/>
        </w:rPr>
        <w:t> </w:t>
      </w:r>
      <w:r>
        <w:rPr>
          <w:spacing w:val="-92"/>
        </w:rPr>
      </w:r>
      <w:r>
        <w:rPr/>
        <w:t>开发后是否会形成无形资产等具有较大的不确定性；开发阶段相对研究阶段而言，是指完成了研究阶段的</w:t>
      </w:r>
      <w:r>
        <w:rPr/>
        <w:t> 工作，在很大程度上形成一项新产品或新技术的基本条件已经具备。</w:t>
      </w:r>
    </w:p>
    <w:p>
      <w:pPr>
        <w:pStyle w:val="BodyText"/>
        <w:spacing w:line="408" w:lineRule="auto" w:before="46"/>
        <w:ind w:left="574" w:right="0"/>
        <w:jc w:val="left"/>
      </w:pPr>
      <w:r>
        <w:rPr>
          <w:rFonts w:ascii="宋体" w:hAnsi="宋体" w:cs="宋体" w:eastAsia="宋体" w:hint="default"/>
        </w:rPr>
        <w:t>(</w:t>
      </w:r>
      <w:r>
        <w:rPr/>
        <w:t>十八</w:t>
      </w:r>
      <w:r>
        <w:rPr>
          <w:rFonts w:ascii="宋体" w:hAnsi="宋体" w:cs="宋体" w:eastAsia="宋体" w:hint="default"/>
        </w:rPr>
        <w:t>) </w:t>
      </w:r>
      <w:r>
        <w:rPr/>
        <w:t>部分长期资产减值 </w:t>
      </w:r>
      <w:r>
        <w:rPr>
          <w:spacing w:val="-1"/>
        </w:rPr>
        <w:t>对长期股权投资、采用成本模式计量的投资性房地产、固定资产、在建工程、使用寿命有限的无形资</w:t>
      </w:r>
    </w:p>
    <w:p>
      <w:pPr>
        <w:pStyle w:val="BodyText"/>
        <w:spacing w:line="408" w:lineRule="auto" w:before="46"/>
        <w:ind w:right="1130"/>
        <w:jc w:val="both"/>
      </w:pPr>
      <w:r>
        <w:rPr/>
        <w:t>产等长期资产</w:t>
      </w:r>
      <w:r>
        <w:rPr>
          <w:rFonts w:ascii="宋体" w:hAnsi="宋体" w:cs="宋体" w:eastAsia="宋体" w:hint="default"/>
        </w:rPr>
        <w:t>,</w:t>
      </w:r>
      <w:r>
        <w:rPr/>
        <w:t>在资产负债表日有迹象表明发生减值的，估计其可收回金额。对因企业合并所形成的商誉</w:t>
      </w:r>
      <w:r>
        <w:rPr>
          <w:spacing w:val="-27"/>
        </w:rPr>
        <w:t> </w:t>
      </w:r>
      <w:r>
        <w:rPr>
          <w:spacing w:val="-27"/>
        </w:rPr>
      </w:r>
      <w:r>
        <w:rPr>
          <w:spacing w:val="-1"/>
        </w:rPr>
        <w:t>和使用寿命不确定的无形资产，无论是否存在减值迹象，每年都进行减值测试。商誉结合与其相关的资产</w:t>
      </w:r>
      <w:r>
        <w:rPr>
          <w:spacing w:val="-83"/>
        </w:rPr>
        <w:t> </w:t>
      </w:r>
      <w:r>
        <w:rPr>
          <w:spacing w:val="-83"/>
        </w:rPr>
      </w:r>
      <w:r>
        <w:rPr/>
        <w:t>组或者资产组组合进行减值测试。</w:t>
      </w:r>
    </w:p>
    <w:p>
      <w:pPr>
        <w:pStyle w:val="BodyText"/>
        <w:spacing w:line="408" w:lineRule="auto" w:before="46"/>
        <w:ind w:left="573" w:right="1513"/>
        <w:jc w:val="left"/>
      </w:pPr>
      <w:r>
        <w:rPr/>
        <w:t>若上述长期资产的可收回金额低于其账面价值的，按其差额确认资产减值准备并计入当期损益。 </w:t>
      </w:r>
      <w:bookmarkStart w:name="(十九) 长期待摊费用" w:id="198"/>
      <w:bookmarkEnd w:id="198"/>
      <w:r>
        <w:rPr/>
      </w:r>
      <w:r>
        <w:rPr>
          <w:rFonts w:ascii="宋体" w:hAnsi="宋体" w:cs="宋体" w:eastAsia="宋体" w:hint="default"/>
        </w:rPr>
        <w:t>(</w:t>
      </w:r>
      <w:r>
        <w:rPr/>
        <w:t>十九</w:t>
      </w:r>
      <w:r>
        <w:rPr>
          <w:rFonts w:ascii="宋体" w:hAnsi="宋体" w:cs="宋体" w:eastAsia="宋体" w:hint="default"/>
        </w:rPr>
        <w:t>)</w:t>
      </w:r>
      <w:r>
        <w:rPr>
          <w:rFonts w:ascii="宋体" w:hAnsi="宋体" w:cs="宋体" w:eastAsia="宋体" w:hint="default"/>
          <w:spacing w:val="-1"/>
        </w:rPr>
        <w:t> </w:t>
      </w:r>
      <w:r>
        <w:rPr/>
        <w:t>长期待摊费用</w:t>
      </w:r>
    </w:p>
    <w:p>
      <w:pPr>
        <w:pStyle w:val="BodyText"/>
        <w:spacing w:line="408" w:lineRule="auto" w:before="46"/>
        <w:ind w:right="1131" w:firstLine="420"/>
        <w:jc w:val="both"/>
      </w:pPr>
      <w:r>
        <w:rPr/>
        <w:t>长期待摊费用核算已经支出，摊销期限在</w:t>
      </w:r>
      <w:r>
        <w:rPr>
          <w:spacing w:val="-59"/>
        </w:rPr>
        <w:t> </w:t>
      </w:r>
      <w:r>
        <w:rPr>
          <w:rFonts w:ascii="宋体" w:hAnsi="宋体" w:cs="宋体" w:eastAsia="宋体" w:hint="default"/>
        </w:rPr>
        <w:t>1</w:t>
      </w:r>
      <w:r>
        <w:rPr>
          <w:rFonts w:ascii="宋体" w:hAnsi="宋体" w:cs="宋体" w:eastAsia="宋体" w:hint="default"/>
          <w:spacing w:val="-59"/>
        </w:rPr>
        <w:t> </w:t>
      </w:r>
      <w:r>
        <w:rPr/>
        <w:t>年以上</w:t>
      </w:r>
      <w:r>
        <w:rPr>
          <w:rFonts w:ascii="宋体" w:hAnsi="宋体" w:cs="宋体" w:eastAsia="宋体" w:hint="default"/>
        </w:rPr>
        <w:t>(</w:t>
      </w:r>
      <w:r>
        <w:rPr/>
        <w:t>不含</w:t>
      </w:r>
      <w:r>
        <w:rPr>
          <w:spacing w:val="-60"/>
        </w:rPr>
        <w:t> </w:t>
      </w:r>
      <w:r>
        <w:rPr>
          <w:rFonts w:ascii="宋体" w:hAnsi="宋体" w:cs="宋体" w:eastAsia="宋体" w:hint="default"/>
        </w:rPr>
        <w:t>1</w:t>
      </w:r>
      <w:r>
        <w:rPr>
          <w:rFonts w:ascii="宋体" w:hAnsi="宋体" w:cs="宋体" w:eastAsia="宋体" w:hint="default"/>
          <w:spacing w:val="-60"/>
        </w:rPr>
        <w:t> </w:t>
      </w:r>
      <w:r>
        <w:rPr/>
        <w:t>年</w:t>
      </w:r>
      <w:r>
        <w:rPr>
          <w:rFonts w:ascii="宋体" w:hAnsi="宋体" w:cs="宋体" w:eastAsia="宋体" w:hint="default"/>
        </w:rPr>
        <w:t>)</w:t>
      </w:r>
      <w:r>
        <w:rPr/>
        <w:t>的各项费用。长期待摊费用按实际发生 </w:t>
      </w:r>
      <w:r>
        <w:rPr>
          <w:spacing w:val="-1"/>
        </w:rPr>
        <w:t>额入账，在受益期或规定的期限内分期平均摊销。如果长期待摊的费用项目不能使以后会计期间受益则将</w:t>
      </w:r>
      <w:r>
        <w:rPr>
          <w:spacing w:val="-81"/>
        </w:rPr>
        <w:t> </w:t>
      </w:r>
      <w:r>
        <w:rPr>
          <w:spacing w:val="-81"/>
        </w:rPr>
      </w:r>
      <w:r>
        <w:rPr/>
        <w:t>尚未摊销的该项目的摊余价值全部转入当期损益。</w:t>
      </w:r>
    </w:p>
    <w:p>
      <w:pPr>
        <w:pStyle w:val="BodyText"/>
        <w:spacing w:line="240" w:lineRule="auto" w:before="46"/>
        <w:ind w:left="574" w:right="0"/>
        <w:jc w:val="left"/>
      </w:pPr>
      <w:r>
        <w:rPr>
          <w:rFonts w:ascii="宋体" w:hAnsi="宋体" w:cs="宋体" w:eastAsia="宋体" w:hint="default"/>
        </w:rPr>
        <w:t>(</w:t>
      </w:r>
      <w:r>
        <w:rPr/>
        <w:t>二十</w:t>
      </w:r>
      <w:r>
        <w:rPr>
          <w:rFonts w:ascii="宋体" w:hAnsi="宋体" w:cs="宋体" w:eastAsia="宋体" w:hint="default"/>
        </w:rPr>
        <w:t>)</w:t>
      </w:r>
      <w:r>
        <w:rPr>
          <w:rFonts w:ascii="宋体" w:hAnsi="宋体" w:cs="宋体" w:eastAsia="宋体" w:hint="default"/>
          <w:spacing w:val="-1"/>
        </w:rPr>
        <w:t> </w:t>
      </w:r>
      <w:r>
        <w:rPr/>
        <w:t>职工薪酬</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职工薪酬包括短期薪酬、离职后福利、辞退福利和其他长期职工福利。</w:t>
      </w:r>
    </w:p>
    <w:p>
      <w:pPr>
        <w:spacing w:line="240" w:lineRule="auto" w:before="10"/>
        <w:rPr>
          <w:rFonts w:ascii="宋体" w:hAnsi="宋体" w:cs="宋体" w:eastAsia="宋体" w:hint="default"/>
          <w:sz w:val="14"/>
          <w:szCs w:val="14"/>
        </w:rPr>
      </w:pPr>
    </w:p>
    <w:p>
      <w:pPr>
        <w:pStyle w:val="BodyText"/>
        <w:spacing w:line="408" w:lineRule="auto"/>
        <w:ind w:left="574" w:right="0"/>
        <w:jc w:val="left"/>
      </w:pPr>
      <w:r>
        <w:rPr>
          <w:rFonts w:ascii="宋体" w:hAnsi="宋体" w:cs="宋体" w:eastAsia="宋体" w:hint="default"/>
        </w:rPr>
        <w:t>2. </w:t>
      </w:r>
      <w:r>
        <w:rPr/>
        <w:t>短期薪酬的会计处理方法 </w:t>
      </w:r>
      <w:r>
        <w:rPr>
          <w:spacing w:val="-1"/>
        </w:rPr>
        <w:t>在职工为公司提供服务的会计期间，将实际发生的短期薪酬确认为负债，并计入当期损益或相关资产</w:t>
      </w:r>
    </w:p>
    <w:p>
      <w:pPr>
        <w:pStyle w:val="BodyText"/>
        <w:spacing w:line="240" w:lineRule="auto" w:before="46"/>
        <w:ind w:left="154" w:right="0"/>
        <w:jc w:val="both"/>
      </w:pPr>
      <w:r>
        <w:rPr/>
        <w:t>成本。</w:t>
      </w:r>
    </w:p>
    <w:p>
      <w:pPr>
        <w:spacing w:line="240" w:lineRule="auto" w:before="10"/>
        <w:rPr>
          <w:rFonts w:ascii="宋体" w:hAnsi="宋体" w:cs="宋体" w:eastAsia="宋体" w:hint="default"/>
          <w:sz w:val="14"/>
          <w:szCs w:val="14"/>
        </w:rPr>
      </w:pPr>
    </w:p>
    <w:p>
      <w:pPr>
        <w:pStyle w:val="BodyText"/>
        <w:spacing w:line="408" w:lineRule="auto"/>
        <w:ind w:left="574" w:right="5922"/>
        <w:jc w:val="left"/>
      </w:pPr>
      <w:r>
        <w:rPr>
          <w:rFonts w:ascii="宋体" w:hAnsi="宋体" w:cs="宋体" w:eastAsia="宋体" w:hint="default"/>
        </w:rPr>
        <w:t>3. </w:t>
      </w:r>
      <w:r>
        <w:rPr/>
        <w:t>离职后福利的会计处理方法 离职后福利分为设定提存计划和设定受益计划。</w:t>
      </w:r>
    </w:p>
    <w:p>
      <w:pPr>
        <w:pStyle w:val="BodyText"/>
        <w:spacing w:line="408" w:lineRule="auto" w:before="46"/>
        <w:ind w:left="154" w:right="1114" w:firstLine="420"/>
        <w:jc w:val="left"/>
      </w:pPr>
      <w:r>
        <w:rPr>
          <w:rFonts w:ascii="宋体" w:hAnsi="宋体" w:cs="宋体" w:eastAsia="宋体" w:hint="default"/>
        </w:rPr>
        <w:t>(1)</w:t>
      </w:r>
      <w:r>
        <w:rPr>
          <w:rFonts w:ascii="宋体" w:hAnsi="宋体" w:cs="宋体" w:eastAsia="宋体" w:hint="default"/>
          <w:spacing w:val="-22"/>
        </w:rPr>
        <w:t> </w:t>
      </w:r>
      <w:r>
        <w:rPr/>
        <w:t>在职工为公司提供服务的会计期间，根据设定提存计划计算的应缴存金额确认为负债，并计入当 期损益或相关资产成本。</w:t>
      </w:r>
    </w:p>
    <w:p>
      <w:pPr>
        <w:pStyle w:val="BodyText"/>
        <w:spacing w:line="240" w:lineRule="auto" w:before="46"/>
        <w:ind w:left="574" w:right="0"/>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3" w:firstLine="420"/>
        <w:jc w:val="both"/>
      </w:pPr>
      <w:r>
        <w:rPr>
          <w:rFonts w:ascii="宋体" w:hAnsi="宋体" w:cs="宋体" w:eastAsia="宋体" w:hint="default"/>
        </w:rPr>
        <w:t>1)</w:t>
      </w:r>
      <w:r>
        <w:rPr>
          <w:rFonts w:ascii="宋体" w:hAnsi="宋体" w:cs="宋体" w:eastAsia="宋体" w:hint="default"/>
          <w:spacing w:val="66"/>
        </w:rPr>
        <w:t> </w:t>
      </w:r>
      <w:r>
        <w:rPr/>
        <w:t>根据预期累计福利单位法，采用无偏且相互一致的精算假设对有关人口统计变量和财务变量等作 </w:t>
      </w:r>
      <w:r>
        <w:rPr>
          <w:spacing w:val="-1"/>
        </w:rPr>
        <w:t>出估计，计量设定受益计划所产生的义务，并确定相关义务的所属期间。同时，对设定受益计划所产生的</w:t>
      </w:r>
      <w:r>
        <w:rPr>
          <w:spacing w:val="-85"/>
        </w:rPr>
        <w:t> </w:t>
      </w:r>
      <w:r>
        <w:rPr>
          <w:spacing w:val="-85"/>
        </w:rPr>
      </w:r>
      <w:r>
        <w:rPr/>
        <w:t>义务予以折现，以确定设定受益计划义务的现值和当期服务成本；</w:t>
      </w:r>
    </w:p>
    <w:p>
      <w:pPr>
        <w:pStyle w:val="BodyText"/>
        <w:spacing w:line="408" w:lineRule="auto" w:before="46"/>
        <w:ind w:right="1131" w:firstLine="420"/>
        <w:jc w:val="both"/>
      </w:pPr>
      <w:r>
        <w:rPr>
          <w:rFonts w:ascii="宋体" w:hAnsi="宋体" w:cs="宋体" w:eastAsia="宋体" w:hint="default"/>
        </w:rPr>
        <w:t>2)</w:t>
      </w:r>
      <w:r>
        <w:rPr>
          <w:rFonts w:ascii="宋体" w:hAnsi="宋体" w:cs="宋体" w:eastAsia="宋体" w:hint="default"/>
          <w:spacing w:val="58"/>
        </w:rPr>
        <w:t> </w:t>
      </w:r>
      <w:r>
        <w:rPr/>
        <w:t>设定受益计划存在资产的，将设定受益计划义务现值减去设定受益计划资产公允价值所形成的赤 </w:t>
      </w:r>
      <w:r>
        <w:rPr>
          <w:spacing w:val="-1"/>
        </w:rPr>
        <w:t>字或盈余确认为一项设定受益计划净负债或净资产。设定受益计划存在盈余的，以设定受益计划的盈余和</w:t>
      </w:r>
      <w:r>
        <w:rPr>
          <w:spacing w:val="-81"/>
        </w:rPr>
        <w:t> </w:t>
      </w:r>
      <w:r>
        <w:rPr>
          <w:spacing w:val="-81"/>
        </w:rPr>
      </w:r>
      <w:r>
        <w:rPr/>
        <w:t>资产上限两项的孰低者计量设定受益计划净资产；</w:t>
      </w:r>
    </w:p>
    <w:p>
      <w:pPr>
        <w:pStyle w:val="BodyText"/>
        <w:spacing w:line="408" w:lineRule="auto" w:before="46"/>
        <w:ind w:left="154" w:right="1131" w:firstLine="420"/>
        <w:jc w:val="both"/>
      </w:pPr>
      <w:r>
        <w:rPr>
          <w:rFonts w:ascii="宋体" w:hAnsi="宋体" w:cs="宋体" w:eastAsia="宋体" w:hint="default"/>
        </w:rPr>
        <w:t>3)</w:t>
      </w:r>
      <w:r>
        <w:rPr>
          <w:rFonts w:ascii="宋体" w:hAnsi="宋体" w:cs="宋体" w:eastAsia="宋体" w:hint="default"/>
          <w:spacing w:val="59"/>
        </w:rPr>
        <w:t> </w:t>
      </w:r>
      <w:r>
        <w:rPr/>
        <w:t>期末，将设定受益计划产生的职工薪酬成本确认为服务成本、设定受益计划净负债或净资产的利 </w:t>
      </w:r>
      <w:r>
        <w:rPr>
          <w:spacing w:val="-1"/>
        </w:rPr>
        <w:t>息净额以及重新计量设定受益计划净负债或净资产所产生的变动等三部分，其中服务成本和设定受益计划</w:t>
      </w:r>
      <w:r>
        <w:rPr>
          <w:spacing w:val="-81"/>
        </w:rPr>
        <w:t> </w:t>
      </w:r>
      <w:r>
        <w:rPr>
          <w:spacing w:val="-81"/>
        </w:rPr>
      </w:r>
      <w:r>
        <w:rPr>
          <w:spacing w:val="-1"/>
        </w:rPr>
        <w:t>净负债或净资产的利息净额计入当期损益或相关资产成本，重新计量设定受益计划净负债或净资产所产生</w:t>
      </w:r>
      <w:r>
        <w:rPr>
          <w:spacing w:val="-81"/>
        </w:rPr>
        <w:t> </w:t>
      </w:r>
      <w:r>
        <w:rPr>
          <w:spacing w:val="-81"/>
        </w:rPr>
      </w:r>
      <w:r>
        <w:rPr>
          <w:spacing w:val="-1"/>
        </w:rPr>
        <w:t>的变动计入其他综合收益，并且在后续会计期间不允许转回至损益，但可以在权益范围内转移这些在其他</w:t>
      </w:r>
      <w:r>
        <w:rPr>
          <w:spacing w:val="-81"/>
        </w:rPr>
        <w:t> </w:t>
      </w:r>
      <w:r>
        <w:rPr>
          <w:spacing w:val="-81"/>
        </w:rPr>
      </w:r>
      <w:r>
        <w:rPr/>
        <w:t>综合收益确认的金额。</w:t>
      </w:r>
    </w:p>
    <w:p>
      <w:pPr>
        <w:pStyle w:val="BodyText"/>
        <w:spacing w:line="408" w:lineRule="auto" w:before="46"/>
        <w:ind w:left="574" w:right="1125"/>
        <w:jc w:val="left"/>
        <w:rPr>
          <w:rFonts w:ascii="宋体" w:hAnsi="宋体" w:cs="宋体" w:eastAsia="宋体" w:hint="default"/>
        </w:rPr>
      </w:pPr>
      <w:r>
        <w:rPr>
          <w:rFonts w:ascii="宋体" w:hAnsi="宋体" w:cs="宋体" w:eastAsia="宋体" w:hint="default"/>
        </w:rPr>
        <w:t>4. </w:t>
      </w:r>
      <w:r>
        <w:rPr/>
        <w:t>辞退福利的会计处理方法 </w:t>
      </w:r>
      <w:r>
        <w:rPr>
          <w:spacing w:val="-3"/>
        </w:rPr>
        <w:t>向职工提供的辞退福利，在下列两者孰早日确认辞退福利产生的职工薪酬负债，并计入当期损益：</w:t>
      </w:r>
      <w:r>
        <w:rPr>
          <w:rFonts w:ascii="宋体" w:hAnsi="宋体" w:cs="宋体" w:eastAsia="宋体" w:hint="default"/>
          <w:spacing w:val="-3"/>
        </w:rPr>
        <w:t>(1)</w:t>
      </w:r>
    </w:p>
    <w:p>
      <w:pPr>
        <w:pStyle w:val="BodyText"/>
        <w:spacing w:line="408" w:lineRule="auto" w:before="46"/>
        <w:ind w:right="1130"/>
        <w:jc w:val="both"/>
      </w:pP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20"/>
        </w:rPr>
        <w:t> </w:t>
      </w:r>
      <w:r>
        <w:rPr/>
        <w:t>公司确认与涉及支付辞退 福利的重组相关的成本或费用时。</w:t>
      </w:r>
    </w:p>
    <w:p>
      <w:pPr>
        <w:pStyle w:val="BodyText"/>
        <w:spacing w:line="408" w:lineRule="auto" w:before="46"/>
        <w:ind w:left="573" w:right="1018"/>
        <w:jc w:val="left"/>
      </w:pPr>
      <w:r>
        <w:rPr>
          <w:rFonts w:ascii="宋体" w:hAnsi="宋体" w:cs="宋体" w:eastAsia="宋体" w:hint="default"/>
        </w:rPr>
        <w:t>5. </w:t>
      </w:r>
      <w:r>
        <w:rPr/>
        <w:t>其他长期职工福利的会计处理方法 </w:t>
      </w:r>
      <w:r>
        <w:rPr>
          <w:spacing w:val="-3"/>
        </w:rPr>
        <w:t>向职工提供的其他长期福利，符合设定提存计划条件的，按照设定提存计划的有关规定进行会计处理；</w:t>
      </w:r>
    </w:p>
    <w:p>
      <w:pPr>
        <w:pStyle w:val="BodyText"/>
        <w:spacing w:line="408" w:lineRule="auto" w:before="46"/>
        <w:ind w:right="1131"/>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pStyle w:val="BodyText"/>
        <w:spacing w:line="240" w:lineRule="auto" w:before="46"/>
        <w:ind w:left="573" w:right="0"/>
        <w:jc w:val="left"/>
      </w:pPr>
      <w:r>
        <w:rPr>
          <w:rFonts w:ascii="宋体" w:hAnsi="宋体" w:cs="宋体" w:eastAsia="宋体" w:hint="default"/>
        </w:rPr>
        <w:t>(</w:t>
      </w:r>
      <w:r>
        <w:rPr/>
        <w:t>二十一</w:t>
      </w:r>
      <w:r>
        <w:rPr>
          <w:rFonts w:ascii="宋体" w:hAnsi="宋体" w:cs="宋体" w:eastAsia="宋体" w:hint="default"/>
        </w:rPr>
        <w:t>)</w:t>
      </w:r>
      <w:r>
        <w:rPr>
          <w:rFonts w:ascii="宋体" w:hAnsi="宋体" w:cs="宋体" w:eastAsia="宋体" w:hint="default"/>
          <w:spacing w:val="-1"/>
        </w:rPr>
        <w:t> </w:t>
      </w:r>
      <w:r>
        <w:rPr/>
        <w:t>预计负债</w:t>
      </w:r>
    </w:p>
    <w:p>
      <w:pPr>
        <w:spacing w:line="240" w:lineRule="auto" w:before="10"/>
        <w:rPr>
          <w:rFonts w:ascii="宋体" w:hAnsi="宋体" w:cs="宋体" w:eastAsia="宋体" w:hint="default"/>
          <w:sz w:val="14"/>
          <w:szCs w:val="14"/>
        </w:rPr>
      </w:pPr>
    </w:p>
    <w:p>
      <w:pPr>
        <w:pStyle w:val="BodyText"/>
        <w:spacing w:line="408" w:lineRule="auto"/>
        <w:ind w:left="154" w:right="1131" w:firstLine="420"/>
        <w:jc w:val="both"/>
      </w:pPr>
      <w:r>
        <w:rPr>
          <w:rFonts w:ascii="宋体" w:hAnsi="宋体" w:cs="宋体" w:eastAsia="宋体" w:hint="default"/>
        </w:rPr>
        <w:t>1.</w:t>
      </w:r>
      <w:r>
        <w:rPr>
          <w:rFonts w:ascii="宋体" w:hAnsi="宋体" w:cs="宋体" w:eastAsia="宋体" w:hint="default"/>
          <w:spacing w:val="68"/>
        </w:rPr>
        <w:t> </w:t>
      </w:r>
      <w:r>
        <w:rPr/>
        <w:t>因对外提供担保、诉讼事项、产品质量保证、亏损合同等或有事项形成的义务成为公司承担的现 </w:t>
      </w:r>
      <w:r>
        <w:rPr>
          <w:spacing w:val="-1"/>
        </w:rPr>
        <w:t>时义务，履行该义务很可能导致经济利益流出公司，且该义务的金额能够可靠的计量时，公司将该项义务</w:t>
      </w:r>
      <w:r>
        <w:rPr>
          <w:spacing w:val="-83"/>
        </w:rPr>
        <w:t> </w:t>
      </w:r>
      <w:r>
        <w:rPr>
          <w:spacing w:val="-83"/>
        </w:rPr>
      </w:r>
      <w:r>
        <w:rPr/>
        <w:t>确认为预计负债。</w:t>
      </w:r>
    </w:p>
    <w:p>
      <w:pPr>
        <w:pStyle w:val="BodyText"/>
        <w:spacing w:line="408" w:lineRule="auto" w:before="46"/>
        <w:ind w:left="154" w:right="1141" w:firstLine="420"/>
        <w:jc w:val="both"/>
      </w:pPr>
      <w:r>
        <w:rPr>
          <w:rFonts w:ascii="宋体" w:hAnsi="宋体" w:cs="宋体" w:eastAsia="宋体" w:hint="default"/>
        </w:rPr>
        <w:t>2.</w:t>
      </w:r>
      <w:r>
        <w:rPr>
          <w:rFonts w:ascii="宋体" w:hAnsi="宋体" w:cs="宋体" w:eastAsia="宋体" w:hint="default"/>
          <w:spacing w:val="63"/>
        </w:rPr>
        <w:t> </w:t>
      </w:r>
      <w:r>
        <w:rPr/>
        <w:t>公司按照履行相关现时义务所需支出的最佳估计数对预计负债进行初始计量，并在资产负债表日 对预计负债的账面价值进行复核。</w:t>
      </w:r>
    </w:p>
    <w:p>
      <w:pPr>
        <w:pStyle w:val="BodyText"/>
        <w:spacing w:line="408" w:lineRule="auto" w:before="46"/>
        <w:ind w:left="574" w:right="8970"/>
        <w:jc w:val="left"/>
      </w:pPr>
      <w:r>
        <w:rPr>
          <w:rFonts w:ascii="宋体" w:hAnsi="宋体" w:cs="宋体" w:eastAsia="宋体" w:hint="default"/>
        </w:rPr>
        <w:t>(</w:t>
      </w:r>
      <w:r>
        <w:rPr/>
        <w:t>二十二</w:t>
      </w:r>
      <w:r>
        <w:rPr>
          <w:rFonts w:ascii="宋体" w:hAnsi="宋体" w:cs="宋体" w:eastAsia="宋体" w:hint="default"/>
        </w:rPr>
        <w:t>)</w:t>
      </w:r>
      <w:r>
        <w:rPr>
          <w:rFonts w:ascii="宋体" w:hAnsi="宋体" w:cs="宋体" w:eastAsia="宋体" w:hint="default"/>
          <w:spacing w:val="-3"/>
        </w:rPr>
        <w:t> </w:t>
      </w:r>
      <w:r>
        <w:rPr/>
        <w:t>收入</w:t>
      </w:r>
      <w:r>
        <w:rPr>
          <w:spacing w:val="-2"/>
        </w:rPr>
        <w:t> </w:t>
      </w:r>
      <w:r>
        <w:rPr>
          <w:rFonts w:ascii="宋体" w:hAnsi="宋体" w:cs="宋体" w:eastAsia="宋体" w:hint="default"/>
        </w:rPr>
        <w:t>1.</w:t>
      </w:r>
      <w:r>
        <w:rPr>
          <w:rFonts w:ascii="宋体" w:hAnsi="宋体" w:cs="宋体" w:eastAsia="宋体" w:hint="default"/>
          <w:spacing w:val="1"/>
        </w:rPr>
        <w:t> </w:t>
      </w:r>
      <w:r>
        <w:rPr/>
        <w:t>销售商品</w:t>
      </w:r>
    </w:p>
    <w:p>
      <w:pPr>
        <w:pStyle w:val="BodyText"/>
        <w:spacing w:line="408" w:lineRule="auto" w:before="46"/>
        <w:ind w:right="1130" w:firstLine="420"/>
        <w:jc w:val="both"/>
      </w:pPr>
      <w:r>
        <w:rPr>
          <w:spacing w:val="3"/>
        </w:rPr>
        <w:t>销售商品收入在同时满足下列条件时予以确认：</w:t>
      </w:r>
      <w:r>
        <w:rPr>
          <w:rFonts w:ascii="宋体" w:hAnsi="宋体" w:cs="宋体" w:eastAsia="宋体" w:hint="default"/>
          <w:spacing w:val="3"/>
        </w:rPr>
        <w:t>(1)</w:t>
      </w:r>
      <w:r>
        <w:rPr>
          <w:rFonts w:ascii="宋体" w:hAnsi="宋体" w:cs="宋体" w:eastAsia="宋体" w:hint="default"/>
          <w:spacing w:val="22"/>
        </w:rPr>
        <w:t> </w:t>
      </w:r>
      <w:r>
        <w:rPr>
          <w:spacing w:val="3"/>
        </w:rPr>
        <w:t>将商品所有权上的主要风险和报酬转移给购货</w:t>
      </w:r>
      <w:r>
        <w:rPr/>
        <w:t> 方；</w:t>
      </w:r>
      <w:r>
        <w:rPr>
          <w:rFonts w:ascii="宋体" w:hAnsi="宋体" w:cs="宋体" w:eastAsia="宋体" w:hint="default"/>
        </w:rPr>
        <w:t>(2) </w:t>
      </w:r>
      <w:r>
        <w:rPr/>
        <w:t>公司不再保留通常与所有权相联系的继续管理权，也不再对已售出的商品实施有效控制；</w:t>
      </w:r>
      <w:r>
        <w:rPr>
          <w:rFonts w:ascii="宋体" w:hAnsi="宋体" w:cs="宋体" w:eastAsia="宋体" w:hint="default"/>
        </w:rPr>
        <w:t>(3)</w:t>
      </w:r>
      <w:r>
        <w:rPr>
          <w:rFonts w:ascii="宋体" w:hAnsi="宋体" w:cs="宋体" w:eastAsia="宋体" w:hint="default"/>
          <w:spacing w:val="-24"/>
        </w:rPr>
        <w:t> </w:t>
      </w:r>
      <w:r>
        <w:rPr/>
        <w:t>收</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1"/>
        <w:jc w:val="both"/>
      </w:pPr>
      <w:r>
        <w:rPr/>
        <w:t>入的金额能够可靠地计量；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24"/>
        </w:rPr>
        <w:t> </w:t>
      </w:r>
      <w:r>
        <w:rPr/>
        <w:t>相关的已发生或将发生的成本能够可靠 地计量。</w:t>
      </w:r>
    </w:p>
    <w:p>
      <w:pPr>
        <w:pStyle w:val="BodyText"/>
        <w:spacing w:line="408" w:lineRule="auto" w:before="46"/>
        <w:ind w:left="154" w:right="1131" w:firstLine="420"/>
        <w:jc w:val="both"/>
      </w:pPr>
      <w:r>
        <w:rPr/>
        <w:t>出口销售，采用</w:t>
      </w:r>
      <w:r>
        <w:rPr>
          <w:spacing w:val="-64"/>
        </w:rPr>
        <w:t> </w:t>
      </w:r>
      <w:r>
        <w:rPr>
          <w:rFonts w:ascii="宋体" w:hAnsi="宋体" w:cs="宋体" w:eastAsia="宋体" w:hint="default"/>
        </w:rPr>
        <w:t>DDP</w:t>
      </w:r>
      <w:r>
        <w:rPr>
          <w:rFonts w:ascii="宋体" w:hAnsi="宋体" w:cs="宋体" w:eastAsia="宋体" w:hint="default"/>
          <w:spacing w:val="-64"/>
        </w:rPr>
        <w:t> </w:t>
      </w:r>
      <w:r>
        <w:rPr/>
        <w:t>贸易方式的，即对需运抵至公司国外仓库的货物，公司在购货方提取商品并验收 </w:t>
      </w:r>
      <w:r>
        <w:rPr>
          <w:spacing w:val="-1"/>
        </w:rPr>
        <w:t>合格后确认销售收入；其他方式的，在收齐装箱单、销售发票、出口报关单且办妥货物交单手续，并且货</w:t>
      </w:r>
      <w:r>
        <w:rPr>
          <w:spacing w:val="-83"/>
        </w:rPr>
        <w:t> </w:t>
      </w:r>
      <w:r>
        <w:rPr>
          <w:spacing w:val="-83"/>
        </w:rPr>
      </w:r>
      <w:r>
        <w:rPr/>
        <w:t>物离岸后确认销售收入。国内销售，公司在移交商品并经购货方验收合格后确认销售收入。</w:t>
      </w:r>
    </w:p>
    <w:p>
      <w:pPr>
        <w:pStyle w:val="BodyText"/>
        <w:spacing w:line="408" w:lineRule="auto" w:before="46"/>
        <w:ind w:left="573" w:right="1118"/>
        <w:jc w:val="left"/>
      </w:pPr>
      <w:r>
        <w:rPr>
          <w:rFonts w:ascii="宋体" w:hAnsi="宋体" w:cs="宋体" w:eastAsia="宋体" w:hint="default"/>
        </w:rPr>
        <w:t>2.</w:t>
      </w:r>
      <w:r>
        <w:rPr>
          <w:rFonts w:ascii="宋体" w:hAnsi="宋体" w:cs="宋体" w:eastAsia="宋体" w:hint="default"/>
          <w:spacing w:val="1"/>
        </w:rPr>
        <w:t> </w:t>
      </w:r>
      <w:r>
        <w:rPr/>
        <w:t>提供劳务 提供劳务交易的结果在资产负债表日能够可靠估计的</w:t>
      </w:r>
      <w:r>
        <w:rPr>
          <w:rFonts w:ascii="宋体" w:hAnsi="宋体" w:cs="宋体" w:eastAsia="宋体" w:hint="default"/>
        </w:rPr>
        <w:t>(</w:t>
      </w:r>
      <w:r>
        <w:rPr/>
        <w:t>同时满足收入的金额能够可靠地计量、相关经</w:t>
      </w:r>
    </w:p>
    <w:p>
      <w:pPr>
        <w:pStyle w:val="BodyText"/>
        <w:spacing w:line="408" w:lineRule="auto" w:before="46"/>
        <w:ind w:right="1128"/>
        <w:jc w:val="both"/>
      </w:pPr>
      <w:r>
        <w:rPr/>
        <w:t>济利益很可能流入、交易的完工进度能够可靠地确定、交易中已发生和将发生的成本能够可靠地计量</w:t>
      </w:r>
      <w:r>
        <w:rPr>
          <w:rFonts w:ascii="宋体" w:hAnsi="宋体" w:cs="宋体" w:eastAsia="宋体" w:hint="default"/>
        </w:rPr>
        <w:t>)</w:t>
      </w:r>
      <w:r>
        <w:rPr/>
        <w:t>，</w:t>
      </w:r>
      <w:r>
        <w:rPr>
          <w:spacing w:val="-24"/>
        </w:rPr>
        <w:t> </w:t>
      </w:r>
      <w:r>
        <w:rPr>
          <w:spacing w:val="-1"/>
        </w:rPr>
        <w:t>采用完工百分比法确认提供劳务的收入，并按已经发生的成本占估计总成本的比例确定提供劳务交易的完</w:t>
      </w:r>
      <w:r>
        <w:rPr>
          <w:spacing w:val="-81"/>
        </w:rPr>
        <w:t> </w:t>
      </w:r>
      <w:r>
        <w:rPr>
          <w:spacing w:val="-81"/>
        </w:rPr>
      </w:r>
      <w:r>
        <w:rPr>
          <w:spacing w:val="-1"/>
        </w:rPr>
        <w:t>工进度。提供劳务交易的结果在资产负债表日不能够可靠估计的，若已经发生的劳务成本预计能够得到补</w:t>
      </w:r>
      <w:r>
        <w:rPr>
          <w:spacing w:val="-81"/>
        </w:rPr>
        <w:t> </w:t>
      </w:r>
      <w:r>
        <w:rPr>
          <w:spacing w:val="-81"/>
        </w:rPr>
      </w:r>
      <w:r>
        <w:rPr>
          <w:spacing w:val="-1"/>
        </w:rPr>
        <w:t>偿，按已经发生的劳务成本金额确认提供劳务收入，并按相同金额结转劳务成本；若已经发生的劳务成本</w:t>
      </w:r>
      <w:r>
        <w:rPr>
          <w:spacing w:val="-83"/>
        </w:rPr>
        <w:t> </w:t>
      </w:r>
      <w:r>
        <w:rPr>
          <w:spacing w:val="-83"/>
        </w:rPr>
      </w:r>
      <w:r>
        <w:rPr/>
        <w:t>预计不能够得到补偿，将已经发生的劳务成本计入当期损益，不确认劳务收入。</w:t>
      </w:r>
    </w:p>
    <w:p>
      <w:pPr>
        <w:pStyle w:val="BodyText"/>
        <w:spacing w:line="240" w:lineRule="auto" w:before="46"/>
        <w:ind w:left="573" w:right="0"/>
        <w:jc w:val="left"/>
      </w:pPr>
      <w:r>
        <w:rPr/>
        <w:t>收入成本的具体确认标准为：</w:t>
      </w:r>
    </w:p>
    <w:p>
      <w:pPr>
        <w:spacing w:line="240" w:lineRule="auto" w:before="10"/>
        <w:rPr>
          <w:rFonts w:ascii="宋体" w:hAnsi="宋体" w:cs="宋体" w:eastAsia="宋体" w:hint="default"/>
          <w:sz w:val="14"/>
          <w:szCs w:val="14"/>
        </w:rPr>
      </w:pPr>
    </w:p>
    <w:p>
      <w:pPr>
        <w:pStyle w:val="BodyText"/>
        <w:spacing w:line="408" w:lineRule="auto"/>
        <w:ind w:right="1131" w:firstLine="420"/>
        <w:jc w:val="both"/>
      </w:pPr>
      <w:r>
        <w:rPr>
          <w:rFonts w:ascii="宋体" w:hAnsi="宋体" w:cs="宋体" w:eastAsia="宋体" w:hint="default"/>
        </w:rPr>
        <w:t>1)</w:t>
      </w:r>
      <w:r>
        <w:rPr>
          <w:rFonts w:ascii="宋体" w:hAnsi="宋体" w:cs="宋体" w:eastAsia="宋体" w:hint="default"/>
          <w:spacing w:val="58"/>
        </w:rPr>
        <w:t> </w:t>
      </w:r>
      <w:r>
        <w:rPr/>
        <w:t>针对媒介代理服务收入和移动端广告投放收入具体确认标准为：公司承接业务后，按照客户要求 </w:t>
      </w:r>
      <w:r>
        <w:rPr>
          <w:spacing w:val="-1"/>
        </w:rPr>
        <w:t>选择媒体并与其签订投放合同，由公司与媒体沟通编制媒介排期表，媒体按照经客户确认的媒介排期表执</w:t>
      </w:r>
      <w:r>
        <w:rPr>
          <w:spacing w:val="-81"/>
        </w:rPr>
        <w:t> </w:t>
      </w:r>
      <w:r>
        <w:rPr>
          <w:spacing w:val="-81"/>
        </w:rPr>
      </w:r>
      <w:r>
        <w:rPr>
          <w:spacing w:val="-1"/>
        </w:rPr>
        <w:t>行广告发布。广告发布后，公司收集结案报告、投放数据等信息，送客户核实。经公司和客户共同对广告</w:t>
      </w:r>
      <w:r>
        <w:rPr>
          <w:spacing w:val="-83"/>
        </w:rPr>
        <w:t> </w:t>
      </w:r>
      <w:r>
        <w:rPr>
          <w:spacing w:val="-83"/>
        </w:rPr>
      </w:r>
      <w:r>
        <w:rPr>
          <w:spacing w:val="-1"/>
        </w:rPr>
        <w:t>发布情况确认后，报告至公司财务部门，财务部门再核实相应的客户合同后，确认收入，并根据媒介排期</w:t>
      </w:r>
      <w:r>
        <w:rPr>
          <w:spacing w:val="-86"/>
        </w:rPr>
        <w:t> </w:t>
      </w:r>
      <w:r>
        <w:rPr>
          <w:spacing w:val="-86"/>
        </w:rPr>
      </w:r>
      <w:r>
        <w:rPr>
          <w:spacing w:val="-1"/>
        </w:rPr>
        <w:t>表确定的所需支付给媒体的金额等结转相应的成本。针对媒体给予公司的广告投放返点，按照权责发生制</w:t>
      </w:r>
      <w:r>
        <w:rPr>
          <w:spacing w:val="-81"/>
        </w:rPr>
        <w:t> </w:t>
      </w:r>
      <w:r>
        <w:rPr>
          <w:spacing w:val="-81"/>
        </w:rPr>
      </w:r>
      <w:r>
        <w:rPr/>
        <w:t>确认，并冲减相应的营业成本。</w:t>
      </w:r>
    </w:p>
    <w:p>
      <w:pPr>
        <w:pStyle w:val="BodyText"/>
        <w:spacing w:line="408" w:lineRule="auto" w:before="46"/>
        <w:ind w:right="1013" w:firstLine="420"/>
        <w:jc w:val="left"/>
      </w:pPr>
      <w:r>
        <w:rPr>
          <w:rFonts w:ascii="宋体" w:hAnsi="宋体" w:cs="宋体" w:eastAsia="宋体" w:hint="default"/>
        </w:rPr>
        <w:t>2) </w:t>
      </w:r>
      <w:r>
        <w:rPr>
          <w:spacing w:val="-4"/>
        </w:rPr>
        <w:t>针对数字营销服务收入，主要包括了创意和社会化媒体营销服务等，具体的确认标准为：①</w:t>
      </w:r>
      <w:r>
        <w:rPr>
          <w:spacing w:val="30"/>
        </w:rPr>
        <w:t> </w:t>
      </w:r>
      <w:r>
        <w:rPr/>
        <w:t>创意：</w:t>
      </w:r>
      <w:r>
        <w:rPr/>
        <w:t> 公司承接业务后，按照客户要求制作相应的网站及网络创意广告等，并与其签订创意制作合同。公司根据 合同约定的时间或经客户再次确认后的时间，按照各阶段完成相应的制作内容，并按照相关验收要求提交 客户审核。经收到客户对创意制作确认完成或相关制作成果上线后，报告至公司财务部门，财务部门再核 实相应的客户合同后，确认收入，并根据各阶段完成的制作内容所需支付的创意制作费等外包成本及其他 直接相关费用结转相应的成本。② 社会化媒体营销：公司承接业务后，按照客户要求对其品牌形象和公</w:t>
      </w:r>
      <w:r>
        <w:rPr>
          <w:spacing w:val="-31"/>
        </w:rPr>
        <w:t> </w:t>
      </w:r>
      <w:r>
        <w:rPr>
          <w:spacing w:val="-31"/>
        </w:rPr>
      </w:r>
      <w:r>
        <w:rPr/>
        <w:t>司产品等进行媒体传播、推广等，并与其签订相应的合同。公司根据合同约定内容，执行相应媒体传播、</w:t>
      </w:r>
      <w:r>
        <w:rPr/>
        <w:t> 线上线下等推广服务，并按照合同约定周期或内容形成相应的工作量数据等，送客户核实。经客户对工作 量数据确认后，报告至公司财务部门，财务部门再核实相应的客户合同后，确认收入，并根据各阶段所需 支付的媒体费用、线上线下费用等结转相应的成本。</w:t>
      </w:r>
    </w:p>
    <w:p>
      <w:pPr>
        <w:pStyle w:val="BodyText"/>
        <w:spacing w:line="240" w:lineRule="auto" w:before="46"/>
        <w:ind w:left="574" w:right="0"/>
        <w:jc w:val="left"/>
      </w:pPr>
      <w:r>
        <w:rPr>
          <w:rFonts w:ascii="宋体" w:hAnsi="宋体" w:cs="宋体" w:eastAsia="宋体" w:hint="default"/>
        </w:rPr>
        <w:t>3)</w:t>
      </w:r>
      <w:r>
        <w:rPr>
          <w:rFonts w:ascii="宋体" w:hAnsi="宋体" w:cs="宋体" w:eastAsia="宋体" w:hint="default"/>
          <w:spacing w:val="8"/>
        </w:rPr>
        <w:t> </w:t>
      </w:r>
      <w:r>
        <w:rPr>
          <w:spacing w:val="-3"/>
        </w:rPr>
        <w:t>针对展示型流量整合业务收入，在相关的广告见诸互联网媒体，公司即完成约定的广告任务，</w:t>
      </w:r>
      <w:r>
        <w:rPr>
          <w:rFonts w:ascii="宋体" w:hAnsi="宋体" w:cs="宋体" w:eastAsia="宋体" w:hint="default"/>
          <w:spacing w:val="-3"/>
        </w:rPr>
        <w:t>CPM</w:t>
      </w:r>
      <w:r>
        <w:rPr>
          <w:spacing w:val="-3"/>
        </w:rPr>
        <w:t>、</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154" w:right="1130"/>
        <w:jc w:val="both"/>
      </w:pPr>
      <w:r>
        <w:rPr>
          <w:rFonts w:ascii="宋体" w:hAnsi="宋体" w:cs="宋体" w:eastAsia="宋体" w:hint="default"/>
          <w:spacing w:val="-6"/>
        </w:rPr>
        <w:t>CPV</w:t>
      </w:r>
      <w:r>
        <w:rPr>
          <w:spacing w:val="-6"/>
        </w:rPr>
        <w:t>、</w:t>
      </w:r>
      <w:r>
        <w:rPr>
          <w:rFonts w:ascii="宋体" w:hAnsi="宋体" w:cs="宋体" w:eastAsia="宋体" w:hint="default"/>
          <w:spacing w:val="-6"/>
        </w:rPr>
        <w:t>CPT</w:t>
      </w:r>
      <w:r>
        <w:rPr>
          <w:rFonts w:ascii="宋体" w:hAnsi="宋体" w:cs="宋体" w:eastAsia="宋体" w:hint="default"/>
          <w:spacing w:val="-82"/>
        </w:rPr>
        <w:t> </w:t>
      </w:r>
      <w:r>
        <w:rPr/>
        <w:t>等是主要的按展示次数结算方式。每月末按照公司为客户完成的广告投放以及约定的结算标准确 </w:t>
      </w:r>
      <w:r>
        <w:rPr>
          <w:spacing w:val="-1"/>
        </w:rPr>
        <w:t>认收入，并根据每月末按照为客户完成的广告投放量需支付给互联网媒体终端的流量及广告位采购费等结</w:t>
      </w:r>
      <w:r>
        <w:rPr>
          <w:spacing w:val="-80"/>
        </w:rPr>
        <w:t> </w:t>
      </w:r>
      <w:r>
        <w:rPr>
          <w:spacing w:val="-80"/>
        </w:rPr>
      </w:r>
      <w:r>
        <w:rPr/>
        <w:t>转相应的成本。</w:t>
      </w:r>
    </w:p>
    <w:p>
      <w:pPr>
        <w:pStyle w:val="BodyText"/>
        <w:spacing w:line="408" w:lineRule="auto" w:before="46"/>
        <w:ind w:right="1132" w:firstLine="420"/>
        <w:jc w:val="both"/>
      </w:pPr>
      <w:r>
        <w:rPr>
          <w:rFonts w:ascii="宋体" w:hAnsi="宋体" w:cs="宋体" w:eastAsia="宋体" w:hint="default"/>
        </w:rPr>
        <w:t>4)</w:t>
      </w:r>
      <w:r>
        <w:rPr>
          <w:rFonts w:ascii="宋体" w:hAnsi="宋体" w:cs="宋体" w:eastAsia="宋体" w:hint="default"/>
          <w:spacing w:val="59"/>
        </w:rPr>
        <w:t> </w:t>
      </w:r>
      <w:r>
        <w:rPr/>
        <w:t>针对效果营销型流量整合业务收入，依据公司的互联网营销广告为客户带来的销售收入和约定的 分配比例，</w:t>
      </w:r>
      <w:r>
        <w:rPr>
          <w:rFonts w:ascii="宋体" w:hAnsi="宋体" w:cs="宋体" w:eastAsia="宋体" w:hint="default"/>
        </w:rPr>
        <w:t>CPC</w:t>
      </w:r>
      <w:r>
        <w:rPr/>
        <w:t>、</w:t>
      </w:r>
      <w:r>
        <w:rPr>
          <w:rFonts w:ascii="宋体" w:hAnsi="宋体" w:cs="宋体" w:eastAsia="宋体" w:hint="default"/>
        </w:rPr>
        <w:t>CPA</w:t>
      </w:r>
      <w:r>
        <w:rPr/>
        <w:t>、</w:t>
      </w:r>
      <w:r>
        <w:rPr>
          <w:rFonts w:ascii="宋体" w:hAnsi="宋体" w:cs="宋体" w:eastAsia="宋体" w:hint="default"/>
        </w:rPr>
        <w:t>CPL</w:t>
      </w:r>
      <w:r>
        <w:rPr/>
        <w:t>、</w:t>
      </w:r>
      <w:r>
        <w:rPr>
          <w:rFonts w:ascii="宋体" w:hAnsi="宋体" w:cs="宋体" w:eastAsia="宋体" w:hint="default"/>
        </w:rPr>
        <w:t>CPS</w:t>
      </w:r>
      <w:r>
        <w:rPr/>
        <w:t>、</w:t>
      </w:r>
      <w:r>
        <w:rPr>
          <w:rFonts w:ascii="宋体" w:hAnsi="宋体" w:cs="宋体" w:eastAsia="宋体" w:hint="default"/>
        </w:rPr>
        <w:t>ROI</w:t>
      </w:r>
      <w:r>
        <w:rPr>
          <w:rFonts w:ascii="宋体" w:hAnsi="宋体" w:cs="宋体" w:eastAsia="宋体" w:hint="default"/>
          <w:spacing w:val="-28"/>
        </w:rPr>
        <w:t> </w:t>
      </w:r>
      <w:r>
        <w:rPr/>
        <w:t>是主要的按执行效果结算方式，每月与客户核对后确认收入，并根 据每月按照为客户带来销售收入需支付给中小网络媒体的流量及广告位采购费等结转相应的成本。</w:t>
      </w:r>
    </w:p>
    <w:p>
      <w:pPr>
        <w:pStyle w:val="BodyText"/>
        <w:spacing w:line="408" w:lineRule="auto" w:before="46"/>
        <w:ind w:right="1131" w:firstLine="420"/>
        <w:jc w:val="both"/>
      </w:pPr>
      <w:r>
        <w:rPr>
          <w:rFonts w:ascii="宋体" w:hAnsi="宋体" w:cs="宋体" w:eastAsia="宋体" w:hint="default"/>
        </w:rPr>
        <w:t>5)</w:t>
      </w:r>
      <w:r>
        <w:rPr>
          <w:rFonts w:ascii="宋体" w:hAnsi="宋体" w:cs="宋体" w:eastAsia="宋体" w:hint="default"/>
          <w:spacing w:val="58"/>
        </w:rPr>
        <w:t> </w:t>
      </w:r>
      <w:r>
        <w:rPr/>
        <w:t>针对搜索引擎营销服务收入，广告客户通过公司的广告资源代理权，在搜索引擎平台进行充值， </w:t>
      </w:r>
      <w:r>
        <w:rPr>
          <w:spacing w:val="-1"/>
        </w:rPr>
        <w:t>当用户通过客户投放的关键词搜索到相应网站并进行点击时，充值账户自动扣费，公司每月与客户核对账</w:t>
      </w:r>
      <w:r>
        <w:rPr>
          <w:spacing w:val="-81"/>
        </w:rPr>
        <w:t> </w:t>
      </w:r>
      <w:r>
        <w:rPr>
          <w:spacing w:val="-81"/>
        </w:rPr>
      </w:r>
      <w:r>
        <w:rPr>
          <w:spacing w:val="-1"/>
        </w:rPr>
        <w:t>户消耗金额，按照消耗金额来确认营业收入，同时结转营业成本；另外，公司根据搜索引擎平台的返点比</w:t>
      </w:r>
      <w:r>
        <w:rPr>
          <w:spacing w:val="-86"/>
        </w:rPr>
        <w:t> </w:t>
      </w:r>
      <w:r>
        <w:rPr>
          <w:spacing w:val="-86"/>
        </w:rPr>
      </w:r>
      <w:r>
        <w:rPr/>
        <w:t>例和每月广告客户实际消耗量计算媒体返点金额，冲减相应的营业成本。</w:t>
      </w:r>
    </w:p>
    <w:p>
      <w:pPr>
        <w:pStyle w:val="BodyText"/>
        <w:spacing w:line="408" w:lineRule="auto" w:before="46"/>
        <w:ind w:right="1131" w:firstLine="420"/>
        <w:jc w:val="both"/>
      </w:pPr>
      <w:r>
        <w:rPr>
          <w:rFonts w:ascii="宋体" w:hAnsi="宋体" w:cs="宋体" w:eastAsia="宋体" w:hint="default"/>
        </w:rPr>
        <w:t>6)</w:t>
      </w:r>
      <w:r>
        <w:rPr>
          <w:rFonts w:ascii="宋体" w:hAnsi="宋体" w:cs="宋体" w:eastAsia="宋体" w:hint="default"/>
          <w:spacing w:val="-49"/>
        </w:rPr>
        <w:t> </w:t>
      </w:r>
      <w:r>
        <w:rPr/>
        <w:t>针对其他的精准营销业务服务</w:t>
      </w:r>
      <w:r>
        <w:rPr>
          <w:rFonts w:ascii="宋体" w:hAnsi="宋体" w:cs="宋体" w:eastAsia="宋体" w:hint="default"/>
        </w:rPr>
        <w:t>(</w:t>
      </w:r>
      <w:r>
        <w:rPr/>
        <w:t>腾讯广点通，聚效</w:t>
      </w:r>
      <w:r>
        <w:rPr>
          <w:spacing w:val="-77"/>
        </w:rPr>
        <w:t> </w:t>
      </w:r>
      <w:r>
        <w:rPr>
          <w:rFonts w:ascii="宋体" w:hAnsi="宋体" w:cs="宋体" w:eastAsia="宋体" w:hint="default"/>
        </w:rPr>
        <w:t>DSP)</w:t>
      </w:r>
      <w:r>
        <w:rPr/>
        <w:t>收入的具体确认标准为：广告客户通过公司 </w:t>
      </w:r>
      <w:r>
        <w:rPr>
          <w:spacing w:val="-1"/>
        </w:rPr>
        <w:t>的广告代理权，在上述广告投放平台上进行充值，上述广告投放平台通过对用户注册信息、搜索历史、网</w:t>
      </w:r>
      <w:r>
        <w:rPr>
          <w:spacing w:val="-85"/>
        </w:rPr>
        <w:t> </w:t>
      </w:r>
      <w:r>
        <w:rPr>
          <w:spacing w:val="-85"/>
        </w:rPr>
      </w:r>
      <w:r>
        <w:rPr>
          <w:spacing w:val="-1"/>
        </w:rPr>
        <w:t>页浏览痕迹等上网行为产生的数据对用户特征进行“画像”，自动向用户呈现广告主相应网站，用户点击</w:t>
      </w:r>
      <w:r>
        <w:rPr>
          <w:spacing w:val="-86"/>
        </w:rPr>
        <w:t> </w:t>
      </w:r>
      <w:r>
        <w:rPr>
          <w:spacing w:val="-86"/>
        </w:rPr>
      </w:r>
      <w:r>
        <w:rPr>
          <w:spacing w:val="-1"/>
        </w:rPr>
        <w:t>相应网站时，充值账户自动扣费，公司每月与客户核对账户消耗金额，按照消耗金额来确认营业收入，同</w:t>
      </w:r>
      <w:r>
        <w:rPr>
          <w:spacing w:val="-85"/>
        </w:rPr>
        <w:t> </w:t>
      </w:r>
      <w:r>
        <w:rPr>
          <w:spacing w:val="-85"/>
        </w:rPr>
      </w:r>
      <w:r>
        <w:rPr>
          <w:spacing w:val="-1"/>
        </w:rPr>
        <w:t>时结转营业成本。同时，公司根据上述平台的返点比例和每月广告客户实际消耗量计算媒体返点金额，冲</w:t>
      </w:r>
      <w:r>
        <w:rPr>
          <w:spacing w:val="-83"/>
        </w:rPr>
        <w:t> </w:t>
      </w:r>
      <w:r>
        <w:rPr>
          <w:spacing w:val="-83"/>
        </w:rPr>
      </w:r>
      <w:r>
        <w:rPr>
          <w:spacing w:val="-1"/>
        </w:rPr>
        <w:t>减相应的营业成本，而公司将媒体返点金额，按一定的比率返还一部分给广告客户，则冲减相应的营业收</w:t>
      </w:r>
      <w:r>
        <w:rPr>
          <w:spacing w:val="-83"/>
        </w:rPr>
        <w:t> </w:t>
      </w:r>
      <w:r>
        <w:rPr>
          <w:spacing w:val="-83"/>
        </w:rPr>
      </w:r>
      <w:r>
        <w:rPr/>
        <w:t>入。</w:t>
      </w:r>
    </w:p>
    <w:p>
      <w:pPr>
        <w:pStyle w:val="BodyText"/>
        <w:spacing w:line="408" w:lineRule="auto" w:before="46"/>
        <w:ind w:left="574" w:right="0"/>
        <w:jc w:val="left"/>
      </w:pPr>
      <w:r>
        <w:rPr>
          <w:rFonts w:ascii="宋体" w:hAnsi="宋体" w:cs="宋体" w:eastAsia="宋体" w:hint="default"/>
        </w:rPr>
        <w:t>3. </w:t>
      </w:r>
      <w:r>
        <w:rPr/>
        <w:t>让渡资产使用权 </w:t>
      </w:r>
      <w:r>
        <w:rPr>
          <w:spacing w:val="-1"/>
        </w:rPr>
        <w:t>让渡资产使用权在同时满足相关的经济利益很可能流入、收入金额能够可靠计量时，确认让渡资产使</w:t>
      </w:r>
    </w:p>
    <w:p>
      <w:pPr>
        <w:pStyle w:val="BodyText"/>
        <w:spacing w:line="408" w:lineRule="auto" w:before="46"/>
        <w:ind w:left="154" w:right="1131"/>
        <w:jc w:val="both"/>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BodyText"/>
        <w:spacing w:line="240" w:lineRule="auto" w:before="46"/>
        <w:ind w:left="574" w:right="0"/>
        <w:jc w:val="left"/>
      </w:pPr>
      <w:r>
        <w:rPr>
          <w:rFonts w:ascii="宋体" w:hAnsi="宋体" w:cs="宋体" w:eastAsia="宋体" w:hint="default"/>
        </w:rPr>
        <w:t>(</w:t>
      </w:r>
      <w:r>
        <w:rPr/>
        <w:t>二十三</w:t>
      </w:r>
      <w:r>
        <w:rPr>
          <w:rFonts w:ascii="宋体" w:hAnsi="宋体" w:cs="宋体" w:eastAsia="宋体" w:hint="default"/>
        </w:rPr>
        <w:t>)</w:t>
      </w:r>
      <w:r>
        <w:rPr>
          <w:rFonts w:ascii="宋体" w:hAnsi="宋体" w:cs="宋体" w:eastAsia="宋体" w:hint="default"/>
          <w:spacing w:val="-1"/>
        </w:rPr>
        <w:t> </w:t>
      </w:r>
      <w:r>
        <w:rPr/>
        <w:t>政府补助</w:t>
      </w:r>
    </w:p>
    <w:p>
      <w:pPr>
        <w:spacing w:line="240" w:lineRule="auto" w:before="10"/>
        <w:rPr>
          <w:rFonts w:ascii="宋体" w:hAnsi="宋体" w:cs="宋体" w:eastAsia="宋体" w:hint="default"/>
          <w:sz w:val="14"/>
          <w:szCs w:val="14"/>
        </w:rPr>
      </w:pPr>
    </w:p>
    <w:p>
      <w:pPr>
        <w:pStyle w:val="BodyText"/>
        <w:spacing w:line="408" w:lineRule="auto"/>
        <w:ind w:left="574" w:right="0"/>
        <w:jc w:val="left"/>
      </w:pPr>
      <w:r>
        <w:rPr>
          <w:rFonts w:ascii="宋体" w:hAnsi="宋体" w:cs="宋体" w:eastAsia="宋体" w:hint="default"/>
        </w:rPr>
        <w:t>1. </w:t>
      </w:r>
      <w:r>
        <w:rPr/>
        <w:t>与资产相关的政府补助判断依据及会计处理方法 </w:t>
      </w:r>
      <w:r>
        <w:rPr>
          <w:spacing w:val="-1"/>
        </w:rPr>
        <w:t>公司取得的、用于购建或以其他方式形成长期资产的政府补助划分为与资产相关的政府补助。与资产</w:t>
      </w:r>
    </w:p>
    <w:p>
      <w:pPr>
        <w:pStyle w:val="BodyText"/>
        <w:spacing w:line="408" w:lineRule="auto" w:before="46"/>
        <w:ind w:left="154" w:right="1133"/>
        <w:jc w:val="both"/>
      </w:pPr>
      <w:r>
        <w:rPr>
          <w:spacing w:val="-1"/>
        </w:rPr>
        <w:t>相关的政府补助，确认为递延收益，并在相关资产使用寿命内平均分配，计入当期损益。但是，按照名义</w:t>
      </w:r>
      <w:r>
        <w:rPr>
          <w:spacing w:val="-83"/>
        </w:rPr>
        <w:t> </w:t>
      </w:r>
      <w:r>
        <w:rPr>
          <w:spacing w:val="-83"/>
        </w:rPr>
      </w:r>
      <w:r>
        <w:rPr/>
        <w:t>金额计量的政府补助，直接计入当期损益。</w:t>
      </w:r>
    </w:p>
    <w:p>
      <w:pPr>
        <w:pStyle w:val="BodyText"/>
        <w:spacing w:line="408" w:lineRule="auto" w:before="46"/>
        <w:ind w:left="574" w:right="0"/>
        <w:jc w:val="left"/>
      </w:pPr>
      <w:r>
        <w:rPr>
          <w:rFonts w:ascii="宋体" w:hAnsi="宋体" w:cs="宋体" w:eastAsia="宋体" w:hint="default"/>
        </w:rPr>
        <w:t>2. </w:t>
      </w:r>
      <w:r>
        <w:rPr/>
        <w:t>与收益相关的政府补助判断依据及会计处理方法 </w:t>
      </w:r>
      <w:r>
        <w:rPr>
          <w:spacing w:val="-1"/>
        </w:rPr>
        <w:t>除与资产相关的政府补助之外的政府补助划分为与收益相关的政府补助。与收益相关的政府补助，用</w:t>
      </w:r>
    </w:p>
    <w:p>
      <w:pPr>
        <w:pStyle w:val="BodyText"/>
        <w:spacing w:line="408" w:lineRule="auto" w:before="46"/>
        <w:ind w:left="154" w:right="1133"/>
        <w:jc w:val="both"/>
      </w:pPr>
      <w:r>
        <w:rPr>
          <w:spacing w:val="-1"/>
        </w:rPr>
        <w:t>于补偿以后期间的相关费用或损失的，确认为递延收益，在确认相关费用的期间，计入当期损益；用于补</w:t>
      </w:r>
      <w:r>
        <w:rPr>
          <w:spacing w:val="-86"/>
        </w:rPr>
        <w:t> </w:t>
      </w:r>
      <w:r>
        <w:rPr>
          <w:spacing w:val="-86"/>
        </w:rPr>
      </w:r>
      <w:r>
        <w:rPr/>
        <w:t>偿已发生的相关费用或损失的，直接计入当期损益。</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574" w:right="0"/>
        <w:jc w:val="left"/>
      </w:pPr>
      <w:r>
        <w:rPr>
          <w:rFonts w:ascii="宋体" w:hAnsi="宋体" w:cs="宋体" w:eastAsia="宋体" w:hint="default"/>
        </w:rPr>
        <w:t>(</w:t>
      </w:r>
      <w:r>
        <w:rPr/>
        <w:t>二十四</w:t>
      </w:r>
      <w:r>
        <w:rPr>
          <w:rFonts w:ascii="宋体" w:hAnsi="宋体" w:cs="宋体" w:eastAsia="宋体" w:hint="default"/>
        </w:rPr>
        <w:t>)</w:t>
      </w:r>
      <w:r>
        <w:rPr>
          <w:rFonts w:ascii="宋体" w:hAnsi="宋体" w:cs="宋体" w:eastAsia="宋体" w:hint="default"/>
          <w:spacing w:val="-1"/>
        </w:rPr>
        <w:t> </w:t>
      </w:r>
      <w:r>
        <w:rPr/>
        <w:t>递延所得税资产、递延所得税负债</w:t>
      </w:r>
    </w:p>
    <w:p>
      <w:pPr>
        <w:spacing w:line="240" w:lineRule="auto" w:before="10"/>
        <w:rPr>
          <w:rFonts w:ascii="宋体" w:hAnsi="宋体" w:cs="宋体" w:eastAsia="宋体" w:hint="default"/>
          <w:sz w:val="14"/>
          <w:szCs w:val="14"/>
        </w:rPr>
      </w:pPr>
    </w:p>
    <w:p>
      <w:pPr>
        <w:pStyle w:val="BodyText"/>
        <w:spacing w:line="408" w:lineRule="auto"/>
        <w:ind w:left="154" w:right="1132" w:firstLine="420"/>
        <w:jc w:val="both"/>
      </w:pPr>
      <w:r>
        <w:rPr>
          <w:rFonts w:ascii="宋体" w:hAnsi="宋体" w:cs="宋体" w:eastAsia="宋体" w:hint="default"/>
        </w:rPr>
        <w:t>1.</w:t>
      </w:r>
      <w:r>
        <w:rPr>
          <w:rFonts w:ascii="宋体" w:hAnsi="宋体" w:cs="宋体" w:eastAsia="宋体" w:hint="default"/>
          <w:spacing w:val="-23"/>
        </w:rPr>
        <w:t> </w:t>
      </w:r>
      <w:r>
        <w:rPr/>
        <w:t>根据资产、负债的账面价值与其计税基础之间的差额</w:t>
      </w:r>
      <w:r>
        <w:rPr>
          <w:rFonts w:ascii="宋体" w:hAnsi="宋体" w:cs="宋体" w:eastAsia="宋体" w:hint="default"/>
        </w:rPr>
        <w:t>(</w:t>
      </w:r>
      <w:r>
        <w:rPr/>
        <w:t>未作为资产和负债确认的项目按照税法规定 可以确定其计税基础的，该计税基础与其账面数之间的差额</w:t>
      </w:r>
      <w:r>
        <w:rPr>
          <w:rFonts w:ascii="宋体" w:hAnsi="宋体" w:cs="宋体" w:eastAsia="宋体" w:hint="default"/>
        </w:rPr>
        <w:t>)</w:t>
      </w:r>
      <w:r>
        <w:rPr/>
        <w:t>，按照预期收回该资产或清偿该负债期间的</w:t>
      </w:r>
      <w:r>
        <w:rPr>
          <w:spacing w:val="-28"/>
        </w:rPr>
        <w:t> </w:t>
      </w:r>
      <w:r>
        <w:rPr>
          <w:spacing w:val="-28"/>
        </w:rPr>
      </w:r>
      <w:r>
        <w:rPr/>
        <w:t>适用税率计算确认递延所得税资产或递延所得税负债。</w:t>
      </w:r>
    </w:p>
    <w:p>
      <w:pPr>
        <w:pStyle w:val="BodyText"/>
        <w:spacing w:line="408" w:lineRule="auto" w:before="46"/>
        <w:ind w:left="154" w:right="1131" w:firstLine="420"/>
        <w:jc w:val="both"/>
      </w:pPr>
      <w:r>
        <w:rPr>
          <w:rFonts w:ascii="宋体" w:hAnsi="宋体" w:cs="宋体" w:eastAsia="宋体" w:hint="default"/>
        </w:rPr>
        <w:t>2.</w:t>
      </w:r>
      <w:r>
        <w:rPr>
          <w:rFonts w:ascii="宋体" w:hAnsi="宋体" w:cs="宋体" w:eastAsia="宋体" w:hint="default"/>
          <w:spacing w:val="59"/>
        </w:rPr>
        <w:t> </w:t>
      </w:r>
      <w:r>
        <w:rPr/>
        <w:t>确认递延所得税资产以很可能取得用来抵扣可抵扣暂时性差异的应纳税所得额为限。资产负债表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408" w:lineRule="auto" w:before="46"/>
        <w:ind w:right="1131" w:firstLine="420"/>
        <w:jc w:val="both"/>
      </w:pPr>
      <w:r>
        <w:rPr>
          <w:rFonts w:ascii="宋体" w:hAnsi="宋体" w:cs="宋体" w:eastAsia="宋体" w:hint="default"/>
        </w:rPr>
        <w:t>3.</w:t>
      </w:r>
      <w:r>
        <w:rPr>
          <w:rFonts w:ascii="宋体" w:hAnsi="宋体" w:cs="宋体" w:eastAsia="宋体" w:hint="default"/>
          <w:spacing w:val="65"/>
        </w:rPr>
        <w:t> </w:t>
      </w:r>
      <w:r>
        <w:rPr/>
        <w:t>资产负债表日，对递延所得税资产的账面价值进行复核，如果未来期间很可能无法获得足够的应 </w:t>
      </w:r>
      <w:r>
        <w:rPr>
          <w:spacing w:val="-1"/>
        </w:rPr>
        <w:t>纳税所得额用以抵扣递延所得税资产的利益，则减记递延所得税资产的账面价值。在很可能获得足够的应</w:t>
      </w:r>
      <w:r>
        <w:rPr>
          <w:spacing w:val="-81"/>
        </w:rPr>
        <w:t> </w:t>
      </w:r>
      <w:r>
        <w:rPr>
          <w:spacing w:val="-81"/>
        </w:rPr>
      </w:r>
      <w:r>
        <w:rPr/>
        <w:t>纳税所得额时，转回减记的金额。</w:t>
      </w:r>
    </w:p>
    <w:p>
      <w:pPr>
        <w:pStyle w:val="BodyText"/>
        <w:spacing w:line="408" w:lineRule="auto" w:before="46"/>
        <w:ind w:right="1141" w:firstLine="420"/>
        <w:jc w:val="both"/>
      </w:pPr>
      <w:r>
        <w:rPr>
          <w:rFonts w:ascii="宋体" w:hAnsi="宋体" w:cs="宋体" w:eastAsia="宋体" w:hint="default"/>
        </w:rPr>
        <w:t>4.</w:t>
      </w:r>
      <w:r>
        <w:rPr>
          <w:rFonts w:ascii="宋体" w:hAnsi="宋体" w:cs="宋体" w:eastAsia="宋体" w:hint="default"/>
          <w:spacing w:val="63"/>
        </w:rPr>
        <w:t> </w:t>
      </w:r>
      <w:r>
        <w:rPr/>
        <w:t>公司当期所得税和递延所得税作为所得税费用或收益计入当期损益，但不包括下列情况产生的所 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2"/>
        </w:rPr>
        <w:t> </w:t>
      </w:r>
      <w:r>
        <w:rPr/>
        <w:t>直接在所有者权益中确认的交易或者事项。</w:t>
      </w:r>
    </w:p>
    <w:p>
      <w:pPr>
        <w:pStyle w:val="BodyText"/>
        <w:spacing w:line="408" w:lineRule="auto" w:before="46"/>
        <w:ind w:left="574" w:right="0"/>
        <w:jc w:val="left"/>
      </w:pPr>
      <w:r>
        <w:rPr>
          <w:rFonts w:ascii="宋体" w:hAnsi="宋体" w:cs="宋体" w:eastAsia="宋体" w:hint="default"/>
        </w:rPr>
        <w:t>(</w:t>
      </w:r>
      <w:r>
        <w:rPr/>
        <w:t>二十五</w:t>
      </w:r>
      <w:r>
        <w:rPr>
          <w:rFonts w:ascii="宋体" w:hAnsi="宋体" w:cs="宋体" w:eastAsia="宋体" w:hint="default"/>
        </w:rPr>
        <w:t>) </w:t>
      </w:r>
      <w:r>
        <w:rPr/>
        <w:t>经营租赁 </w:t>
      </w:r>
      <w:r>
        <w:rPr>
          <w:spacing w:val="-1"/>
        </w:rPr>
        <w:t>公司为承租人时，在租赁期内各个期间按照直线法将租金计入相关资产成本或确认为当期损益，发生</w:t>
      </w:r>
    </w:p>
    <w:p>
      <w:pPr>
        <w:pStyle w:val="BodyText"/>
        <w:spacing w:line="408" w:lineRule="auto" w:before="46"/>
        <w:ind w:left="573"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240" w:lineRule="auto" w:before="46"/>
        <w:ind w:right="0"/>
        <w:jc w:val="left"/>
      </w:pPr>
      <w:r>
        <w:rPr/>
        <w:t>金额较大的予以资本化并分期计入损益外，均直接计入当期损益。或有租金在实际发生时计入当期损益。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right="0"/>
        <w:jc w:val="left"/>
        <w:rPr>
          <w:rFonts w:ascii="黑体" w:hAnsi="黑体" w:cs="黑体" w:eastAsia="黑体" w:hint="default"/>
          <w:b w:val="0"/>
          <w:bCs w:val="0"/>
        </w:rPr>
      </w:pPr>
      <w:bookmarkStart w:name="六、税(费)项" w:id="199"/>
      <w:bookmarkEnd w:id="199"/>
      <w:r>
        <w:rPr>
          <w:b w:val="0"/>
          <w:bCs w:val="0"/>
        </w:rPr>
      </w:r>
      <w:r>
        <w:rPr>
          <w:rFonts w:ascii="黑体" w:hAnsi="黑体" w:cs="黑体" w:eastAsia="黑体" w:hint="default"/>
        </w:rPr>
        <w:t>六、税</w:t>
      </w:r>
      <w:r>
        <w:rPr>
          <w:rFonts w:ascii="黑体" w:hAnsi="黑体" w:cs="黑体" w:eastAsia="黑体" w:hint="default"/>
        </w:rPr>
        <w:t>(</w:t>
      </w:r>
      <w:r>
        <w:rPr>
          <w:rFonts w:ascii="黑体" w:hAnsi="黑体" w:cs="黑体" w:eastAsia="黑体" w:hint="default"/>
        </w:rPr>
        <w:t>费</w:t>
      </w:r>
      <w:r>
        <w:rPr>
          <w:rFonts w:ascii="黑体" w:hAnsi="黑体" w:cs="黑体" w:eastAsia="黑体" w:hint="default"/>
        </w:rPr>
        <w:t>)</w:t>
      </w:r>
      <w:r>
        <w:rPr>
          <w:rFonts w:ascii="黑体" w:hAnsi="黑体" w:cs="黑体" w:eastAsia="黑体" w:hint="default"/>
        </w:rPr>
        <w:t>项</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240" w:lineRule="auto"/>
        <w:ind w:left="574"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主要税种及税率</w:t>
      </w:r>
    </w:p>
    <w:p>
      <w:pPr>
        <w:spacing w:line="240" w:lineRule="auto" w:before="12"/>
        <w:rPr>
          <w:rFonts w:ascii="宋体" w:hAnsi="宋体" w:cs="宋体" w:eastAsia="宋体" w:hint="default"/>
          <w:sz w:val="9"/>
          <w:szCs w:val="9"/>
        </w:rPr>
      </w:pPr>
    </w:p>
    <w:tbl>
      <w:tblPr>
        <w:tblW w:w="0" w:type="auto"/>
        <w:jc w:val="left"/>
        <w:tblInd w:w="698" w:type="dxa"/>
        <w:tblLayout w:type="fixed"/>
        <w:tblCellMar>
          <w:top w:w="0" w:type="dxa"/>
          <w:left w:w="0" w:type="dxa"/>
          <w:bottom w:w="0" w:type="dxa"/>
          <w:right w:w="0" w:type="dxa"/>
        </w:tblCellMar>
        <w:tblLook w:val="01E0"/>
      </w:tblPr>
      <w:tblGrid>
        <w:gridCol w:w="1597"/>
        <w:gridCol w:w="4451"/>
        <w:gridCol w:w="2478"/>
      </w:tblGrid>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税  种</w:t>
            </w:r>
          </w:p>
        </w:tc>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计 税 依 据</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税  率</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sz w:val="18"/>
              </w:rPr>
              <w:t>5%</w:t>
            </w:r>
          </w:p>
        </w:tc>
      </w:tr>
      <w:tr>
        <w:trPr>
          <w:trHeight w:val="634"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4" w:right="312" w:hanging="63"/>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宋体" w:hAnsi="宋体" w:cs="宋体" w:eastAsia="宋体" w:hint="default"/>
                <w:sz w:val="18"/>
                <w:szCs w:val="18"/>
              </w:rPr>
              <w:t>20%/30%</w:t>
            </w:r>
            <w:r>
              <w:rPr>
                <w:rFonts w:ascii="宋体" w:hAnsi="宋体" w:cs="宋体" w:eastAsia="宋体" w:hint="default"/>
                <w:sz w:val="18"/>
                <w:szCs w:val="18"/>
              </w:rPr>
              <w:t>后余值的 </w:t>
            </w:r>
            <w:r>
              <w:rPr>
                <w:rFonts w:ascii="宋体" w:hAnsi="宋体" w:cs="宋体" w:eastAsia="宋体" w:hint="default"/>
                <w:sz w:val="18"/>
                <w:szCs w:val="18"/>
              </w:rPr>
              <w:t>1.2%</w:t>
            </w:r>
            <w:r>
              <w:rPr>
                <w:rFonts w:ascii="宋体" w:hAnsi="宋体" w:cs="宋体" w:eastAsia="宋体" w:hint="default"/>
                <w:sz w:val="18"/>
                <w:szCs w:val="18"/>
              </w:rPr>
              <w:t>计缴；从租计征的，按租金收入的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sz w:val="18"/>
              </w:rPr>
              <w:t>3%</w:t>
            </w:r>
          </w:p>
        </w:tc>
      </w:tr>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sz w:val="18"/>
              </w:rPr>
              <w:t>2%</w:t>
            </w:r>
          </w:p>
        </w:tc>
      </w:tr>
      <w:tr>
        <w:trPr>
          <w:trHeight w:val="559"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等</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782" w:type="dxa"/>
        <w:tblLayout w:type="fixed"/>
        <w:tblCellMar>
          <w:top w:w="0" w:type="dxa"/>
          <w:left w:w="0" w:type="dxa"/>
          <w:bottom w:w="0" w:type="dxa"/>
          <w:right w:w="0" w:type="dxa"/>
        </w:tblCellMar>
        <w:tblLook w:val="01E0"/>
      </w:tblPr>
      <w:tblGrid>
        <w:gridCol w:w="1597"/>
        <w:gridCol w:w="4451"/>
        <w:gridCol w:w="2478"/>
      </w:tblGrid>
      <w:tr>
        <w:trPr>
          <w:trHeight w:val="558" w:hRule="exact"/>
        </w:trPr>
        <w:tc>
          <w:tcPr>
            <w:tcW w:w="1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4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计费销售额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sz w:val="18"/>
              </w:rPr>
              <w:t>3%</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：出口货物实行“免、抵、退”税政策，产品的出口退税率主要为</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z w:val="18"/>
          <w:szCs w:val="18"/>
        </w:rPr>
        <w:t>。</w:t>
      </w:r>
    </w:p>
    <w:p>
      <w:pPr>
        <w:spacing w:line="240" w:lineRule="auto" w:before="11"/>
        <w:rPr>
          <w:rFonts w:ascii="宋体" w:hAnsi="宋体" w:cs="宋体" w:eastAsia="宋体" w:hint="default"/>
          <w:sz w:val="20"/>
          <w:szCs w:val="20"/>
        </w:rPr>
      </w:pPr>
    </w:p>
    <w:p>
      <w:pPr>
        <w:spacing w:line="477" w:lineRule="auto" w:before="0"/>
        <w:ind w:left="233" w:right="1029"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6"/>
          <w:sz w:val="18"/>
          <w:szCs w:val="18"/>
        </w:rPr>
        <w:t> </w:t>
      </w:r>
      <w:r>
        <w:rPr>
          <w:rFonts w:ascii="宋体" w:hAnsi="宋体" w:cs="宋体" w:eastAsia="宋体" w:hint="default"/>
          <w:sz w:val="18"/>
          <w:szCs w:val="18"/>
        </w:rPr>
        <w:t>2]</w:t>
      </w:r>
      <w:r>
        <w:rPr>
          <w:rFonts w:ascii="宋体" w:hAnsi="宋体" w:cs="宋体" w:eastAsia="宋体" w:hint="default"/>
          <w:sz w:val="18"/>
          <w:szCs w:val="18"/>
        </w:rPr>
        <w:t>：子公司湖南天鹅、大连华能、湖南利欧、无锡锡泵、恒流流体、同安贸易、晟廷科技、锡泵安装、技术中心、 </w:t>
      </w:r>
      <w:r>
        <w:rPr>
          <w:rFonts w:ascii="宋体" w:hAnsi="宋体" w:cs="宋体" w:eastAsia="宋体" w:hint="default"/>
          <w:spacing w:val="-4"/>
          <w:sz w:val="18"/>
          <w:szCs w:val="18"/>
        </w:rPr>
        <w:t>利欧大连、琥珀传播、万圣伟业、宿迁梦想、淮安爱月、淮安乘风、北京乘风、亿来易往、万圣传媒、万圣金融、智推传媒、</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微创时代、江苏大网、天津微创和曲水掌悦按当期应纳流转税额的 </w:t>
      </w:r>
      <w:r>
        <w:rPr>
          <w:rFonts w:ascii="宋体" w:hAnsi="宋体" w:cs="宋体" w:eastAsia="宋体" w:hint="default"/>
          <w:sz w:val="18"/>
          <w:szCs w:val="18"/>
        </w:rPr>
        <w:t>7%</w:t>
      </w:r>
      <w:r>
        <w:rPr>
          <w:rFonts w:ascii="宋体" w:hAnsi="宋体" w:cs="宋体" w:eastAsia="宋体" w:hint="default"/>
          <w:sz w:val="18"/>
          <w:szCs w:val="18"/>
        </w:rPr>
        <w:t>计缴；子公司上海漫酷、聚胜广告、易合广告、漫酷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网络、聚嘉网络、上海氩氪、上海沃动、琥珀上海和利欧数字按当期应纳流转税额的 </w:t>
      </w:r>
      <w:r>
        <w:rPr>
          <w:rFonts w:ascii="宋体" w:hAnsi="宋体" w:cs="宋体" w:eastAsia="宋体" w:hint="default"/>
          <w:sz w:val="18"/>
          <w:szCs w:val="18"/>
        </w:rPr>
        <w:t>1%</w:t>
      </w:r>
      <w:r>
        <w:rPr>
          <w:rFonts w:ascii="宋体" w:hAnsi="宋体" w:cs="宋体" w:eastAsia="宋体" w:hint="default"/>
          <w:sz w:val="18"/>
          <w:szCs w:val="18"/>
        </w:rPr>
        <w:t>计缴；公司及其他境内子公司按当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期应纳流转税额的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计缴。</w:t>
      </w:r>
    </w:p>
    <w:p>
      <w:pPr>
        <w:pStyle w:val="BodyText"/>
        <w:spacing w:line="240" w:lineRule="auto" w:before="117"/>
        <w:ind w:left="654" w:right="1029"/>
        <w:jc w:val="left"/>
      </w:pPr>
      <w:r>
        <w:rPr/>
        <w:t>不同税率的纳税主体企业所得税税率说明</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6036"/>
        <w:gridCol w:w="3770"/>
      </w:tblGrid>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3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漫酷网络、万圣伟业</w:t>
            </w:r>
          </w:p>
        </w:tc>
        <w:tc>
          <w:tcPr>
            <w:tcW w:w="3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免税</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曲水掌悦</w:t>
            </w:r>
          </w:p>
        </w:tc>
        <w:tc>
          <w:tcPr>
            <w:tcW w:w="3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3"/>
              <w:jc w:val="center"/>
              <w:rPr>
                <w:rFonts w:ascii="宋体" w:hAnsi="宋体" w:cs="宋体" w:eastAsia="宋体" w:hint="default"/>
                <w:sz w:val="18"/>
                <w:szCs w:val="18"/>
              </w:rPr>
            </w:pPr>
            <w:r>
              <w:rPr>
                <w:rFonts w:ascii="宋体"/>
                <w:sz w:val="18"/>
              </w:rPr>
              <w:t>9%</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本公司、大农实业、湖南天鹅、湖南利欧、无锡锡泵、微创时代</w:t>
            </w:r>
          </w:p>
        </w:tc>
        <w:tc>
          <w:tcPr>
            <w:tcW w:w="3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sz w:val="18"/>
              </w:rPr>
              <w:t>15%</w:t>
            </w:r>
          </w:p>
        </w:tc>
      </w:tr>
      <w:tr>
        <w:trPr>
          <w:trHeight w:val="558"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除上述以外的其他境内子公司</w:t>
            </w:r>
          </w:p>
        </w:tc>
        <w:tc>
          <w:tcPr>
            <w:tcW w:w="3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sz w:val="18"/>
              </w:rPr>
              <w:t>25%</w:t>
            </w:r>
          </w:p>
        </w:tc>
      </w:tr>
      <w:tr>
        <w:trPr>
          <w:trHeight w:val="755" w:hRule="exact"/>
        </w:trPr>
        <w:tc>
          <w:tcPr>
            <w:tcW w:w="603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1"/>
              <w:ind w:left="122" w:right="101"/>
              <w:jc w:val="left"/>
              <w:rPr>
                <w:rFonts w:ascii="宋体" w:hAnsi="宋体" w:cs="宋体" w:eastAsia="宋体" w:hint="default"/>
                <w:sz w:val="18"/>
                <w:szCs w:val="18"/>
              </w:rPr>
            </w:pPr>
            <w:r>
              <w:rPr>
                <w:rFonts w:ascii="宋体" w:hAnsi="宋体" w:cs="宋体" w:eastAsia="宋体" w:hint="default"/>
                <w:spacing w:val="12"/>
                <w:sz w:val="18"/>
                <w:szCs w:val="18"/>
              </w:rPr>
              <w:t>境外子公司香港利欧、 </w:t>
            </w:r>
            <w:r>
              <w:rPr>
                <w:rFonts w:ascii="宋体" w:hAnsi="宋体" w:cs="宋体" w:eastAsia="宋体" w:hint="default"/>
                <w:sz w:val="18"/>
                <w:szCs w:val="18"/>
              </w:rPr>
              <w:t>Crystal Water Products </w:t>
            </w:r>
            <w:r>
              <w:rPr>
                <w:rFonts w:ascii="宋体" w:hAnsi="宋体" w:cs="宋体" w:eastAsia="宋体" w:hint="default"/>
                <w:spacing w:val="3"/>
                <w:sz w:val="18"/>
                <w:szCs w:val="18"/>
              </w:rPr>
              <w:t>Inc.</w:t>
            </w:r>
            <w:r>
              <w:rPr>
                <w:rFonts w:ascii="宋体" w:hAnsi="宋体" w:cs="宋体" w:eastAsia="宋体" w:hint="default"/>
                <w:spacing w:val="3"/>
                <w:sz w:val="18"/>
                <w:szCs w:val="18"/>
              </w:rPr>
              <w:t>、</w:t>
            </w:r>
            <w:r>
              <w:rPr>
                <w:rFonts w:ascii="宋体" w:hAnsi="宋体" w:cs="宋体" w:eastAsia="宋体" w:hint="default"/>
                <w:spacing w:val="3"/>
                <w:sz w:val="18"/>
                <w:szCs w:val="18"/>
              </w:rPr>
              <w:t>GAMA</w:t>
            </w:r>
            <w:r>
              <w:rPr>
                <w:rFonts w:ascii="宋体" w:hAnsi="宋体" w:cs="宋体" w:eastAsia="宋体" w:hint="default"/>
                <w:spacing w:val="-33"/>
                <w:sz w:val="18"/>
                <w:szCs w:val="18"/>
              </w:rPr>
              <w:t> </w:t>
            </w:r>
            <w:r>
              <w:rPr>
                <w:rFonts w:ascii="宋体" w:hAnsi="宋体" w:cs="宋体" w:eastAsia="宋体" w:hint="default"/>
                <w:sz w:val="18"/>
                <w:szCs w:val="18"/>
              </w:rPr>
              <w:t>European</w:t>
            </w:r>
            <w:r>
              <w:rPr>
                <w:rFonts w:ascii="宋体" w:hAnsi="宋体" w:cs="宋体" w:eastAsia="宋体" w:hint="default"/>
                <w:sz w:val="18"/>
                <w:szCs w:val="18"/>
              </w:rPr>
              <w:t> Garden Machinery Co. Ltd.</w:t>
            </w:r>
            <w:r>
              <w:rPr>
                <w:rFonts w:ascii="宋体" w:hAnsi="宋体" w:cs="宋体" w:eastAsia="宋体" w:hint="default"/>
                <w:sz w:val="18"/>
                <w:szCs w:val="18"/>
              </w:rPr>
              <w:t>、</w:t>
            </w:r>
            <w:r>
              <w:rPr>
                <w:rFonts w:ascii="宋体" w:hAnsi="宋体" w:cs="宋体" w:eastAsia="宋体" w:hint="default"/>
                <w:sz w:val="18"/>
                <w:szCs w:val="18"/>
              </w:rPr>
              <w:t>LEO ITALIA S.R.L</w:t>
            </w:r>
            <w:r>
              <w:rPr>
                <w:rFonts w:ascii="宋体" w:hAnsi="宋体" w:cs="宋体" w:eastAsia="宋体" w:hint="default"/>
                <w:sz w:val="18"/>
                <w:szCs w:val="18"/>
              </w:rPr>
              <w:t>、中东利欧</w:t>
            </w:r>
          </w:p>
        </w:tc>
        <w:tc>
          <w:tcPr>
            <w:tcW w:w="37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64"/>
              <w:jc w:val="center"/>
              <w:rPr>
                <w:rFonts w:ascii="宋体" w:hAnsi="宋体" w:cs="宋体" w:eastAsia="宋体" w:hint="default"/>
                <w:sz w:val="18"/>
                <w:szCs w:val="18"/>
              </w:rPr>
            </w:pPr>
            <w:r>
              <w:rPr>
                <w:rFonts w:ascii="宋体" w:hAnsi="宋体" w:cs="宋体" w:eastAsia="宋体" w:hint="default"/>
                <w:sz w:val="18"/>
                <w:szCs w:val="18"/>
              </w:rPr>
              <w:t>按经营所在地区的规定税率</w:t>
            </w:r>
          </w:p>
        </w:tc>
      </w:tr>
    </w:tbl>
    <w:p>
      <w:pPr>
        <w:pStyle w:val="BodyText"/>
        <w:spacing w:line="240" w:lineRule="auto" w:before="63"/>
        <w:ind w:left="654" w:right="1029"/>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税收优惠及批文</w:t>
      </w:r>
    </w:p>
    <w:p>
      <w:pPr>
        <w:spacing w:line="240" w:lineRule="auto" w:before="10"/>
        <w:rPr>
          <w:rFonts w:ascii="宋体" w:hAnsi="宋体" w:cs="宋体" w:eastAsia="宋体" w:hint="default"/>
          <w:sz w:val="14"/>
          <w:szCs w:val="14"/>
        </w:rPr>
      </w:pPr>
    </w:p>
    <w:p>
      <w:pPr>
        <w:pStyle w:val="BodyText"/>
        <w:spacing w:line="408" w:lineRule="auto"/>
        <w:ind w:left="233" w:right="1018" w:firstLine="420"/>
        <w:jc w:val="left"/>
      </w:pPr>
      <w:r>
        <w:rPr>
          <w:spacing w:val="-2"/>
        </w:rPr>
        <w:t>根据科学技术部火炬高技术产业开发中心文件国科火字〔</w:t>
      </w:r>
      <w:r>
        <w:rPr>
          <w:rFonts w:ascii="宋体" w:hAnsi="宋体" w:cs="宋体" w:eastAsia="宋体" w:hint="default"/>
          <w:spacing w:val="-2"/>
        </w:rPr>
        <w:t>2015</w:t>
      </w:r>
      <w:r>
        <w:rPr>
          <w:spacing w:val="-2"/>
        </w:rPr>
        <w:t>〕</w:t>
      </w:r>
      <w:r>
        <w:rPr>
          <w:rFonts w:ascii="宋体" w:hAnsi="宋体" w:cs="宋体" w:eastAsia="宋体" w:hint="default"/>
          <w:spacing w:val="-2"/>
        </w:rPr>
        <w:t>256</w:t>
      </w:r>
      <w:r>
        <w:rPr>
          <w:rFonts w:ascii="宋体" w:hAnsi="宋体" w:cs="宋体" w:eastAsia="宋体" w:hint="default"/>
          <w:spacing w:val="-39"/>
        </w:rPr>
        <w:t> </w:t>
      </w:r>
      <w:r>
        <w:rPr>
          <w:spacing w:val="-2"/>
        </w:rPr>
        <w:t>号，公司通过高新技术企业认定，</w:t>
      </w:r>
      <w:r>
        <w:rPr/>
        <w:t> 认定有效期三年，本期按</w:t>
      </w:r>
      <w:r>
        <w:rPr>
          <w:spacing w:val="-54"/>
        </w:rPr>
        <w:t> </w:t>
      </w:r>
      <w:r>
        <w:rPr>
          <w:rFonts w:ascii="宋体" w:hAnsi="宋体" w:cs="宋体" w:eastAsia="宋体" w:hint="default"/>
        </w:rPr>
        <w:t>15%</w:t>
      </w:r>
      <w:r>
        <w:rPr/>
        <w:t>的税率计缴企业所得税。</w:t>
      </w:r>
    </w:p>
    <w:p>
      <w:pPr>
        <w:pStyle w:val="BodyText"/>
        <w:spacing w:line="240" w:lineRule="auto" w:before="46"/>
        <w:ind w:left="653" w:right="1029"/>
        <w:jc w:val="left"/>
      </w:pPr>
      <w:r>
        <w:rPr/>
        <w:t>根据浙江省科学技术厅、浙江省财政厅、浙江省国家税务局和浙江省地方税务局联合下发的浙高企认</w:t>
      </w:r>
    </w:p>
    <w:p>
      <w:pPr>
        <w:spacing w:line="240" w:lineRule="auto" w:before="10"/>
        <w:rPr>
          <w:rFonts w:ascii="宋体" w:hAnsi="宋体" w:cs="宋体" w:eastAsia="宋体" w:hint="default"/>
          <w:sz w:val="14"/>
          <w:szCs w:val="14"/>
        </w:rPr>
      </w:pPr>
    </w:p>
    <w:p>
      <w:pPr>
        <w:pStyle w:val="BodyText"/>
        <w:spacing w:line="408" w:lineRule="auto"/>
        <w:ind w:left="653" w:right="1029" w:hanging="420"/>
        <w:jc w:val="left"/>
      </w:pPr>
      <w:r>
        <w:rPr/>
        <w:t>〔</w:t>
      </w:r>
      <w:r>
        <w:rPr>
          <w:rFonts w:ascii="宋体" w:hAnsi="宋体" w:cs="宋体" w:eastAsia="宋体" w:hint="default"/>
        </w:rPr>
        <w:t>2015</w:t>
      </w:r>
      <w:r>
        <w:rPr/>
        <w:t>〕</w:t>
      </w:r>
      <w:r>
        <w:rPr>
          <w:rFonts w:ascii="宋体" w:hAnsi="宋体" w:cs="宋体" w:eastAsia="宋体" w:hint="default"/>
        </w:rPr>
        <w:t>1</w:t>
      </w:r>
      <w:r>
        <w:rPr>
          <w:rFonts w:ascii="宋体" w:hAnsi="宋体" w:cs="宋体" w:eastAsia="宋体" w:hint="default"/>
          <w:spacing w:val="-54"/>
        </w:rPr>
        <w:t> </w:t>
      </w:r>
      <w:r>
        <w:rPr/>
        <w:t>号，大农实业通过高新技术企业认定，认定有效期三年，本期按</w:t>
      </w:r>
      <w:r>
        <w:rPr>
          <w:spacing w:val="-55"/>
        </w:rPr>
        <w:t> </w:t>
      </w:r>
      <w:r>
        <w:rPr>
          <w:rFonts w:ascii="宋体" w:hAnsi="宋体" w:cs="宋体" w:eastAsia="宋体" w:hint="default"/>
        </w:rPr>
        <w:t>15%</w:t>
      </w:r>
      <w:r>
        <w:rPr/>
        <w:t>的税率计缴企业所得税。 </w:t>
      </w:r>
      <w:r>
        <w:rPr>
          <w:spacing w:val="-1"/>
        </w:rPr>
        <w:t>根据湖南省科学技术厅、湖南省财政厅、湖南省国家税务局、湖南省地方税务局联合下发的湘科高办</w:t>
      </w:r>
    </w:p>
    <w:p>
      <w:pPr>
        <w:pStyle w:val="BodyText"/>
        <w:spacing w:line="408" w:lineRule="auto" w:before="46"/>
        <w:ind w:left="654" w:right="1029" w:hanging="420"/>
        <w:jc w:val="left"/>
      </w:pPr>
      <w:r>
        <w:rPr/>
        <w:t>字〔</w:t>
      </w:r>
      <w:r>
        <w:rPr>
          <w:rFonts w:ascii="宋体" w:hAnsi="宋体" w:cs="宋体" w:eastAsia="宋体" w:hint="default"/>
        </w:rPr>
        <w:t>2014</w:t>
      </w:r>
      <w:r>
        <w:rPr/>
        <w:t>〕</w:t>
      </w:r>
      <w:r>
        <w:rPr>
          <w:rFonts w:ascii="宋体" w:hAnsi="宋体" w:cs="宋体" w:eastAsia="宋体" w:hint="default"/>
        </w:rPr>
        <w:t>158</w:t>
      </w:r>
      <w:r>
        <w:rPr>
          <w:rFonts w:ascii="宋体" w:hAnsi="宋体" w:cs="宋体" w:eastAsia="宋体" w:hint="default"/>
          <w:spacing w:val="-53"/>
        </w:rPr>
        <w:t> </w:t>
      </w:r>
      <w:r>
        <w:rPr/>
        <w:t>号文，湖南天鹅重新被认定为高新技术企业，本期按</w:t>
      </w:r>
      <w:r>
        <w:rPr>
          <w:spacing w:val="-53"/>
        </w:rPr>
        <w:t> </w:t>
      </w:r>
      <w:r>
        <w:rPr>
          <w:rFonts w:ascii="宋体" w:hAnsi="宋体" w:cs="宋体" w:eastAsia="宋体" w:hint="default"/>
        </w:rPr>
        <w:t>15%</w:t>
      </w:r>
      <w:r>
        <w:rPr/>
        <w:t>的税率计缴企业所得税。 </w:t>
      </w:r>
      <w:r>
        <w:rPr>
          <w:spacing w:val="-1"/>
        </w:rPr>
        <w:t>根据湖南省科学技术厅、湖南省财政厅、湖南省国家税务局、湖南省地方税务局联合下发的湘科高办</w:t>
      </w:r>
    </w:p>
    <w:p>
      <w:pPr>
        <w:pStyle w:val="BodyText"/>
        <w:spacing w:line="408" w:lineRule="auto" w:before="46"/>
        <w:ind w:left="653" w:right="1116" w:hanging="420"/>
        <w:jc w:val="left"/>
      </w:pPr>
      <w:r>
        <w:rPr/>
        <w:t>字〔</w:t>
      </w:r>
      <w:r>
        <w:rPr>
          <w:rFonts w:ascii="宋体" w:hAnsi="宋体" w:cs="宋体" w:eastAsia="宋体" w:hint="default"/>
        </w:rPr>
        <w:t>2014</w:t>
      </w:r>
      <w:r>
        <w:rPr/>
        <w:t>〕</w:t>
      </w:r>
      <w:r>
        <w:rPr>
          <w:rFonts w:ascii="宋体" w:hAnsi="宋体" w:cs="宋体" w:eastAsia="宋体" w:hint="default"/>
        </w:rPr>
        <w:t>8</w:t>
      </w:r>
      <w:r>
        <w:rPr>
          <w:rFonts w:ascii="宋体" w:hAnsi="宋体" w:cs="宋体" w:eastAsia="宋体" w:hint="default"/>
          <w:spacing w:val="-54"/>
        </w:rPr>
        <w:t> </w:t>
      </w:r>
      <w:r>
        <w:rPr/>
        <w:t>号文，湖南利欧被认定为高新技术企业，本期按</w:t>
      </w:r>
      <w:r>
        <w:rPr>
          <w:spacing w:val="-53"/>
        </w:rPr>
        <w:t> </w:t>
      </w:r>
      <w:r>
        <w:rPr>
          <w:rFonts w:ascii="宋体" w:hAnsi="宋体" w:cs="宋体" w:eastAsia="宋体" w:hint="default"/>
        </w:rPr>
        <w:t>15%</w:t>
      </w:r>
      <w:r>
        <w:rPr/>
        <w:t>的税率计缴企业所得税。 根据江苏省高新技术企业认定管理工作协调小组下发的《关于公示江苏省 </w:t>
      </w:r>
      <w:r>
        <w:rPr>
          <w:rFonts w:ascii="宋体" w:hAnsi="宋体" w:cs="宋体" w:eastAsia="宋体" w:hint="default"/>
        </w:rPr>
        <w:t>2014</w:t>
      </w:r>
      <w:r>
        <w:rPr>
          <w:rFonts w:ascii="宋体" w:hAnsi="宋体" w:cs="宋体" w:eastAsia="宋体" w:hint="default"/>
          <w:spacing w:val="-23"/>
        </w:rPr>
        <w:t> </w:t>
      </w:r>
      <w:r>
        <w:rPr/>
        <w:t>年第一批复审通过高</w:t>
      </w:r>
    </w:p>
    <w:p>
      <w:pPr>
        <w:pStyle w:val="BodyText"/>
        <w:spacing w:line="408" w:lineRule="auto" w:before="46"/>
        <w:ind w:left="233" w:right="1117"/>
        <w:jc w:val="left"/>
      </w:pPr>
      <w:r>
        <w:rPr/>
        <w:t>新技术企业名单的通知》</w:t>
      </w:r>
      <w:r>
        <w:rPr>
          <w:rFonts w:ascii="宋体" w:hAnsi="宋体" w:cs="宋体" w:eastAsia="宋体" w:hint="default"/>
        </w:rPr>
        <w:t>(</w:t>
      </w:r>
      <w:r>
        <w:rPr/>
        <w:t>苏高企协〔</w:t>
      </w:r>
      <w:r>
        <w:rPr>
          <w:rFonts w:ascii="宋体" w:hAnsi="宋体" w:cs="宋体" w:eastAsia="宋体" w:hint="default"/>
        </w:rPr>
        <w:t>2014</w:t>
      </w:r>
      <w:r>
        <w:rPr/>
        <w:t>〕</w:t>
      </w:r>
      <w:r>
        <w:rPr>
          <w:rFonts w:ascii="宋体" w:hAnsi="宋体" w:cs="宋体" w:eastAsia="宋体" w:hint="default"/>
        </w:rPr>
        <w:t>12</w:t>
      </w:r>
      <w:r>
        <w:rPr>
          <w:rFonts w:ascii="宋体" w:hAnsi="宋体" w:cs="宋体" w:eastAsia="宋体" w:hint="default"/>
          <w:spacing w:val="-65"/>
        </w:rPr>
        <w:t> </w:t>
      </w:r>
      <w:r>
        <w:rPr/>
        <w:t>号</w:t>
      </w:r>
      <w:r>
        <w:rPr>
          <w:rFonts w:ascii="宋体" w:hAnsi="宋体" w:cs="宋体" w:eastAsia="宋体" w:hint="default"/>
        </w:rPr>
        <w:t>)</w:t>
      </w:r>
      <w:r>
        <w:rPr/>
        <w:t>，无锡锡泵通过高新技术企业资格复审，本期按</w:t>
      </w:r>
      <w:r>
        <w:rPr>
          <w:spacing w:val="-64"/>
        </w:rPr>
        <w:t> </w:t>
      </w:r>
      <w:r>
        <w:rPr>
          <w:rFonts w:ascii="宋体" w:hAnsi="宋体" w:cs="宋体" w:eastAsia="宋体" w:hint="default"/>
        </w:rPr>
        <w:t>15%</w:t>
      </w:r>
      <w:r>
        <w:rPr/>
        <w:t>的 税率计缴企业所得税。</w:t>
      </w:r>
    </w:p>
    <w:p>
      <w:pPr>
        <w:pStyle w:val="BodyText"/>
        <w:spacing w:line="408" w:lineRule="auto" w:before="46"/>
        <w:ind w:left="233" w:right="1122" w:firstLine="420"/>
        <w:jc w:val="left"/>
      </w:pPr>
      <w:r>
        <w:rPr>
          <w:spacing w:val="-2"/>
        </w:rPr>
        <w:t>大连华能系经民政部门认定的社会福利企业，根据财政部、国家税务总局财税〔</w:t>
      </w:r>
      <w:r>
        <w:rPr>
          <w:rFonts w:ascii="宋体" w:hAnsi="宋体" w:cs="宋体" w:eastAsia="宋体" w:hint="default"/>
          <w:spacing w:val="-2"/>
        </w:rPr>
        <w:t>2007</w:t>
      </w:r>
      <w:r>
        <w:rPr>
          <w:spacing w:val="-2"/>
        </w:rPr>
        <w:t>〕</w:t>
      </w:r>
      <w:r>
        <w:rPr>
          <w:rFonts w:ascii="宋体" w:hAnsi="宋体" w:cs="宋体" w:eastAsia="宋体" w:hint="default"/>
          <w:spacing w:val="-2"/>
        </w:rPr>
        <w:t>92</w:t>
      </w:r>
      <w:r>
        <w:rPr>
          <w:rFonts w:ascii="宋体" w:hAnsi="宋体" w:cs="宋体" w:eastAsia="宋体" w:hint="default"/>
          <w:spacing w:val="-30"/>
        </w:rPr>
        <w:t> </w:t>
      </w:r>
      <w:r>
        <w:rPr>
          <w:spacing w:val="-4"/>
        </w:rPr>
        <w:t>号文，本期</w:t>
      </w:r>
      <w:r>
        <w:rPr/>
        <w:t> 该公司享受增值税按实际安置残疾人员的人数每人每年</w:t>
      </w:r>
      <w:r>
        <w:rPr>
          <w:spacing w:val="-53"/>
        </w:rPr>
        <w:t> </w:t>
      </w:r>
      <w:r>
        <w:rPr>
          <w:rFonts w:ascii="宋体" w:hAnsi="宋体" w:cs="宋体" w:eastAsia="宋体" w:hint="default"/>
        </w:rPr>
        <w:t>3.50</w:t>
      </w:r>
      <w:r>
        <w:rPr>
          <w:rFonts w:ascii="宋体" w:hAnsi="宋体" w:cs="宋体" w:eastAsia="宋体" w:hint="default"/>
          <w:spacing w:val="-54"/>
        </w:rPr>
        <w:t> </w:t>
      </w:r>
      <w:r>
        <w:rPr/>
        <w:t>万元的限额即征即退的税收优惠政策。</w:t>
      </w:r>
    </w:p>
    <w:p>
      <w:pPr>
        <w:spacing w:after="0" w:line="408" w:lineRule="auto"/>
        <w:jc w:val="left"/>
        <w:sectPr>
          <w:pgSz w:w="11910" w:h="16840"/>
          <w:pgMar w:header="877" w:footer="979" w:top="1100" w:bottom="116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654" w:right="1029"/>
        <w:jc w:val="left"/>
      </w:pPr>
      <w:r>
        <w:rPr>
          <w:rFonts w:ascii="宋体" w:hAnsi="宋体" w:cs="宋体" w:eastAsia="宋体" w:hint="default"/>
        </w:rPr>
        <w:t>2015</w:t>
      </w:r>
      <w:r>
        <w:rPr>
          <w:rFonts w:ascii="宋体" w:hAnsi="宋体" w:cs="宋体" w:eastAsia="宋体" w:hint="default"/>
          <w:spacing w:val="21"/>
        </w:rPr>
        <w:t> </w:t>
      </w:r>
      <w:r>
        <w:rPr/>
        <w:t>年</w:t>
      </w:r>
      <w:r>
        <w:rPr>
          <w:spacing w:val="19"/>
        </w:rPr>
        <w:t> </w:t>
      </w:r>
      <w:r>
        <w:rPr>
          <w:rFonts w:ascii="宋体" w:hAnsi="宋体" w:cs="宋体" w:eastAsia="宋体" w:hint="default"/>
        </w:rPr>
        <w:t>2</w:t>
      </w:r>
      <w:r>
        <w:rPr>
          <w:rFonts w:ascii="宋体" w:hAnsi="宋体" w:cs="宋体" w:eastAsia="宋体" w:hint="default"/>
          <w:spacing w:val="20"/>
        </w:rPr>
        <w:t> </w:t>
      </w:r>
      <w:r>
        <w:rPr/>
        <w:t>月</w:t>
      </w:r>
      <w:r>
        <w:rPr>
          <w:spacing w:val="20"/>
        </w:rPr>
        <w:t> </w:t>
      </w:r>
      <w:r>
        <w:rPr>
          <w:rFonts w:ascii="宋体" w:hAnsi="宋体" w:cs="宋体" w:eastAsia="宋体" w:hint="default"/>
        </w:rPr>
        <w:t>20</w:t>
      </w:r>
      <w:r>
        <w:rPr>
          <w:rFonts w:ascii="宋体" w:hAnsi="宋体" w:cs="宋体" w:eastAsia="宋体" w:hint="default"/>
          <w:spacing w:val="21"/>
        </w:rPr>
        <w:t> </w:t>
      </w:r>
      <w:r>
        <w:rPr>
          <w:spacing w:val="17"/>
        </w:rPr>
        <w:t>日，漫酷网络被上海市经济与信息化委员会认定为软件企业</w:t>
      </w:r>
      <w:r>
        <w:rPr>
          <w:spacing w:val="-78"/>
        </w:rPr>
        <w:t> </w:t>
      </w:r>
      <w:r>
        <w:rPr>
          <w:rFonts w:ascii="宋体" w:hAnsi="宋体" w:cs="宋体" w:eastAsia="宋体" w:hint="default"/>
        </w:rPr>
        <w:t>(</w:t>
      </w:r>
      <w:r>
        <w:rPr>
          <w:rFonts w:ascii="宋体" w:hAnsi="宋体" w:cs="宋体" w:eastAsia="宋体" w:hint="default"/>
          <w:spacing w:val="-86"/>
        </w:rPr>
        <w:t> </w:t>
      </w:r>
      <w:r>
        <w:rPr>
          <w:spacing w:val="14"/>
        </w:rPr>
        <w:t>证书编号：</w:t>
      </w:r>
      <w:r>
        <w:rPr>
          <w:spacing w:val="-85"/>
        </w:rPr>
        <w:t> </w:t>
      </w:r>
      <w:r>
        <w:rPr/>
        <w:t>沪</w:t>
      </w:r>
    </w:p>
    <w:p>
      <w:pPr>
        <w:spacing w:line="240" w:lineRule="auto" w:before="10"/>
        <w:rPr>
          <w:rFonts w:ascii="宋体" w:hAnsi="宋体" w:cs="宋体" w:eastAsia="宋体" w:hint="default"/>
          <w:sz w:val="14"/>
          <w:szCs w:val="14"/>
        </w:rPr>
      </w:pPr>
    </w:p>
    <w:p>
      <w:pPr>
        <w:pStyle w:val="BodyText"/>
        <w:spacing w:line="240" w:lineRule="auto"/>
        <w:ind w:left="234" w:right="1029"/>
        <w:jc w:val="left"/>
      </w:pPr>
      <w:r>
        <w:rPr>
          <w:rFonts w:ascii="宋体" w:hAnsi="宋体" w:cs="宋体" w:eastAsia="宋体" w:hint="default"/>
        </w:rPr>
        <w:t>R-2015-0016)</w:t>
      </w:r>
      <w:r>
        <w:rPr/>
        <w:t>，自</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日起享受企业所得税“两免三减半”优惠政策，</w:t>
      </w:r>
      <w:r>
        <w:rPr>
          <w:spacing w:val="-2"/>
        </w:rPr>
        <w:t> </w:t>
      </w:r>
      <w:r>
        <w:rPr/>
        <w:t>本期免征企业所得税。</w:t>
      </w:r>
    </w:p>
    <w:p>
      <w:pPr>
        <w:spacing w:line="240" w:lineRule="auto" w:before="10"/>
        <w:rPr>
          <w:rFonts w:ascii="宋体" w:hAnsi="宋体" w:cs="宋体" w:eastAsia="宋体" w:hint="default"/>
          <w:sz w:val="14"/>
          <w:szCs w:val="14"/>
        </w:rPr>
      </w:pPr>
    </w:p>
    <w:p>
      <w:pPr>
        <w:pStyle w:val="BodyText"/>
        <w:spacing w:line="240" w:lineRule="auto"/>
        <w:ind w:left="654" w:right="1029"/>
        <w:jc w:val="left"/>
      </w:pPr>
      <w:r>
        <w:rPr>
          <w:rFonts w:ascii="宋体" w:hAnsi="宋体" w:cs="宋体" w:eastAsia="宋体" w:hint="default"/>
        </w:rPr>
        <w:t>2014 </w:t>
      </w:r>
      <w:r>
        <w:rPr/>
        <w:t>年 </w:t>
      </w:r>
      <w:r>
        <w:rPr>
          <w:rFonts w:ascii="宋体" w:hAnsi="宋体" w:cs="宋体" w:eastAsia="宋体" w:hint="default"/>
        </w:rPr>
        <w:t>10 </w:t>
      </w:r>
      <w:r>
        <w:rPr/>
        <w:t>月 </w:t>
      </w:r>
      <w:r>
        <w:rPr>
          <w:rFonts w:ascii="宋体" w:hAnsi="宋体" w:cs="宋体" w:eastAsia="宋体" w:hint="default"/>
        </w:rPr>
        <w:t>23</w:t>
      </w:r>
      <w:r>
        <w:rPr>
          <w:rFonts w:ascii="宋体" w:hAnsi="宋体" w:cs="宋体" w:eastAsia="宋体" w:hint="default"/>
          <w:spacing w:val="91"/>
        </w:rPr>
        <w:t> </w:t>
      </w:r>
      <w:r>
        <w:rPr>
          <w:spacing w:val="15"/>
        </w:rPr>
        <w:t>日，万圣伟业被江苏省经济与信息化委员会认定为软件企业</w:t>
      </w:r>
      <w:r>
        <w:rPr>
          <w:rFonts w:ascii="宋体" w:hAnsi="宋体" w:cs="宋体" w:eastAsia="宋体" w:hint="default"/>
          <w:spacing w:val="15"/>
        </w:rPr>
        <w:t>(</w:t>
      </w:r>
      <w:r>
        <w:rPr>
          <w:spacing w:val="15"/>
        </w:rPr>
        <w:t>证书编号：苏</w:t>
      </w:r>
    </w:p>
    <w:p>
      <w:pPr>
        <w:spacing w:line="240" w:lineRule="auto" w:before="10"/>
        <w:rPr>
          <w:rFonts w:ascii="宋体" w:hAnsi="宋体" w:cs="宋体" w:eastAsia="宋体" w:hint="default"/>
          <w:sz w:val="14"/>
          <w:szCs w:val="14"/>
        </w:rPr>
      </w:pPr>
    </w:p>
    <w:p>
      <w:pPr>
        <w:pStyle w:val="BodyText"/>
        <w:spacing w:line="408" w:lineRule="auto"/>
        <w:ind w:left="654" w:right="1102" w:hanging="420"/>
        <w:jc w:val="left"/>
      </w:pPr>
      <w:r>
        <w:rPr>
          <w:rFonts w:ascii="宋体" w:hAnsi="宋体" w:cs="宋体" w:eastAsia="宋体" w:hint="default"/>
        </w:rPr>
        <w:t>R-2014-A0183)</w:t>
      </w:r>
      <w:r>
        <w:rPr/>
        <w:t>，自</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日起享受企业所得税“两免三减半”优惠政策，本期免征企业所得税。 </w:t>
      </w:r>
      <w:r>
        <w:rPr>
          <w:spacing w:val="-1"/>
        </w:rPr>
        <w:t>根据北京市科学技术委员会、北京市财政局、北京市国家税务局、北京市地方税务局联合下发的京科</w:t>
      </w:r>
    </w:p>
    <w:p>
      <w:pPr>
        <w:pStyle w:val="BodyText"/>
        <w:spacing w:line="408" w:lineRule="auto" w:before="46"/>
        <w:ind w:left="653" w:right="1121" w:hanging="420"/>
        <w:jc w:val="left"/>
        <w:rPr>
          <w:rFonts w:ascii="宋体" w:hAnsi="宋体" w:cs="宋体" w:eastAsia="宋体" w:hint="default"/>
        </w:rPr>
      </w:pPr>
      <w:r>
        <w:rPr/>
        <w:t>发〔</w:t>
      </w:r>
      <w:r>
        <w:rPr>
          <w:rFonts w:ascii="宋体" w:hAnsi="宋体" w:cs="宋体" w:eastAsia="宋体" w:hint="default"/>
        </w:rPr>
        <w:t>2015</w:t>
      </w:r>
      <w:r>
        <w:rPr/>
        <w:t>〕</w:t>
      </w:r>
      <w:r>
        <w:rPr>
          <w:rFonts w:ascii="宋体" w:hAnsi="宋体" w:cs="宋体" w:eastAsia="宋体" w:hint="default"/>
        </w:rPr>
        <w:t>548</w:t>
      </w:r>
      <w:r>
        <w:rPr>
          <w:rFonts w:ascii="宋体" w:hAnsi="宋体" w:cs="宋体" w:eastAsia="宋体" w:hint="default"/>
          <w:spacing w:val="-53"/>
        </w:rPr>
        <w:t> </w:t>
      </w:r>
      <w:r>
        <w:rPr/>
        <w:t>号文，微创时代被认定为高新技术企业，本期按</w:t>
      </w:r>
      <w:r>
        <w:rPr>
          <w:spacing w:val="-53"/>
        </w:rPr>
        <w:t> </w:t>
      </w:r>
      <w:r>
        <w:rPr>
          <w:rFonts w:ascii="宋体" w:hAnsi="宋体" w:cs="宋体" w:eastAsia="宋体" w:hint="default"/>
        </w:rPr>
        <w:t>15%</w:t>
      </w:r>
      <w:r>
        <w:rPr/>
        <w:t>的税率计缴企业所得税。 </w:t>
      </w:r>
      <w:r>
        <w:rPr>
          <w:spacing w:val="-4"/>
        </w:rPr>
        <w:t>根据西藏自治区人民政府颁布的藏政发〔</w:t>
      </w:r>
      <w:r>
        <w:rPr>
          <w:rFonts w:ascii="宋体" w:hAnsi="宋体" w:cs="宋体" w:eastAsia="宋体" w:hint="default"/>
          <w:spacing w:val="-4"/>
        </w:rPr>
        <w:t>2014</w:t>
      </w:r>
      <w:r>
        <w:rPr>
          <w:spacing w:val="-4"/>
        </w:rPr>
        <w:t>〕</w:t>
      </w:r>
      <w:r>
        <w:rPr>
          <w:rFonts w:ascii="宋体" w:hAnsi="宋体" w:cs="宋体" w:eastAsia="宋体" w:hint="default"/>
          <w:spacing w:val="-4"/>
        </w:rPr>
        <w:t>103</w:t>
      </w:r>
      <w:r>
        <w:rPr>
          <w:rFonts w:ascii="宋体" w:hAnsi="宋体" w:cs="宋体" w:eastAsia="宋体" w:hint="default"/>
          <w:spacing w:val="-48"/>
        </w:rPr>
        <w:t> </w:t>
      </w:r>
      <w:r>
        <w:rPr>
          <w:spacing w:val="-3"/>
        </w:rPr>
        <w:t>号文，西藏自治区企业所得税税率为</w:t>
      </w:r>
      <w:r>
        <w:rPr>
          <w:spacing w:val="-48"/>
        </w:rPr>
        <w:t> </w:t>
      </w:r>
      <w:r>
        <w:rPr>
          <w:rFonts w:ascii="宋体" w:hAnsi="宋体" w:cs="宋体" w:eastAsia="宋体" w:hint="default"/>
          <w:spacing w:val="-9"/>
        </w:rPr>
        <w:t>15%</w:t>
      </w:r>
      <w:r>
        <w:rPr>
          <w:spacing w:val="-9"/>
        </w:rPr>
        <w:t>，自</w:t>
      </w:r>
      <w:r>
        <w:rPr>
          <w:spacing w:val="-50"/>
        </w:rPr>
        <w:t> </w:t>
      </w:r>
      <w:r>
        <w:rPr>
          <w:rFonts w:ascii="宋体" w:hAnsi="宋体" w:cs="宋体" w:eastAsia="宋体" w:hint="default"/>
        </w:rPr>
        <w:t>2015</w:t>
      </w:r>
    </w:p>
    <w:p>
      <w:pPr>
        <w:pStyle w:val="BodyText"/>
        <w:spacing w:line="408" w:lineRule="auto" w:before="46"/>
        <w:ind w:left="233" w:right="1127"/>
        <w:jc w:val="left"/>
      </w:pP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日起至</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日止，暂免征收西藏自治区企业应缴纳的企业所得税中归属于地方留存 部分，故曲水掌悦本期按</w:t>
      </w:r>
      <w:r>
        <w:rPr>
          <w:spacing w:val="-54"/>
        </w:rPr>
        <w:t> </w:t>
      </w:r>
      <w:r>
        <w:rPr>
          <w:rFonts w:ascii="宋体" w:hAnsi="宋体" w:cs="宋体" w:eastAsia="宋体" w:hint="default"/>
        </w:rPr>
        <w:t>9%</w:t>
      </w:r>
      <w:r>
        <w:rPr/>
        <w:t>的税率计缴企业所得税。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408" w:lineRule="auto" w:before="0"/>
        <w:ind w:left="653" w:right="7499" w:firstLine="2"/>
        <w:jc w:val="left"/>
        <w:rPr>
          <w:rFonts w:ascii="宋体" w:hAnsi="宋体" w:cs="宋体" w:eastAsia="宋体" w:hint="default"/>
          <w:sz w:val="21"/>
          <w:szCs w:val="21"/>
        </w:rPr>
      </w:pPr>
      <w:bookmarkStart w:name="七、合并财务报表项目注释" w:id="200"/>
      <w:bookmarkEnd w:id="200"/>
      <w:r>
        <w:rPr/>
      </w:r>
      <w:r>
        <w:rPr>
          <w:rFonts w:ascii="黑体" w:hAnsi="黑体" w:cs="黑体" w:eastAsia="黑体" w:hint="default"/>
          <w:b/>
          <w:bCs/>
          <w:sz w:val="21"/>
          <w:szCs w:val="21"/>
        </w:rPr>
        <w:t>七、合并财务报表项目注释</w:t>
      </w:r>
      <w:r>
        <w:rPr>
          <w:rFonts w:ascii="黑体" w:hAnsi="黑体" w:cs="黑体" w:eastAsia="黑体" w:hint="default"/>
          <w:b/>
          <w:bCs/>
          <w:w w:val="99"/>
          <w:sz w:val="21"/>
          <w:szCs w:val="21"/>
        </w:rPr>
        <w:t> </w:t>
      </w:r>
      <w:bookmarkStart w:name="(一) 合并资产负债表项目注释" w:id="201"/>
      <w:bookmarkEnd w:id="201"/>
      <w:r>
        <w:rPr>
          <w:rFonts w:ascii="黑体" w:hAnsi="黑体" w:cs="黑体" w:eastAsia="黑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合并资产负债表项目注释 </w:t>
      </w:r>
      <w:bookmarkStart w:name="1. 货币资金" w:id="202"/>
      <w:bookmarkEnd w:id="202"/>
      <w:r>
        <w:rPr>
          <w:rFonts w:ascii="宋体" w:hAnsi="宋体" w:cs="宋体" w:eastAsia="宋体" w:hint="default"/>
          <w:sz w:val="21"/>
          <w:szCs w:val="21"/>
        </w:rPr>
      </w:r>
      <w:r>
        <w:rPr>
          <w:rFonts w:ascii="宋体" w:hAnsi="宋体" w:cs="宋体" w:eastAsia="宋体" w:hint="default"/>
          <w:sz w:val="21"/>
          <w:szCs w:val="21"/>
        </w:rPr>
        <w:t>1. </w:t>
      </w:r>
      <w:r>
        <w:rPr>
          <w:rFonts w:ascii="宋体" w:hAnsi="宋体" w:cs="宋体" w:eastAsia="宋体" w:hint="default"/>
          <w:sz w:val="21"/>
          <w:szCs w:val="21"/>
        </w:rPr>
        <w:t>货币资金</w:t>
      </w:r>
    </w:p>
    <w:p>
      <w:pPr>
        <w:pStyle w:val="BodyText"/>
        <w:spacing w:line="240" w:lineRule="auto" w:before="46"/>
        <w:ind w:left="653"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853,556.42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603,499.95</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714,643,888.47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128,686,589.71</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55,049,453.37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50,177,801.77</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770,546,898.26</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179,467,891.43</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8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2,490,130.92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3,310,141.36</w:t>
            </w:r>
          </w:p>
        </w:tc>
      </w:tr>
    </w:tbl>
    <w:p>
      <w:pPr>
        <w:pStyle w:val="BodyText"/>
        <w:spacing w:line="240" w:lineRule="auto" w:before="63"/>
        <w:ind w:left="654" w:right="1029"/>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654" w:right="1029"/>
        <w:jc w:val="left"/>
      </w:pPr>
      <w:r>
        <w:rPr/>
        <w:t>期末其他货币资金中包括银行承兑汇票保证金</w:t>
      </w:r>
      <w:r>
        <w:rPr>
          <w:spacing w:val="-52"/>
        </w:rPr>
        <w:t> </w:t>
      </w:r>
      <w:r>
        <w:rPr>
          <w:rFonts w:ascii="宋体" w:hAnsi="宋体" w:cs="宋体" w:eastAsia="宋体" w:hint="default"/>
        </w:rPr>
        <w:t>16,790,329.01</w:t>
      </w:r>
      <w:r>
        <w:rPr>
          <w:rFonts w:ascii="宋体" w:hAnsi="宋体" w:cs="宋体" w:eastAsia="宋体" w:hint="default"/>
          <w:spacing w:val="-52"/>
        </w:rPr>
        <w:t> </w:t>
      </w:r>
      <w:r>
        <w:rPr>
          <w:spacing w:val="-4"/>
        </w:rPr>
        <w:t>元，保函保证金</w:t>
      </w:r>
      <w:r>
        <w:rPr>
          <w:spacing w:val="-52"/>
        </w:rPr>
        <w:t> </w:t>
      </w:r>
      <w:r>
        <w:rPr>
          <w:rFonts w:ascii="宋体" w:hAnsi="宋体" w:cs="宋体" w:eastAsia="宋体" w:hint="default"/>
        </w:rPr>
        <w:t>37,996,026.97</w:t>
      </w:r>
      <w:r>
        <w:rPr>
          <w:rFonts w:ascii="宋体" w:hAnsi="宋体" w:cs="宋体" w:eastAsia="宋体" w:hint="default"/>
          <w:spacing w:val="-52"/>
        </w:rPr>
        <w:t> </w:t>
      </w:r>
      <w:r>
        <w:rPr/>
        <w:t>元和信</w:t>
      </w:r>
    </w:p>
    <w:p>
      <w:pPr>
        <w:spacing w:line="240" w:lineRule="auto" w:before="10"/>
        <w:rPr>
          <w:rFonts w:ascii="宋体" w:hAnsi="宋体" w:cs="宋体" w:eastAsia="宋体" w:hint="default"/>
          <w:sz w:val="14"/>
          <w:szCs w:val="14"/>
        </w:rPr>
      </w:pPr>
    </w:p>
    <w:p>
      <w:pPr>
        <w:pStyle w:val="BodyText"/>
        <w:spacing w:line="240" w:lineRule="auto"/>
        <w:ind w:left="233" w:right="1029"/>
        <w:jc w:val="left"/>
      </w:pPr>
      <w:r>
        <w:rPr/>
        <w:t>用证保证金</w:t>
      </w:r>
      <w:r>
        <w:rPr>
          <w:spacing w:val="-53"/>
        </w:rPr>
        <w:t> </w:t>
      </w:r>
      <w:r>
        <w:rPr>
          <w:rFonts w:ascii="宋体" w:hAnsi="宋体" w:cs="宋体" w:eastAsia="宋体" w:hint="default"/>
        </w:rPr>
        <w:t>22,330.00</w:t>
      </w:r>
      <w:r>
        <w:rPr>
          <w:rFonts w:ascii="宋体" w:hAnsi="宋体" w:cs="宋体" w:eastAsia="宋体" w:hint="default"/>
          <w:spacing w:val="-53"/>
        </w:rPr>
        <w:t> </w:t>
      </w:r>
      <w:r>
        <w:rPr/>
        <w:t>元等。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653" w:right="1029"/>
        <w:jc w:val="left"/>
      </w:pPr>
      <w:r>
        <w:rPr>
          <w:rFonts w:ascii="宋体" w:hAnsi="宋体" w:cs="宋体" w:eastAsia="宋体" w:hint="default"/>
        </w:rPr>
        <w:t>2.</w:t>
      </w:r>
      <w:r>
        <w:rPr>
          <w:rFonts w:ascii="宋体" w:hAnsi="宋体" w:cs="宋体" w:eastAsia="宋体" w:hint="default"/>
          <w:spacing w:val="1"/>
        </w:rPr>
        <w:t> </w:t>
      </w:r>
      <w:r>
        <w:rPr/>
        <w:t>应收票据</w:t>
      </w:r>
    </w:p>
    <w:p>
      <w:pPr>
        <w:spacing w:line="240" w:lineRule="auto" w:before="10"/>
        <w:rPr>
          <w:rFonts w:ascii="宋体" w:hAnsi="宋体" w:cs="宋体" w:eastAsia="宋体" w:hint="default"/>
          <w:sz w:val="14"/>
          <w:szCs w:val="14"/>
        </w:rPr>
      </w:pPr>
    </w:p>
    <w:p>
      <w:pPr>
        <w:pStyle w:val="BodyText"/>
        <w:spacing w:line="240" w:lineRule="auto"/>
        <w:ind w:left="653"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1776"/>
        <w:gridCol w:w="1602"/>
        <w:gridCol w:w="832"/>
        <w:gridCol w:w="1602"/>
        <w:gridCol w:w="1602"/>
        <w:gridCol w:w="840"/>
        <w:gridCol w:w="1601"/>
      </w:tblGrid>
      <w:tr>
        <w:trPr>
          <w:trHeight w:val="402" w:hRule="exact"/>
        </w:trPr>
        <w:tc>
          <w:tcPr>
            <w:tcW w:w="1776"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0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404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402" w:hRule="exact"/>
        </w:trPr>
        <w:tc>
          <w:tcPr>
            <w:tcW w:w="1776" w:type="dxa"/>
            <w:vMerge/>
            <w:tcBorders>
              <w:left w:val="nil" w:sz="6" w:space="0" w:color="auto"/>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9"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791"/>
        <w:gridCol w:w="1602"/>
        <w:gridCol w:w="832"/>
        <w:gridCol w:w="1602"/>
        <w:gridCol w:w="1602"/>
        <w:gridCol w:w="840"/>
        <w:gridCol w:w="1601"/>
      </w:tblGrid>
      <w:tr>
        <w:trPr>
          <w:trHeight w:val="362" w:hRule="exact"/>
        </w:trPr>
        <w:tc>
          <w:tcPr>
            <w:tcW w:w="1791" w:type="dxa"/>
            <w:tcBorders>
              <w:top w:val="single" w:sz="4" w:space="0" w:color="000000"/>
              <w:left w:val="nil" w:sz="6" w:space="0" w:color="auto"/>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602"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9"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75,862,788.16</w:t>
            </w:r>
          </w:p>
        </w:tc>
        <w:tc>
          <w:tcPr>
            <w:tcW w:w="832"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75,862,788.16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45,769,566.02</w:t>
            </w:r>
          </w:p>
        </w:tc>
        <w:tc>
          <w:tcPr>
            <w:tcW w:w="84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45,769,566.02</w:t>
            </w:r>
          </w:p>
        </w:tc>
      </w:tr>
      <w:tr>
        <w:trPr>
          <w:trHeight w:val="558"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653,500.00</w:t>
            </w:r>
          </w:p>
        </w:tc>
        <w:tc>
          <w:tcPr>
            <w:tcW w:w="832"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653,500.00</w:t>
            </w:r>
          </w:p>
        </w:tc>
        <w:tc>
          <w:tcPr>
            <w:tcW w:w="16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76,516,288.16</w:t>
            </w:r>
          </w:p>
        </w:tc>
        <w:tc>
          <w:tcPr>
            <w:tcW w:w="832"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76,516,288.16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45,769,566.02</w:t>
            </w:r>
          </w:p>
        </w:tc>
        <w:tc>
          <w:tcPr>
            <w:tcW w:w="84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45,769,566.02</w:t>
            </w:r>
          </w:p>
        </w:tc>
      </w:tr>
    </w:tbl>
    <w:p>
      <w:pPr>
        <w:pStyle w:val="BodyText"/>
        <w:spacing w:line="240" w:lineRule="auto" w:before="63"/>
        <w:ind w:left="654" w:right="1029"/>
        <w:jc w:val="left"/>
      </w:pPr>
      <w:r>
        <w:rPr>
          <w:rFonts w:ascii="宋体" w:hAnsi="宋体" w:cs="宋体" w:eastAsia="宋体" w:hint="default"/>
        </w:rPr>
        <w:t>(2)</w:t>
      </w:r>
      <w:r>
        <w:rPr>
          <w:rFonts w:ascii="宋体" w:hAnsi="宋体" w:cs="宋体" w:eastAsia="宋体" w:hint="default"/>
          <w:spacing w:val="-1"/>
        </w:rPr>
        <w:t> </w:t>
      </w:r>
      <w:r>
        <w:rPr/>
        <w:t>期末公司已质押的应收票据情况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701"/>
        <w:gridCol w:w="1903"/>
      </w:tblGrid>
      <w:tr>
        <w:trPr>
          <w:trHeight w:val="558" w:hRule="exact"/>
        </w:trPr>
        <w:tc>
          <w:tcPr>
            <w:tcW w:w="4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26" w:right="0"/>
              <w:jc w:val="left"/>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558" w:hRule="exact"/>
        </w:trPr>
        <w:tc>
          <w:tcPr>
            <w:tcW w:w="4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12,149,000.00</w:t>
            </w:r>
          </w:p>
        </w:tc>
      </w:tr>
      <w:tr>
        <w:trPr>
          <w:trHeight w:val="558" w:hRule="exact"/>
        </w:trPr>
        <w:tc>
          <w:tcPr>
            <w:tcW w:w="4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12,149,000.00</w:t>
            </w:r>
          </w:p>
        </w:tc>
      </w:tr>
    </w:tbl>
    <w:p>
      <w:pPr>
        <w:pStyle w:val="BodyText"/>
        <w:spacing w:line="240" w:lineRule="auto" w:before="63"/>
        <w:ind w:left="654" w:right="1029"/>
        <w:jc w:val="left"/>
      </w:pPr>
      <w:r>
        <w:rPr>
          <w:rFonts w:ascii="宋体" w:hAnsi="宋体" w:cs="宋体" w:eastAsia="宋体" w:hint="default"/>
        </w:rPr>
        <w:t>(3)</w:t>
      </w:r>
      <w:r>
        <w:rPr>
          <w:rFonts w:ascii="宋体" w:hAnsi="宋体" w:cs="宋体" w:eastAsia="宋体" w:hint="default"/>
          <w:spacing w:val="-1"/>
        </w:rPr>
        <w:t> </w:t>
      </w:r>
      <w:r>
        <w:rPr/>
        <w:t>期末公司已背书或贴现且在资产负债表日尚未到期的应收票据情况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755"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739" w:right="744"/>
              <w:jc w:val="center"/>
              <w:rPr>
                <w:rFonts w:ascii="宋体" w:hAnsi="宋体" w:cs="宋体" w:eastAsia="宋体" w:hint="default"/>
                <w:sz w:val="18"/>
                <w:szCs w:val="18"/>
              </w:rPr>
            </w:pPr>
            <w:r>
              <w:rPr>
                <w:rFonts w:ascii="宋体" w:hAnsi="宋体" w:cs="宋体" w:eastAsia="宋体" w:hint="default"/>
                <w:sz w:val="18"/>
                <w:szCs w:val="18"/>
              </w:rPr>
              <w:t>期末终止 确认金额</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2"/>
              <w:ind w:left="743" w:right="656" w:hanging="90"/>
              <w:jc w:val="left"/>
              <w:rPr>
                <w:rFonts w:ascii="宋体" w:hAnsi="宋体" w:cs="宋体" w:eastAsia="宋体" w:hint="default"/>
                <w:sz w:val="18"/>
                <w:szCs w:val="18"/>
              </w:rPr>
            </w:pPr>
            <w:r>
              <w:rPr>
                <w:rFonts w:ascii="宋体" w:hAnsi="宋体" w:cs="宋体" w:eastAsia="宋体" w:hint="default"/>
                <w:sz w:val="18"/>
                <w:szCs w:val="18"/>
              </w:rPr>
              <w:t>期末未终止 确认金额</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79,621,952.77</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79,621,952.77</w:t>
            </w:r>
          </w:p>
        </w:tc>
        <w:tc>
          <w:tcPr>
            <w:tcW w:w="2218" w:type="dxa"/>
            <w:tcBorders>
              <w:top w:val="single" w:sz="4" w:space="0" w:color="000000"/>
              <w:left w:val="single" w:sz="4" w:space="0" w:color="000000"/>
              <w:bottom w:val="single" w:sz="4" w:space="0" w:color="000000"/>
              <w:right w:val="nil" w:sz="6" w:space="0" w:color="auto"/>
            </w:tcBorders>
          </w:tcPr>
          <w:p>
            <w:pPr/>
          </w:p>
        </w:tc>
      </w:tr>
    </w:tbl>
    <w:p>
      <w:pPr>
        <w:pStyle w:val="BodyText"/>
        <w:spacing w:line="408" w:lineRule="auto" w:before="63"/>
        <w:ind w:left="234" w:right="1029" w:firstLine="420"/>
        <w:jc w:val="left"/>
      </w:pPr>
      <w:r>
        <w:rPr>
          <w:spacing w:val="-1"/>
        </w:rPr>
        <w:t>银行承兑汇票的承兑人是商业银行，由于商业银行具有较高的信用，银行承兑汇票到期不获支付的可</w:t>
      </w:r>
      <w:r>
        <w:rPr/>
        <w:t> </w:t>
      </w:r>
      <w:r>
        <w:rPr>
          <w:spacing w:val="-1"/>
        </w:rPr>
        <w:t>能性较低，故本公司将已背书或贴现的银行承兑汇票予以终止确认。但如果该等票据到期不获支付，依据</w:t>
      </w:r>
    </w:p>
    <w:p>
      <w:pPr>
        <w:pStyle w:val="BodyText"/>
        <w:spacing w:line="240" w:lineRule="auto" w:before="46"/>
        <w:ind w:left="234" w:right="1029"/>
        <w:jc w:val="left"/>
      </w:pPr>
      <w:r>
        <w:rPr/>
        <w:t>《票据法》之规定，公司仍将对持票人承担连带责任。</w:t>
      </w:r>
    </w:p>
    <w:p>
      <w:pPr>
        <w:spacing w:line="240" w:lineRule="auto" w:before="10"/>
        <w:rPr>
          <w:rFonts w:ascii="宋体" w:hAnsi="宋体" w:cs="宋体" w:eastAsia="宋体" w:hint="default"/>
          <w:sz w:val="14"/>
          <w:szCs w:val="14"/>
        </w:rPr>
      </w:pPr>
    </w:p>
    <w:p>
      <w:pPr>
        <w:pStyle w:val="BodyText"/>
        <w:spacing w:line="240" w:lineRule="auto"/>
        <w:ind w:left="654" w:right="1029"/>
        <w:jc w:val="left"/>
      </w:pPr>
      <w:r>
        <w:rPr>
          <w:rFonts w:ascii="宋体" w:hAnsi="宋体" w:cs="宋体" w:eastAsia="宋体" w:hint="default"/>
        </w:rPr>
        <w:t>(4)</w:t>
      </w:r>
      <w:r>
        <w:rPr>
          <w:rFonts w:ascii="宋体" w:hAnsi="宋体" w:cs="宋体" w:eastAsia="宋体" w:hint="default"/>
          <w:spacing w:val="-1"/>
        </w:rPr>
        <w:t> </w:t>
      </w:r>
      <w:r>
        <w:rPr/>
        <w:t>期末公司不存在因出票人未履约而将其转应收账款的票据情况。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653" w:right="1029"/>
        <w:jc w:val="left"/>
      </w:pPr>
      <w:r>
        <w:rPr>
          <w:rFonts w:ascii="宋体" w:hAnsi="宋体" w:cs="宋体" w:eastAsia="宋体" w:hint="default"/>
        </w:rPr>
        <w:t>3.</w:t>
      </w:r>
      <w:r>
        <w:rPr>
          <w:rFonts w:ascii="宋体" w:hAnsi="宋体" w:cs="宋体" w:eastAsia="宋体" w:hint="default"/>
          <w:spacing w:val="1"/>
        </w:rPr>
        <w:t> </w:t>
      </w:r>
      <w:r>
        <w:rPr/>
        <w:t>应收账款</w:t>
      </w:r>
    </w:p>
    <w:p>
      <w:pPr>
        <w:spacing w:line="240" w:lineRule="auto" w:before="10"/>
        <w:rPr>
          <w:rFonts w:ascii="宋体" w:hAnsi="宋体" w:cs="宋体" w:eastAsia="宋体" w:hint="default"/>
          <w:sz w:val="14"/>
          <w:szCs w:val="14"/>
        </w:rPr>
      </w:pPr>
    </w:p>
    <w:p>
      <w:pPr>
        <w:pStyle w:val="BodyText"/>
        <w:spacing w:line="240" w:lineRule="auto"/>
        <w:ind w:left="653" w:right="1029"/>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944"/>
        <w:gridCol w:w="1964"/>
        <w:gridCol w:w="982"/>
        <w:gridCol w:w="1802"/>
        <w:gridCol w:w="1312"/>
        <w:gridCol w:w="1866"/>
      </w:tblGrid>
      <w:tr>
        <w:trPr>
          <w:trHeight w:val="402"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92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944" w:type="dxa"/>
            <w:vMerge/>
            <w:tcBorders>
              <w:left w:val="nil" w:sz="6" w:space="0" w:color="auto"/>
              <w:right w:val="single" w:sz="4" w:space="0" w:color="000000"/>
            </w:tcBorders>
          </w:tcPr>
          <w:p>
            <w:pPr/>
          </w:p>
        </w:tc>
        <w:tc>
          <w:tcPr>
            <w:tcW w:w="2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6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44" w:type="dxa"/>
            <w:vMerge/>
            <w:tcBorders>
              <w:left w:val="nil" w:sz="6" w:space="0" w:color="auto"/>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866" w:type="dxa"/>
            <w:vMerge/>
            <w:tcBorders>
              <w:left w:val="single" w:sz="4" w:space="0" w:color="000000"/>
              <w:bottom w:val="single" w:sz="4" w:space="0" w:color="000000"/>
              <w:right w:val="nil" w:sz="6" w:space="0" w:color="auto"/>
            </w:tcBorders>
          </w:tcPr>
          <w:p>
            <w:pP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96"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96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96"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2,084,920,866.75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99.02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117,219,598.06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5.62</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1,967,701,268.69</w:t>
            </w: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96"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20,542,826.40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0.98</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20,542,826.40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2,105,463,693.15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137,762,424.46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6.54</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1,967,701,268.69</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12"/>
        <w:rPr>
          <w:rFonts w:ascii="宋体" w:hAnsi="宋体" w:cs="宋体" w:eastAsia="宋体" w:hint="default"/>
          <w:sz w:val="27"/>
          <w:szCs w:val="27"/>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944"/>
        <w:gridCol w:w="1964"/>
        <w:gridCol w:w="982"/>
        <w:gridCol w:w="1805"/>
        <w:gridCol w:w="1310"/>
        <w:gridCol w:w="1866"/>
      </w:tblGrid>
      <w:tr>
        <w:trPr>
          <w:trHeight w:val="402" w:hRule="exact"/>
        </w:trPr>
        <w:tc>
          <w:tcPr>
            <w:tcW w:w="19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92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44" w:type="dxa"/>
            <w:vMerge/>
            <w:tcBorders>
              <w:left w:val="nil" w:sz="6" w:space="0" w:color="auto"/>
              <w:right w:val="single" w:sz="4" w:space="0" w:color="000000"/>
            </w:tcBorders>
          </w:tcPr>
          <w:p>
            <w:pPr/>
          </w:p>
        </w:tc>
        <w:tc>
          <w:tcPr>
            <w:tcW w:w="2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66"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44" w:type="dxa"/>
            <w:vMerge/>
            <w:tcBorders>
              <w:left w:val="nil" w:sz="6" w:space="0" w:color="auto"/>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5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866" w:type="dxa"/>
            <w:vMerge/>
            <w:tcBorders>
              <w:left w:val="single" w:sz="4" w:space="0" w:color="000000"/>
              <w:bottom w:val="single" w:sz="4" w:space="0" w:color="000000"/>
              <w:right w:val="nil" w:sz="6" w:space="0" w:color="auto"/>
            </w:tcBorders>
          </w:tcPr>
          <w:p>
            <w:pP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96"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96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96"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1,546,822,681.50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98.94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85,744,244.22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5.54</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1,461,078,437.28</w:t>
            </w: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96"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16,557,120.53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1.06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16,557,120.53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100.00</w:t>
            </w: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1,563,379,802.03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100.00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102,301,364.75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6.54</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62"/>
              <w:jc w:val="right"/>
              <w:rPr>
                <w:rFonts w:ascii="宋体" w:hAnsi="宋体" w:cs="宋体" w:eastAsia="宋体" w:hint="default"/>
                <w:sz w:val="18"/>
                <w:szCs w:val="18"/>
              </w:rPr>
            </w:pPr>
            <w:r>
              <w:rPr>
                <w:rFonts w:ascii="宋体"/>
                <w:sz w:val="18"/>
              </w:rPr>
              <w:t>1,461,078,437.28</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组合中，采用账龄分析法计提坏账准备的应收账款</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680"/>
        <w:gridCol w:w="2811"/>
        <w:gridCol w:w="2692"/>
        <w:gridCol w:w="2687"/>
      </w:tblGrid>
      <w:tr>
        <w:trPr>
          <w:trHeight w:val="402" w:hRule="exact"/>
        </w:trPr>
        <w:tc>
          <w:tcPr>
            <w:tcW w:w="1680"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819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9"/>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680" w:type="dxa"/>
            <w:vMerge/>
            <w:tcBorders>
              <w:left w:val="nil" w:sz="6" w:space="0" w:color="auto"/>
              <w:bottom w:val="single" w:sz="4" w:space="0" w:color="000000"/>
              <w:right w:val="single" w:sz="4" w:space="0" w:color="000000"/>
            </w:tcBorders>
          </w:tcPr>
          <w:p>
            <w:pP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1,788,631,589.49</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36,198,354.50</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9"/>
              <w:jc w:val="center"/>
              <w:rPr>
                <w:rFonts w:ascii="宋体" w:hAnsi="宋体" w:cs="宋体" w:eastAsia="宋体" w:hint="default"/>
                <w:sz w:val="18"/>
                <w:szCs w:val="18"/>
              </w:rPr>
            </w:pPr>
            <w:r>
              <w:rPr>
                <w:rFonts w:ascii="宋体"/>
                <w:sz w:val="18"/>
              </w:rPr>
              <w:t>2.02</w:t>
            </w:r>
          </w:p>
        </w:tc>
      </w:tr>
      <w:tr>
        <w:trPr>
          <w:trHeight w:val="55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135,053,951.12</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13,505,395.12</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6"/>
              <w:jc w:val="center"/>
              <w:rPr>
                <w:rFonts w:ascii="宋体" w:hAnsi="宋体" w:cs="宋体" w:eastAsia="宋体" w:hint="default"/>
                <w:sz w:val="18"/>
                <w:szCs w:val="18"/>
              </w:rPr>
            </w:pPr>
            <w:r>
              <w:rPr>
                <w:rFonts w:ascii="宋体"/>
                <w:sz w:val="18"/>
              </w:rPr>
              <w:t>10.00</w:t>
            </w:r>
          </w:p>
        </w:tc>
      </w:tr>
      <w:tr>
        <w:trPr>
          <w:trHeight w:val="55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110,791,382.12</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29,888,767.18</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86"/>
              <w:jc w:val="center"/>
              <w:rPr>
                <w:rFonts w:ascii="宋体" w:hAnsi="宋体" w:cs="宋体" w:eastAsia="宋体" w:hint="default"/>
                <w:sz w:val="18"/>
                <w:szCs w:val="18"/>
              </w:rPr>
            </w:pPr>
            <w:r>
              <w:rPr>
                <w:rFonts w:ascii="宋体"/>
                <w:sz w:val="18"/>
              </w:rPr>
              <w:t>26.98</w:t>
            </w:r>
          </w:p>
        </w:tc>
      </w:tr>
      <w:tr>
        <w:trPr>
          <w:trHeight w:val="55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36,372,658.71</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25,896,055.13</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6"/>
              <w:jc w:val="center"/>
              <w:rPr>
                <w:rFonts w:ascii="宋体" w:hAnsi="宋体" w:cs="宋体" w:eastAsia="宋体" w:hint="default"/>
                <w:sz w:val="18"/>
                <w:szCs w:val="18"/>
              </w:rPr>
            </w:pPr>
            <w:r>
              <w:rPr>
                <w:rFonts w:ascii="宋体"/>
                <w:sz w:val="18"/>
              </w:rPr>
              <w:t>71.20</w:t>
            </w:r>
          </w:p>
        </w:tc>
      </w:tr>
      <w:tr>
        <w:trPr>
          <w:trHeight w:val="55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11,731,023.91</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9,390,764.73</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6"/>
              <w:jc w:val="center"/>
              <w:rPr>
                <w:rFonts w:ascii="宋体" w:hAnsi="宋体" w:cs="宋体" w:eastAsia="宋体" w:hint="default"/>
                <w:sz w:val="18"/>
                <w:szCs w:val="18"/>
              </w:rPr>
            </w:pPr>
            <w:r>
              <w:rPr>
                <w:rFonts w:ascii="宋体"/>
                <w:sz w:val="18"/>
              </w:rPr>
              <w:t>80.05</w:t>
            </w:r>
          </w:p>
        </w:tc>
      </w:tr>
      <w:tr>
        <w:trPr>
          <w:trHeight w:val="558"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2,340,261.40</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2,340,261.40</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9"/>
              <w:jc w:val="center"/>
              <w:rPr>
                <w:rFonts w:ascii="宋体" w:hAnsi="宋体" w:cs="宋体" w:eastAsia="宋体" w:hint="default"/>
                <w:sz w:val="18"/>
                <w:szCs w:val="18"/>
              </w:rPr>
            </w:pPr>
            <w:r>
              <w:rPr>
                <w:rFonts w:ascii="宋体"/>
                <w:sz w:val="18"/>
              </w:rPr>
              <w:t>100.00</w:t>
            </w:r>
          </w:p>
        </w:tc>
      </w:tr>
      <w:tr>
        <w:trPr>
          <w:trHeight w:val="559"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2,084,920,866.75</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117,219,598.06</w:t>
            </w:r>
          </w:p>
        </w:tc>
        <w:tc>
          <w:tcPr>
            <w:tcW w:w="2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9"/>
              <w:jc w:val="center"/>
              <w:rPr>
                <w:rFonts w:ascii="宋体" w:hAnsi="宋体" w:cs="宋体" w:eastAsia="宋体" w:hint="default"/>
                <w:sz w:val="18"/>
                <w:szCs w:val="18"/>
              </w:rPr>
            </w:pPr>
            <w:r>
              <w:rPr>
                <w:rFonts w:ascii="宋体"/>
                <w:sz w:val="18"/>
              </w:rPr>
              <w:t>5.62</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line="240" w:lineRule="auto" w:before="9"/>
        <w:rPr>
          <w:rFonts w:ascii="宋体" w:hAnsi="宋体" w:cs="宋体" w:eastAsia="宋体" w:hint="default"/>
          <w:sz w:val="17"/>
          <w:szCs w:val="17"/>
        </w:rPr>
      </w:pPr>
    </w:p>
    <w:p>
      <w:pPr>
        <w:pStyle w:val="BodyText"/>
        <w:spacing w:line="408" w:lineRule="auto"/>
        <w:ind w:left="233" w:right="1122" w:firstLine="420"/>
        <w:jc w:val="left"/>
        <w:rPr>
          <w:rFonts w:ascii="宋体" w:hAnsi="宋体" w:cs="宋体" w:eastAsia="宋体" w:hint="default"/>
        </w:rPr>
      </w:pPr>
      <w:r>
        <w:rPr>
          <w:spacing w:val="18"/>
        </w:rPr>
        <w:t>本期计提坏账准备金额 </w:t>
      </w:r>
      <w:r>
        <w:rPr>
          <w:rFonts w:ascii="宋体" w:hAnsi="宋体" w:cs="宋体" w:eastAsia="宋体" w:hint="default"/>
        </w:rPr>
        <w:t>38,391,750.31 </w:t>
      </w:r>
      <w:r>
        <w:rPr>
          <w:spacing w:val="10"/>
        </w:rPr>
        <w:t>元，</w:t>
      </w:r>
      <w:r>
        <w:rPr>
          <w:spacing w:val="-51"/>
        </w:rPr>
        <w:t> </w:t>
      </w:r>
      <w:r>
        <w:rPr>
          <w:spacing w:val="20"/>
        </w:rPr>
        <w:t>本期因非同一控制下企业合并转入坏账准备金额</w:t>
      </w:r>
      <w:r>
        <w:rPr/>
        <w:t> </w:t>
      </w:r>
      <w:r>
        <w:rPr>
          <w:rFonts w:ascii="宋体" w:hAnsi="宋体" w:cs="宋体" w:eastAsia="宋体" w:hint="default"/>
        </w:rPr>
        <w:t>1,981,547.48 </w:t>
      </w:r>
      <w:r>
        <w:rPr/>
        <w:t>元，因转让对利普诺持之水泵系统</w:t>
      </w:r>
      <w:r>
        <w:rPr>
          <w:rFonts w:ascii="宋体" w:hAnsi="宋体" w:cs="宋体" w:eastAsia="宋体" w:hint="default"/>
        </w:rPr>
        <w:t>(</w:t>
      </w:r>
      <w:r>
        <w:rPr/>
        <w:t>上海</w:t>
      </w:r>
      <w:r>
        <w:rPr>
          <w:rFonts w:ascii="宋体" w:hAnsi="宋体" w:cs="宋体" w:eastAsia="宋体" w:hint="default"/>
        </w:rPr>
        <w:t>)</w:t>
      </w:r>
      <w:r>
        <w:rPr/>
        <w:t>有限公司</w:t>
      </w:r>
      <w:r>
        <w:rPr>
          <w:rFonts w:ascii="宋体" w:hAnsi="宋体" w:cs="宋体" w:eastAsia="宋体" w:hint="default"/>
        </w:rPr>
        <w:t>(</w:t>
      </w:r>
      <w:r>
        <w:rPr/>
        <w:t>以下简称利普诺</w:t>
      </w:r>
      <w:r>
        <w:rPr>
          <w:rFonts w:ascii="宋体" w:hAnsi="宋体" w:cs="宋体" w:eastAsia="宋体" w:hint="default"/>
        </w:rPr>
        <w:t>)</w:t>
      </w:r>
      <w:r>
        <w:rPr/>
        <w:t>和 </w:t>
      </w:r>
      <w:r>
        <w:rPr>
          <w:rFonts w:ascii="宋体" w:hAnsi="宋体" w:cs="宋体" w:eastAsia="宋体" w:hint="default"/>
        </w:rPr>
        <w:t>LEO ITALY</w:t>
      </w:r>
      <w:r>
        <w:rPr>
          <w:rFonts w:ascii="宋体" w:hAnsi="宋体" w:cs="宋体" w:eastAsia="宋体" w:hint="default"/>
          <w:spacing w:val="-29"/>
        </w:rPr>
        <w:t> </w:t>
      </w:r>
      <w:r>
        <w:rPr>
          <w:rFonts w:ascii="宋体" w:hAnsi="宋体" w:cs="宋体" w:eastAsia="宋体" w:hint="default"/>
        </w:rPr>
        <w:t>S.R.L.</w:t>
      </w:r>
    </w:p>
    <w:p>
      <w:pPr>
        <w:pStyle w:val="BodyText"/>
        <w:spacing w:line="240" w:lineRule="auto" w:before="47"/>
        <w:ind w:left="233" w:right="1029"/>
        <w:jc w:val="left"/>
      </w:pPr>
      <w:r>
        <w:rPr/>
        <w:t>（以下简称利欧意大利）股权投资相应转出坏账准备金额</w:t>
      </w:r>
      <w:r>
        <w:rPr>
          <w:spacing w:val="-54"/>
        </w:rPr>
        <w:t> </w:t>
      </w:r>
      <w:r>
        <w:rPr>
          <w:rFonts w:ascii="宋体" w:hAnsi="宋体" w:cs="宋体" w:eastAsia="宋体" w:hint="default"/>
        </w:rPr>
        <w:t>403,485.44</w:t>
      </w:r>
      <w:r>
        <w:rPr>
          <w:rFonts w:ascii="宋体" w:hAnsi="宋体" w:cs="宋体" w:eastAsia="宋体" w:hint="default"/>
          <w:spacing w:val="-55"/>
        </w:rPr>
        <w:t> </w:t>
      </w:r>
      <w:r>
        <w:rPr/>
        <w:t>元。</w:t>
      </w:r>
    </w:p>
    <w:p>
      <w:pPr>
        <w:spacing w:line="240" w:lineRule="auto" w:before="12"/>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(3)</w:t>
      </w:r>
      <w:r>
        <w:rPr>
          <w:rFonts w:ascii="宋体" w:hAnsi="宋体" w:cs="宋体" w:eastAsia="宋体" w:hint="default"/>
          <w:spacing w:val="-1"/>
        </w:rPr>
        <w:t> </w:t>
      </w:r>
      <w:r>
        <w:rPr/>
        <w:t>本期实际核销的应收账款情况</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1) </w:t>
      </w:r>
      <w:r>
        <w:rPr/>
        <w:t>本期实际核销应收账款金额</w:t>
      </w:r>
      <w:r>
        <w:rPr>
          <w:spacing w:val="-54"/>
        </w:rPr>
        <w:t> </w:t>
      </w:r>
      <w:r>
        <w:rPr>
          <w:rFonts w:ascii="宋体" w:hAnsi="宋体" w:cs="宋体" w:eastAsia="宋体" w:hint="default"/>
        </w:rPr>
        <w:t>4,508,752.64</w:t>
      </w:r>
      <w:r>
        <w:rPr>
          <w:rFonts w:ascii="宋体" w:hAnsi="宋体" w:cs="宋体" w:eastAsia="宋体" w:hint="default"/>
          <w:spacing w:val="-53"/>
        </w:rPr>
        <w:t> </w:t>
      </w:r>
      <w:r>
        <w:rPr/>
        <w:t>元。</w:t>
      </w:r>
    </w:p>
    <w:p>
      <w:pPr>
        <w:spacing w:line="240" w:lineRule="auto" w:before="11"/>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2)</w:t>
      </w:r>
      <w:r>
        <w:rPr>
          <w:rFonts w:ascii="宋体" w:hAnsi="宋体" w:cs="宋体" w:eastAsia="宋体" w:hint="default"/>
          <w:spacing w:val="-1"/>
        </w:rPr>
        <w:t> </w:t>
      </w:r>
      <w:r>
        <w:rPr/>
        <w:t>本期重要的应收账款核销情况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97"/>
        <w:gridCol w:w="1040"/>
        <w:gridCol w:w="1339"/>
        <w:gridCol w:w="1423"/>
        <w:gridCol w:w="1497"/>
        <w:gridCol w:w="1374"/>
      </w:tblGrid>
      <w:tr>
        <w:trPr>
          <w:trHeight w:val="714"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履行的</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321" w:right="55"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197"/>
        <w:gridCol w:w="1040"/>
        <w:gridCol w:w="1339"/>
        <w:gridCol w:w="1423"/>
        <w:gridCol w:w="1497"/>
        <w:gridCol w:w="1374"/>
      </w:tblGrid>
      <w:tr>
        <w:trPr>
          <w:trHeight w:val="362" w:hRule="exact"/>
        </w:trPr>
        <w:tc>
          <w:tcPr>
            <w:tcW w:w="3197" w:type="dxa"/>
            <w:tcBorders>
              <w:top w:val="single" w:sz="4" w:space="0" w:color="000000"/>
              <w:left w:val="nil" w:sz="6" w:space="0" w:color="auto"/>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核销程序</w:t>
            </w:r>
          </w:p>
        </w:tc>
        <w:tc>
          <w:tcPr>
            <w:tcW w:w="137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东莞厚街鸿亮机电设备有限公司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 w:right="0"/>
              <w:jc w:val="center"/>
              <w:rPr>
                <w:rFonts w:ascii="宋体" w:hAnsi="宋体" w:cs="宋体" w:eastAsia="宋体" w:hint="default"/>
                <w:sz w:val="18"/>
                <w:szCs w:val="18"/>
              </w:rPr>
            </w:pPr>
            <w:r>
              <w:rPr>
                <w:rFonts w:ascii="宋体"/>
                <w:sz w:val="18"/>
              </w:rPr>
              <w:t>1,027,500.00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3"/>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宋体" w:hAnsi="宋体" w:cs="宋体" w:eastAsia="宋体" w:hint="default"/>
                <w:sz w:val="18"/>
                <w:szCs w:val="18"/>
              </w:rPr>
            </w:pPr>
            <w:r>
              <w:rPr>
                <w:rFonts w:ascii="宋体" w:hAnsi="宋体" w:cs="宋体" w:eastAsia="宋体" w:hint="default"/>
                <w:sz w:val="18"/>
                <w:szCs w:val="18"/>
              </w:rPr>
              <w:t>经内部批准</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宁波鑫能国际贸易有限公司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 w:right="0"/>
              <w:jc w:val="center"/>
              <w:rPr>
                <w:rFonts w:ascii="宋体" w:hAnsi="宋体" w:cs="宋体" w:eastAsia="宋体" w:hint="default"/>
                <w:sz w:val="18"/>
                <w:szCs w:val="18"/>
              </w:rPr>
            </w:pPr>
            <w:r>
              <w:rPr>
                <w:rFonts w:ascii="宋体"/>
                <w:sz w:val="18"/>
              </w:rPr>
              <w:t>1,111,530.18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3"/>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经内部批准</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EDP INTERNATIONAL S.R.L</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9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 w:right="0"/>
              <w:jc w:val="center"/>
              <w:rPr>
                <w:rFonts w:ascii="宋体" w:hAnsi="宋体" w:cs="宋体" w:eastAsia="宋体" w:hint="default"/>
                <w:sz w:val="18"/>
                <w:szCs w:val="18"/>
              </w:rPr>
            </w:pPr>
            <w:r>
              <w:rPr>
                <w:rFonts w:ascii="宋体"/>
                <w:sz w:val="18"/>
              </w:rPr>
              <w:t>1,420,030.92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3"/>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经内部批准</w:t>
            </w:r>
          </w:p>
        </w:tc>
        <w:tc>
          <w:tcPr>
            <w:tcW w:w="1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 w:right="0"/>
              <w:jc w:val="center"/>
              <w:rPr>
                <w:rFonts w:ascii="宋体" w:hAnsi="宋体" w:cs="宋体" w:eastAsia="宋体" w:hint="default"/>
                <w:sz w:val="18"/>
                <w:szCs w:val="18"/>
              </w:rPr>
            </w:pPr>
            <w:r>
              <w:rPr>
                <w:rFonts w:ascii="宋体"/>
                <w:sz w:val="18"/>
              </w:rPr>
              <w:t>3,559,061.10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3)</w:t>
      </w:r>
      <w:r>
        <w:rPr>
          <w:rFonts w:ascii="宋体" w:hAnsi="宋体" w:cs="宋体" w:eastAsia="宋体" w:hint="default"/>
          <w:spacing w:val="-1"/>
        </w:rPr>
        <w:t> </w:t>
      </w:r>
      <w:r>
        <w:rPr/>
        <w:t>应收账款核销说明</w:t>
      </w:r>
    </w:p>
    <w:p>
      <w:pPr>
        <w:spacing w:line="240" w:lineRule="auto" w:before="10"/>
        <w:rPr>
          <w:rFonts w:ascii="宋体" w:hAnsi="宋体" w:cs="宋体" w:eastAsia="宋体" w:hint="default"/>
          <w:sz w:val="17"/>
          <w:szCs w:val="17"/>
        </w:rPr>
      </w:pPr>
    </w:p>
    <w:p>
      <w:pPr>
        <w:pStyle w:val="BodyText"/>
        <w:spacing w:line="410" w:lineRule="auto"/>
        <w:ind w:left="233" w:right="1012" w:firstLine="420"/>
        <w:jc w:val="left"/>
      </w:pPr>
      <w:r>
        <w:rPr/>
        <w:t>公司应收东莞厚街鸿亮机电设备有限公司等非关联方单位货款合计</w:t>
      </w:r>
      <w:r>
        <w:rPr>
          <w:spacing w:val="-51"/>
        </w:rPr>
        <w:t> </w:t>
      </w:r>
      <w:r>
        <w:rPr>
          <w:rFonts w:ascii="宋体" w:hAnsi="宋体" w:cs="宋体" w:eastAsia="宋体" w:hint="default"/>
        </w:rPr>
        <w:t>4,508,752.64</w:t>
      </w:r>
      <w:r>
        <w:rPr>
          <w:rFonts w:ascii="宋体" w:hAnsi="宋体" w:cs="宋体" w:eastAsia="宋体" w:hint="default"/>
          <w:spacing w:val="-51"/>
        </w:rPr>
        <w:t> </w:t>
      </w:r>
      <w:r>
        <w:rPr>
          <w:spacing w:val="-3"/>
        </w:rPr>
        <w:t>元，预计难以收回，</w:t>
      </w:r>
      <w:r>
        <w:rPr/>
        <w:t> 于本期核销。</w:t>
      </w:r>
    </w:p>
    <w:p>
      <w:pPr>
        <w:pStyle w:val="BodyText"/>
        <w:spacing w:line="240" w:lineRule="auto" w:before="83"/>
        <w:ind w:left="653" w:right="1029"/>
        <w:jc w:val="left"/>
      </w:pPr>
      <w:r>
        <w:rPr>
          <w:rFonts w:ascii="宋体" w:hAnsi="宋体" w:cs="宋体" w:eastAsia="宋体" w:hint="default"/>
        </w:rPr>
        <w:t>(4)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889"/>
        <w:gridCol w:w="1994"/>
        <w:gridCol w:w="1995"/>
        <w:gridCol w:w="1992"/>
      </w:tblGrid>
      <w:tr>
        <w:trPr>
          <w:trHeight w:val="755"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585" w:right="363" w:hanging="225"/>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114,009,924.97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5.41</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570,049.62</w:t>
            </w:r>
          </w:p>
        </w:tc>
      </w:tr>
      <w:tr>
        <w:trPr>
          <w:trHeight w:val="558"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77,179,659.42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3.67</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385,898.30</w:t>
            </w:r>
          </w:p>
        </w:tc>
      </w:tr>
      <w:tr>
        <w:trPr>
          <w:trHeight w:val="558"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68,761,930.30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3.27</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343,809.65</w:t>
            </w:r>
          </w:p>
        </w:tc>
      </w:tr>
      <w:tr>
        <w:trPr>
          <w:trHeight w:val="558"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63,397,547.79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3.01</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3,169,877.39</w:t>
            </w:r>
          </w:p>
        </w:tc>
      </w:tr>
      <w:tr>
        <w:trPr>
          <w:trHeight w:val="558"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53,882,889.18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2.56</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269,414.45</w:t>
            </w:r>
          </w:p>
        </w:tc>
      </w:tr>
      <w:tr>
        <w:trPr>
          <w:trHeight w:val="558" w:hRule="exact"/>
        </w:trPr>
        <w:tc>
          <w:tcPr>
            <w:tcW w:w="3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377,231,951.66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17.92</w:t>
            </w:r>
          </w:p>
        </w:tc>
        <w:tc>
          <w:tcPr>
            <w:tcW w:w="19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4,739,049.41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029"/>
        <w:jc w:val="left"/>
      </w:pPr>
      <w:r>
        <w:rPr>
          <w:rFonts w:ascii="宋体" w:hAnsi="宋体" w:cs="宋体" w:eastAsia="宋体" w:hint="default"/>
        </w:rPr>
        <w:t>4.</w:t>
      </w:r>
      <w:r>
        <w:rPr>
          <w:rFonts w:ascii="宋体" w:hAnsi="宋体" w:cs="宋体" w:eastAsia="宋体" w:hint="default"/>
          <w:spacing w:val="1"/>
        </w:rPr>
        <w:t> </w:t>
      </w:r>
      <w:r>
        <w:rPr/>
        <w:t>预付款项</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(1)</w:t>
      </w:r>
      <w:r>
        <w:rPr>
          <w:rFonts w:ascii="宋体" w:hAnsi="宋体" w:cs="宋体" w:eastAsia="宋体" w:hint="default"/>
          <w:spacing w:val="-1"/>
        </w:rPr>
        <w:t> </w:t>
      </w:r>
      <w:r>
        <w:rPr/>
        <w:t>账龄分析</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95"/>
        <w:gridCol w:w="1681"/>
        <w:gridCol w:w="808"/>
        <w:gridCol w:w="472"/>
        <w:gridCol w:w="1555"/>
        <w:gridCol w:w="1486"/>
        <w:gridCol w:w="746"/>
        <w:gridCol w:w="500"/>
        <w:gridCol w:w="1528"/>
      </w:tblGrid>
      <w:tr>
        <w:trPr>
          <w:trHeight w:val="402" w:hRule="exact"/>
        </w:trPr>
        <w:tc>
          <w:tcPr>
            <w:tcW w:w="10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5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5" w:hRule="exact"/>
        </w:trPr>
        <w:tc>
          <w:tcPr>
            <w:tcW w:w="1095" w:type="dxa"/>
            <w:vMerge/>
            <w:tcBorders>
              <w:left w:val="nil" w:sz="6" w:space="0" w:color="auto"/>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63" w:right="21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50" w:right="51"/>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33" w:right="186"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64" w:right="65"/>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130,824,750.89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100.00</w:t>
            </w:r>
          </w:p>
        </w:tc>
        <w:tc>
          <w:tcPr>
            <w:tcW w:w="47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130,824,750.89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80,735,693.80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100.00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80,735,693.80</w:t>
            </w:r>
          </w:p>
        </w:tc>
      </w:tr>
      <w:tr>
        <w:trPr>
          <w:trHeight w:val="55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130,824,750.89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100.00</w:t>
            </w:r>
          </w:p>
        </w:tc>
        <w:tc>
          <w:tcPr>
            <w:tcW w:w="472"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130,824,750.89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80,735,693.80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100.00</w:t>
            </w:r>
          </w:p>
        </w:tc>
        <w:tc>
          <w:tcPr>
            <w:tcW w:w="500"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5"/>
              <w:jc w:val="right"/>
              <w:rPr>
                <w:rFonts w:ascii="宋体" w:hAnsi="宋体" w:cs="宋体" w:eastAsia="宋体" w:hint="default"/>
                <w:sz w:val="18"/>
                <w:szCs w:val="18"/>
              </w:rPr>
            </w:pPr>
            <w:r>
              <w:rPr>
                <w:rFonts w:ascii="宋体"/>
                <w:sz w:val="18"/>
              </w:rPr>
              <w:t>80,735,693.80</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 </w:t>
      </w:r>
      <w:r>
        <w:rPr/>
        <w:t>预付款项金额前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301"/>
        <w:gridCol w:w="2332"/>
        <w:gridCol w:w="2237"/>
      </w:tblGrid>
      <w:tr>
        <w:trPr>
          <w:trHeight w:val="754" w:hRule="exact"/>
        </w:trPr>
        <w:tc>
          <w:tcPr>
            <w:tcW w:w="5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706" w:right="488" w:hanging="226"/>
              <w:jc w:val="left"/>
              <w:rPr>
                <w:rFonts w:ascii="宋体" w:hAnsi="宋体" w:cs="宋体" w:eastAsia="宋体" w:hint="default"/>
                <w:sz w:val="18"/>
                <w:szCs w:val="18"/>
              </w:rPr>
            </w:pPr>
            <w:r>
              <w:rPr>
                <w:rFonts w:ascii="宋体" w:hAnsi="宋体" w:cs="宋体" w:eastAsia="宋体" w:hint="default"/>
                <w:sz w:val="18"/>
                <w:szCs w:val="18"/>
              </w:rPr>
              <w:t>占预付款项余额 的比例</w:t>
            </w:r>
            <w:r>
              <w:rPr>
                <w:rFonts w:ascii="宋体" w:hAnsi="宋体" w:cs="宋体" w:eastAsia="宋体" w:hint="default"/>
                <w:sz w:val="18"/>
                <w:szCs w:val="18"/>
              </w:rPr>
              <w:t>(%)</w:t>
            </w:r>
          </w:p>
        </w:tc>
      </w:tr>
    </w:tbl>
    <w:p>
      <w:pPr>
        <w:spacing w:after="0" w:line="360"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301"/>
        <w:gridCol w:w="2332"/>
        <w:gridCol w:w="2237"/>
      </w:tblGrid>
      <w:tr>
        <w:trPr>
          <w:trHeight w:val="558" w:hRule="exact"/>
        </w:trPr>
        <w:tc>
          <w:tcPr>
            <w:tcW w:w="5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徐佳亮</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18,900,000.00</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14.45</w:t>
            </w:r>
          </w:p>
        </w:tc>
      </w:tr>
      <w:tr>
        <w:trPr>
          <w:trHeight w:val="558" w:hRule="exact"/>
        </w:trPr>
        <w:tc>
          <w:tcPr>
            <w:tcW w:w="5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浙江亿钢新材料有限公司</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10,915,927.72</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8.34</w:t>
            </w:r>
          </w:p>
        </w:tc>
      </w:tr>
      <w:tr>
        <w:trPr>
          <w:trHeight w:val="558" w:hRule="exact"/>
        </w:trPr>
        <w:tc>
          <w:tcPr>
            <w:tcW w:w="5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上海电气集团上海电机厂有限公司</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9,619,926.00</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7.35</w:t>
            </w:r>
          </w:p>
        </w:tc>
      </w:tr>
      <w:tr>
        <w:trPr>
          <w:trHeight w:val="558" w:hRule="exact"/>
        </w:trPr>
        <w:tc>
          <w:tcPr>
            <w:tcW w:w="5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徐晓峰</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8,100,000.00</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6.19</w:t>
            </w:r>
          </w:p>
        </w:tc>
      </w:tr>
      <w:tr>
        <w:trPr>
          <w:trHeight w:val="558" w:hRule="exact"/>
        </w:trPr>
        <w:tc>
          <w:tcPr>
            <w:tcW w:w="5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温岭市非普电气有限公司</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5,398,338.30</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4.13</w:t>
            </w:r>
          </w:p>
        </w:tc>
      </w:tr>
      <w:tr>
        <w:trPr>
          <w:trHeight w:val="558" w:hRule="exact"/>
        </w:trPr>
        <w:tc>
          <w:tcPr>
            <w:tcW w:w="5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52,934,192.02</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40.46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029"/>
        <w:jc w:val="left"/>
      </w:pPr>
      <w:r>
        <w:rPr>
          <w:rFonts w:ascii="宋体" w:hAnsi="宋体" w:cs="宋体" w:eastAsia="宋体" w:hint="default"/>
        </w:rPr>
        <w:t>5.</w:t>
      </w:r>
      <w:r>
        <w:rPr>
          <w:rFonts w:ascii="宋体" w:hAnsi="宋体" w:cs="宋体" w:eastAsia="宋体" w:hint="default"/>
          <w:spacing w:val="-1"/>
        </w:rPr>
        <w:t> </w:t>
      </w:r>
      <w:r>
        <w:rPr/>
        <w:t>其他应收款</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8"/>
        <w:gridCol w:w="1802"/>
        <w:gridCol w:w="1147"/>
        <w:gridCol w:w="1638"/>
        <w:gridCol w:w="1312"/>
        <w:gridCol w:w="1703"/>
      </w:tblGrid>
      <w:tr>
        <w:trPr>
          <w:trHeight w:val="402" w:hRule="exact"/>
        </w:trPr>
        <w:tc>
          <w:tcPr>
            <w:tcW w:w="2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60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68" w:type="dxa"/>
            <w:vMerge/>
            <w:tcBorders>
              <w:left w:val="nil" w:sz="6" w:space="0" w:color="auto"/>
              <w:right w:val="single" w:sz="4" w:space="0" w:color="000000"/>
            </w:tcBorders>
          </w:tcPr>
          <w:p>
            <w:pPr/>
          </w:p>
        </w:tc>
        <w:tc>
          <w:tcPr>
            <w:tcW w:w="2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3"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8"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3" w:type="dxa"/>
            <w:vMerge/>
            <w:tcBorders>
              <w:left w:val="single" w:sz="4" w:space="0" w:color="000000"/>
              <w:bottom w:val="single" w:sz="4" w:space="0" w:color="000000"/>
              <w:right w:val="nil" w:sz="6" w:space="0" w:color="auto"/>
            </w:tcBorders>
          </w:tcPr>
          <w:p>
            <w:pP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80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153,117,207.87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94.30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9,228,132.99</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6.03</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143,889,074.88</w:t>
            </w: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9,262,451.06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5.70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5,787,833.92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62.49</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3,474,617.14</w:t>
            </w:r>
          </w:p>
        </w:tc>
      </w:tr>
      <w:tr>
        <w:trPr>
          <w:trHeight w:val="46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162,379,658.93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15,015,966.91</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9.25</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147,363,692.02</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8"/>
        <w:gridCol w:w="1800"/>
        <w:gridCol w:w="1148"/>
        <w:gridCol w:w="1638"/>
        <w:gridCol w:w="1312"/>
        <w:gridCol w:w="1703"/>
      </w:tblGrid>
      <w:tr>
        <w:trPr>
          <w:trHeight w:val="402" w:hRule="exact"/>
        </w:trPr>
        <w:tc>
          <w:tcPr>
            <w:tcW w:w="2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60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8" w:type="dxa"/>
            <w:vMerge/>
            <w:tcBorders>
              <w:left w:val="nil" w:sz="6" w:space="0" w:color="auto"/>
              <w:right w:val="single" w:sz="4" w:space="0" w:color="000000"/>
            </w:tcBorders>
          </w:tcPr>
          <w:p>
            <w:pPr/>
          </w:p>
        </w:tc>
        <w:tc>
          <w:tcPr>
            <w:tcW w:w="2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3"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8"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3" w:type="dxa"/>
            <w:vMerge/>
            <w:tcBorders>
              <w:left w:val="single" w:sz="4" w:space="0" w:color="000000"/>
              <w:bottom w:val="single" w:sz="4" w:space="0" w:color="000000"/>
              <w:right w:val="nil" w:sz="6" w:space="0" w:color="auto"/>
            </w:tcBorders>
          </w:tcPr>
          <w:p>
            <w:pP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11,279,801.36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13.70</w:t>
            </w:r>
          </w:p>
        </w:tc>
        <w:tc>
          <w:tcPr>
            <w:tcW w:w="1638"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11,279,801.36</w:t>
            </w: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66,599,954.78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80.88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7,959,710.65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11.95</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
              <w:jc w:val="right"/>
              <w:rPr>
                <w:rFonts w:ascii="宋体" w:hAnsi="宋体" w:cs="宋体" w:eastAsia="宋体" w:hint="default"/>
                <w:sz w:val="18"/>
                <w:szCs w:val="18"/>
              </w:rPr>
            </w:pPr>
            <w:r>
              <w:rPr>
                <w:rFonts w:ascii="宋体"/>
                <w:sz w:val="18"/>
              </w:rPr>
              <w:t>58,640,244.13</w:t>
            </w:r>
          </w:p>
        </w:tc>
      </w:tr>
      <w:tr>
        <w:trPr>
          <w:trHeight w:val="71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60"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4,465,110.00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5.42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4,465,110.00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100.00</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82,344,866.14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12,424,820.65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15.09</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4"/>
              <w:jc w:val="right"/>
              <w:rPr>
                <w:rFonts w:ascii="宋体" w:hAnsi="宋体" w:cs="宋体" w:eastAsia="宋体" w:hint="default"/>
                <w:sz w:val="18"/>
                <w:szCs w:val="18"/>
              </w:rPr>
            </w:pPr>
            <w:r>
              <w:rPr>
                <w:rFonts w:ascii="宋体"/>
                <w:sz w:val="18"/>
              </w:rPr>
              <w:t>69,920,045.49</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654" w:right="1029"/>
        <w:jc w:val="left"/>
      </w:pPr>
      <w:r>
        <w:rPr>
          <w:rFonts w:ascii="宋体" w:hAnsi="宋体" w:cs="宋体" w:eastAsia="宋体" w:hint="default"/>
        </w:rPr>
        <w:t>3)</w:t>
      </w:r>
      <w:r>
        <w:rPr>
          <w:rFonts w:ascii="宋体" w:hAnsi="宋体" w:cs="宋体" w:eastAsia="宋体" w:hint="default"/>
          <w:spacing w:val="-1"/>
        </w:rPr>
        <w:t> </w:t>
      </w:r>
      <w:r>
        <w:rPr/>
        <w:t>组合中，采用账龄分析法计提坏账准备的其他应收款</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70"/>
        <w:gridCol w:w="2621"/>
        <w:gridCol w:w="2620"/>
        <w:gridCol w:w="2359"/>
      </w:tblGrid>
      <w:tr>
        <w:trPr>
          <w:trHeight w:val="402" w:hRule="exact"/>
        </w:trPr>
        <w:tc>
          <w:tcPr>
            <w:tcW w:w="2270"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760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8"/>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70" w:type="dxa"/>
            <w:vMerge/>
            <w:tcBorders>
              <w:left w:val="nil" w:sz="6" w:space="0" w:color="auto"/>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130,637,436.33</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2,405,825.60</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1.84</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12,333,594.41</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1,233,359.43</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10.00</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4,755,534.60</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1,424,855.43</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29.96</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2,645,469.57</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1,758,148.99</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66.46</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2,055,945.41</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1,716,715.99</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83.50</w:t>
            </w:r>
          </w:p>
        </w:tc>
      </w:tr>
      <w:tr>
        <w:trPr>
          <w:trHeight w:val="558"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689,227.55</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689,227.55</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100.00</w:t>
            </w:r>
          </w:p>
        </w:tc>
      </w:tr>
      <w:tr>
        <w:trPr>
          <w:trHeight w:val="559"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153,117,207.87</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9,228,132.99</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6.03</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line="240" w:lineRule="auto" w:before="9"/>
        <w:rPr>
          <w:rFonts w:ascii="宋体" w:hAnsi="宋体" w:cs="宋体" w:eastAsia="宋体" w:hint="default"/>
          <w:sz w:val="17"/>
          <w:szCs w:val="17"/>
        </w:rPr>
      </w:pPr>
    </w:p>
    <w:p>
      <w:pPr>
        <w:pStyle w:val="BodyText"/>
        <w:spacing w:line="410" w:lineRule="auto"/>
        <w:ind w:left="233" w:right="1129" w:firstLine="420"/>
        <w:jc w:val="both"/>
      </w:pPr>
      <w:r>
        <w:rPr/>
        <w:t>本期计提坏账准备金额</w:t>
      </w:r>
      <w:r>
        <w:rPr>
          <w:spacing w:val="-74"/>
        </w:rPr>
        <w:t> </w:t>
      </w:r>
      <w:r>
        <w:rPr>
          <w:rFonts w:ascii="宋体" w:hAnsi="宋体" w:cs="宋体" w:eastAsia="宋体" w:hint="default"/>
        </w:rPr>
        <w:t>2,328,765.84</w:t>
      </w:r>
      <w:r>
        <w:rPr>
          <w:rFonts w:ascii="宋体" w:hAnsi="宋体" w:cs="宋体" w:eastAsia="宋体" w:hint="default"/>
          <w:spacing w:val="-74"/>
        </w:rPr>
        <w:t> </w:t>
      </w:r>
      <w:r>
        <w:rPr>
          <w:spacing w:val="-5"/>
        </w:rPr>
        <w:t>元，本期因非同一控制下企业合并转入坏账准备金额</w:t>
      </w:r>
      <w:r>
        <w:rPr>
          <w:spacing w:val="-74"/>
        </w:rPr>
        <w:t> </w:t>
      </w:r>
      <w:r>
        <w:rPr>
          <w:rFonts w:ascii="宋体" w:hAnsi="宋体" w:cs="宋体" w:eastAsia="宋体" w:hint="default"/>
        </w:rPr>
        <w:t>265,398.04 </w:t>
      </w:r>
      <w:r>
        <w:rPr/>
        <w:t>元，因转让对利普诺持之水泵系统</w:t>
      </w:r>
      <w:r>
        <w:rPr>
          <w:rFonts w:ascii="宋体" w:hAnsi="宋体" w:cs="宋体" w:eastAsia="宋体" w:hint="default"/>
        </w:rPr>
        <w:t>(</w:t>
      </w:r>
      <w:r>
        <w:rPr/>
        <w:t>上海</w:t>
      </w:r>
      <w:r>
        <w:rPr>
          <w:rFonts w:ascii="宋体" w:hAnsi="宋体" w:cs="宋体" w:eastAsia="宋体" w:hint="default"/>
        </w:rPr>
        <w:t>)</w:t>
      </w:r>
      <w:r>
        <w:rPr/>
        <w:t>有限公司</w:t>
      </w:r>
      <w:r>
        <w:rPr>
          <w:rFonts w:ascii="宋体" w:hAnsi="宋体" w:cs="宋体" w:eastAsia="宋体" w:hint="default"/>
        </w:rPr>
        <w:t>(</w:t>
      </w:r>
      <w:r>
        <w:rPr/>
        <w:t>以下简称利普诺</w:t>
      </w:r>
      <w:r>
        <w:rPr>
          <w:rFonts w:ascii="宋体" w:hAnsi="宋体" w:cs="宋体" w:eastAsia="宋体" w:hint="default"/>
        </w:rPr>
        <w:t>)</w:t>
      </w:r>
      <w:r>
        <w:rPr/>
        <w:t>和</w:t>
      </w:r>
      <w:r>
        <w:rPr>
          <w:spacing w:val="-55"/>
        </w:rPr>
        <w:t> </w:t>
      </w:r>
      <w:r>
        <w:rPr>
          <w:rFonts w:ascii="宋体" w:hAnsi="宋体" w:cs="宋体" w:eastAsia="宋体" w:hint="default"/>
        </w:rPr>
        <w:t>LEO</w:t>
      </w:r>
      <w:r>
        <w:rPr>
          <w:rFonts w:ascii="宋体" w:hAnsi="宋体" w:cs="宋体" w:eastAsia="宋体" w:hint="default"/>
          <w:spacing w:val="-40"/>
        </w:rPr>
        <w:t> </w:t>
      </w:r>
      <w:r>
        <w:rPr>
          <w:rFonts w:ascii="宋体" w:hAnsi="宋体" w:cs="宋体" w:eastAsia="宋体" w:hint="default"/>
        </w:rPr>
        <w:t>ITALY</w:t>
      </w:r>
      <w:r>
        <w:rPr>
          <w:rFonts w:ascii="宋体" w:hAnsi="宋体" w:cs="宋体" w:eastAsia="宋体" w:hint="default"/>
          <w:spacing w:val="-40"/>
        </w:rPr>
        <w:t> </w:t>
      </w:r>
      <w:r>
        <w:rPr>
          <w:rFonts w:ascii="宋体" w:hAnsi="宋体" w:cs="宋体" w:eastAsia="宋体" w:hint="default"/>
        </w:rPr>
        <w:t>S.R.L.</w:t>
      </w:r>
      <w:r>
        <w:rPr/>
        <w:t>（以下简称利欧 意大利）股权投资相应转出坏账准备金额</w:t>
      </w:r>
      <w:r>
        <w:rPr>
          <w:spacing w:val="-52"/>
        </w:rPr>
        <w:t> </w:t>
      </w:r>
      <w:r>
        <w:rPr>
          <w:rFonts w:ascii="宋体" w:hAnsi="宋体" w:cs="宋体" w:eastAsia="宋体" w:hint="default"/>
        </w:rPr>
        <w:t>3,017.62</w:t>
      </w:r>
      <w:r>
        <w:rPr>
          <w:rFonts w:ascii="宋体" w:hAnsi="宋体" w:cs="宋体" w:eastAsia="宋体" w:hint="default"/>
          <w:spacing w:val="-53"/>
        </w:rPr>
        <w:t> </w:t>
      </w:r>
      <w:r>
        <w:rPr/>
        <w:t>元。</w:t>
      </w:r>
    </w:p>
    <w:p>
      <w:pPr>
        <w:pStyle w:val="BodyText"/>
        <w:spacing w:line="240" w:lineRule="auto" w:before="85"/>
        <w:ind w:left="654" w:right="1029"/>
        <w:jc w:val="left"/>
      </w:pPr>
      <w:r>
        <w:rPr>
          <w:rFonts w:ascii="宋体" w:hAnsi="宋体" w:cs="宋体" w:eastAsia="宋体" w:hint="default"/>
        </w:rPr>
        <w:t>(3)</w:t>
      </w:r>
      <w:r>
        <w:rPr>
          <w:rFonts w:ascii="宋体" w:hAnsi="宋体" w:cs="宋体" w:eastAsia="宋体" w:hint="default"/>
          <w:spacing w:val="-1"/>
        </w:rPr>
        <w:t> </w:t>
      </w:r>
      <w:r>
        <w:rPr/>
        <w:t>本期无实际核销的其他应收款情况。</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(4)</w:t>
      </w:r>
      <w:r>
        <w:rPr>
          <w:rFonts w:ascii="宋体" w:hAnsi="宋体" w:cs="宋体" w:eastAsia="宋体" w:hint="default"/>
          <w:spacing w:val="-1"/>
        </w:rPr>
        <w:t> </w:t>
      </w:r>
      <w:r>
        <w:rPr/>
        <w:t>其他应收款款项性质分类情况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217"/>
        <w:gridCol w:w="2458"/>
        <w:gridCol w:w="2195"/>
      </w:tblGrid>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3,474,617.14</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11,279,801.36</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116,542,427.91</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25,415,766.63</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9,857,045.28</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22,041,420.94</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17,292,281.74</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10,647,185.71</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12,629,625.44</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12,428,801.15</w:t>
            </w:r>
          </w:p>
        </w:tc>
      </w:tr>
      <w:tr>
        <w:trPr>
          <w:trHeight w:val="558"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2,583,661.42</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531,890.35</w:t>
            </w:r>
          </w:p>
        </w:tc>
      </w:tr>
      <w:tr>
        <w:trPr>
          <w:trHeight w:val="560" w:hRule="exact"/>
        </w:trPr>
        <w:tc>
          <w:tcPr>
            <w:tcW w:w="5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162,379,658.93</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82,344,866.14</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(5)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52"/>
        <w:gridCol w:w="1274"/>
        <w:gridCol w:w="1649"/>
        <w:gridCol w:w="1010"/>
        <w:gridCol w:w="1109"/>
        <w:gridCol w:w="1574"/>
      </w:tblGrid>
      <w:tr>
        <w:trPr>
          <w:trHeight w:val="674"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98" w:right="98"/>
              <w:jc w:val="left"/>
              <w:rPr>
                <w:rFonts w:ascii="宋体" w:hAnsi="宋体" w:cs="宋体" w:eastAsia="宋体" w:hint="default"/>
                <w:sz w:val="18"/>
                <w:szCs w:val="18"/>
              </w:rPr>
            </w:pPr>
            <w:r>
              <w:rPr>
                <w:rFonts w:ascii="宋体" w:hAnsi="宋体" w:cs="宋体" w:eastAsia="宋体" w:hint="default"/>
                <w:sz w:val="18"/>
                <w:szCs w:val="18"/>
              </w:rPr>
              <w:t>占其他应收 款余额的比</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252"/>
        <w:gridCol w:w="1274"/>
        <w:gridCol w:w="1649"/>
        <w:gridCol w:w="1010"/>
        <w:gridCol w:w="1109"/>
        <w:gridCol w:w="1574"/>
      </w:tblGrid>
      <w:tr>
        <w:trPr>
          <w:trHeight w:val="362" w:hRule="exact"/>
        </w:trPr>
        <w:tc>
          <w:tcPr>
            <w:tcW w:w="3252" w:type="dxa"/>
            <w:tcBorders>
              <w:top w:val="single" w:sz="4" w:space="0" w:color="000000"/>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57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天津奇思科技有限公司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60,450,000.00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37.23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302,250.00</w:t>
            </w: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北京百度网讯科技有限公司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8,817,450.00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5.43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44,087.25</w:t>
            </w: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深圳市世纪凯旋科技有限公司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4,412,500.00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22,062.50</w:t>
            </w: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宇热工业炉</w:t>
            </w:r>
            <w:r>
              <w:rPr>
                <w:rFonts w:ascii="宋体" w:hAnsi="宋体" w:cs="宋体" w:eastAsia="宋体" w:hint="default"/>
                <w:sz w:val="18"/>
                <w:szCs w:val="18"/>
              </w:rPr>
              <w:t>(</w:t>
            </w:r>
            <w:r>
              <w:rPr>
                <w:rFonts w:ascii="宋体" w:hAnsi="宋体" w:cs="宋体" w:eastAsia="宋体" w:hint="default"/>
                <w:sz w:val="18"/>
                <w:szCs w:val="18"/>
              </w:rPr>
              <w:t>苏州</w:t>
            </w:r>
            <w:r>
              <w:rPr>
                <w:rFonts w:ascii="宋体" w:hAnsi="宋体" w:cs="宋体" w:eastAsia="宋体" w:hint="default"/>
                <w:sz w:val="18"/>
                <w:szCs w:val="18"/>
              </w:rPr>
              <w:t>)</w:t>
            </w:r>
            <w:r>
              <w:rPr>
                <w:rFonts w:ascii="宋体" w:hAnsi="宋体" w:cs="宋体" w:eastAsia="宋体" w:hint="default"/>
                <w:sz w:val="18"/>
                <w:szCs w:val="18"/>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设备退货款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3,752,000.00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3,752,000.00</w:t>
            </w: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上海聚效广告有限公司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3,500,000.00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17,500.00</w:t>
            </w:r>
          </w:p>
        </w:tc>
      </w:tr>
      <w:tr>
        <w:trPr>
          <w:trHeight w:val="558" w:hRule="exact"/>
        </w:trPr>
        <w:tc>
          <w:tcPr>
            <w:tcW w:w="3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80,931,950.00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49.85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4,137,899.75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029"/>
        <w:jc w:val="left"/>
      </w:pPr>
      <w:r>
        <w:rPr>
          <w:rFonts w:ascii="宋体" w:hAnsi="宋体" w:cs="宋体" w:eastAsia="宋体" w:hint="default"/>
        </w:rPr>
        <w:t>6.</w:t>
      </w:r>
      <w:r>
        <w:rPr>
          <w:rFonts w:ascii="宋体" w:hAnsi="宋体" w:cs="宋体" w:eastAsia="宋体" w:hint="default"/>
          <w:spacing w:val="1"/>
        </w:rPr>
        <w:t> </w:t>
      </w:r>
      <w:r>
        <w:rPr/>
        <w:t>存货</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331"/>
        <w:gridCol w:w="1315"/>
        <w:gridCol w:w="1134"/>
        <w:gridCol w:w="1168"/>
        <w:gridCol w:w="1240"/>
        <w:gridCol w:w="1134"/>
        <w:gridCol w:w="1190"/>
      </w:tblGrid>
      <w:tr>
        <w:trPr>
          <w:trHeight w:val="558" w:hRule="exact"/>
        </w:trPr>
        <w:tc>
          <w:tcPr>
            <w:tcW w:w="13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8"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5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73"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558" w:hRule="exact"/>
        </w:trPr>
        <w:tc>
          <w:tcPr>
            <w:tcW w:w="1331" w:type="dxa"/>
            <w:vMerge/>
            <w:tcBorders>
              <w:left w:val="nil" w:sz="6" w:space="0" w:color="auto"/>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0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0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2"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3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9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75,131,885.47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1,361,055.21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73,770,830.26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86,804,616.61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1,701,750.47</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85,102,866.14</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8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117,287,805.21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5,470.00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117,282,335.21</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143,275,173.52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5,470.00</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143,269,703.52</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3"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20,031,044.83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531,576.80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19,499,468.03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20,134,100.26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663,904.23</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19,470,196.03</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143,197,384.77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489,818.01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142,707,566.76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191,514,769.45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669,542.55</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190,845,226.90</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5,311,979.17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5,311,979.17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3,569,128.72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3,569,128.72</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3"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2,663,939.52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37,186.35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2,626,753.17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2,973,799.36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35,084.24</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2,938,715.12</w:t>
            </w:r>
          </w:p>
        </w:tc>
      </w:tr>
      <w:tr>
        <w:trPr>
          <w:trHeight w:val="558"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3,049,928.99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4,778.54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3,045,150.45</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3,572,691.27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5,484.95</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3,567,206.32</w:t>
            </w:r>
          </w:p>
        </w:tc>
      </w:tr>
      <w:tr>
        <w:trPr>
          <w:trHeight w:val="559"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366,673,967.96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2,429,884.91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364,244,083.05</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451,844,279.19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3,081,236.44</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448,763,042.75</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存货跌价准备</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785" w:type="dxa"/>
        <w:tblLayout w:type="fixed"/>
        <w:tblCellMar>
          <w:top w:w="0" w:type="dxa"/>
          <w:left w:w="0" w:type="dxa"/>
          <w:bottom w:w="0" w:type="dxa"/>
          <w:right w:w="0" w:type="dxa"/>
        </w:tblCellMar>
        <w:tblLook w:val="01E0"/>
      </w:tblPr>
      <w:tblGrid>
        <w:gridCol w:w="1358"/>
        <w:gridCol w:w="1428"/>
        <w:gridCol w:w="1540"/>
        <w:gridCol w:w="1289"/>
        <w:gridCol w:w="1343"/>
        <w:gridCol w:w="1554"/>
      </w:tblGrid>
      <w:tr>
        <w:trPr>
          <w:trHeight w:val="558" w:hRule="exact"/>
        </w:trPr>
        <w:tc>
          <w:tcPr>
            <w:tcW w:w="13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1358" w:type="dxa"/>
            <w:vMerge/>
            <w:tcBorders>
              <w:left w:val="nil" w:sz="6" w:space="0" w:color="auto"/>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c>
          <w:tcPr>
            <w:tcW w:w="1540"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68" w:right="0"/>
              <w:jc w:val="left"/>
              <w:rPr>
                <w:rFonts w:ascii="宋体" w:hAnsi="宋体" w:cs="宋体" w:eastAsia="宋体" w:hint="default"/>
                <w:sz w:val="18"/>
                <w:szCs w:val="18"/>
              </w:rPr>
            </w:pPr>
            <w:r>
              <w:rPr>
                <w:rFonts w:ascii="宋体" w:hAnsi="宋体" w:cs="宋体" w:eastAsia="宋体" w:hint="default"/>
                <w:sz w:val="18"/>
                <w:szCs w:val="18"/>
              </w:rPr>
              <w:t>转  回</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06" w:right="0"/>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54" w:type="dxa"/>
            <w:vMerge/>
            <w:tcBorders>
              <w:left w:val="single" w:sz="4" w:space="0" w:color="000000"/>
              <w:bottom w:val="single" w:sz="4" w:space="0" w:color="000000"/>
              <w:right w:val="nil" w:sz="6" w:space="0" w:color="auto"/>
            </w:tcBorders>
          </w:tcPr>
          <w:p>
            <w:pP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9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85" w:right="0"/>
              <w:jc w:val="left"/>
              <w:rPr>
                <w:rFonts w:ascii="宋体" w:hAnsi="宋体" w:cs="宋体" w:eastAsia="宋体" w:hint="default"/>
                <w:sz w:val="18"/>
                <w:szCs w:val="18"/>
              </w:rPr>
            </w:pPr>
            <w:r>
              <w:rPr>
                <w:rFonts w:ascii="宋体"/>
                <w:sz w:val="18"/>
              </w:rPr>
              <w:t>1,701,750.47</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77" w:right="0"/>
              <w:jc w:val="left"/>
              <w:rPr>
                <w:rFonts w:ascii="宋体" w:hAnsi="宋体" w:cs="宋体" w:eastAsia="宋体" w:hint="default"/>
                <w:sz w:val="18"/>
                <w:szCs w:val="18"/>
              </w:rPr>
            </w:pPr>
            <w:r>
              <w:rPr>
                <w:rFonts w:ascii="宋体"/>
                <w:sz w:val="18"/>
              </w:rPr>
              <w:t>336,946.97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80" w:right="0"/>
              <w:jc w:val="left"/>
              <w:rPr>
                <w:rFonts w:ascii="宋体" w:hAnsi="宋体" w:cs="宋体" w:eastAsia="宋体" w:hint="default"/>
                <w:sz w:val="18"/>
                <w:szCs w:val="18"/>
              </w:rPr>
            </w:pPr>
            <w:r>
              <w:rPr>
                <w:rFonts w:ascii="宋体"/>
                <w:sz w:val="18"/>
              </w:rPr>
              <w:t>677,642.23</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11" w:right="0"/>
              <w:jc w:val="left"/>
              <w:rPr>
                <w:rFonts w:ascii="宋体" w:hAnsi="宋体" w:cs="宋体" w:eastAsia="宋体" w:hint="default"/>
                <w:sz w:val="18"/>
                <w:szCs w:val="18"/>
              </w:rPr>
            </w:pPr>
            <w:r>
              <w:rPr>
                <w:rFonts w:ascii="宋体"/>
                <w:sz w:val="18"/>
              </w:rPr>
              <w:t>1,361,055.21</w:t>
            </w:r>
          </w:p>
        </w:tc>
      </w:tr>
    </w:tbl>
    <w:p>
      <w:pPr>
        <w:spacing w:after="0" w:line="240"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705" w:type="dxa"/>
        <w:tblLayout w:type="fixed"/>
        <w:tblCellMar>
          <w:top w:w="0" w:type="dxa"/>
          <w:left w:w="0" w:type="dxa"/>
          <w:bottom w:w="0" w:type="dxa"/>
          <w:right w:w="0" w:type="dxa"/>
        </w:tblCellMar>
        <w:tblLook w:val="01E0"/>
      </w:tblPr>
      <w:tblGrid>
        <w:gridCol w:w="1358"/>
        <w:gridCol w:w="1428"/>
        <w:gridCol w:w="1540"/>
        <w:gridCol w:w="1289"/>
        <w:gridCol w:w="1343"/>
        <w:gridCol w:w="1554"/>
      </w:tblGrid>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9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5,470.00</w:t>
            </w:r>
          </w:p>
        </w:tc>
        <w:tc>
          <w:tcPr>
            <w:tcW w:w="154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5"/>
              <w:jc w:val="right"/>
              <w:rPr>
                <w:rFonts w:ascii="宋体" w:hAnsi="宋体" w:cs="宋体" w:eastAsia="宋体" w:hint="default"/>
                <w:sz w:val="18"/>
                <w:szCs w:val="18"/>
              </w:rPr>
            </w:pPr>
            <w:r>
              <w:rPr>
                <w:rFonts w:ascii="宋体"/>
                <w:sz w:val="18"/>
              </w:rPr>
              <w:t>5,470.00</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90"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663,904.23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276,425.24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1"/>
              <w:jc w:val="right"/>
              <w:rPr>
                <w:rFonts w:ascii="宋体" w:hAnsi="宋体" w:cs="宋体" w:eastAsia="宋体" w:hint="default"/>
                <w:sz w:val="18"/>
                <w:szCs w:val="18"/>
              </w:rPr>
            </w:pPr>
            <w:r>
              <w:rPr>
                <w:rFonts w:ascii="宋体"/>
                <w:sz w:val="18"/>
              </w:rPr>
              <w:t>408,752.67</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5"/>
              <w:jc w:val="right"/>
              <w:rPr>
                <w:rFonts w:ascii="宋体" w:hAnsi="宋体" w:cs="宋体" w:eastAsia="宋体" w:hint="default"/>
                <w:sz w:val="18"/>
                <w:szCs w:val="18"/>
              </w:rPr>
            </w:pPr>
            <w:r>
              <w:rPr>
                <w:rFonts w:ascii="宋体"/>
                <w:sz w:val="18"/>
              </w:rPr>
              <w:t>531,576.80</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7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669,542.55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211,082.04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1"/>
              <w:jc w:val="right"/>
              <w:rPr>
                <w:rFonts w:ascii="宋体" w:hAnsi="宋体" w:cs="宋体" w:eastAsia="宋体" w:hint="default"/>
                <w:sz w:val="18"/>
                <w:szCs w:val="18"/>
              </w:rPr>
            </w:pPr>
            <w:r>
              <w:rPr>
                <w:rFonts w:ascii="宋体"/>
                <w:sz w:val="18"/>
              </w:rPr>
              <w:t>390,806.58</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5"/>
              <w:jc w:val="right"/>
              <w:rPr>
                <w:rFonts w:ascii="宋体" w:hAnsi="宋体" w:cs="宋体" w:eastAsia="宋体" w:hint="default"/>
                <w:sz w:val="18"/>
                <w:szCs w:val="18"/>
              </w:rPr>
            </w:pPr>
            <w:r>
              <w:rPr>
                <w:rFonts w:ascii="宋体"/>
                <w:sz w:val="18"/>
              </w:rPr>
              <w:t>489,818.01</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79"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35,084.24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24,535.54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1"/>
              <w:jc w:val="right"/>
              <w:rPr>
                <w:rFonts w:ascii="宋体" w:hAnsi="宋体" w:cs="宋体" w:eastAsia="宋体" w:hint="default"/>
                <w:sz w:val="18"/>
                <w:szCs w:val="18"/>
              </w:rPr>
            </w:pPr>
            <w:r>
              <w:rPr>
                <w:rFonts w:ascii="宋体"/>
                <w:sz w:val="18"/>
              </w:rPr>
              <w:t>22,433.43</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5"/>
              <w:jc w:val="right"/>
              <w:rPr>
                <w:rFonts w:ascii="宋体" w:hAnsi="宋体" w:cs="宋体" w:eastAsia="宋体" w:hint="default"/>
                <w:sz w:val="18"/>
                <w:szCs w:val="18"/>
              </w:rPr>
            </w:pPr>
            <w:r>
              <w:rPr>
                <w:rFonts w:ascii="宋体"/>
                <w:sz w:val="18"/>
              </w:rPr>
              <w:t>37,186.35</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5,484.95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1,799.07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1"/>
              <w:jc w:val="right"/>
              <w:rPr>
                <w:rFonts w:ascii="宋体" w:hAnsi="宋体" w:cs="宋体" w:eastAsia="宋体" w:hint="default"/>
                <w:sz w:val="18"/>
                <w:szCs w:val="18"/>
              </w:rPr>
            </w:pPr>
            <w:r>
              <w:rPr>
                <w:rFonts w:ascii="宋体"/>
                <w:sz w:val="18"/>
              </w:rPr>
              <w:t>2,505.48</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5"/>
              <w:jc w:val="right"/>
              <w:rPr>
                <w:rFonts w:ascii="宋体" w:hAnsi="宋体" w:cs="宋体" w:eastAsia="宋体" w:hint="default"/>
                <w:sz w:val="18"/>
                <w:szCs w:val="18"/>
              </w:rPr>
            </w:pPr>
            <w:r>
              <w:rPr>
                <w:rFonts w:ascii="宋体"/>
                <w:sz w:val="18"/>
              </w:rPr>
              <w:t>4,778.54</w:t>
            </w:r>
          </w:p>
        </w:tc>
      </w:tr>
      <w:tr>
        <w:trPr>
          <w:trHeight w:val="558"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3,081,236.44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0"/>
              <w:jc w:val="right"/>
              <w:rPr>
                <w:rFonts w:ascii="宋体" w:hAnsi="宋体" w:cs="宋体" w:eastAsia="宋体" w:hint="default"/>
                <w:sz w:val="18"/>
                <w:szCs w:val="18"/>
              </w:rPr>
            </w:pPr>
            <w:r>
              <w:rPr>
                <w:rFonts w:ascii="宋体"/>
                <w:sz w:val="18"/>
              </w:rPr>
              <w:t>850,788.86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1"/>
              <w:jc w:val="right"/>
              <w:rPr>
                <w:rFonts w:ascii="宋体" w:hAnsi="宋体" w:cs="宋体" w:eastAsia="宋体" w:hint="default"/>
                <w:sz w:val="18"/>
                <w:szCs w:val="18"/>
              </w:rPr>
            </w:pPr>
            <w:r>
              <w:rPr>
                <w:rFonts w:ascii="宋体"/>
                <w:sz w:val="18"/>
              </w:rPr>
              <w:t>1,502,140.39</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5"/>
              <w:jc w:val="right"/>
              <w:rPr>
                <w:rFonts w:ascii="宋体" w:hAnsi="宋体" w:cs="宋体" w:eastAsia="宋体" w:hint="default"/>
                <w:sz w:val="18"/>
                <w:szCs w:val="18"/>
              </w:rPr>
            </w:pPr>
            <w:r>
              <w:rPr>
                <w:rFonts w:ascii="宋体"/>
                <w:sz w:val="18"/>
              </w:rPr>
              <w:t>2,429,884.91</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：销售货物相应转出的存货跌价准备</w:t>
      </w:r>
      <w:r>
        <w:rPr>
          <w:rFonts w:ascii="宋体" w:hAnsi="宋体" w:cs="宋体" w:eastAsia="宋体" w:hint="default"/>
          <w:spacing w:val="-46"/>
          <w:sz w:val="18"/>
          <w:szCs w:val="18"/>
        </w:rPr>
        <w:t> </w:t>
      </w:r>
      <w:r>
        <w:rPr>
          <w:rFonts w:ascii="宋体" w:hAnsi="宋体" w:cs="宋体" w:eastAsia="宋体" w:hint="default"/>
          <w:sz w:val="18"/>
          <w:szCs w:val="18"/>
        </w:rPr>
        <w:t>1,502,140.39</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18"/>
          <w:szCs w:val="18"/>
        </w:rPr>
      </w:pPr>
    </w:p>
    <w:p>
      <w:pPr>
        <w:pStyle w:val="BodyText"/>
        <w:spacing w:line="240" w:lineRule="auto"/>
        <w:ind w:left="574" w:right="0"/>
        <w:jc w:val="left"/>
      </w:pPr>
      <w:r>
        <w:rPr>
          <w:rFonts w:ascii="宋体" w:hAnsi="宋体" w:cs="宋体" w:eastAsia="宋体" w:hint="default"/>
        </w:rPr>
        <w:t>2)</w:t>
      </w:r>
      <w:r>
        <w:rPr>
          <w:rFonts w:ascii="宋体" w:hAnsi="宋体" w:cs="宋体" w:eastAsia="宋体" w:hint="default"/>
          <w:spacing w:val="-1"/>
        </w:rPr>
        <w:t> </w:t>
      </w:r>
      <w:r>
        <w:rPr/>
        <w:t>确定可变现净值的具体依据、本期转回或转销存货跌价准备的原因说明</w:t>
      </w:r>
    </w:p>
    <w:p>
      <w:pPr>
        <w:spacing w:line="240" w:lineRule="auto" w:before="11"/>
        <w:rPr>
          <w:rFonts w:ascii="宋体" w:hAnsi="宋体" w:cs="宋体" w:eastAsia="宋体" w:hint="default"/>
          <w:sz w:val="12"/>
          <w:szCs w:val="12"/>
        </w:rPr>
      </w:pPr>
    </w:p>
    <w:tbl>
      <w:tblPr>
        <w:tblW w:w="0" w:type="auto"/>
        <w:jc w:val="left"/>
        <w:tblInd w:w="705" w:type="dxa"/>
        <w:tblLayout w:type="fixed"/>
        <w:tblCellMar>
          <w:top w:w="0" w:type="dxa"/>
          <w:left w:w="0" w:type="dxa"/>
          <w:bottom w:w="0" w:type="dxa"/>
          <w:right w:w="0" w:type="dxa"/>
        </w:tblCellMar>
        <w:tblLook w:val="01E0"/>
      </w:tblPr>
      <w:tblGrid>
        <w:gridCol w:w="1944"/>
        <w:gridCol w:w="2340"/>
        <w:gridCol w:w="2241"/>
        <w:gridCol w:w="1987"/>
      </w:tblGrid>
      <w:tr>
        <w:trPr>
          <w:trHeight w:val="1067"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57" w:lineRule="auto"/>
              <w:ind w:left="713" w:right="624" w:hanging="90"/>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57" w:lineRule="auto"/>
              <w:ind w:left="484" w:right="484" w:firstLine="90"/>
              <w:jc w:val="left"/>
              <w:rPr>
                <w:rFonts w:ascii="宋体" w:hAnsi="宋体" w:cs="宋体" w:eastAsia="宋体" w:hint="default"/>
                <w:sz w:val="18"/>
                <w:szCs w:val="18"/>
              </w:rPr>
            </w:pPr>
            <w:r>
              <w:rPr>
                <w:rFonts w:ascii="宋体" w:hAnsi="宋体" w:cs="宋体" w:eastAsia="宋体" w:hint="default"/>
                <w:sz w:val="18"/>
                <w:szCs w:val="18"/>
              </w:rPr>
              <w:t>本期转回存货 跌价准备的原因</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338" w:lineRule="auto" w:before="52"/>
              <w:ind w:left="178" w:right="181"/>
              <w:jc w:val="center"/>
              <w:rPr>
                <w:rFonts w:ascii="宋体" w:hAnsi="宋体" w:cs="宋体" w:eastAsia="宋体" w:hint="default"/>
                <w:sz w:val="18"/>
                <w:szCs w:val="18"/>
              </w:rPr>
            </w:pPr>
            <w:r>
              <w:rPr>
                <w:rFonts w:ascii="宋体" w:hAnsi="宋体" w:cs="宋体" w:eastAsia="宋体" w:hint="default"/>
                <w:sz w:val="18"/>
                <w:szCs w:val="18"/>
              </w:rPr>
              <w:t>本期转回金额占该项 存货期末余额的比例 </w:t>
            </w:r>
            <w:r>
              <w:rPr>
                <w:rFonts w:ascii="宋体" w:hAnsi="宋体" w:cs="宋体" w:eastAsia="宋体" w:hint="default"/>
                <w:sz w:val="18"/>
                <w:szCs w:val="18"/>
              </w:rPr>
              <w:t>(%)</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6"/>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6"/>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6"/>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6"/>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6"/>
              <w:jc w:val="righ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574" w:right="0"/>
        <w:jc w:val="left"/>
      </w:pPr>
      <w:r>
        <w:rPr>
          <w:rFonts w:ascii="宋体" w:hAnsi="宋体" w:cs="宋体" w:eastAsia="宋体" w:hint="default"/>
        </w:rPr>
        <w:t>7.</w:t>
      </w:r>
      <w:r>
        <w:rPr>
          <w:rFonts w:ascii="宋体" w:hAnsi="宋体" w:cs="宋体" w:eastAsia="宋体" w:hint="default"/>
          <w:spacing w:val="-1"/>
        </w:rPr>
        <w:t> </w:t>
      </w:r>
      <w:r>
        <w:rPr/>
        <w:t>其他流动资产</w:t>
      </w:r>
    </w:p>
    <w:p>
      <w:pPr>
        <w:spacing w:line="240" w:lineRule="auto" w:before="11"/>
        <w:rPr>
          <w:rFonts w:ascii="宋体" w:hAnsi="宋体" w:cs="宋体" w:eastAsia="宋体" w:hint="default"/>
          <w:sz w:val="12"/>
          <w:szCs w:val="12"/>
        </w:rPr>
      </w:pPr>
    </w:p>
    <w:tbl>
      <w:tblPr>
        <w:tblW w:w="0" w:type="auto"/>
        <w:jc w:val="left"/>
        <w:tblInd w:w="690" w:type="dxa"/>
        <w:tblLayout w:type="fixed"/>
        <w:tblCellMar>
          <w:top w:w="0" w:type="dxa"/>
          <w:left w:w="0" w:type="dxa"/>
          <w:bottom w:w="0" w:type="dxa"/>
          <w:right w:w="0" w:type="dxa"/>
        </w:tblCellMar>
        <w:tblLook w:val="01E0"/>
      </w:tblPr>
      <w:tblGrid>
        <w:gridCol w:w="3516"/>
        <w:gridCol w:w="2512"/>
        <w:gridCol w:w="2513"/>
      </w:tblGrid>
      <w:tr>
        <w:trPr>
          <w:trHeight w:val="558"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19,697,782.79</w:t>
            </w: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sz w:val="18"/>
              </w:rPr>
              <w:t>36,165,902.02</w:t>
            </w:r>
          </w:p>
        </w:tc>
      </w:tr>
      <w:tr>
        <w:trPr>
          <w:trHeight w:val="558"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3,355,110.39</w:t>
            </w:r>
          </w:p>
        </w:tc>
        <w:tc>
          <w:tcPr>
            <w:tcW w:w="251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55,000,000.00</w:t>
            </w:r>
          </w:p>
        </w:tc>
        <w:tc>
          <w:tcPr>
            <w:tcW w:w="251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78,052,893.18</w:t>
            </w: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sz w:val="18"/>
              </w:rPr>
              <w:t>36,165,902.02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44" w:lineRule="auto" w:before="35"/>
        <w:ind w:left="574" w:right="8442"/>
        <w:jc w:val="left"/>
      </w:pPr>
      <w:bookmarkStart w:name="8.可供出售金融资产" w:id="203"/>
      <w:bookmarkEnd w:id="203"/>
      <w:r>
        <w:rPr/>
      </w:r>
      <w:r>
        <w:rPr>
          <w:rFonts w:ascii="宋体" w:hAnsi="宋体" w:cs="宋体" w:eastAsia="宋体" w:hint="default"/>
        </w:rPr>
        <w:t>8.</w:t>
      </w:r>
      <w:r>
        <w:rPr/>
        <w:t>可供出售金融资产 </w:t>
      </w:r>
      <w:r>
        <w:rPr>
          <w:rFonts w:ascii="宋体" w:hAnsi="宋体" w:cs="宋体" w:eastAsia="宋体" w:hint="default"/>
        </w:rPr>
        <w:t>(1)</w:t>
      </w:r>
      <w:r>
        <w:rPr/>
        <w:t>明细情况</w:t>
      </w:r>
    </w:p>
    <w:p>
      <w:pPr>
        <w:spacing w:after="0" w:line="444"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62"/>
        <w:gridCol w:w="1704"/>
        <w:gridCol w:w="647"/>
        <w:gridCol w:w="1602"/>
        <w:gridCol w:w="1498"/>
        <w:gridCol w:w="658"/>
        <w:gridCol w:w="1499"/>
      </w:tblGrid>
      <w:tr>
        <w:trPr>
          <w:trHeight w:val="350" w:hRule="exact"/>
        </w:trPr>
        <w:tc>
          <w:tcPr>
            <w:tcW w:w="22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65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754" w:hRule="exact"/>
        </w:trPr>
        <w:tc>
          <w:tcPr>
            <w:tcW w:w="2262" w:type="dxa"/>
            <w:vMerge/>
            <w:tcBorders>
              <w:left w:val="nil" w:sz="6" w:space="0" w:color="auto"/>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31" w:right="14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1"/>
              <w:ind w:left="142" w:right="143" w:hanging="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102,151,800.00</w:t>
            </w:r>
          </w:p>
        </w:tc>
        <w:tc>
          <w:tcPr>
            <w:tcW w:w="647"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102,151,800.00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7,000,000.00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7,000,000.00</w:t>
            </w:r>
          </w:p>
        </w:tc>
      </w:tr>
      <w:tr>
        <w:trPr>
          <w:trHeight w:val="479"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其中：按成本计量的</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102,151,800.00</w:t>
            </w:r>
          </w:p>
        </w:tc>
        <w:tc>
          <w:tcPr>
            <w:tcW w:w="647"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102,151,800.00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7,000,000.00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7,000,000.00</w:t>
            </w:r>
          </w:p>
        </w:tc>
      </w:tr>
      <w:tr>
        <w:trPr>
          <w:trHeight w:val="478" w:hRule="exact"/>
        </w:trPr>
        <w:tc>
          <w:tcPr>
            <w:tcW w:w="2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102,151,800.00</w:t>
            </w:r>
          </w:p>
        </w:tc>
        <w:tc>
          <w:tcPr>
            <w:tcW w:w="647"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102,151,800.00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7,000,000.00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7,000,000.00</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t>期末按成本计量的可供出售金融资产</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14"/>
        <w:gridCol w:w="1713"/>
        <w:gridCol w:w="1602"/>
        <w:gridCol w:w="1457"/>
        <w:gridCol w:w="1884"/>
      </w:tblGrid>
      <w:tr>
        <w:trPr>
          <w:trHeight w:val="402" w:hRule="exact"/>
        </w:trPr>
        <w:tc>
          <w:tcPr>
            <w:tcW w:w="32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665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3214" w:type="dxa"/>
            <w:vMerge/>
            <w:tcBorders>
              <w:left w:val="nil" w:sz="6" w:space="0" w:color="auto"/>
              <w:bottom w:val="single" w:sz="4" w:space="0" w:color="000000"/>
              <w:right w:val="single" w:sz="4" w:space="0" w:color="000000"/>
            </w:tcBorders>
          </w:tcPr>
          <w:p>
            <w:pP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54"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924"/>
              <w:jc w:val="left"/>
              <w:rPr>
                <w:rFonts w:ascii="宋体" w:hAnsi="宋体" w:cs="宋体" w:eastAsia="宋体" w:hint="default"/>
                <w:sz w:val="18"/>
                <w:szCs w:val="18"/>
              </w:rPr>
            </w:pPr>
            <w:r>
              <w:rPr>
                <w:rFonts w:ascii="宋体" w:hAnsi="宋体" w:cs="宋体" w:eastAsia="宋体" w:hint="default"/>
                <w:sz w:val="18"/>
                <w:szCs w:val="18"/>
              </w:rPr>
              <w:t>浙江温岭农村商业银行股份 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1,000,000.00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71,151,800.00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72,151,800.00</w:t>
            </w:r>
          </w:p>
        </w:tc>
      </w:tr>
      <w:tr>
        <w:trPr>
          <w:trHeight w:val="714"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104"/>
              <w:jc w:val="left"/>
              <w:rPr>
                <w:rFonts w:ascii="宋体" w:hAnsi="宋体" w:cs="宋体" w:eastAsia="宋体" w:hint="default"/>
                <w:sz w:val="18"/>
                <w:szCs w:val="18"/>
              </w:rPr>
            </w:pPr>
            <w:r>
              <w:rPr>
                <w:rFonts w:ascii="宋体" w:hAnsi="宋体" w:cs="宋体" w:eastAsia="宋体" w:hint="default"/>
                <w:spacing w:val="6"/>
                <w:sz w:val="18"/>
                <w:szCs w:val="18"/>
              </w:rPr>
              <w:t>温岭市民间融资规范管理服务中心有</w:t>
            </w:r>
            <w:r>
              <w:rPr>
                <w:rFonts w:ascii="宋体" w:hAnsi="宋体" w:cs="宋体" w:eastAsia="宋体" w:hint="default"/>
                <w:sz w:val="18"/>
                <w:szCs w:val="18"/>
              </w:rPr>
              <w:t> 限公司</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6,000,000.00</w:t>
            </w:r>
          </w:p>
        </w:tc>
        <w:tc>
          <w:tcPr>
            <w:tcW w:w="160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6,000,000.00</w:t>
            </w:r>
          </w:p>
        </w:tc>
      </w:tr>
      <w:tr>
        <w:trPr>
          <w:trHeight w:val="55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1713"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15,000,000.00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15,000,000.00</w:t>
            </w:r>
          </w:p>
        </w:tc>
      </w:tr>
      <w:tr>
        <w:trPr>
          <w:trHeight w:val="558"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上海亿嘉轮网络科技有限公司</w:t>
            </w:r>
          </w:p>
        </w:tc>
        <w:tc>
          <w:tcPr>
            <w:tcW w:w="1713"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9,000,000.00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9,000,000.00</w:t>
            </w:r>
          </w:p>
        </w:tc>
      </w:tr>
      <w:tr>
        <w:trPr>
          <w:trHeight w:val="56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7,000,000.00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95,151,800.00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102,151,800.00</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294"/>
        <w:gridCol w:w="794"/>
        <w:gridCol w:w="1037"/>
        <w:gridCol w:w="1001"/>
        <w:gridCol w:w="919"/>
        <w:gridCol w:w="1534"/>
        <w:gridCol w:w="1289"/>
      </w:tblGrid>
      <w:tr>
        <w:trPr>
          <w:trHeight w:val="402" w:hRule="exact"/>
        </w:trPr>
        <w:tc>
          <w:tcPr>
            <w:tcW w:w="329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7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534" w:type="dxa"/>
            <w:vMerge w:val="restart"/>
            <w:tcBorders>
              <w:top w:val="single" w:sz="4" w:space="0" w:color="000000"/>
              <w:left w:val="single" w:sz="4" w:space="0" w:color="000000"/>
              <w:right w:val="single" w:sz="4" w:space="0" w:color="000000"/>
            </w:tcBorders>
          </w:tcPr>
          <w:p>
            <w:pPr>
              <w:pStyle w:val="TableParagraph"/>
              <w:spacing w:line="357" w:lineRule="auto" w:before="52"/>
              <w:ind w:left="257" w:right="230" w:hanging="46"/>
              <w:jc w:val="left"/>
              <w:rPr>
                <w:rFonts w:ascii="宋体" w:hAnsi="宋体" w:cs="宋体" w:eastAsia="宋体" w:hint="default"/>
                <w:sz w:val="18"/>
                <w:szCs w:val="18"/>
              </w:rPr>
            </w:pPr>
            <w:r>
              <w:rPr>
                <w:rFonts w:ascii="宋体" w:hAnsi="宋体" w:cs="宋体" w:eastAsia="宋体" w:hint="default"/>
                <w:sz w:val="18"/>
                <w:szCs w:val="18"/>
              </w:rPr>
              <w:t>在被投资单位 持股比例</w:t>
            </w:r>
            <w:r>
              <w:rPr>
                <w:rFonts w:ascii="宋体" w:hAnsi="宋体" w:cs="宋体" w:eastAsia="宋体" w:hint="default"/>
                <w:sz w:val="18"/>
                <w:szCs w:val="18"/>
              </w:rPr>
              <w:t>(%)</w:t>
            </w:r>
          </w:p>
        </w:tc>
        <w:tc>
          <w:tcPr>
            <w:tcW w:w="1289" w:type="dxa"/>
            <w:vMerge w:val="restart"/>
            <w:tcBorders>
              <w:top w:val="single" w:sz="4" w:space="0" w:color="000000"/>
              <w:left w:val="single" w:sz="4" w:space="0" w:color="000000"/>
              <w:right w:val="nil" w:sz="6" w:space="0" w:color="auto"/>
            </w:tcBorders>
          </w:tcPr>
          <w:p>
            <w:pPr>
              <w:pStyle w:val="TableParagraph"/>
              <w:spacing w:line="357" w:lineRule="auto" w:before="52"/>
              <w:ind w:left="268" w:right="293"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402" w:hRule="exact"/>
        </w:trPr>
        <w:tc>
          <w:tcPr>
            <w:tcW w:w="3294" w:type="dxa"/>
            <w:vMerge/>
            <w:tcBorders>
              <w:left w:val="nil" w:sz="6" w:space="0" w:color="auto"/>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34"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nil" w:sz="6" w:space="0" w:color="auto"/>
            </w:tcBorders>
          </w:tcPr>
          <w:p>
            <w:pPr/>
          </w:p>
        </w:tc>
      </w:tr>
      <w:tr>
        <w:trPr>
          <w:trHeight w:val="755"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52"/>
              <w:ind w:left="122" w:right="1005"/>
              <w:jc w:val="left"/>
              <w:rPr>
                <w:rFonts w:ascii="宋体" w:hAnsi="宋体" w:cs="宋体" w:eastAsia="宋体" w:hint="default"/>
                <w:sz w:val="18"/>
                <w:szCs w:val="18"/>
              </w:rPr>
            </w:pPr>
            <w:r>
              <w:rPr>
                <w:rFonts w:ascii="宋体" w:hAnsi="宋体" w:cs="宋体" w:eastAsia="宋体" w:hint="default"/>
                <w:sz w:val="18"/>
                <w:szCs w:val="18"/>
              </w:rPr>
              <w:t>浙江温岭农村商业银行股份 有限公司</w:t>
            </w:r>
          </w:p>
        </w:tc>
        <w:tc>
          <w:tcPr>
            <w:tcW w:w="7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2.33</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406,560.00</w:t>
            </w:r>
          </w:p>
        </w:tc>
      </w:tr>
      <w:tr>
        <w:trPr>
          <w:trHeight w:val="714"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3"/>
              <w:jc w:val="left"/>
              <w:rPr>
                <w:rFonts w:ascii="宋体" w:hAnsi="宋体" w:cs="宋体" w:eastAsia="宋体" w:hint="default"/>
                <w:sz w:val="18"/>
                <w:szCs w:val="18"/>
              </w:rPr>
            </w:pPr>
            <w:r>
              <w:rPr>
                <w:rFonts w:ascii="宋体" w:hAnsi="宋体" w:cs="宋体" w:eastAsia="宋体" w:hint="default"/>
                <w:sz w:val="18"/>
                <w:szCs w:val="18"/>
              </w:rPr>
              <w:t>温岭市民间融资规范管理服务中心有限 公司</w:t>
            </w:r>
          </w:p>
        </w:tc>
        <w:tc>
          <w:tcPr>
            <w:tcW w:w="7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6.00</w:t>
            </w:r>
          </w:p>
        </w:tc>
        <w:tc>
          <w:tcPr>
            <w:tcW w:w="128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7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10.00</w:t>
            </w:r>
          </w:p>
        </w:tc>
        <w:tc>
          <w:tcPr>
            <w:tcW w:w="128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上海亿嘉轮网络科技有限公司</w:t>
            </w:r>
          </w:p>
        </w:tc>
        <w:tc>
          <w:tcPr>
            <w:tcW w:w="7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5.00</w:t>
            </w:r>
          </w:p>
        </w:tc>
        <w:tc>
          <w:tcPr>
            <w:tcW w:w="128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7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406,560.00</w:t>
            </w:r>
          </w:p>
        </w:tc>
      </w:tr>
    </w:tbl>
    <w:p>
      <w:pPr>
        <w:pStyle w:val="BodyText"/>
        <w:spacing w:line="240" w:lineRule="auto" w:before="63"/>
        <w:ind w:left="654" w:right="1029"/>
        <w:jc w:val="left"/>
      </w:pPr>
      <w:r>
        <w:rPr>
          <w:rFonts w:ascii="宋体" w:hAnsi="宋体" w:cs="宋体" w:eastAsia="宋体" w:hint="default"/>
        </w:rPr>
        <w:t>[</w:t>
      </w:r>
      <w:r>
        <w:rPr/>
        <w:t>注</w:t>
      </w:r>
      <w:r>
        <w:rPr>
          <w:spacing w:val="-55"/>
        </w:rPr>
        <w:t> </w:t>
      </w:r>
      <w:r>
        <w:rPr>
          <w:rFonts w:ascii="宋体" w:hAnsi="宋体" w:cs="宋体" w:eastAsia="宋体" w:hint="default"/>
        </w:rPr>
        <w:t>1]</w:t>
      </w:r>
      <w:r>
        <w:rPr/>
        <w:t>：原名为浙江温岭农村合作银行。</w:t>
      </w:r>
    </w:p>
    <w:p>
      <w:pPr>
        <w:spacing w:line="240" w:lineRule="auto" w:before="10"/>
        <w:rPr>
          <w:rFonts w:ascii="宋体" w:hAnsi="宋体" w:cs="宋体" w:eastAsia="宋体" w:hint="default"/>
          <w:sz w:val="14"/>
          <w:szCs w:val="14"/>
        </w:rPr>
      </w:pPr>
    </w:p>
    <w:p>
      <w:pPr>
        <w:pStyle w:val="BodyText"/>
        <w:spacing w:line="240" w:lineRule="auto"/>
        <w:ind w:left="654" w:right="1029"/>
        <w:jc w:val="left"/>
      </w:pPr>
      <w:r>
        <w:rPr>
          <w:rFonts w:ascii="宋体" w:hAnsi="宋体" w:cs="宋体" w:eastAsia="宋体" w:hint="default"/>
        </w:rPr>
        <w:t>[</w:t>
      </w:r>
      <w:r>
        <w:rPr/>
        <w:t>注</w:t>
      </w:r>
      <w:r>
        <w:rPr>
          <w:spacing w:val="-55"/>
        </w:rPr>
        <w:t> </w:t>
      </w:r>
      <w:r>
        <w:rPr>
          <w:rFonts w:ascii="宋体" w:hAnsi="宋体" w:cs="宋体" w:eastAsia="宋体" w:hint="default"/>
        </w:rPr>
        <w:t>2]</w:t>
      </w:r>
      <w:r>
        <w:rPr/>
        <w:t>：详见本财务报表附注其他重要事项之说明。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44" w:lineRule="auto" w:before="179"/>
        <w:ind w:left="654" w:right="8862"/>
        <w:jc w:val="left"/>
      </w:pPr>
      <w:r>
        <w:rPr>
          <w:rFonts w:ascii="宋体" w:hAnsi="宋体" w:cs="宋体" w:eastAsia="宋体" w:hint="default"/>
        </w:rPr>
        <w:t>9.</w:t>
      </w:r>
      <w:r>
        <w:rPr/>
        <w:t>长期股权投资 </w:t>
      </w:r>
      <w:r>
        <w:rPr>
          <w:rFonts w:ascii="宋体" w:hAnsi="宋体" w:cs="宋体" w:eastAsia="宋体" w:hint="default"/>
        </w:rPr>
        <w:t>(1)</w:t>
      </w:r>
      <w:r>
        <w:rPr/>
        <w:t>分类情况</w:t>
      </w:r>
    </w:p>
    <w:p>
      <w:pPr>
        <w:spacing w:after="0" w:line="444" w:lineRule="auto"/>
        <w:jc w:val="left"/>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762"/>
        <w:gridCol w:w="2411"/>
        <w:gridCol w:w="1486"/>
        <w:gridCol w:w="2186"/>
      </w:tblGrid>
      <w:tr>
        <w:trPr>
          <w:trHeight w:val="350" w:hRule="exact"/>
        </w:trPr>
        <w:tc>
          <w:tcPr>
            <w:tcW w:w="3762"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08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3"/>
                <w:sz w:val="18"/>
                <w:szCs w:val="18"/>
              </w:rPr>
              <w:t>期末数</w:t>
            </w:r>
          </w:p>
        </w:tc>
      </w:tr>
      <w:tr>
        <w:trPr>
          <w:trHeight w:val="349" w:hRule="exact"/>
        </w:trPr>
        <w:tc>
          <w:tcPr>
            <w:tcW w:w="3762" w:type="dxa"/>
            <w:vMerge/>
            <w:tcBorders>
              <w:left w:val="nil" w:sz="6" w:space="0" w:color="auto"/>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241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44,374,520.28</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44,374,520.28</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23,043,526.28</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23,043,526.28</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1,383,524.26</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1,383,524.26</w:t>
            </w:r>
          </w:p>
        </w:tc>
      </w:tr>
      <w:tr>
        <w:trPr>
          <w:trHeight w:val="478"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42,040,344.07</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42,040,344.07</w:t>
            </w:r>
          </w:p>
        </w:tc>
      </w:tr>
      <w:tr>
        <w:trPr>
          <w:trHeight w:val="479" w:hRule="exact"/>
        </w:trPr>
        <w:tc>
          <w:tcPr>
            <w:tcW w:w="3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110,841,914.89</w:t>
            </w:r>
          </w:p>
        </w:tc>
        <w:tc>
          <w:tcPr>
            <w:tcW w:w="1486"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110,841,914.89</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765"/>
        <w:gridCol w:w="2166"/>
        <w:gridCol w:w="1893"/>
        <w:gridCol w:w="2038"/>
      </w:tblGrid>
      <w:tr>
        <w:trPr>
          <w:trHeight w:val="350" w:hRule="exact"/>
        </w:trPr>
        <w:tc>
          <w:tcPr>
            <w:tcW w:w="3765"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09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50" w:hRule="exact"/>
        </w:trPr>
        <w:tc>
          <w:tcPr>
            <w:tcW w:w="3765" w:type="dxa"/>
            <w:vMerge/>
            <w:tcBorders>
              <w:left w:val="nil" w:sz="6" w:space="0" w:color="auto"/>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658"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3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2166" w:type="dxa"/>
            <w:tcBorders>
              <w:top w:val="single" w:sz="4" w:space="0" w:color="000000"/>
              <w:left w:val="single" w:sz="4" w:space="0" w:color="000000"/>
              <w:bottom w:val="single" w:sz="4" w:space="0" w:color="000000"/>
              <w:right w:val="single" w:sz="4" w:space="0" w:color="000000"/>
            </w:tcBorders>
          </w:tcPr>
          <w:p>
            <w:pPr/>
          </w:p>
        </w:tc>
        <w:tc>
          <w:tcPr>
            <w:tcW w:w="189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74,615,658.61</w:t>
            </w:r>
          </w:p>
        </w:tc>
        <w:tc>
          <w:tcPr>
            <w:tcW w:w="189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74,615,658.61</w:t>
            </w:r>
          </w:p>
        </w:tc>
      </w:tr>
      <w:tr>
        <w:trPr>
          <w:trHeight w:val="479" w:hRule="exact"/>
        </w:trPr>
        <w:tc>
          <w:tcPr>
            <w:tcW w:w="3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22,129,769.43</w:t>
            </w:r>
          </w:p>
        </w:tc>
        <w:tc>
          <w:tcPr>
            <w:tcW w:w="189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22,129,769.43</w:t>
            </w:r>
          </w:p>
        </w:tc>
      </w:tr>
      <w:tr>
        <w:trPr>
          <w:trHeight w:val="478" w:hRule="exact"/>
        </w:trPr>
        <w:tc>
          <w:tcPr>
            <w:tcW w:w="37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96,745,428.04</w:t>
            </w:r>
          </w:p>
        </w:tc>
        <w:tc>
          <w:tcPr>
            <w:tcW w:w="1893"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96,745,428.04</w:t>
            </w:r>
          </w:p>
        </w:tc>
      </w:tr>
    </w:tbl>
    <w:p>
      <w:pPr>
        <w:spacing w:line="240" w:lineRule="auto" w:before="4"/>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t>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95"/>
        <w:gridCol w:w="1696"/>
        <w:gridCol w:w="1718"/>
        <w:gridCol w:w="1612"/>
        <w:gridCol w:w="1500"/>
        <w:gridCol w:w="1049"/>
      </w:tblGrid>
      <w:tr>
        <w:trPr>
          <w:trHeight w:val="402" w:hRule="exact"/>
        </w:trPr>
        <w:tc>
          <w:tcPr>
            <w:tcW w:w="2295"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57" w:lineRule="auto"/>
              <w:ind w:left="884" w:right="86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1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587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3"/>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754" w:hRule="exact"/>
        </w:trPr>
        <w:tc>
          <w:tcPr>
            <w:tcW w:w="2295" w:type="dxa"/>
            <w:vMerge/>
            <w:tcBorders>
              <w:left w:val="nil" w:sz="6" w:space="0" w:color="auto"/>
              <w:bottom w:val="single" w:sz="4" w:space="0" w:color="000000"/>
              <w:right w:val="single" w:sz="4" w:space="0" w:color="000000"/>
            </w:tcBorders>
          </w:tcPr>
          <w:p>
            <w:pPr/>
          </w:p>
        </w:tc>
        <w:tc>
          <w:tcPr>
            <w:tcW w:w="1696" w:type="dxa"/>
            <w:vMerge/>
            <w:tcBorders>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667" w:right="679"/>
              <w:jc w:val="center"/>
              <w:rPr>
                <w:rFonts w:ascii="宋体" w:hAnsi="宋体" w:cs="宋体" w:eastAsia="宋体" w:hint="default"/>
                <w:sz w:val="18"/>
                <w:szCs w:val="18"/>
              </w:rPr>
            </w:pPr>
            <w:r>
              <w:rPr>
                <w:rFonts w:ascii="宋体" w:hAnsi="宋体" w:cs="宋体" w:eastAsia="宋体" w:hint="default"/>
                <w:sz w:val="18"/>
                <w:szCs w:val="18"/>
              </w:rPr>
              <w:t>追加 投资</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614" w:right="627"/>
              <w:jc w:val="center"/>
              <w:rPr>
                <w:rFonts w:ascii="宋体" w:hAnsi="宋体" w:cs="宋体" w:eastAsia="宋体" w:hint="default"/>
                <w:sz w:val="18"/>
                <w:szCs w:val="18"/>
              </w:rPr>
            </w:pPr>
            <w:r>
              <w:rPr>
                <w:rFonts w:ascii="宋体" w:hAnsi="宋体" w:cs="宋体" w:eastAsia="宋体" w:hint="default"/>
                <w:sz w:val="18"/>
                <w:szCs w:val="18"/>
              </w:rPr>
              <w:t>减少 投资</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89" w:right="209"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152" w:right="169"/>
              <w:jc w:val="left"/>
              <w:rPr>
                <w:rFonts w:ascii="宋体" w:hAnsi="宋体" w:cs="宋体" w:eastAsia="宋体" w:hint="default"/>
                <w:sz w:val="18"/>
                <w:szCs w:val="18"/>
              </w:rPr>
            </w:pPr>
            <w:r>
              <w:rPr>
                <w:rFonts w:ascii="宋体" w:hAnsi="宋体" w:cs="宋体" w:eastAsia="宋体" w:hint="default"/>
                <w:sz w:val="18"/>
                <w:szCs w:val="18"/>
              </w:rPr>
              <w:t>其他综合 收益调整</w:t>
            </w:r>
          </w:p>
        </w:tc>
      </w:tr>
      <w:tr>
        <w:trPr>
          <w:trHeight w:val="558"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69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755"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52"/>
              <w:ind w:left="122" w:right="905"/>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74,615,658.61</w:t>
            </w:r>
          </w:p>
        </w:tc>
        <w:tc>
          <w:tcPr>
            <w:tcW w:w="1718"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-241,138.33</w:t>
            </w: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754"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905"/>
              <w:jc w:val="left"/>
              <w:rPr>
                <w:rFonts w:ascii="宋体" w:hAnsi="宋体" w:cs="宋体" w:eastAsia="宋体" w:hint="default"/>
                <w:sz w:val="18"/>
                <w:szCs w:val="18"/>
              </w:rPr>
            </w:pPr>
            <w:r>
              <w:rPr>
                <w:rFonts w:ascii="宋体" w:hAnsi="宋体" w:cs="宋体" w:eastAsia="宋体" w:hint="default"/>
                <w:sz w:val="18"/>
                <w:szCs w:val="18"/>
              </w:rPr>
              <w:t>温岭市信合担保 有限公司</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22,129,769.43</w:t>
            </w:r>
          </w:p>
        </w:tc>
        <w:tc>
          <w:tcPr>
            <w:tcW w:w="1718"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913,756.85</w:t>
            </w: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93"/>
              <w:jc w:val="left"/>
              <w:rPr>
                <w:rFonts w:ascii="宋体" w:hAnsi="宋体" w:cs="宋体" w:eastAsia="宋体" w:hint="default"/>
                <w:sz w:val="18"/>
                <w:szCs w:val="18"/>
              </w:rPr>
            </w:pPr>
            <w:r>
              <w:rPr>
                <w:rFonts w:ascii="宋体" w:hAnsi="宋体" w:cs="宋体" w:eastAsia="宋体" w:hint="default"/>
                <w:spacing w:val="8"/>
                <w:sz w:val="18"/>
                <w:szCs w:val="18"/>
              </w:rPr>
              <w:t>浙江利斯特智慧管网股份 </w:t>
            </w:r>
            <w:r>
              <w:rPr>
                <w:rFonts w:ascii="宋体" w:hAnsi="宋体" w:cs="宋体" w:eastAsia="宋体" w:hint="default"/>
                <w:sz w:val="18"/>
                <w:szCs w:val="18"/>
              </w:rPr>
              <w:t>有限公司</w:t>
            </w:r>
          </w:p>
        </w:tc>
        <w:tc>
          <w:tcPr>
            <w:tcW w:w="169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1,750,000.00</w:t>
            </w:r>
          </w:p>
        </w:tc>
        <w:tc>
          <w:tcPr>
            <w:tcW w:w="161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-366,475.74</w:t>
            </w: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754"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725"/>
              <w:jc w:val="left"/>
              <w:rPr>
                <w:rFonts w:ascii="宋体" w:hAnsi="宋体" w:cs="宋体" w:eastAsia="宋体" w:hint="default"/>
                <w:sz w:val="18"/>
                <w:szCs w:val="18"/>
              </w:rPr>
            </w:pPr>
            <w:r>
              <w:rPr>
                <w:rFonts w:ascii="宋体" w:hAnsi="宋体" w:cs="宋体" w:eastAsia="宋体" w:hint="default"/>
                <w:sz w:val="18"/>
                <w:szCs w:val="18"/>
              </w:rPr>
              <w:t>杭州碧橙网络技术 有限公司</w:t>
            </w:r>
          </w:p>
        </w:tc>
        <w:tc>
          <w:tcPr>
            <w:tcW w:w="169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40,000,000.00</w:t>
            </w:r>
          </w:p>
        </w:tc>
        <w:tc>
          <w:tcPr>
            <w:tcW w:w="161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2,040,344.07</w:t>
            </w: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96,745,428.04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41,750,000.00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30,000,000.00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2,346,486.85</w:t>
            </w:r>
          </w:p>
        </w:tc>
        <w:tc>
          <w:tcPr>
            <w:tcW w:w="1049" w:type="dxa"/>
            <w:tcBorders>
              <w:top w:val="single" w:sz="4" w:space="0" w:color="000000"/>
              <w:left w:val="single" w:sz="4" w:space="0" w:color="000000"/>
              <w:bottom w:val="single" w:sz="4" w:space="0" w:color="000000"/>
              <w:right w:val="nil" w:sz="6" w:space="0" w:color="auto"/>
            </w:tcBorders>
          </w:tcPr>
          <w:p>
            <w:pPr/>
          </w:p>
        </w:tc>
      </w:tr>
    </w:tbl>
    <w:p>
      <w:pPr>
        <w:spacing w:line="240" w:lineRule="auto" w:before="4"/>
        <w:rPr>
          <w:rFonts w:ascii="宋体" w:hAnsi="宋体" w:cs="宋体" w:eastAsia="宋体" w:hint="default"/>
          <w:sz w:val="5"/>
          <w:szCs w:val="5"/>
        </w:rPr>
      </w:pPr>
    </w:p>
    <w:p>
      <w:pPr>
        <w:pStyle w:val="BodyText"/>
        <w:spacing w:line="240" w:lineRule="auto" w:before="35"/>
        <w:ind w:left="654" w:right="1029"/>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3052"/>
        <w:gridCol w:w="1392"/>
        <w:gridCol w:w="1456"/>
        <w:gridCol w:w="808"/>
        <w:gridCol w:w="454"/>
        <w:gridCol w:w="1808"/>
        <w:gridCol w:w="886"/>
      </w:tblGrid>
      <w:tr>
        <w:trPr>
          <w:trHeight w:val="402" w:hRule="exact"/>
        </w:trPr>
        <w:tc>
          <w:tcPr>
            <w:tcW w:w="3052" w:type="dxa"/>
            <w:vMerge w:val="restart"/>
            <w:tcBorders>
              <w:top w:val="single" w:sz="4" w:space="0" w:color="000000"/>
              <w:left w:val="nil" w:sz="6" w:space="0" w:color="auto"/>
              <w:right w:val="single" w:sz="4" w:space="0" w:color="000000"/>
            </w:tcBorders>
          </w:tcPr>
          <w:p>
            <w:pPr>
              <w:pStyle w:val="TableParagraph"/>
              <w:spacing w:line="360" w:lineRule="auto" w:before="76"/>
              <w:ind w:left="1255" w:right="1249"/>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41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8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886" w:type="dxa"/>
            <w:vMerge w:val="restart"/>
            <w:tcBorders>
              <w:top w:val="single" w:sz="4" w:space="0" w:color="000000"/>
              <w:left w:val="single" w:sz="4" w:space="0" w:color="000000"/>
              <w:right w:val="nil" w:sz="6" w:space="0" w:color="auto"/>
            </w:tcBorders>
          </w:tcPr>
          <w:p>
            <w:pPr>
              <w:pStyle w:val="TableParagraph"/>
              <w:spacing w:line="360" w:lineRule="auto" w:before="76"/>
              <w:ind w:left="63" w:right="9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3" w:hRule="exact"/>
        </w:trPr>
        <w:tc>
          <w:tcPr>
            <w:tcW w:w="3052" w:type="dxa"/>
            <w:vMerge/>
            <w:tcBorders>
              <w:left w:val="nil" w:sz="6" w:space="0" w:color="auto"/>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其他权</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宣告发放现金</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计提减</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8"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066"/>
        <w:gridCol w:w="1392"/>
        <w:gridCol w:w="1456"/>
        <w:gridCol w:w="808"/>
        <w:gridCol w:w="454"/>
        <w:gridCol w:w="1808"/>
        <w:gridCol w:w="886"/>
      </w:tblGrid>
      <w:tr>
        <w:trPr>
          <w:trHeight w:val="362" w:hRule="exact"/>
        </w:trPr>
        <w:tc>
          <w:tcPr>
            <w:tcW w:w="3066" w:type="dxa"/>
            <w:tcBorders>
              <w:top w:val="single" w:sz="4" w:space="0" w:color="000000"/>
              <w:left w:val="nil" w:sz="6" w:space="0" w:color="auto"/>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0"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454"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44,374,520.28</w:t>
            </w:r>
          </w:p>
        </w:tc>
        <w:tc>
          <w:tcPr>
            <w:tcW w:w="8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23,043,526.28</w:t>
            </w:r>
          </w:p>
        </w:tc>
        <w:tc>
          <w:tcPr>
            <w:tcW w:w="8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浙江利斯特智慧管网股份有限公司</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1,383,524.26</w:t>
            </w:r>
          </w:p>
        </w:tc>
        <w:tc>
          <w:tcPr>
            <w:tcW w:w="8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42,040,344.07</w:t>
            </w:r>
          </w:p>
        </w:tc>
        <w:tc>
          <w:tcPr>
            <w:tcW w:w="88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110,841,914.89</w:t>
            </w:r>
          </w:p>
        </w:tc>
        <w:tc>
          <w:tcPr>
            <w:tcW w:w="8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54" w:right="1029"/>
        <w:jc w:val="left"/>
      </w:pPr>
      <w:r>
        <w:rPr>
          <w:rFonts w:ascii="宋体" w:hAnsi="宋体" w:cs="宋体" w:eastAsia="宋体" w:hint="default"/>
        </w:rPr>
        <w:t>10.</w:t>
      </w:r>
      <w:r>
        <w:rPr>
          <w:rFonts w:ascii="宋体" w:hAnsi="宋体" w:cs="宋体" w:eastAsia="宋体" w:hint="default"/>
          <w:spacing w:val="-1"/>
        </w:rPr>
        <w:t> </w:t>
      </w:r>
      <w:r>
        <w:rPr/>
        <w:t>投资性房地产</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630"/>
        <w:gridCol w:w="2058"/>
        <w:gridCol w:w="2058"/>
        <w:gridCol w:w="2058"/>
      </w:tblGrid>
      <w:tr>
        <w:trPr>
          <w:trHeight w:val="540"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7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6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2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3,981,339.39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284,962.00</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4,266,301.39</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3,981,339.39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284,962.00</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4,266,301.39</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累计折旧和累计摊销</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447,900.66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24,221.78</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472,122.44</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199,066.96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5,699.24</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204,766.20</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72" w:right="0"/>
              <w:jc w:val="left"/>
              <w:rPr>
                <w:rFonts w:ascii="宋体" w:hAnsi="宋体" w:cs="宋体" w:eastAsia="宋体" w:hint="default"/>
                <w:sz w:val="18"/>
                <w:szCs w:val="18"/>
              </w:rPr>
            </w:pPr>
            <w:r>
              <w:rPr>
                <w:rFonts w:ascii="宋体" w:hAnsi="宋体" w:cs="宋体" w:eastAsia="宋体" w:hint="default"/>
                <w:sz w:val="18"/>
                <w:szCs w:val="18"/>
              </w:rPr>
              <w:t>计提或摊销</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199,066.96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5,699.24</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204,766.20</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7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646,967.62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29,921.02</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676,888.64</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3,334,371.77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255,040.98</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3,589,412.75</w:t>
            </w:r>
          </w:p>
        </w:tc>
      </w:tr>
      <w:tr>
        <w:trPr>
          <w:trHeight w:val="558" w:hRule="exact"/>
        </w:trPr>
        <w:tc>
          <w:tcPr>
            <w:tcW w:w="3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3,533,438.73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260,740.22</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3,794,178.95</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12"/>
        <w:rPr>
          <w:rFonts w:ascii="宋体" w:hAnsi="宋体" w:cs="宋体" w:eastAsia="宋体" w:hint="default"/>
          <w:sz w:val="27"/>
          <w:szCs w:val="27"/>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未办妥产权证书的投资性房地产情况</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907"/>
        <w:gridCol w:w="2982"/>
        <w:gridCol w:w="2981"/>
      </w:tblGrid>
      <w:tr>
        <w:trPr>
          <w:trHeight w:val="558" w:hRule="exact"/>
        </w:trPr>
        <w:tc>
          <w:tcPr>
            <w:tcW w:w="3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0"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9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558" w:hRule="exact"/>
        </w:trPr>
        <w:tc>
          <w:tcPr>
            <w:tcW w:w="3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湖南利欧</w:t>
            </w:r>
            <w:r>
              <w:rPr>
                <w:rFonts w:ascii="宋体" w:hAnsi="宋体" w:cs="宋体" w:eastAsia="宋体" w:hint="default"/>
                <w:spacing w:val="-46"/>
                <w:sz w:val="18"/>
                <w:szCs w:val="18"/>
              </w:rPr>
              <w:t> </w:t>
            </w:r>
            <w:r>
              <w:rPr>
                <w:rFonts w:ascii="宋体" w:hAnsi="宋体" w:cs="宋体" w:eastAsia="宋体" w:hint="default"/>
                <w:sz w:val="18"/>
                <w:szCs w:val="18"/>
              </w:rPr>
              <w:t>3,800</w:t>
            </w:r>
            <w:r>
              <w:rPr>
                <w:rFonts w:ascii="宋体" w:hAnsi="宋体" w:cs="宋体" w:eastAsia="宋体" w:hint="default"/>
                <w:spacing w:val="-46"/>
                <w:sz w:val="18"/>
                <w:szCs w:val="18"/>
              </w:rPr>
              <w:t> </w:t>
            </w:r>
            <w:r>
              <w:rPr>
                <w:rFonts w:ascii="宋体" w:hAnsi="宋体" w:cs="宋体" w:eastAsia="宋体" w:hint="default"/>
                <w:sz w:val="18"/>
                <w:szCs w:val="18"/>
              </w:rPr>
              <w:t>台工业泵项目部分厂房</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3,589,412.75</w:t>
            </w:r>
          </w:p>
        </w:tc>
        <w:tc>
          <w:tcPr>
            <w:tcW w:w="29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8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59" w:hRule="exact"/>
        </w:trPr>
        <w:tc>
          <w:tcPr>
            <w:tcW w:w="3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3,589,412.75</w:t>
            </w:r>
          </w:p>
        </w:tc>
        <w:tc>
          <w:tcPr>
            <w:tcW w:w="2981"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639" w:right="1029"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注</w:t>
      </w:r>
      <w:r>
        <w:rPr>
          <w:rFonts w:ascii="宋体" w:hAnsi="宋体" w:cs="宋体" w:eastAsia="宋体" w:hint="default"/>
          <w:spacing w:val="-5"/>
          <w:sz w:val="18"/>
          <w:szCs w:val="18"/>
        </w:rPr>
        <w:t>]</w:t>
      </w:r>
      <w:r>
        <w:rPr>
          <w:rFonts w:ascii="宋体" w:hAnsi="宋体" w:cs="宋体" w:eastAsia="宋体" w:hint="default"/>
          <w:spacing w:val="-5"/>
          <w:sz w:val="18"/>
          <w:szCs w:val="18"/>
        </w:rPr>
        <w:t>：截止本财务报表批准报出日，该部分厂房已办妥产权证书。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653" w:right="1029"/>
        <w:jc w:val="left"/>
      </w:pPr>
      <w:r>
        <w:rPr>
          <w:rFonts w:ascii="宋体" w:hAnsi="宋体" w:cs="宋体" w:eastAsia="宋体" w:hint="default"/>
        </w:rPr>
        <w:t>11.</w:t>
      </w:r>
      <w:r>
        <w:rPr>
          <w:rFonts w:ascii="宋体" w:hAnsi="宋体" w:cs="宋体" w:eastAsia="宋体" w:hint="default"/>
          <w:spacing w:val="-1"/>
        </w:rPr>
        <w:t> </w:t>
      </w:r>
      <w:r>
        <w:rPr/>
        <w:t>固定资产</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085"/>
        <w:gridCol w:w="1708"/>
        <w:gridCol w:w="1737"/>
        <w:gridCol w:w="1824"/>
        <w:gridCol w:w="1636"/>
        <w:gridCol w:w="1730"/>
      </w:tblGrid>
      <w:tr>
        <w:trPr>
          <w:trHeight w:val="755"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567" w:right="588"/>
              <w:jc w:val="center"/>
              <w:rPr>
                <w:rFonts w:ascii="宋体" w:hAnsi="宋体" w:cs="宋体" w:eastAsia="宋体" w:hint="default"/>
                <w:sz w:val="18"/>
                <w:szCs w:val="18"/>
              </w:rPr>
            </w:pPr>
            <w:r>
              <w:rPr>
                <w:rFonts w:ascii="宋体" w:hAnsi="宋体" w:cs="宋体" w:eastAsia="宋体" w:hint="default"/>
                <w:sz w:val="18"/>
                <w:szCs w:val="18"/>
              </w:rPr>
              <w:t>房屋及 建筑物</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244,381,913.62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515,734,069.18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25,583,695.94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40,378,902.24</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826,078,580.98</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9,465,174.00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47,800,697.98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6,255,169.25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7,627,518.25</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71,148,559.48</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购置</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113,500.00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30,026,867.41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1,294,588.05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6,830,989.45</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38,265,944.91</w:t>
            </w:r>
          </w:p>
        </w:tc>
      </w:tr>
      <w:tr>
        <w:trPr>
          <w:trHeight w:val="754"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752" w:right="605" w:hanging="271"/>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在建工程 转入</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17,773,830.57</w:t>
            </w: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z w:val="18"/>
              </w:rPr>
              <w:t>17,773,830.57</w:t>
            </w:r>
          </w:p>
        </w:tc>
      </w:tr>
      <w:tr>
        <w:trPr>
          <w:trHeight w:val="754"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750" w:right="607" w:hanging="271"/>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企业合并 增加</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4,960,581.20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796,528.80</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z w:val="18"/>
              </w:rPr>
              <w:t>5,757,110.00</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0"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其他</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9,351,674.00</w:t>
            </w:r>
          </w:p>
        </w:tc>
        <w:tc>
          <w:tcPr>
            <w:tcW w:w="173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9,351,674.00</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13,322,873.83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3,058,003.25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958,704.54</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17,339,581.62</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5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13,322,873.83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3,058,003.25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958,704.54</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17,339,581.62</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18" w:right="0"/>
              <w:jc w:val="left"/>
              <w:rPr>
                <w:rFonts w:ascii="宋体" w:hAnsi="宋体" w:cs="宋体" w:eastAsia="宋体" w:hint="default"/>
                <w:sz w:val="18"/>
                <w:szCs w:val="18"/>
              </w:rPr>
            </w:pPr>
            <w:r>
              <w:rPr>
                <w:rFonts w:ascii="宋体"/>
                <w:sz w:val="18"/>
              </w:rPr>
              <w:t>253,847,087.62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3" w:right="0"/>
              <w:jc w:val="left"/>
              <w:rPr>
                <w:rFonts w:ascii="宋体" w:hAnsi="宋体" w:cs="宋体" w:eastAsia="宋体" w:hint="default"/>
                <w:sz w:val="18"/>
                <w:szCs w:val="18"/>
              </w:rPr>
            </w:pPr>
            <w:r>
              <w:rPr>
                <w:rFonts w:ascii="宋体"/>
                <w:sz w:val="18"/>
              </w:rPr>
              <w:t>550,211,893.33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21" w:right="0"/>
              <w:jc w:val="left"/>
              <w:rPr>
                <w:rFonts w:ascii="宋体" w:hAnsi="宋体" w:cs="宋体" w:eastAsia="宋体" w:hint="default"/>
                <w:sz w:val="18"/>
                <w:szCs w:val="18"/>
              </w:rPr>
            </w:pPr>
            <w:r>
              <w:rPr>
                <w:rFonts w:ascii="宋体"/>
                <w:sz w:val="18"/>
              </w:rPr>
              <w:t>28,780,861.94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6" w:right="0"/>
              <w:jc w:val="left"/>
              <w:rPr>
                <w:rFonts w:ascii="宋体" w:hAnsi="宋体" w:cs="宋体" w:eastAsia="宋体" w:hint="default"/>
                <w:sz w:val="18"/>
                <w:szCs w:val="18"/>
              </w:rPr>
            </w:pPr>
            <w:r>
              <w:rPr>
                <w:rFonts w:ascii="宋体"/>
                <w:sz w:val="18"/>
              </w:rPr>
              <w:t>47,047,715.95</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229" w:right="0"/>
              <w:jc w:val="left"/>
              <w:rPr>
                <w:rFonts w:ascii="宋体" w:hAnsi="宋体" w:cs="宋体" w:eastAsia="宋体" w:hint="default"/>
                <w:sz w:val="18"/>
                <w:szCs w:val="18"/>
              </w:rPr>
            </w:pPr>
            <w:r>
              <w:rPr>
                <w:rFonts w:ascii="宋体"/>
                <w:sz w:val="18"/>
              </w:rPr>
              <w:t>879,887,558.84</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49,820,917.26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268,499,428.05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20,247,746.33</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24,803,762.95</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363,371,854.59</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11,751,671.95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54,942,107.69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3,870,119.68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6,690,451.28</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77,254,350.60</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计提</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11,751,671.95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54,942,107.69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2,248,576.12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6,357,875.93</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75,300,231.69</w:t>
            </w:r>
          </w:p>
        </w:tc>
      </w:tr>
      <w:tr>
        <w:trPr>
          <w:trHeight w:val="559"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企业合并</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1,621,543.56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332,575.35</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1,954,118.91</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085"/>
        <w:gridCol w:w="1708"/>
        <w:gridCol w:w="1737"/>
        <w:gridCol w:w="1824"/>
        <w:gridCol w:w="1636"/>
        <w:gridCol w:w="1730"/>
      </w:tblGrid>
      <w:tr>
        <w:trPr>
          <w:trHeight w:val="362"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66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10,786,829.69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2,739,127.78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201,187.18</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13,727,144.65</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75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10,786,829.69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2,739,127.78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201,187.18</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13,727,144.65</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61,572,589.21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312,654,706.05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21,378,738.23</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31,293,027.05</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426,899,060.54</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3,882,185.16</w:t>
            </w: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3,882,185.16</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43,996.55</w:t>
            </w: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43,996.55</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3,838,188.61</w:t>
            </w: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3,838,188.61</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192,274,498.41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233,718,998.67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7,402,123.71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15,754,688.90</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449,150,309.69</w:t>
            </w:r>
          </w:p>
        </w:tc>
      </w:tr>
      <w:tr>
        <w:trPr>
          <w:trHeight w:val="558" w:hRule="exact"/>
        </w:trPr>
        <w:tc>
          <w:tcPr>
            <w:tcW w:w="2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194,560,996.36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243,352,455.97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5,335,949.61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15,575,139.29</w:t>
            </w:r>
          </w:p>
        </w:tc>
        <w:tc>
          <w:tcPr>
            <w:tcW w:w="1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458,824,541.23</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未办妥产权证书的固定资产的情况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521"/>
        <w:gridCol w:w="3063"/>
        <w:gridCol w:w="3286"/>
      </w:tblGrid>
      <w:tr>
        <w:trPr>
          <w:trHeight w:val="558"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558"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湖南利欧</w:t>
            </w:r>
            <w:r>
              <w:rPr>
                <w:rFonts w:ascii="宋体" w:hAnsi="宋体" w:cs="宋体" w:eastAsia="宋体" w:hint="default"/>
                <w:spacing w:val="-46"/>
                <w:sz w:val="18"/>
                <w:szCs w:val="18"/>
              </w:rPr>
              <w:t> </w:t>
            </w:r>
            <w:r>
              <w:rPr>
                <w:rFonts w:ascii="宋体" w:hAnsi="宋体" w:cs="宋体" w:eastAsia="宋体" w:hint="default"/>
                <w:sz w:val="18"/>
                <w:szCs w:val="18"/>
              </w:rPr>
              <w:t>3800</w:t>
            </w:r>
            <w:r>
              <w:rPr>
                <w:rFonts w:ascii="宋体" w:hAnsi="宋体" w:cs="宋体" w:eastAsia="宋体" w:hint="default"/>
                <w:spacing w:val="-45"/>
                <w:sz w:val="18"/>
                <w:szCs w:val="18"/>
              </w:rPr>
              <w:t> </w:t>
            </w:r>
            <w:r>
              <w:rPr>
                <w:rFonts w:ascii="宋体" w:hAnsi="宋体" w:cs="宋体" w:eastAsia="宋体" w:hint="default"/>
                <w:sz w:val="18"/>
                <w:szCs w:val="18"/>
              </w:rPr>
              <w:t>台工业泵项目厂房等</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78,404,589.01</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558" w:hRule="exact"/>
        </w:trPr>
        <w:tc>
          <w:tcPr>
            <w:tcW w:w="3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78,404,589.01</w:t>
            </w:r>
          </w:p>
        </w:tc>
        <w:tc>
          <w:tcPr>
            <w:tcW w:w="32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639" w:right="1029"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注</w:t>
      </w:r>
      <w:r>
        <w:rPr>
          <w:rFonts w:ascii="宋体" w:hAnsi="宋体" w:cs="宋体" w:eastAsia="宋体" w:hint="default"/>
          <w:spacing w:val="-4"/>
          <w:sz w:val="18"/>
          <w:szCs w:val="18"/>
        </w:rPr>
        <w:t>]</w:t>
      </w:r>
      <w:r>
        <w:rPr>
          <w:rFonts w:ascii="宋体" w:hAnsi="宋体" w:cs="宋体" w:eastAsia="宋体" w:hint="default"/>
          <w:spacing w:val="-4"/>
          <w:sz w:val="18"/>
          <w:szCs w:val="18"/>
        </w:rPr>
        <w:t>：截止本财务报表批准报出日，其中账面原值为</w:t>
      </w:r>
      <w:r>
        <w:rPr>
          <w:rFonts w:ascii="宋体" w:hAnsi="宋体" w:cs="宋体" w:eastAsia="宋体" w:hint="default"/>
          <w:spacing w:val="-49"/>
          <w:sz w:val="18"/>
          <w:szCs w:val="18"/>
        </w:rPr>
        <w:t> </w:t>
      </w:r>
      <w:r>
        <w:rPr>
          <w:rFonts w:ascii="宋体" w:hAnsi="宋体" w:cs="宋体" w:eastAsia="宋体" w:hint="default"/>
          <w:spacing w:val="-3"/>
          <w:sz w:val="18"/>
          <w:szCs w:val="18"/>
        </w:rPr>
        <w:t>5,352.55</w:t>
      </w:r>
      <w:r>
        <w:rPr>
          <w:rFonts w:ascii="宋体" w:hAnsi="宋体" w:cs="宋体" w:eastAsia="宋体" w:hint="default"/>
          <w:spacing w:val="-45"/>
          <w:sz w:val="18"/>
          <w:szCs w:val="18"/>
        </w:rPr>
        <w:t> </w:t>
      </w:r>
      <w:r>
        <w:rPr>
          <w:rFonts w:ascii="宋体" w:hAnsi="宋体" w:cs="宋体" w:eastAsia="宋体" w:hint="default"/>
          <w:spacing w:val="-4"/>
          <w:sz w:val="18"/>
          <w:szCs w:val="18"/>
        </w:rPr>
        <w:t>万元的厂房已办妥产权证书。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654" w:right="1029"/>
        <w:jc w:val="left"/>
      </w:pPr>
      <w:r>
        <w:rPr>
          <w:rFonts w:ascii="宋体" w:hAnsi="宋体" w:cs="宋体" w:eastAsia="宋体" w:hint="default"/>
        </w:rPr>
        <w:t>12.</w:t>
      </w:r>
      <w:r>
        <w:rPr>
          <w:rFonts w:ascii="宋体" w:hAnsi="宋体" w:cs="宋体" w:eastAsia="宋体" w:hint="default"/>
          <w:spacing w:val="-1"/>
        </w:rPr>
        <w:t> </w:t>
      </w:r>
      <w:r>
        <w:rPr/>
        <w:t>在建工程</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157"/>
        <w:gridCol w:w="1246"/>
        <w:gridCol w:w="561"/>
        <w:gridCol w:w="1267"/>
        <w:gridCol w:w="1321"/>
        <w:gridCol w:w="659"/>
        <w:gridCol w:w="1344"/>
      </w:tblGrid>
      <w:tr>
        <w:trPr>
          <w:trHeight w:val="407" w:hRule="exact"/>
        </w:trPr>
        <w:tc>
          <w:tcPr>
            <w:tcW w:w="21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9"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32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71"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754" w:hRule="exact"/>
        </w:trPr>
        <w:tc>
          <w:tcPr>
            <w:tcW w:w="2157" w:type="dxa"/>
            <w:vMerge/>
            <w:tcBorders>
              <w:left w:val="nil" w:sz="6" w:space="0" w:color="auto"/>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91" w:right="9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58" w:right="12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558"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187,253,063.63</w:t>
            </w:r>
          </w:p>
        </w:tc>
        <w:tc>
          <w:tcPr>
            <w:tcW w:w="56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187,253,063.63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00" w:right="0"/>
              <w:jc w:val="left"/>
              <w:rPr>
                <w:rFonts w:ascii="宋体" w:hAnsi="宋体" w:cs="宋体" w:eastAsia="宋体" w:hint="default"/>
                <w:sz w:val="15"/>
                <w:szCs w:val="15"/>
              </w:rPr>
            </w:pPr>
            <w:r>
              <w:rPr>
                <w:rFonts w:ascii="宋体"/>
                <w:sz w:val="15"/>
              </w:rPr>
              <w:t>100,155,471.43</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23" w:right="0"/>
              <w:jc w:val="left"/>
              <w:rPr>
                <w:rFonts w:ascii="宋体" w:hAnsi="宋体" w:cs="宋体" w:eastAsia="宋体" w:hint="default"/>
                <w:sz w:val="15"/>
                <w:szCs w:val="15"/>
              </w:rPr>
            </w:pPr>
            <w:r>
              <w:rPr>
                <w:rFonts w:ascii="宋体"/>
                <w:sz w:val="15"/>
              </w:rPr>
              <w:t>100,155,471.43</w:t>
            </w:r>
          </w:p>
        </w:tc>
      </w:tr>
      <w:tr>
        <w:trPr>
          <w:trHeight w:val="1026"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5</w:t>
            </w:r>
            <w:r>
              <w:rPr>
                <w:rFonts w:ascii="宋体" w:hAnsi="宋体" w:cs="宋体" w:eastAsia="宋体" w:hint="default"/>
                <w:spacing w:val="15"/>
                <w:sz w:val="18"/>
                <w:szCs w:val="18"/>
              </w:rPr>
              <w:t> </w:t>
            </w:r>
            <w:r>
              <w:rPr>
                <w:rFonts w:ascii="宋体" w:hAnsi="宋体" w:cs="宋体" w:eastAsia="宋体" w:hint="default"/>
                <w:spacing w:val="2"/>
                <w:sz w:val="18"/>
                <w:szCs w:val="18"/>
              </w:rPr>
              <w:t>万台高压和超高</w:t>
            </w:r>
          </w:p>
          <w:p>
            <w:pPr>
              <w:pStyle w:val="TableParagraph"/>
              <w:spacing w:line="319" w:lineRule="auto" w:before="76"/>
              <w:ind w:left="122" w:right="101"/>
              <w:jc w:val="left"/>
              <w:rPr>
                <w:rFonts w:ascii="宋体" w:hAnsi="宋体" w:cs="宋体" w:eastAsia="宋体" w:hint="default"/>
                <w:sz w:val="18"/>
                <w:szCs w:val="18"/>
              </w:rPr>
            </w:pPr>
            <w:r>
              <w:rPr>
                <w:rFonts w:ascii="宋体" w:hAnsi="宋体" w:cs="宋体" w:eastAsia="宋体" w:hint="default"/>
                <w:sz w:val="18"/>
                <w:szCs w:val="18"/>
              </w:rPr>
              <w:t>压清洗机及 </w:t>
            </w:r>
            <w:r>
              <w:rPr>
                <w:rFonts w:ascii="宋体" w:hAnsi="宋体" w:cs="宋体" w:eastAsia="宋体" w:hint="default"/>
                <w:sz w:val="18"/>
                <w:szCs w:val="18"/>
              </w:rPr>
              <w:t>3000</w:t>
            </w:r>
            <w:r>
              <w:rPr>
                <w:rFonts w:ascii="宋体" w:hAnsi="宋体" w:cs="宋体" w:eastAsia="宋体" w:hint="default"/>
                <w:spacing w:val="-55"/>
                <w:sz w:val="18"/>
                <w:szCs w:val="18"/>
              </w:rPr>
              <w:t> </w:t>
            </w:r>
            <w:r>
              <w:rPr>
                <w:rFonts w:ascii="宋体" w:hAnsi="宋体" w:cs="宋体" w:eastAsia="宋体" w:hint="default"/>
                <w:sz w:val="18"/>
                <w:szCs w:val="18"/>
              </w:rPr>
              <w:t>台高压 管道清洗车技改项目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45,630,204.31</w:t>
            </w:r>
          </w:p>
        </w:tc>
        <w:tc>
          <w:tcPr>
            <w:tcW w:w="56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45,630,204.31</w:t>
            </w:r>
          </w:p>
        </w:tc>
        <w:tc>
          <w:tcPr>
            <w:tcW w:w="1321"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157"/>
        <w:gridCol w:w="1246"/>
        <w:gridCol w:w="561"/>
        <w:gridCol w:w="1267"/>
        <w:gridCol w:w="1321"/>
        <w:gridCol w:w="659"/>
        <w:gridCol w:w="1344"/>
      </w:tblGrid>
      <w:tr>
        <w:trPr>
          <w:trHeight w:val="558"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07"/>
              <w:jc w:val="right"/>
              <w:rPr>
                <w:rFonts w:ascii="宋体" w:hAnsi="宋体" w:cs="宋体" w:eastAsia="宋体" w:hint="default"/>
                <w:sz w:val="18"/>
                <w:szCs w:val="18"/>
              </w:rPr>
            </w:pPr>
            <w:r>
              <w:rPr>
                <w:rFonts w:ascii="宋体" w:hAnsi="宋体" w:cs="宋体" w:eastAsia="宋体" w:hint="default"/>
                <w:sz w:val="18"/>
                <w:szCs w:val="18"/>
              </w:rPr>
              <w:t>零星工程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41" w:right="0"/>
              <w:jc w:val="center"/>
              <w:rPr>
                <w:rFonts w:ascii="宋体" w:hAnsi="宋体" w:cs="宋体" w:eastAsia="宋体" w:hint="default"/>
                <w:sz w:val="15"/>
                <w:szCs w:val="15"/>
              </w:rPr>
            </w:pPr>
            <w:r>
              <w:rPr>
                <w:rFonts w:ascii="宋体"/>
                <w:sz w:val="15"/>
              </w:rPr>
              <w:t>28,678,252.71</w:t>
            </w:r>
          </w:p>
        </w:tc>
        <w:tc>
          <w:tcPr>
            <w:tcW w:w="56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28,678,252.71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13,903,147.17</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13,903,147.17</w:t>
            </w:r>
          </w:p>
        </w:tc>
      </w:tr>
      <w:tr>
        <w:trPr>
          <w:trHeight w:val="558" w:hRule="exact"/>
        </w:trPr>
        <w:tc>
          <w:tcPr>
            <w:tcW w:w="2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307"/>
              <w:jc w:val="right"/>
              <w:rPr>
                <w:rFonts w:ascii="宋体" w:hAnsi="宋体" w:cs="宋体" w:eastAsia="宋体" w:hint="default"/>
                <w:sz w:val="18"/>
                <w:szCs w:val="18"/>
              </w:rPr>
            </w:pPr>
            <w:r>
              <w:rPr>
                <w:rFonts w:ascii="宋体" w:hAnsi="宋体" w:cs="宋体" w:eastAsia="宋体" w:hint="default"/>
                <w:sz w:val="18"/>
                <w:szCs w:val="18"/>
              </w:rPr>
              <w:t>合  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65" w:right="0"/>
              <w:jc w:val="center"/>
              <w:rPr>
                <w:rFonts w:ascii="宋体" w:hAnsi="宋体" w:cs="宋体" w:eastAsia="宋体" w:hint="default"/>
                <w:sz w:val="15"/>
                <w:szCs w:val="15"/>
              </w:rPr>
            </w:pPr>
            <w:r>
              <w:rPr>
                <w:rFonts w:ascii="宋体"/>
                <w:sz w:val="15"/>
              </w:rPr>
              <w:t>261,561,520.65</w:t>
            </w:r>
          </w:p>
        </w:tc>
        <w:tc>
          <w:tcPr>
            <w:tcW w:w="56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261,561,520.65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114,058,618.60</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114,058,618.60</w:t>
            </w:r>
          </w:p>
        </w:tc>
      </w:tr>
    </w:tbl>
    <w:p>
      <w:pPr>
        <w:spacing w:line="240" w:lineRule="auto" w:before="4"/>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重要在建工程项目本期变动情况</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435"/>
        <w:gridCol w:w="1062"/>
        <w:gridCol w:w="1403"/>
        <w:gridCol w:w="1406"/>
        <w:gridCol w:w="1343"/>
        <w:gridCol w:w="500"/>
        <w:gridCol w:w="1720"/>
      </w:tblGrid>
      <w:tr>
        <w:trPr>
          <w:trHeight w:val="754"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06" w:right="305" w:firstLine="180"/>
              <w:jc w:val="left"/>
              <w:rPr>
                <w:rFonts w:ascii="宋体" w:hAnsi="宋体" w:cs="宋体" w:eastAsia="宋体" w:hint="default"/>
                <w:sz w:val="18"/>
                <w:szCs w:val="18"/>
              </w:rPr>
            </w:pPr>
            <w:r>
              <w:rPr>
                <w:rFonts w:ascii="宋体" w:hAnsi="宋体" w:cs="宋体" w:eastAsia="宋体" w:hint="default"/>
                <w:sz w:val="18"/>
                <w:szCs w:val="18"/>
              </w:rPr>
              <w:t>转入 固定资产</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67" w:right="61"/>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33,000</w:t>
            </w:r>
            <w:r>
              <w:rPr>
                <w:rFonts w:ascii="宋体" w:hAnsi="宋体" w:cs="宋体" w:eastAsia="宋体" w:hint="default"/>
                <w:spacing w:val="-39"/>
                <w:sz w:val="15"/>
                <w:szCs w:val="15"/>
              </w:rPr>
              <w:t> </w:t>
            </w:r>
            <w:r>
              <w:rPr>
                <w:rFonts w:ascii="宋体" w:hAnsi="宋体" w:cs="宋体" w:eastAsia="宋体" w:hint="default"/>
                <w:sz w:val="15"/>
                <w:szCs w:val="15"/>
              </w:rPr>
              <w:t>万元</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100,155,471.43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87,097,592.20</w:t>
            </w:r>
          </w:p>
        </w:tc>
        <w:tc>
          <w:tcPr>
            <w:tcW w:w="1343"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187,253,063.63</w:t>
            </w:r>
          </w:p>
        </w:tc>
      </w:tr>
      <w:tr>
        <w:trPr>
          <w:trHeight w:val="1026"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万台高压和超高压清</w:t>
            </w:r>
          </w:p>
          <w:p>
            <w:pPr>
              <w:pStyle w:val="TableParagraph"/>
              <w:spacing w:line="319" w:lineRule="auto" w:before="75"/>
              <w:ind w:left="122" w:right="102"/>
              <w:jc w:val="left"/>
              <w:rPr>
                <w:rFonts w:ascii="宋体" w:hAnsi="宋体" w:cs="宋体" w:eastAsia="宋体" w:hint="default"/>
                <w:sz w:val="18"/>
                <w:szCs w:val="18"/>
              </w:rPr>
            </w:pPr>
            <w:r>
              <w:rPr>
                <w:rFonts w:ascii="宋体" w:hAnsi="宋体" w:cs="宋体" w:eastAsia="宋体" w:hint="default"/>
                <w:spacing w:val="2"/>
                <w:sz w:val="18"/>
                <w:szCs w:val="18"/>
              </w:rPr>
              <w:t>洗机及 </w:t>
            </w:r>
            <w:r>
              <w:rPr>
                <w:rFonts w:ascii="宋体" w:hAnsi="宋体" w:cs="宋体" w:eastAsia="宋体" w:hint="default"/>
                <w:sz w:val="18"/>
                <w:szCs w:val="18"/>
              </w:rPr>
              <w:t>3000</w:t>
            </w:r>
            <w:r>
              <w:rPr>
                <w:rFonts w:ascii="宋体" w:hAnsi="宋体" w:cs="宋体" w:eastAsia="宋体" w:hint="default"/>
                <w:spacing w:val="10"/>
                <w:sz w:val="18"/>
                <w:szCs w:val="18"/>
              </w:rPr>
              <w:t> </w:t>
            </w:r>
            <w:r>
              <w:rPr>
                <w:rFonts w:ascii="宋体" w:hAnsi="宋体" w:cs="宋体" w:eastAsia="宋体" w:hint="default"/>
                <w:spacing w:val="3"/>
                <w:sz w:val="18"/>
                <w:szCs w:val="18"/>
              </w:rPr>
              <w:t>台高压管道清</w:t>
            </w:r>
            <w:r>
              <w:rPr>
                <w:rFonts w:ascii="宋体" w:hAnsi="宋体" w:cs="宋体" w:eastAsia="宋体" w:hint="default"/>
                <w:sz w:val="18"/>
                <w:szCs w:val="18"/>
              </w:rPr>
              <w:t> 洗车技改项目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5"/>
                <w:szCs w:val="15"/>
              </w:rPr>
            </w:pPr>
            <w:r>
              <w:rPr>
                <w:rFonts w:ascii="宋体" w:hAnsi="宋体" w:cs="宋体" w:eastAsia="宋体" w:hint="default"/>
                <w:sz w:val="15"/>
                <w:szCs w:val="15"/>
              </w:rPr>
              <w:t>21,798</w:t>
            </w:r>
            <w:r>
              <w:rPr>
                <w:rFonts w:ascii="宋体" w:hAnsi="宋体" w:cs="宋体" w:eastAsia="宋体" w:hint="default"/>
                <w:spacing w:val="-40"/>
                <w:sz w:val="15"/>
                <w:szCs w:val="15"/>
              </w:rPr>
              <w:t> </w:t>
            </w:r>
            <w:r>
              <w:rPr>
                <w:rFonts w:ascii="宋体" w:hAnsi="宋体" w:cs="宋体" w:eastAsia="宋体" w:hint="default"/>
                <w:sz w:val="15"/>
                <w:szCs w:val="15"/>
              </w:rPr>
              <w:t>万元</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45,630,204.31</w:t>
            </w:r>
          </w:p>
        </w:tc>
        <w:tc>
          <w:tcPr>
            <w:tcW w:w="1343"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45,630,204.31</w:t>
            </w:r>
          </w:p>
        </w:tc>
      </w:tr>
      <w:tr>
        <w:trPr>
          <w:trHeight w:val="558"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06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13,903,147.17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32,548,936.11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17,773,830.57</w:t>
            </w:r>
          </w:p>
        </w:tc>
        <w:tc>
          <w:tcPr>
            <w:tcW w:w="500"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28,678,252.71</w:t>
            </w:r>
          </w:p>
        </w:tc>
      </w:tr>
      <w:tr>
        <w:trPr>
          <w:trHeight w:val="559"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114,058,618.60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8"/>
              <w:jc w:val="right"/>
              <w:rPr>
                <w:rFonts w:ascii="宋体" w:hAnsi="宋体" w:cs="宋体" w:eastAsia="宋体" w:hint="default"/>
                <w:sz w:val="15"/>
                <w:szCs w:val="15"/>
              </w:rPr>
            </w:pPr>
            <w:r>
              <w:rPr>
                <w:rFonts w:ascii="宋体"/>
                <w:spacing w:val="-1"/>
                <w:sz w:val="15"/>
              </w:rPr>
              <w:t>165,276,732.62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17,773,830.57</w:t>
            </w:r>
          </w:p>
        </w:tc>
        <w:tc>
          <w:tcPr>
            <w:tcW w:w="500"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261,561,520.65</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571"/>
        <w:gridCol w:w="1473"/>
        <w:gridCol w:w="778"/>
        <w:gridCol w:w="1189"/>
        <w:gridCol w:w="1311"/>
        <w:gridCol w:w="1134"/>
        <w:gridCol w:w="1388"/>
      </w:tblGrid>
      <w:tr>
        <w:trPr>
          <w:trHeight w:val="755"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45" w:right="147" w:firstLine="37"/>
              <w:jc w:val="left"/>
              <w:rPr>
                <w:rFonts w:ascii="宋体" w:hAnsi="宋体" w:cs="宋体" w:eastAsia="宋体" w:hint="default"/>
                <w:sz w:val="18"/>
                <w:szCs w:val="18"/>
              </w:rPr>
            </w:pPr>
            <w:r>
              <w:rPr>
                <w:rFonts w:ascii="宋体" w:hAnsi="宋体" w:cs="宋体" w:eastAsia="宋体" w:hint="default"/>
                <w:sz w:val="18"/>
                <w:szCs w:val="18"/>
              </w:rPr>
              <w:t>工程累计投入 占预算比例</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48" w:right="23" w:hanging="225"/>
              <w:jc w:val="left"/>
              <w:rPr>
                <w:rFonts w:ascii="宋体" w:hAnsi="宋体" w:cs="宋体" w:eastAsia="宋体" w:hint="default"/>
                <w:sz w:val="18"/>
                <w:szCs w:val="18"/>
              </w:rPr>
            </w:pPr>
            <w:r>
              <w:rPr>
                <w:rFonts w:ascii="宋体" w:hAnsi="宋体" w:cs="宋体" w:eastAsia="宋体" w:hint="default"/>
                <w:sz w:val="18"/>
                <w:szCs w:val="18"/>
              </w:rPr>
              <w:t>工程进度 </w:t>
            </w:r>
            <w:r>
              <w:rPr>
                <w:rFonts w:ascii="宋体" w:hAnsi="宋体" w:cs="宋体" w:eastAsia="宋体"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139" w:right="138" w:firstLine="90"/>
              <w:jc w:val="left"/>
              <w:rPr>
                <w:rFonts w:ascii="宋体" w:hAnsi="宋体" w:cs="宋体" w:eastAsia="宋体" w:hint="default"/>
                <w:sz w:val="18"/>
                <w:szCs w:val="18"/>
              </w:rPr>
            </w:pPr>
            <w:r>
              <w:rPr>
                <w:rFonts w:ascii="宋体" w:hAnsi="宋体" w:cs="宋体" w:eastAsia="宋体" w:hint="default"/>
                <w:sz w:val="18"/>
                <w:szCs w:val="18"/>
              </w:rPr>
              <w:t>利息资本 化累计金额</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00" w:right="198" w:firstLine="90"/>
              <w:jc w:val="left"/>
              <w:rPr>
                <w:rFonts w:ascii="宋体" w:hAnsi="宋体" w:cs="宋体" w:eastAsia="宋体" w:hint="default"/>
                <w:sz w:val="18"/>
                <w:szCs w:val="18"/>
              </w:rPr>
            </w:pPr>
            <w:r>
              <w:rPr>
                <w:rFonts w:ascii="宋体" w:hAnsi="宋体" w:cs="宋体" w:eastAsia="宋体" w:hint="default"/>
                <w:sz w:val="18"/>
                <w:szCs w:val="18"/>
              </w:rPr>
              <w:t>本期利息 资本化金额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47" w:right="20" w:hanging="226"/>
              <w:jc w:val="left"/>
              <w:rPr>
                <w:rFonts w:ascii="宋体" w:hAnsi="宋体" w:cs="宋体" w:eastAsia="宋体" w:hint="default"/>
                <w:sz w:val="18"/>
                <w:szCs w:val="18"/>
              </w:rPr>
            </w:pPr>
            <w:r>
              <w:rPr>
                <w:rFonts w:ascii="宋体" w:hAnsi="宋体" w:cs="宋体" w:eastAsia="宋体" w:hint="default"/>
                <w:sz w:val="18"/>
                <w:szCs w:val="18"/>
              </w:rPr>
              <w:t>本期利息资本 化率</w:t>
            </w:r>
            <w:r>
              <w:rPr>
                <w:rFonts w:ascii="宋体" w:hAnsi="宋体" w:cs="宋体" w:eastAsia="宋体" w:hint="default"/>
                <w:sz w:val="18"/>
                <w:szCs w:val="18"/>
              </w:rPr>
              <w:t>(%)</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55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56.74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75</w:t>
            </w:r>
          </w:p>
        </w:tc>
        <w:tc>
          <w:tcPr>
            <w:tcW w:w="1189"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35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1026"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万台高压和超高压清洗</w:t>
            </w:r>
          </w:p>
          <w:p>
            <w:pPr>
              <w:pStyle w:val="TableParagraph"/>
              <w:spacing w:line="319" w:lineRule="auto" w:before="75"/>
              <w:ind w:left="122" w:right="101"/>
              <w:jc w:val="left"/>
              <w:rPr>
                <w:rFonts w:ascii="宋体" w:hAnsi="宋体" w:cs="宋体" w:eastAsia="宋体" w:hint="default"/>
                <w:sz w:val="18"/>
                <w:szCs w:val="18"/>
              </w:rPr>
            </w:pPr>
            <w:r>
              <w:rPr>
                <w:rFonts w:ascii="宋体" w:hAnsi="宋体" w:cs="宋体" w:eastAsia="宋体" w:hint="default"/>
                <w:sz w:val="18"/>
                <w:szCs w:val="18"/>
              </w:rPr>
              <w:t>机及 </w:t>
            </w:r>
            <w:r>
              <w:rPr>
                <w:rFonts w:ascii="宋体" w:hAnsi="宋体" w:cs="宋体" w:eastAsia="宋体" w:hint="default"/>
                <w:sz w:val="18"/>
                <w:szCs w:val="18"/>
              </w:rPr>
              <w:t>3000 </w:t>
            </w:r>
            <w:r>
              <w:rPr>
                <w:rFonts w:ascii="宋体" w:hAnsi="宋体" w:cs="宋体" w:eastAsia="宋体" w:hint="default"/>
                <w:sz w:val="18"/>
                <w:szCs w:val="18"/>
              </w:rPr>
              <w:t>台高压管道清洗车 技改项目</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20.93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34</w:t>
            </w:r>
          </w:p>
        </w:tc>
        <w:tc>
          <w:tcPr>
            <w:tcW w:w="1189"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7"/>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47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97"/>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8" w:hRule="exact"/>
        </w:trPr>
        <w:tc>
          <w:tcPr>
            <w:tcW w:w="25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7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029"/>
        <w:jc w:val="left"/>
      </w:pPr>
      <w:r>
        <w:rPr>
          <w:rFonts w:ascii="宋体" w:hAnsi="宋体" w:cs="宋体" w:eastAsia="宋体" w:hint="default"/>
        </w:rPr>
        <w:t>13.</w:t>
      </w:r>
      <w:r>
        <w:rPr>
          <w:rFonts w:ascii="宋体" w:hAnsi="宋体" w:cs="宋体" w:eastAsia="宋体" w:hint="default"/>
          <w:spacing w:val="-1"/>
        </w:rPr>
        <w:t> </w:t>
      </w:r>
      <w:r>
        <w:rPr/>
        <w:t>无形资产</w:t>
      </w:r>
    </w:p>
    <w:p>
      <w:pPr>
        <w:spacing w:line="240" w:lineRule="auto" w:before="11"/>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500"/>
        <w:gridCol w:w="1748"/>
        <w:gridCol w:w="1750"/>
        <w:gridCol w:w="1750"/>
        <w:gridCol w:w="1750"/>
      </w:tblGrid>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0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99"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09" w:right="0"/>
              <w:jc w:val="left"/>
              <w:rPr>
                <w:rFonts w:ascii="宋体" w:hAnsi="宋体" w:cs="宋体" w:eastAsia="宋体" w:hint="default"/>
                <w:sz w:val="18"/>
                <w:szCs w:val="18"/>
              </w:rPr>
            </w:pPr>
            <w:r>
              <w:rPr>
                <w:rFonts w:ascii="宋体" w:hAnsi="宋体" w:cs="宋体" w:eastAsia="宋体" w:hint="default"/>
                <w:sz w:val="18"/>
                <w:szCs w:val="18"/>
              </w:rPr>
              <w:t>非专利技术</w:t>
            </w: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232,509,599.46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12,204,775.11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35" w:right="0"/>
              <w:jc w:val="left"/>
              <w:rPr>
                <w:rFonts w:ascii="宋体" w:hAnsi="宋体" w:cs="宋体" w:eastAsia="宋体" w:hint="default"/>
                <w:sz w:val="18"/>
                <w:szCs w:val="18"/>
              </w:rPr>
            </w:pPr>
            <w:r>
              <w:rPr>
                <w:rFonts w:ascii="宋体"/>
                <w:sz w:val="18"/>
              </w:rPr>
              <w:t>613,605.00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467" w:right="0"/>
              <w:jc w:val="left"/>
              <w:rPr>
                <w:rFonts w:ascii="宋体" w:hAnsi="宋体" w:cs="宋体" w:eastAsia="宋体" w:hint="default"/>
                <w:sz w:val="18"/>
                <w:szCs w:val="18"/>
              </w:rPr>
            </w:pPr>
            <w:r>
              <w:rPr>
                <w:rFonts w:ascii="宋体"/>
                <w:sz w:val="18"/>
              </w:rPr>
              <w:t>30,046,632.08</w:t>
            </w:r>
          </w:p>
        </w:tc>
      </w:tr>
      <w:tr>
        <w:trPr>
          <w:trHeight w:val="71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82" w:right="99"/>
              <w:jc w:val="left"/>
              <w:rPr>
                <w:rFonts w:ascii="宋体" w:hAnsi="宋体" w:cs="宋体" w:eastAsia="宋体" w:hint="default"/>
                <w:sz w:val="18"/>
                <w:szCs w:val="18"/>
              </w:rPr>
            </w:pPr>
            <w:r>
              <w:rPr>
                <w:rFonts w:ascii="宋体" w:hAnsi="宋体" w:cs="宋体" w:eastAsia="宋体" w:hint="default"/>
                <w:sz w:val="18"/>
                <w:szCs w:val="18"/>
              </w:rPr>
              <w:t>本期增加金</w:t>
            </w:r>
            <w:r>
              <w:rPr>
                <w:rFonts w:ascii="宋体" w:hAnsi="宋体" w:cs="宋体" w:eastAsia="宋体" w:hint="default"/>
                <w:spacing w:val="-81"/>
                <w:sz w:val="18"/>
                <w:szCs w:val="18"/>
              </w:rPr>
              <w:t> </w:t>
            </w:r>
            <w:r>
              <w:rPr>
                <w:rFonts w:ascii="宋体" w:hAnsi="宋体" w:cs="宋体" w:eastAsia="宋体" w:hint="default"/>
                <w:sz w:val="18"/>
                <w:szCs w:val="18"/>
              </w:rPr>
              <w:t>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42,289,110.41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1,828,997.41</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购  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42,289,110.41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1,682,721.22</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701" w:right="50" w:hanging="2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0"/>
                <w:sz w:val="18"/>
                <w:szCs w:val="18"/>
              </w:rPr>
              <w:t> </w:t>
            </w:r>
            <w:r>
              <w:rPr>
                <w:rFonts w:ascii="宋体" w:hAnsi="宋体" w:cs="宋体" w:eastAsia="宋体" w:hint="default"/>
                <w:spacing w:val="33"/>
                <w:sz w:val="18"/>
                <w:szCs w:val="18"/>
              </w:rPr>
              <w:t>企业合</w:t>
            </w:r>
            <w:r>
              <w:rPr>
                <w:rFonts w:ascii="宋体" w:hAnsi="宋体" w:cs="宋体" w:eastAsia="宋体" w:hint="default"/>
                <w:spacing w:val="-40"/>
                <w:sz w:val="18"/>
                <w:szCs w:val="18"/>
              </w:rPr>
              <w:t> </w:t>
            </w:r>
            <w:r>
              <w:rPr>
                <w:rFonts w:ascii="宋体" w:hAnsi="宋体" w:cs="宋体" w:eastAsia="宋体" w:hint="default"/>
                <w:sz w:val="18"/>
                <w:szCs w:val="18"/>
              </w:rPr>
              <w:t>并增加</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146,276.19</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30" w:type="dxa"/>
        <w:tblLayout w:type="fixed"/>
        <w:tblCellMar>
          <w:top w:w="0" w:type="dxa"/>
          <w:left w:w="0" w:type="dxa"/>
          <w:bottom w:w="0" w:type="dxa"/>
          <w:right w:w="0" w:type="dxa"/>
        </w:tblCellMar>
        <w:tblLook w:val="01E0"/>
      </w:tblPr>
      <w:tblGrid>
        <w:gridCol w:w="1500"/>
        <w:gridCol w:w="1748"/>
        <w:gridCol w:w="1750"/>
        <w:gridCol w:w="1750"/>
        <w:gridCol w:w="1750"/>
      </w:tblGrid>
      <w:tr>
        <w:trPr>
          <w:trHeight w:val="71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82" w:right="99"/>
              <w:jc w:val="left"/>
              <w:rPr>
                <w:rFonts w:ascii="宋体" w:hAnsi="宋体" w:cs="宋体" w:eastAsia="宋体" w:hint="default"/>
                <w:sz w:val="18"/>
                <w:szCs w:val="18"/>
              </w:rPr>
            </w:pPr>
            <w:r>
              <w:rPr>
                <w:rFonts w:ascii="宋体" w:hAnsi="宋体" w:cs="宋体" w:eastAsia="宋体" w:hint="default"/>
                <w:sz w:val="18"/>
                <w:szCs w:val="18"/>
              </w:rPr>
              <w:t>本期减少金</w:t>
            </w:r>
            <w:r>
              <w:rPr>
                <w:rFonts w:ascii="宋体" w:hAnsi="宋体" w:cs="宋体" w:eastAsia="宋体" w:hint="default"/>
                <w:spacing w:val="-81"/>
                <w:sz w:val="18"/>
                <w:szCs w:val="18"/>
              </w:rPr>
              <w:t> </w:t>
            </w:r>
            <w:r>
              <w:rPr>
                <w:rFonts w:ascii="宋体" w:hAnsi="宋体" w:cs="宋体" w:eastAsia="宋体" w:hint="default"/>
                <w:sz w:val="18"/>
                <w:szCs w:val="18"/>
              </w:rPr>
              <w:t>额</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1,709.40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1,709.40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274,798,709.87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14,032,063.12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613,605.00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30,046,632.08</w:t>
            </w: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13,005,297.06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7,869,601.01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459,471.52</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17,459,989.57</w:t>
            </w:r>
          </w:p>
        </w:tc>
      </w:tr>
      <w:tr>
        <w:trPr>
          <w:trHeight w:val="71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82" w:right="99"/>
              <w:jc w:val="left"/>
              <w:rPr>
                <w:rFonts w:ascii="宋体" w:hAnsi="宋体" w:cs="宋体" w:eastAsia="宋体" w:hint="default"/>
                <w:sz w:val="18"/>
                <w:szCs w:val="18"/>
              </w:rPr>
            </w:pPr>
            <w:r>
              <w:rPr>
                <w:rFonts w:ascii="宋体" w:hAnsi="宋体" w:cs="宋体" w:eastAsia="宋体" w:hint="default"/>
                <w:sz w:val="18"/>
                <w:szCs w:val="18"/>
              </w:rPr>
              <w:t>本期增加金</w:t>
            </w:r>
            <w:r>
              <w:rPr>
                <w:rFonts w:ascii="宋体" w:hAnsi="宋体" w:cs="宋体" w:eastAsia="宋体" w:hint="default"/>
                <w:spacing w:val="-81"/>
                <w:sz w:val="18"/>
                <w:szCs w:val="18"/>
              </w:rPr>
              <w:t> </w:t>
            </w:r>
            <w:r>
              <w:rPr>
                <w:rFonts w:ascii="宋体" w:hAnsi="宋体" w:cs="宋体" w:eastAsia="宋体" w:hint="default"/>
                <w:sz w:val="18"/>
                <w:szCs w:val="18"/>
              </w:rPr>
              <w:t>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5,202,332.03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1,523,454.81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115,599.96</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4,195,082.68</w:t>
            </w: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00"/>
              <w:jc w:val="righ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计  提</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5,202,332.03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1,449,217.25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115,599.96</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4,195,082.68</w:t>
            </w:r>
          </w:p>
        </w:tc>
      </w:tr>
      <w:tr>
        <w:trPr>
          <w:trHeight w:val="71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752" w:right="71" w:hanging="2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4"/>
                <w:sz w:val="18"/>
                <w:szCs w:val="18"/>
              </w:rPr>
              <w:t> </w:t>
            </w:r>
            <w:r>
              <w:rPr>
                <w:rFonts w:ascii="宋体" w:hAnsi="宋体" w:cs="宋体" w:eastAsia="宋体" w:hint="default"/>
                <w:spacing w:val="21"/>
                <w:sz w:val="18"/>
                <w:szCs w:val="18"/>
              </w:rPr>
              <w:t>企业合</w:t>
            </w:r>
            <w:r>
              <w:rPr>
                <w:rFonts w:ascii="宋体" w:hAnsi="宋体" w:cs="宋体" w:eastAsia="宋体" w:hint="default"/>
                <w:spacing w:val="-58"/>
                <w:sz w:val="18"/>
                <w:szCs w:val="18"/>
              </w:rPr>
              <w:t> </w:t>
            </w:r>
            <w:r>
              <w:rPr>
                <w:rFonts w:ascii="宋体" w:hAnsi="宋体" w:cs="宋体" w:eastAsia="宋体" w:hint="default"/>
                <w:sz w:val="18"/>
                <w:szCs w:val="18"/>
              </w:rPr>
              <w:t>并增加</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74,237.56</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482" w:right="99"/>
              <w:jc w:val="left"/>
              <w:rPr>
                <w:rFonts w:ascii="宋体" w:hAnsi="宋体" w:cs="宋体" w:eastAsia="宋体" w:hint="default"/>
                <w:sz w:val="18"/>
                <w:szCs w:val="18"/>
              </w:rPr>
            </w:pPr>
            <w:r>
              <w:rPr>
                <w:rFonts w:ascii="宋体" w:hAnsi="宋体" w:cs="宋体" w:eastAsia="宋体" w:hint="default"/>
                <w:sz w:val="18"/>
                <w:szCs w:val="18"/>
              </w:rPr>
              <w:t>本期减少金</w:t>
            </w:r>
            <w:r>
              <w:rPr>
                <w:rFonts w:ascii="宋体" w:hAnsi="宋体" w:cs="宋体" w:eastAsia="宋体" w:hint="default"/>
                <w:spacing w:val="-81"/>
                <w:sz w:val="18"/>
                <w:szCs w:val="18"/>
              </w:rPr>
              <w:t> </w:t>
            </w:r>
            <w:r>
              <w:rPr>
                <w:rFonts w:ascii="宋体" w:hAnsi="宋体" w:cs="宋体" w:eastAsia="宋体" w:hint="default"/>
                <w:sz w:val="18"/>
                <w:szCs w:val="18"/>
              </w:rPr>
              <w:t>额</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1,396.01</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00"/>
              <w:jc w:val="right"/>
              <w:rPr>
                <w:rFonts w:ascii="宋体" w:hAnsi="宋体" w:cs="宋体" w:eastAsia="宋体" w:hint="default"/>
                <w:sz w:val="18"/>
                <w:szCs w:val="18"/>
              </w:rPr>
            </w:pPr>
            <w:r>
              <w:rPr>
                <w:rFonts w:ascii="宋体" w:hAnsi="宋体" w:cs="宋体" w:eastAsia="宋体" w:hint="default"/>
                <w:sz w:val="18"/>
                <w:szCs w:val="18"/>
              </w:rPr>
              <w:t>处  置</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1,396.01</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18,207,629.09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9,391,659.81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575,071.48</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21,655,072.25</w:t>
            </w: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256,591,080.78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4,640,403.31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38,533.52</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8,391,559.83</w:t>
            </w:r>
          </w:p>
        </w:tc>
      </w:tr>
      <w:tr>
        <w:trPr>
          <w:trHeight w:val="558"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219,504,302.40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4,335,174.10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154,133.48</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12,586,642.51</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61"/>
        <w:gridCol w:w="2027"/>
        <w:gridCol w:w="2030"/>
        <w:gridCol w:w="2030"/>
        <w:gridCol w:w="2027"/>
      </w:tblGrid>
      <w:tr>
        <w:trPr>
          <w:trHeight w:val="754"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排污权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91" w:right="413" w:firstLine="67"/>
              <w:jc w:val="left"/>
              <w:rPr>
                <w:rFonts w:ascii="宋体" w:hAnsi="宋体" w:cs="宋体" w:eastAsia="宋体" w:hint="default"/>
                <w:sz w:val="18"/>
                <w:szCs w:val="18"/>
              </w:rPr>
            </w:pPr>
            <w:r>
              <w:rPr>
                <w:rFonts w:ascii="宋体" w:hAnsi="宋体" w:cs="宋体" w:eastAsia="宋体" w:hint="default"/>
                <w:sz w:val="18"/>
                <w:szCs w:val="18"/>
              </w:rPr>
              <w:t>软件著作权和 域名组合</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土地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275,374,611.65</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91"/>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198,300.00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199,640,000.00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389,004.50</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244,345,412.32</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购  置</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198,300.00</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389,004.50</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44,559,136.13</w:t>
            </w:r>
          </w:p>
        </w:tc>
      </w:tr>
      <w:tr>
        <w:trPr>
          <w:trHeight w:val="714"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701" w:right="89" w:hanging="2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4"/>
                <w:sz w:val="18"/>
                <w:szCs w:val="18"/>
              </w:rPr>
              <w:t> </w:t>
            </w:r>
            <w:r>
              <w:rPr>
                <w:rFonts w:ascii="宋体" w:hAnsi="宋体" w:cs="宋体" w:eastAsia="宋体" w:hint="default"/>
                <w:spacing w:val="9"/>
                <w:sz w:val="18"/>
                <w:szCs w:val="18"/>
              </w:rPr>
              <w:t>企业合并增</w:t>
            </w:r>
            <w:r>
              <w:rPr>
                <w:rFonts w:ascii="宋体" w:hAnsi="宋体" w:cs="宋体" w:eastAsia="宋体" w:hint="default"/>
                <w:spacing w:val="10"/>
                <w:sz w:val="18"/>
                <w:szCs w:val="18"/>
              </w:rPr>
              <w:t> </w:t>
            </w:r>
            <w:r>
              <w:rPr>
                <w:rFonts w:ascii="宋体" w:hAnsi="宋体" w:cs="宋体" w:eastAsia="宋体" w:hint="default"/>
                <w:sz w:val="18"/>
                <w:szCs w:val="18"/>
              </w:rPr>
              <w:t>加</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18"/>
                <w:szCs w:val="18"/>
              </w:rPr>
            </w:pPr>
            <w:r>
              <w:rPr>
                <w:rFonts w:ascii="宋体"/>
                <w:sz w:val="18"/>
              </w:rPr>
              <w:t>199,640,000.00</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7"/>
              <w:jc w:val="right"/>
              <w:rPr>
                <w:rFonts w:ascii="宋体" w:hAnsi="宋体" w:cs="宋体" w:eastAsia="宋体" w:hint="default"/>
                <w:sz w:val="18"/>
                <w:szCs w:val="18"/>
              </w:rPr>
            </w:pPr>
            <w:r>
              <w:rPr>
                <w:rFonts w:ascii="宋体"/>
                <w:sz w:val="18"/>
              </w:rPr>
              <w:t>199,786,276.19</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91"/>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1,709.40</w:t>
            </w:r>
          </w:p>
        </w:tc>
      </w:tr>
      <w:tr>
        <w:trPr>
          <w:trHeight w:val="559"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68"/>
              <w:jc w:val="center"/>
              <w:rPr>
                <w:rFonts w:ascii="宋体" w:hAnsi="宋体" w:cs="宋体" w:eastAsia="宋体" w:hint="default"/>
                <w:sz w:val="18"/>
                <w:szCs w:val="18"/>
              </w:rPr>
            </w:pPr>
            <w:r>
              <w:rPr>
                <w:rFonts w:ascii="宋体" w:hAnsi="宋体" w:cs="宋体" w:eastAsia="宋体" w:hint="default"/>
                <w:sz w:val="18"/>
                <w:szCs w:val="18"/>
              </w:rPr>
              <w:t>处置</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1,709.40</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61"/>
        <w:gridCol w:w="2027"/>
        <w:gridCol w:w="2030"/>
        <w:gridCol w:w="2030"/>
        <w:gridCol w:w="2027"/>
      </w:tblGrid>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198,300.00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199,640,000.00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389,004.50</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519,718,314.57</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38,794,359.16</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16,525.00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19,257,000.00</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26,025,994.48</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9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计  提</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16,525.00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1,663,666.67</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12,642,423.59</w:t>
            </w:r>
          </w:p>
        </w:tc>
      </w:tr>
      <w:tr>
        <w:trPr>
          <w:trHeight w:val="714"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644" w:right="79" w:hanging="27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5"/>
                <w:sz w:val="18"/>
                <w:szCs w:val="18"/>
              </w:rPr>
              <w:t> </w:t>
            </w:r>
            <w:r>
              <w:rPr>
                <w:rFonts w:ascii="宋体" w:hAnsi="宋体" w:cs="宋体" w:eastAsia="宋体" w:hint="default"/>
                <w:spacing w:val="16"/>
                <w:sz w:val="18"/>
                <w:szCs w:val="18"/>
              </w:rPr>
              <w:t>企业合并增</w:t>
            </w:r>
            <w:r>
              <w:rPr>
                <w:rFonts w:ascii="宋体" w:hAnsi="宋体" w:cs="宋体" w:eastAsia="宋体" w:hint="default"/>
                <w:spacing w:val="-69"/>
                <w:sz w:val="18"/>
                <w:szCs w:val="18"/>
              </w:rPr>
              <w:t> </w:t>
            </w:r>
            <w:r>
              <w:rPr>
                <w:rFonts w:ascii="宋体" w:hAnsi="宋体" w:cs="宋体" w:eastAsia="宋体" w:hint="default"/>
                <w:sz w:val="18"/>
                <w:szCs w:val="18"/>
              </w:rPr>
              <w:t>加</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13,309,333.33</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7"/>
              <w:jc w:val="right"/>
              <w:rPr>
                <w:rFonts w:ascii="宋体" w:hAnsi="宋体" w:cs="宋体" w:eastAsia="宋体" w:hint="default"/>
                <w:sz w:val="18"/>
                <w:szCs w:val="18"/>
              </w:rPr>
            </w:pPr>
            <w:r>
              <w:rPr>
                <w:rFonts w:ascii="宋体"/>
                <w:sz w:val="18"/>
              </w:rPr>
              <w:t>13,383,570.89</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1,396.01</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752" w:right="0"/>
              <w:jc w:val="left"/>
              <w:rPr>
                <w:rFonts w:ascii="宋体" w:hAnsi="宋体" w:cs="宋体" w:eastAsia="宋体" w:hint="default"/>
                <w:sz w:val="18"/>
                <w:szCs w:val="18"/>
              </w:rPr>
            </w:pPr>
            <w:r>
              <w:rPr>
                <w:rFonts w:ascii="宋体" w:hAnsi="宋体" w:cs="宋体" w:eastAsia="宋体" w:hint="default"/>
                <w:sz w:val="18"/>
                <w:szCs w:val="18"/>
              </w:rPr>
              <w:t>处  置</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1,396.01</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75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16,525.00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14,973,000.00</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64,818,957.63</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181,775.00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184,667,000.00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389,004.50</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454,899,356.94</w:t>
            </w:r>
          </w:p>
        </w:tc>
      </w:tr>
      <w:tr>
        <w:trPr>
          <w:trHeight w:val="558" w:hRule="exact"/>
        </w:trPr>
        <w:tc>
          <w:tcPr>
            <w:tcW w:w="17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027"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236,580,252.49</w:t>
            </w:r>
          </w:p>
        </w:tc>
      </w:tr>
    </w:tbl>
    <w:p>
      <w:pPr>
        <w:spacing w:line="240" w:lineRule="auto" w:before="7"/>
        <w:rPr>
          <w:rFonts w:ascii="宋体" w:hAnsi="宋体" w:cs="宋体" w:eastAsia="宋体" w:hint="default"/>
          <w:sz w:val="6"/>
          <w:szCs w:val="6"/>
        </w:rPr>
      </w:pPr>
    </w:p>
    <w:p>
      <w:pPr>
        <w:spacing w:line="477" w:lineRule="auto" w:before="44"/>
        <w:ind w:left="233" w:right="112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pacing w:val="-2"/>
          <w:sz w:val="18"/>
          <w:szCs w:val="18"/>
        </w:rPr>
        <w:t>1]</w:t>
      </w:r>
      <w:r>
        <w:rPr>
          <w:rFonts w:ascii="宋体" w:hAnsi="宋体" w:cs="宋体" w:eastAsia="宋体" w:hint="default"/>
          <w:spacing w:val="-2"/>
          <w:sz w:val="18"/>
          <w:szCs w:val="18"/>
        </w:rPr>
        <w:t>：根据坤元资产评估有限公司对万圣伟业、微创时代分别出具的《资产评估报告》</w:t>
      </w:r>
      <w:r>
        <w:rPr>
          <w:rFonts w:ascii="宋体" w:hAnsi="宋体" w:cs="宋体" w:eastAsia="宋体" w:hint="default"/>
          <w:spacing w:val="-2"/>
          <w:sz w:val="18"/>
          <w:szCs w:val="18"/>
        </w:rPr>
        <w:t>(</w:t>
      </w:r>
      <w:r>
        <w:rPr>
          <w:rFonts w:ascii="宋体" w:hAnsi="宋体" w:cs="宋体" w:eastAsia="宋体" w:hint="default"/>
          <w:spacing w:val="-2"/>
          <w:sz w:val="18"/>
          <w:szCs w:val="18"/>
        </w:rPr>
        <w:t>坤元评报〔</w:t>
      </w:r>
      <w:r>
        <w:rPr>
          <w:rFonts w:ascii="宋体" w:hAnsi="宋体" w:cs="宋体" w:eastAsia="宋体" w:hint="default"/>
          <w:spacing w:val="-2"/>
          <w:sz w:val="18"/>
          <w:szCs w:val="18"/>
        </w:rPr>
        <w:t>2015</w:t>
      </w:r>
      <w:r>
        <w:rPr>
          <w:rFonts w:ascii="宋体" w:hAnsi="宋体" w:cs="宋体" w:eastAsia="宋体" w:hint="default"/>
          <w:spacing w:val="-2"/>
          <w:sz w:val="18"/>
          <w:szCs w:val="18"/>
        </w:rPr>
        <w:t>〕</w:t>
      </w:r>
      <w:r>
        <w:rPr>
          <w:rFonts w:ascii="宋体" w:hAnsi="宋体" w:cs="宋体" w:eastAsia="宋体" w:hint="default"/>
          <w:spacing w:val="-2"/>
          <w:sz w:val="18"/>
          <w:szCs w:val="18"/>
        </w:rPr>
        <w:t>202</w:t>
      </w:r>
      <w:r>
        <w:rPr>
          <w:rFonts w:ascii="宋体" w:hAnsi="宋体" w:cs="宋体" w:eastAsia="宋体" w:hint="default"/>
          <w:spacing w:val="-68"/>
          <w:sz w:val="18"/>
          <w:szCs w:val="18"/>
        </w:rPr>
        <w:t> </w:t>
      </w:r>
      <w:r>
        <w:rPr>
          <w:rFonts w:ascii="宋体" w:hAnsi="宋体" w:cs="宋体" w:eastAsia="宋体" w:hint="default"/>
          <w:spacing w:val="-4"/>
          <w:sz w:val="18"/>
          <w:szCs w:val="18"/>
        </w:rPr>
        <w:t>号、坤</w:t>
      </w:r>
      <w:r>
        <w:rPr>
          <w:rFonts w:ascii="宋体" w:hAnsi="宋体" w:cs="宋体" w:eastAsia="宋体" w:hint="default"/>
          <w:sz w:val="18"/>
          <w:szCs w:val="18"/>
        </w:rPr>
        <w:t> 元评报〔</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203</w:t>
      </w:r>
      <w:r>
        <w:rPr>
          <w:rFonts w:ascii="宋体" w:hAnsi="宋体" w:cs="宋体" w:eastAsia="宋体" w:hint="default"/>
          <w:spacing w:val="-39"/>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，以</w:t>
      </w:r>
      <w:r>
        <w:rPr>
          <w:rFonts w:ascii="宋体" w:hAnsi="宋体" w:cs="宋体" w:eastAsia="宋体" w:hint="default"/>
          <w:spacing w:val="-39"/>
          <w:sz w:val="18"/>
          <w:szCs w:val="18"/>
        </w:rPr>
        <w:t> </w:t>
      </w:r>
      <w:r>
        <w:rPr>
          <w:rFonts w:ascii="宋体" w:hAnsi="宋体" w:cs="宋体" w:eastAsia="宋体" w:hint="default"/>
          <w:sz w:val="18"/>
          <w:szCs w:val="18"/>
        </w:rPr>
        <w:t>2015</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31</w:t>
      </w:r>
      <w:r>
        <w:rPr>
          <w:rFonts w:ascii="宋体" w:hAnsi="宋体" w:cs="宋体" w:eastAsia="宋体" w:hint="default"/>
          <w:spacing w:val="-39"/>
          <w:sz w:val="18"/>
          <w:szCs w:val="18"/>
        </w:rPr>
        <w:t> </w:t>
      </w:r>
      <w:r>
        <w:rPr>
          <w:rFonts w:ascii="宋体" w:hAnsi="宋体" w:cs="宋体" w:eastAsia="宋体" w:hint="default"/>
          <w:sz w:val="18"/>
          <w:szCs w:val="18"/>
        </w:rPr>
        <w:t>日为评估基准日，万圣伟业、微创时代软件著作权和域名组合评估净值分别为</w:t>
      </w:r>
    </w:p>
    <w:p>
      <w:pPr>
        <w:spacing w:before="54"/>
        <w:ind w:left="233" w:right="1029" w:firstLine="0"/>
        <w:jc w:val="left"/>
        <w:rPr>
          <w:rFonts w:ascii="宋体" w:hAnsi="宋体" w:cs="宋体" w:eastAsia="宋体" w:hint="default"/>
          <w:sz w:val="18"/>
          <w:szCs w:val="18"/>
        </w:rPr>
      </w:pPr>
      <w:r>
        <w:rPr>
          <w:rFonts w:ascii="宋体" w:hAnsi="宋体" w:cs="宋体" w:eastAsia="宋体" w:hint="default"/>
          <w:sz w:val="18"/>
          <w:szCs w:val="18"/>
        </w:rPr>
        <w:t>142,520,000.00</w:t>
      </w:r>
      <w:r>
        <w:rPr>
          <w:rFonts w:ascii="宋体" w:hAnsi="宋体" w:cs="宋体" w:eastAsia="宋体" w:hint="default"/>
          <w:spacing w:val="-50"/>
          <w:sz w:val="18"/>
          <w:szCs w:val="18"/>
        </w:rPr>
        <w:t> </w:t>
      </w:r>
      <w:r>
        <w:rPr>
          <w:rFonts w:ascii="宋体" w:hAnsi="宋体" w:cs="宋体" w:eastAsia="宋体" w:hint="default"/>
          <w:sz w:val="18"/>
          <w:szCs w:val="18"/>
        </w:rPr>
        <w:t>元和</w:t>
      </w:r>
      <w:r>
        <w:rPr>
          <w:rFonts w:ascii="宋体" w:hAnsi="宋体" w:cs="宋体" w:eastAsia="宋体" w:hint="default"/>
          <w:spacing w:val="-50"/>
          <w:sz w:val="18"/>
          <w:szCs w:val="18"/>
        </w:rPr>
        <w:t> </w:t>
      </w:r>
      <w:r>
        <w:rPr>
          <w:rFonts w:ascii="宋体" w:hAnsi="宋体" w:cs="宋体" w:eastAsia="宋体" w:hint="default"/>
          <w:sz w:val="18"/>
          <w:szCs w:val="18"/>
        </w:rPr>
        <w:t>57,120,000.00</w:t>
      </w:r>
      <w:r>
        <w:rPr>
          <w:rFonts w:ascii="宋体" w:hAnsi="宋体" w:cs="宋体" w:eastAsia="宋体" w:hint="default"/>
          <w:spacing w:val="-50"/>
          <w:sz w:val="18"/>
          <w:szCs w:val="18"/>
        </w:rPr>
        <w:t> </w:t>
      </w:r>
      <w:r>
        <w:rPr>
          <w:rFonts w:ascii="宋体" w:hAnsi="宋体" w:cs="宋体" w:eastAsia="宋体" w:hint="default"/>
          <w:sz w:val="18"/>
          <w:szCs w:val="18"/>
        </w:rPr>
        <w:t>元。本期假设自评估基准日至购买日</w:t>
      </w: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50"/>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按直线法摊销后</w:t>
      </w:r>
      <w:r>
        <w:rPr>
          <w:rFonts w:ascii="宋体" w:hAnsi="宋体" w:cs="宋体" w:eastAsia="宋体" w:hint="default"/>
          <w:sz w:val="18"/>
          <w:szCs w:val="18"/>
        </w:rPr>
        <w:t>(</w:t>
      </w:r>
      <w:r>
        <w:rPr>
          <w:rFonts w:ascii="宋体" w:hAnsi="宋体" w:cs="宋体" w:eastAsia="宋体" w:hint="default"/>
          <w:sz w:val="18"/>
          <w:szCs w:val="18"/>
        </w:rPr>
        <w:t>摊销年限</w:t>
      </w:r>
      <w:r>
        <w:rPr>
          <w:rFonts w:ascii="宋体" w:hAnsi="宋体" w:cs="宋体" w:eastAsia="宋体" w:hint="default"/>
          <w:spacing w:val="-50"/>
          <w:sz w:val="18"/>
          <w:szCs w:val="18"/>
        </w:rPr>
        <w:t> </w:t>
      </w:r>
      <w:r>
        <w:rPr>
          <w:rFonts w:ascii="宋体" w:hAnsi="宋体" w:cs="宋体" w:eastAsia="宋体" w:hint="default"/>
          <w:sz w:val="18"/>
          <w:szCs w:val="18"/>
        </w:rPr>
        <w:t>10</w:t>
      </w:r>
    </w:p>
    <w:p>
      <w:pPr>
        <w:spacing w:line="240" w:lineRule="auto" w:before="11"/>
        <w:rPr>
          <w:rFonts w:ascii="宋体" w:hAnsi="宋体" w:cs="宋体" w:eastAsia="宋体" w:hint="default"/>
          <w:sz w:val="17"/>
          <w:szCs w:val="17"/>
        </w:rPr>
      </w:pPr>
    </w:p>
    <w:p>
      <w:pPr>
        <w:spacing w:line="516" w:lineRule="auto" w:before="0"/>
        <w:ind w:left="593" w:right="1036" w:hanging="36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，万圣伟业、微创时代上述软件著作权和域名组合于购买日的评估净值分别为</w:t>
      </w:r>
      <w:r>
        <w:rPr>
          <w:rFonts w:ascii="宋体" w:hAnsi="宋体" w:cs="宋体" w:eastAsia="宋体" w:hint="default"/>
          <w:spacing w:val="-45"/>
          <w:sz w:val="18"/>
          <w:szCs w:val="18"/>
        </w:rPr>
        <w:t> </w:t>
      </w:r>
      <w:r>
        <w:rPr>
          <w:rFonts w:ascii="宋体" w:hAnsi="宋体" w:cs="宋体" w:eastAsia="宋体" w:hint="default"/>
          <w:sz w:val="18"/>
          <w:szCs w:val="18"/>
        </w:rPr>
        <w:t>133,018,666.67</w:t>
      </w:r>
      <w:r>
        <w:rPr>
          <w:rFonts w:ascii="宋体" w:hAnsi="宋体" w:cs="宋体" w:eastAsia="宋体" w:hint="default"/>
          <w:spacing w:val="-46"/>
          <w:sz w:val="18"/>
          <w:szCs w:val="18"/>
        </w:rPr>
        <w:t> </w:t>
      </w:r>
      <w:r>
        <w:rPr>
          <w:rFonts w:ascii="宋体" w:hAnsi="宋体" w:cs="宋体" w:eastAsia="宋体" w:hint="default"/>
          <w:sz w:val="18"/>
          <w:szCs w:val="18"/>
        </w:rPr>
        <w:t>元和</w:t>
      </w:r>
      <w:r>
        <w:rPr>
          <w:rFonts w:ascii="宋体" w:hAnsi="宋体" w:cs="宋体" w:eastAsia="宋体" w:hint="default"/>
          <w:spacing w:val="-46"/>
          <w:sz w:val="18"/>
          <w:szCs w:val="18"/>
        </w:rPr>
        <w:t> </w:t>
      </w:r>
      <w:r>
        <w:rPr>
          <w:rFonts w:ascii="宋体" w:hAnsi="宋体" w:cs="宋体" w:eastAsia="宋体" w:hint="default"/>
          <w:sz w:val="18"/>
          <w:szCs w:val="18"/>
        </w:rPr>
        <w:t>53,312,000.00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z w:val="18"/>
          <w:szCs w:val="18"/>
        </w:rPr>
        <w:t>：系香港利欧下属子公司</w:t>
      </w:r>
      <w:r>
        <w:rPr>
          <w:rFonts w:ascii="宋体" w:hAnsi="宋体" w:cs="宋体" w:eastAsia="宋体" w:hint="default"/>
          <w:spacing w:val="-41"/>
          <w:sz w:val="18"/>
          <w:szCs w:val="18"/>
        </w:rPr>
        <w:t> </w:t>
      </w:r>
      <w:r>
        <w:rPr>
          <w:rFonts w:ascii="宋体" w:hAnsi="宋体" w:cs="宋体" w:eastAsia="宋体" w:hint="default"/>
          <w:sz w:val="18"/>
          <w:szCs w:val="18"/>
        </w:rPr>
        <w:t>GAMA European Garden Machinery Co. Ltd.</w:t>
      </w:r>
      <w:r>
        <w:rPr>
          <w:rFonts w:ascii="宋体" w:hAnsi="宋体" w:cs="宋体" w:eastAsia="宋体" w:hint="default"/>
          <w:sz w:val="18"/>
          <w:szCs w:val="18"/>
        </w:rPr>
        <w:t>购买的拥有永久所有权的土地，该土地无</w:t>
      </w:r>
    </w:p>
    <w:p>
      <w:pPr>
        <w:spacing w:before="26"/>
        <w:ind w:left="234" w:right="1029" w:firstLine="0"/>
        <w:jc w:val="left"/>
        <w:rPr>
          <w:rFonts w:ascii="宋体" w:hAnsi="宋体" w:cs="宋体" w:eastAsia="宋体" w:hint="default"/>
          <w:sz w:val="18"/>
          <w:szCs w:val="18"/>
        </w:rPr>
      </w:pPr>
      <w:r>
        <w:rPr>
          <w:rFonts w:ascii="宋体" w:hAnsi="宋体" w:cs="宋体" w:eastAsia="宋体" w:hint="default"/>
          <w:sz w:val="18"/>
          <w:szCs w:val="18"/>
        </w:rPr>
        <w:t>需计提摊销。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444" w:lineRule="auto"/>
        <w:ind w:left="654" w:right="8757"/>
        <w:jc w:val="left"/>
      </w:pPr>
      <w:r>
        <w:rPr>
          <w:rFonts w:ascii="宋体" w:hAnsi="宋体" w:cs="宋体" w:eastAsia="宋体" w:hint="default"/>
        </w:rPr>
        <w:t>14.</w:t>
      </w:r>
      <w:r>
        <w:rPr/>
        <w:t>商誉 </w:t>
      </w:r>
      <w:r>
        <w:rPr>
          <w:rFonts w:ascii="宋体" w:hAnsi="宋体" w:cs="宋体" w:eastAsia="宋体" w:hint="default"/>
        </w:rPr>
        <w:t>(1)</w:t>
      </w:r>
      <w:r>
        <w:rPr/>
        <w:t>商誉账面原值</w:t>
      </w:r>
    </w:p>
    <w:tbl>
      <w:tblPr>
        <w:tblW w:w="0" w:type="auto"/>
        <w:jc w:val="left"/>
        <w:tblInd w:w="145" w:type="dxa"/>
        <w:tblLayout w:type="fixed"/>
        <w:tblCellMar>
          <w:top w:w="0" w:type="dxa"/>
          <w:left w:w="0" w:type="dxa"/>
          <w:bottom w:w="0" w:type="dxa"/>
          <w:right w:w="0" w:type="dxa"/>
        </w:tblCellMar>
        <w:tblLook w:val="01E0"/>
      </w:tblPr>
      <w:tblGrid>
        <w:gridCol w:w="2920"/>
        <w:gridCol w:w="1560"/>
        <w:gridCol w:w="1666"/>
        <w:gridCol w:w="700"/>
        <w:gridCol w:w="1653"/>
      </w:tblGrid>
      <w:tr>
        <w:trPr>
          <w:trHeight w:val="755"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42"/>
              <w:ind w:left="851" w:right="763" w:hanging="113"/>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4"/>
                <w:sz w:val="18"/>
                <w:szCs w:val="18"/>
              </w:rPr>
              <w:t>形成商誉的事项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pacing w:val="-3"/>
                <w:sz w:val="18"/>
                <w:szCs w:val="18"/>
              </w:rPr>
              <w:t>期初数</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2"/>
              <w:ind w:left="466" w:right="467"/>
              <w:jc w:val="left"/>
              <w:rPr>
                <w:rFonts w:ascii="宋体" w:hAnsi="宋体" w:cs="宋体" w:eastAsia="宋体" w:hint="default"/>
                <w:sz w:val="18"/>
                <w:szCs w:val="18"/>
              </w:rPr>
            </w:pPr>
            <w:r>
              <w:rPr>
                <w:rFonts w:ascii="宋体" w:hAnsi="宋体" w:cs="宋体" w:eastAsia="宋体" w:hint="default"/>
                <w:sz w:val="18"/>
                <w:szCs w:val="18"/>
              </w:rPr>
              <w:t>本期企业 合并形成</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259" w:right="72" w:hanging="176"/>
              <w:jc w:val="left"/>
              <w:rPr>
                <w:rFonts w:ascii="宋体" w:hAnsi="宋体" w:cs="宋体" w:eastAsia="宋体" w:hint="default"/>
                <w:sz w:val="18"/>
                <w:szCs w:val="18"/>
              </w:rPr>
            </w:pPr>
            <w:r>
              <w:rPr>
                <w:rFonts w:ascii="宋体" w:hAnsi="宋体" w:cs="宋体" w:eastAsia="宋体" w:hint="default"/>
                <w:spacing w:val="-3"/>
                <w:sz w:val="18"/>
                <w:szCs w:val="18"/>
              </w:rPr>
              <w:t>本期减</w:t>
            </w:r>
            <w:r>
              <w:rPr>
                <w:rFonts w:ascii="宋体" w:hAnsi="宋体" w:cs="宋体" w:eastAsia="宋体" w:hint="default"/>
                <w:sz w:val="18"/>
                <w:szCs w:val="18"/>
              </w:rPr>
              <w:t> 少</w:t>
            </w: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r>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pacing w:val="-4"/>
                <w:sz w:val="18"/>
                <w:szCs w:val="18"/>
              </w:rPr>
              <w:t>湖南利欧天鹅工业泵有限公司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3"/>
                <w:sz w:val="18"/>
              </w:rPr>
              <w:t>53,497,420.45</w:t>
            </w:r>
          </w:p>
        </w:tc>
        <w:tc>
          <w:tcPr>
            <w:tcW w:w="166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4"/>
              <w:jc w:val="right"/>
              <w:rPr>
                <w:rFonts w:ascii="宋体" w:hAnsi="宋体" w:cs="宋体" w:eastAsia="宋体" w:hint="default"/>
                <w:sz w:val="18"/>
                <w:szCs w:val="18"/>
              </w:rPr>
            </w:pPr>
            <w:r>
              <w:rPr>
                <w:rFonts w:ascii="宋体"/>
                <w:spacing w:val="-3"/>
                <w:sz w:val="18"/>
              </w:rPr>
              <w:t>53,497,420.45</w:t>
            </w:r>
          </w:p>
        </w:tc>
      </w:tr>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pacing w:val="-4"/>
                <w:sz w:val="18"/>
                <w:szCs w:val="18"/>
              </w:rPr>
              <w:t>大连利欧华能泵业有限公司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3"/>
                <w:sz w:val="18"/>
              </w:rPr>
              <w:t>16,036,931.11</w:t>
            </w:r>
          </w:p>
        </w:tc>
        <w:tc>
          <w:tcPr>
            <w:tcW w:w="166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4"/>
              <w:jc w:val="right"/>
              <w:rPr>
                <w:rFonts w:ascii="宋体" w:hAnsi="宋体" w:cs="宋体" w:eastAsia="宋体" w:hint="default"/>
                <w:sz w:val="18"/>
                <w:szCs w:val="18"/>
              </w:rPr>
            </w:pPr>
            <w:r>
              <w:rPr>
                <w:rFonts w:ascii="宋体"/>
                <w:spacing w:val="-3"/>
                <w:sz w:val="18"/>
              </w:rPr>
              <w:t>16,036,931.11</w:t>
            </w:r>
          </w:p>
        </w:tc>
      </w:tr>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pacing w:val="-4"/>
                <w:sz w:val="18"/>
                <w:szCs w:val="18"/>
              </w:rPr>
              <w:t>无锡利欧锡泵制造有限公司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pacing w:val="-3"/>
                <w:sz w:val="18"/>
              </w:rPr>
              <w:t>12,148,268.70</w:t>
            </w:r>
          </w:p>
        </w:tc>
        <w:tc>
          <w:tcPr>
            <w:tcW w:w="166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4"/>
              <w:jc w:val="right"/>
              <w:rPr>
                <w:rFonts w:ascii="宋体" w:hAnsi="宋体" w:cs="宋体" w:eastAsia="宋体" w:hint="default"/>
                <w:sz w:val="18"/>
                <w:szCs w:val="18"/>
              </w:rPr>
            </w:pPr>
            <w:r>
              <w:rPr>
                <w:rFonts w:ascii="宋体"/>
                <w:spacing w:val="-3"/>
                <w:sz w:val="18"/>
              </w:rPr>
              <w:t>12,148,268.70</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920"/>
        <w:gridCol w:w="1560"/>
        <w:gridCol w:w="1666"/>
        <w:gridCol w:w="700"/>
        <w:gridCol w:w="1653"/>
      </w:tblGrid>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4"/>
                <w:sz w:val="18"/>
                <w:szCs w:val="18"/>
              </w:rPr>
              <w:t>上海漫酷广告有限公司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pacing w:val="-3"/>
                <w:sz w:val="18"/>
              </w:rPr>
              <w:t>324,524,576.81</w:t>
            </w:r>
          </w:p>
        </w:tc>
        <w:tc>
          <w:tcPr>
            <w:tcW w:w="166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宋体" w:hAnsi="宋体" w:cs="宋体" w:eastAsia="宋体" w:hint="default"/>
                <w:sz w:val="18"/>
                <w:szCs w:val="18"/>
              </w:rPr>
            </w:pPr>
            <w:r>
              <w:rPr>
                <w:rFonts w:ascii="宋体"/>
                <w:spacing w:val="-3"/>
                <w:sz w:val="18"/>
              </w:rPr>
              <w:t>324,524,576.81</w:t>
            </w:r>
          </w:p>
        </w:tc>
      </w:tr>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4"/>
                <w:sz w:val="18"/>
                <w:szCs w:val="18"/>
              </w:rPr>
              <w:t>上海氩氪广告有限公司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pacing w:val="-3"/>
                <w:sz w:val="18"/>
              </w:rPr>
              <w:t>104,955,445.37</w:t>
            </w:r>
          </w:p>
        </w:tc>
        <w:tc>
          <w:tcPr>
            <w:tcW w:w="166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宋体" w:hAnsi="宋体" w:cs="宋体" w:eastAsia="宋体" w:hint="default"/>
                <w:sz w:val="18"/>
                <w:szCs w:val="18"/>
              </w:rPr>
            </w:pPr>
            <w:r>
              <w:rPr>
                <w:rFonts w:ascii="宋体"/>
                <w:spacing w:val="-3"/>
                <w:sz w:val="18"/>
              </w:rPr>
              <w:t>104,955,445.37</w:t>
            </w:r>
          </w:p>
        </w:tc>
      </w:tr>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5"/>
                <w:sz w:val="18"/>
                <w:szCs w:val="18"/>
              </w:rPr>
              <w:t>上海沃动市场营销策划有限公司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pacing w:val="-3"/>
                <w:sz w:val="18"/>
              </w:rPr>
              <w:t>99,629,704.24</w:t>
            </w:r>
          </w:p>
        </w:tc>
        <w:tc>
          <w:tcPr>
            <w:tcW w:w="166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4"/>
              <w:jc w:val="right"/>
              <w:rPr>
                <w:rFonts w:ascii="宋体" w:hAnsi="宋体" w:cs="宋体" w:eastAsia="宋体" w:hint="default"/>
                <w:sz w:val="18"/>
                <w:szCs w:val="18"/>
              </w:rPr>
            </w:pPr>
            <w:r>
              <w:rPr>
                <w:rFonts w:ascii="宋体"/>
                <w:spacing w:val="-3"/>
                <w:sz w:val="18"/>
              </w:rPr>
              <w:t>99,629,704.24</w:t>
            </w:r>
          </w:p>
        </w:tc>
      </w:tr>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4"/>
                <w:sz w:val="18"/>
                <w:szCs w:val="18"/>
              </w:rPr>
              <w:t>银色琥珀文化传播</w:t>
            </w:r>
            <w:r>
              <w:rPr>
                <w:rFonts w:ascii="宋体" w:hAnsi="宋体" w:cs="宋体" w:eastAsia="宋体" w:hint="default"/>
                <w:spacing w:val="-4"/>
                <w:sz w:val="18"/>
                <w:szCs w:val="18"/>
              </w:rPr>
              <w:t>(</w:t>
            </w:r>
            <w:r>
              <w:rPr>
                <w:rFonts w:ascii="宋体" w:hAnsi="宋体" w:cs="宋体" w:eastAsia="宋体" w:hint="default"/>
                <w:spacing w:val="-4"/>
                <w:sz w:val="18"/>
                <w:szCs w:val="18"/>
              </w:rPr>
              <w:t>北京</w:t>
            </w:r>
            <w:r>
              <w:rPr>
                <w:rFonts w:ascii="宋体" w:hAnsi="宋体" w:cs="宋体" w:eastAsia="宋体" w:hint="default"/>
                <w:spacing w:val="-4"/>
                <w:sz w:val="18"/>
                <w:szCs w:val="18"/>
              </w:rPr>
              <w:t>)</w:t>
            </w:r>
            <w:r>
              <w:rPr>
                <w:rFonts w:ascii="宋体" w:hAnsi="宋体" w:cs="宋体" w:eastAsia="宋体" w:hint="default"/>
                <w:spacing w:val="-4"/>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pacing w:val="-3"/>
                <w:sz w:val="18"/>
              </w:rPr>
              <w:t>172,391,920.61</w:t>
            </w:r>
          </w:p>
        </w:tc>
        <w:tc>
          <w:tcPr>
            <w:tcW w:w="166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宋体" w:hAnsi="宋体" w:cs="宋体" w:eastAsia="宋体" w:hint="default"/>
                <w:sz w:val="18"/>
                <w:szCs w:val="18"/>
              </w:rPr>
            </w:pPr>
            <w:r>
              <w:rPr>
                <w:rFonts w:ascii="宋体"/>
                <w:spacing w:val="-3"/>
                <w:sz w:val="18"/>
              </w:rPr>
              <w:t>172,391,920.61</w:t>
            </w:r>
          </w:p>
        </w:tc>
      </w:tr>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5"/>
                <w:sz w:val="18"/>
                <w:szCs w:val="18"/>
              </w:rPr>
              <w:t>江苏万圣伟业网络科技有限公司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pacing w:val="-3"/>
                <w:sz w:val="18"/>
              </w:rPr>
              <w:t>1,724,306,741.68</w:t>
            </w: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4"/>
              <w:jc w:val="right"/>
              <w:rPr>
                <w:rFonts w:ascii="宋体" w:hAnsi="宋体" w:cs="宋体" w:eastAsia="宋体" w:hint="default"/>
                <w:sz w:val="18"/>
                <w:szCs w:val="18"/>
              </w:rPr>
            </w:pPr>
            <w:r>
              <w:rPr>
                <w:rFonts w:ascii="宋体"/>
                <w:spacing w:val="-3"/>
                <w:sz w:val="18"/>
              </w:rPr>
              <w:t>1,724,306,741.68</w:t>
            </w:r>
          </w:p>
        </w:tc>
      </w:tr>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pacing w:val="-4"/>
                <w:sz w:val="18"/>
                <w:szCs w:val="18"/>
              </w:rPr>
              <w:t>北京微创时代广告有限公司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宋体" w:hAnsi="宋体" w:cs="宋体" w:eastAsia="宋体" w:hint="default"/>
                <w:sz w:val="18"/>
                <w:szCs w:val="18"/>
              </w:rPr>
            </w:pPr>
            <w:r>
              <w:rPr>
                <w:rFonts w:ascii="宋体"/>
                <w:spacing w:val="-3"/>
                <w:sz w:val="18"/>
              </w:rPr>
              <w:t>682,730,555.14</w:t>
            </w: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3"/>
              <w:jc w:val="right"/>
              <w:rPr>
                <w:rFonts w:ascii="宋体" w:hAnsi="宋体" w:cs="宋体" w:eastAsia="宋体" w:hint="default"/>
                <w:sz w:val="18"/>
                <w:szCs w:val="18"/>
              </w:rPr>
            </w:pPr>
            <w:r>
              <w:rPr>
                <w:rFonts w:ascii="宋体"/>
                <w:spacing w:val="-3"/>
                <w:sz w:val="18"/>
              </w:rPr>
              <w:t>682,730,555.14</w:t>
            </w:r>
          </w:p>
        </w:tc>
      </w:tr>
      <w:tr>
        <w:trPr>
          <w:trHeight w:val="55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9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pacing w:val="-3"/>
                <w:sz w:val="18"/>
              </w:rPr>
              <w:t>783,184,267.29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pacing w:val="-3"/>
                <w:sz w:val="18"/>
              </w:rPr>
              <w:t>2,407,037,296.82</w:t>
            </w:r>
          </w:p>
        </w:tc>
        <w:tc>
          <w:tcPr>
            <w:tcW w:w="700"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4"/>
              <w:jc w:val="right"/>
              <w:rPr>
                <w:rFonts w:ascii="宋体" w:hAnsi="宋体" w:cs="宋体" w:eastAsia="宋体" w:hint="default"/>
                <w:sz w:val="18"/>
                <w:szCs w:val="18"/>
              </w:rPr>
            </w:pPr>
            <w:r>
              <w:rPr>
                <w:rFonts w:ascii="宋体"/>
                <w:spacing w:val="-3"/>
                <w:sz w:val="18"/>
              </w:rPr>
              <w:t>3,190,221,564.11</w:t>
            </w:r>
          </w:p>
        </w:tc>
      </w:tr>
    </w:tbl>
    <w:p>
      <w:pPr>
        <w:spacing w:line="240" w:lineRule="auto" w:before="3"/>
        <w:rPr>
          <w:rFonts w:ascii="宋体" w:hAnsi="宋体" w:cs="宋体" w:eastAsia="宋体" w:hint="default"/>
          <w:sz w:val="5"/>
          <w:szCs w:val="5"/>
        </w:rPr>
      </w:pPr>
    </w:p>
    <w:p>
      <w:pPr>
        <w:pStyle w:val="BodyText"/>
        <w:spacing w:line="240" w:lineRule="auto" w:before="35"/>
        <w:ind w:left="614" w:right="0"/>
        <w:jc w:val="left"/>
      </w:pPr>
      <w:r>
        <w:rPr>
          <w:rFonts w:ascii="宋体" w:hAnsi="宋体" w:cs="宋体" w:eastAsia="宋体" w:hint="default"/>
        </w:rPr>
        <w:t>(2)</w:t>
      </w:r>
      <w:r>
        <w:rPr/>
        <w:t>商誉减值准备</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438"/>
        <w:gridCol w:w="1778"/>
        <w:gridCol w:w="1540"/>
        <w:gridCol w:w="1254"/>
        <w:gridCol w:w="1449"/>
      </w:tblGrid>
      <w:tr>
        <w:trPr>
          <w:trHeight w:val="754"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634" w:right="447" w:hanging="91"/>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6"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30"/>
              <w:ind w:left="122" w:right="21"/>
              <w:jc w:val="left"/>
              <w:rPr>
                <w:rFonts w:ascii="宋体" w:hAnsi="宋体" w:cs="宋体" w:eastAsia="宋体" w:hint="default"/>
                <w:sz w:val="18"/>
                <w:szCs w:val="18"/>
              </w:rPr>
            </w:pPr>
            <w:r>
              <w:rPr>
                <w:rFonts w:ascii="宋体" w:hAnsi="宋体" w:cs="宋体" w:eastAsia="宋体" w:hint="default"/>
                <w:spacing w:val="9"/>
                <w:sz w:val="18"/>
                <w:szCs w:val="18"/>
              </w:rPr>
              <w:t>湖南利欧天鹅工业泵有限公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12,447,138.20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2,560,929.59</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15,008,067.79</w:t>
            </w:r>
          </w:p>
        </w:tc>
      </w:tr>
      <w:tr>
        <w:trPr>
          <w:trHeight w:val="558"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pacing w:val="-4"/>
                <w:sz w:val="18"/>
                <w:szCs w:val="18"/>
              </w:rPr>
              <w:t>大连利欧华能泵业有限公司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8,636,937.39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410,207.74</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9,047,145.13</w:t>
            </w:r>
          </w:p>
        </w:tc>
      </w:tr>
      <w:tr>
        <w:trPr>
          <w:trHeight w:val="560" w:hRule="exact"/>
        </w:trPr>
        <w:tc>
          <w:tcPr>
            <w:tcW w:w="2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21,084,075.59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2,971,137.33</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24,055,212.92</w:t>
            </w:r>
          </w:p>
        </w:tc>
      </w:tr>
    </w:tbl>
    <w:p>
      <w:pPr>
        <w:spacing w:line="240" w:lineRule="auto" w:before="3"/>
        <w:rPr>
          <w:rFonts w:ascii="宋体" w:hAnsi="宋体" w:cs="宋体" w:eastAsia="宋体" w:hint="default"/>
          <w:sz w:val="5"/>
          <w:szCs w:val="5"/>
        </w:rPr>
      </w:pPr>
    </w:p>
    <w:p>
      <w:pPr>
        <w:pStyle w:val="BodyText"/>
        <w:spacing w:line="441" w:lineRule="auto" w:before="35"/>
        <w:ind w:left="614" w:right="0"/>
        <w:jc w:val="left"/>
      </w:pPr>
      <w:r>
        <w:rPr>
          <w:rFonts w:ascii="宋体" w:hAnsi="宋体" w:cs="宋体" w:eastAsia="宋体" w:hint="default"/>
        </w:rPr>
        <w:t>(3)</w:t>
      </w:r>
      <w:r>
        <w:rPr/>
        <w:t>商誉的减值测试过程、参数及商誉减值损失确认方法 </w:t>
      </w:r>
      <w:r>
        <w:rPr>
          <w:spacing w:val="-1"/>
        </w:rPr>
        <w:t>本期已对因企业合并形成的商誉的账面价值自购买日起按照合理的方法分摊至相关的资产组，并对包</w:t>
      </w:r>
    </w:p>
    <w:p>
      <w:pPr>
        <w:pStyle w:val="BodyText"/>
        <w:spacing w:line="410" w:lineRule="auto" w:before="16"/>
        <w:ind w:left="193" w:right="1131"/>
        <w:jc w:val="both"/>
      </w:pPr>
      <w:r>
        <w:rPr>
          <w:spacing w:val="-1"/>
        </w:rPr>
        <w:t>含商誉的相关资产组进行减值测试，经测试，利欧天鹅和大连华能与商誉相关的资产组存在减值情况，相</w:t>
      </w:r>
      <w:r>
        <w:rPr>
          <w:spacing w:val="-82"/>
        </w:rPr>
        <w:t> </w:t>
      </w:r>
      <w:r>
        <w:rPr>
          <w:spacing w:val="-82"/>
        </w:rPr>
      </w:r>
      <w:r>
        <w:rPr/>
        <w:t>应分别计提商誉减值准备</w:t>
      </w:r>
      <w:r>
        <w:rPr>
          <w:spacing w:val="-58"/>
        </w:rPr>
        <w:t> </w:t>
      </w:r>
      <w:r>
        <w:rPr>
          <w:rFonts w:ascii="宋体" w:hAnsi="宋体" w:cs="宋体" w:eastAsia="宋体" w:hint="default"/>
        </w:rPr>
        <w:t>2,560,929.59</w:t>
      </w:r>
      <w:r>
        <w:rPr>
          <w:rFonts w:ascii="宋体" w:hAnsi="宋体" w:cs="宋体" w:eastAsia="宋体" w:hint="default"/>
          <w:spacing w:val="-59"/>
        </w:rPr>
        <w:t> </w:t>
      </w:r>
      <w:r>
        <w:rPr/>
        <w:t>元和</w:t>
      </w:r>
      <w:r>
        <w:rPr>
          <w:spacing w:val="-59"/>
        </w:rPr>
        <w:t> </w:t>
      </w:r>
      <w:r>
        <w:rPr>
          <w:rFonts w:ascii="宋体" w:hAnsi="宋体" w:cs="宋体" w:eastAsia="宋体" w:hint="default"/>
        </w:rPr>
        <w:t>410,207.74</w:t>
      </w:r>
      <w:r>
        <w:rPr>
          <w:rFonts w:ascii="宋体" w:hAnsi="宋体" w:cs="宋体" w:eastAsia="宋体" w:hint="default"/>
          <w:spacing w:val="-59"/>
        </w:rPr>
        <w:t> </w:t>
      </w:r>
      <w:r>
        <w:rPr/>
        <w:t>元；其他非同一控制下企业合并子公司未发现与 商誉相关的资产组存在减值迹象，故不计提减值准备。</w:t>
      </w:r>
    </w:p>
    <w:p>
      <w:pPr>
        <w:pStyle w:val="BodyText"/>
        <w:spacing w:line="441" w:lineRule="auto" w:before="85"/>
        <w:ind w:left="614" w:right="0"/>
        <w:jc w:val="left"/>
      </w:pPr>
      <w:r>
        <w:rPr>
          <w:rFonts w:ascii="宋体" w:hAnsi="宋体" w:cs="宋体" w:eastAsia="宋体" w:hint="default"/>
        </w:rPr>
        <w:t>(4) </w:t>
      </w:r>
      <w:r>
        <w:rPr/>
        <w:t>其他说明 </w:t>
      </w:r>
      <w:r>
        <w:rPr>
          <w:spacing w:val="-1"/>
        </w:rPr>
        <w:t>根据本公司分别与徐先明、淮安明硕投利明信息咨询中心</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以下简称淮安明硕</w:t>
      </w:r>
      <w:r>
        <w:rPr>
          <w:rFonts w:ascii="宋体" w:hAnsi="宋体" w:cs="宋体" w:eastAsia="宋体" w:hint="default"/>
          <w:spacing w:val="-1"/>
        </w:rPr>
        <w:t>)</w:t>
      </w:r>
      <w:r>
        <w:rPr>
          <w:spacing w:val="-1"/>
        </w:rPr>
        <w:t>签订的《关</w:t>
      </w:r>
    </w:p>
    <w:p>
      <w:pPr>
        <w:pStyle w:val="BodyText"/>
        <w:spacing w:line="408" w:lineRule="auto" w:before="16"/>
        <w:ind w:left="193" w:right="1130"/>
        <w:jc w:val="both"/>
        <w:rPr>
          <w:rFonts w:ascii="宋体" w:hAnsi="宋体" w:cs="宋体" w:eastAsia="宋体" w:hint="default"/>
        </w:rPr>
      </w:pPr>
      <w:r>
        <w:rPr>
          <w:spacing w:val="-1"/>
        </w:rPr>
        <w:t>于江苏万圣伟业网络科技有限公司之股权转让合同》以及与何若萌、刘璐签订的《关于北京微创时代广告</w:t>
      </w:r>
      <w:r>
        <w:rPr>
          <w:spacing w:val="-83"/>
        </w:rPr>
        <w:t> </w:t>
      </w:r>
      <w:r>
        <w:rPr>
          <w:spacing w:val="-83"/>
        </w:rPr>
      </w:r>
      <w:r>
        <w:rPr>
          <w:spacing w:val="-7"/>
        </w:rPr>
        <w:t>有限公司之股权转让合同》，公司以支付现金及发行股份的方式分别购买其持有的万圣伟业、微创时代</w:t>
      </w:r>
      <w:r>
        <w:rPr>
          <w:spacing w:val="-22"/>
        </w:rPr>
        <w:t> </w:t>
      </w:r>
      <w:r>
        <w:rPr>
          <w:rFonts w:ascii="宋体" w:hAnsi="宋体" w:cs="宋体" w:eastAsia="宋体" w:hint="default"/>
        </w:rPr>
        <w:t>100%</w:t>
      </w:r>
    </w:p>
    <w:p>
      <w:pPr>
        <w:pStyle w:val="BodyText"/>
        <w:spacing w:line="240" w:lineRule="auto" w:before="46"/>
        <w:ind w:left="194" w:right="0"/>
        <w:jc w:val="both"/>
      </w:pPr>
      <w:r>
        <w:rPr>
          <w:spacing w:val="16"/>
        </w:rPr>
        <w:t>股权。根据上述股权转让合同的约定，公司需支付上述股权转让对价分别 </w:t>
      </w:r>
      <w:r>
        <w:rPr>
          <w:rFonts w:ascii="宋体" w:hAnsi="宋体" w:cs="宋体" w:eastAsia="宋体" w:hint="default"/>
        </w:rPr>
        <w:t>2,072,000,000.00</w:t>
      </w:r>
      <w:r>
        <w:rPr>
          <w:rFonts w:ascii="宋体" w:hAnsi="宋体" w:cs="宋体" w:eastAsia="宋体" w:hint="default"/>
          <w:spacing w:val="34"/>
        </w:rPr>
        <w:t> </w:t>
      </w:r>
      <w:r>
        <w:rPr>
          <w:spacing w:val="9"/>
        </w:rPr>
        <w:t>元和</w:t>
      </w:r>
      <w:r>
        <w:rPr>
          <w:spacing w:val="-86"/>
        </w:rPr>
        <w:t> </w:t>
      </w:r>
      <w:r>
        <w:rPr/>
      </w:r>
    </w:p>
    <w:p>
      <w:pPr>
        <w:spacing w:line="240" w:lineRule="auto" w:before="10"/>
        <w:rPr>
          <w:rFonts w:ascii="宋体" w:hAnsi="宋体" w:cs="宋体" w:eastAsia="宋体" w:hint="default"/>
          <w:sz w:val="14"/>
          <w:szCs w:val="14"/>
        </w:rPr>
      </w:pPr>
    </w:p>
    <w:p>
      <w:pPr>
        <w:pStyle w:val="BodyText"/>
        <w:spacing w:line="240" w:lineRule="auto"/>
        <w:ind w:left="194" w:right="0"/>
        <w:jc w:val="both"/>
      </w:pPr>
      <w:r>
        <w:rPr>
          <w:rFonts w:ascii="宋体" w:hAnsi="宋体" w:cs="宋体" w:eastAsia="宋体" w:hint="default"/>
        </w:rPr>
        <w:t>840,000,000.00 </w:t>
      </w:r>
      <w:r>
        <w:rPr>
          <w:spacing w:val="2"/>
        </w:rPr>
        <w:t>元。本公司于购买日享有其可辨认净资产公允价值的份额分别为 </w:t>
      </w:r>
      <w:r>
        <w:rPr>
          <w:rFonts w:ascii="宋体" w:hAnsi="宋体" w:cs="宋体" w:eastAsia="宋体" w:hint="default"/>
        </w:rPr>
        <w:t>347,693,258.32</w:t>
      </w:r>
      <w:r>
        <w:rPr>
          <w:rFonts w:ascii="宋体" w:hAnsi="宋体" w:cs="宋体" w:eastAsia="宋体" w:hint="default"/>
          <w:spacing w:val="9"/>
        </w:rPr>
        <w:t> </w:t>
      </w:r>
      <w:r>
        <w:rPr>
          <w:spacing w:val="3"/>
        </w:rPr>
        <w:t>元和</w:t>
      </w:r>
      <w:r>
        <w:rPr/>
      </w:r>
    </w:p>
    <w:p>
      <w:pPr>
        <w:spacing w:line="240" w:lineRule="auto" w:before="12"/>
        <w:rPr>
          <w:rFonts w:ascii="宋体" w:hAnsi="宋体" w:cs="宋体" w:eastAsia="宋体" w:hint="default"/>
          <w:sz w:val="14"/>
          <w:szCs w:val="14"/>
        </w:rPr>
      </w:pPr>
    </w:p>
    <w:p>
      <w:pPr>
        <w:pStyle w:val="BodyText"/>
        <w:spacing w:line="240" w:lineRule="auto"/>
        <w:ind w:left="194" w:right="0"/>
        <w:jc w:val="both"/>
      </w:pPr>
      <w:r>
        <w:rPr>
          <w:rFonts w:ascii="宋体" w:hAnsi="宋体" w:cs="宋体" w:eastAsia="宋体" w:hint="default"/>
        </w:rPr>
        <w:t>157,269,444.86</w:t>
      </w:r>
      <w:r>
        <w:rPr>
          <w:rFonts w:ascii="宋体" w:hAnsi="宋体" w:cs="宋体" w:eastAsia="宋体" w:hint="default"/>
          <w:spacing w:val="-54"/>
        </w:rPr>
        <w:t> </w:t>
      </w:r>
      <w:r>
        <w:rPr/>
        <w:t>元，与收购对价的差额</w:t>
      </w:r>
      <w:r>
        <w:rPr>
          <w:spacing w:val="-55"/>
        </w:rPr>
        <w:t> </w:t>
      </w:r>
      <w:r>
        <w:rPr>
          <w:rFonts w:ascii="宋体" w:hAnsi="宋体" w:cs="宋体" w:eastAsia="宋体" w:hint="default"/>
        </w:rPr>
        <w:t>1,724,306,741.68</w:t>
      </w:r>
      <w:r>
        <w:rPr>
          <w:rFonts w:ascii="宋体" w:hAnsi="宋体" w:cs="宋体" w:eastAsia="宋体" w:hint="default"/>
          <w:spacing w:val="-54"/>
        </w:rPr>
        <w:t> </w:t>
      </w:r>
      <w:r>
        <w:rPr/>
        <w:t>元和</w:t>
      </w:r>
      <w:r>
        <w:rPr>
          <w:spacing w:val="-55"/>
        </w:rPr>
        <w:t> </w:t>
      </w:r>
      <w:r>
        <w:rPr>
          <w:rFonts w:ascii="宋体" w:hAnsi="宋体" w:cs="宋体" w:eastAsia="宋体" w:hint="default"/>
        </w:rPr>
        <w:t>682,730,555.14</w:t>
      </w:r>
      <w:r>
        <w:rPr>
          <w:rFonts w:ascii="宋体" w:hAnsi="宋体" w:cs="宋体" w:eastAsia="宋体" w:hint="default"/>
          <w:spacing w:val="-54"/>
        </w:rPr>
        <w:t> </w:t>
      </w:r>
      <w:r>
        <w:rPr/>
        <w:t>元确认为商誉。</w:t>
      </w:r>
    </w:p>
    <w:p>
      <w:pPr>
        <w:spacing w:after="0" w:line="240" w:lineRule="auto"/>
        <w:jc w:val="both"/>
        <w:sectPr>
          <w:pgSz w:w="11910" w:h="16840"/>
          <w:pgMar w:header="877" w:footer="979" w:top="1100" w:bottom="1160" w:left="940" w:right="0"/>
        </w:sectPr>
      </w:pPr>
    </w:p>
    <w:p>
      <w:pPr>
        <w:spacing w:line="240" w:lineRule="auto" w:before="8"/>
        <w:rPr>
          <w:rFonts w:ascii="宋体" w:hAnsi="宋体" w:cs="宋体" w:eastAsia="宋体" w:hint="default"/>
          <w:sz w:val="26"/>
          <w:szCs w:val="26"/>
        </w:rPr>
      </w:pPr>
    </w:p>
    <w:p>
      <w:pPr>
        <w:pStyle w:val="BodyText"/>
        <w:spacing w:line="240" w:lineRule="auto" w:before="35"/>
        <w:ind w:left="654" w:right="1029"/>
        <w:jc w:val="left"/>
      </w:pPr>
      <w:bookmarkStart w:name="15. 长期待摊费用" w:id="204"/>
      <w:bookmarkEnd w:id="204"/>
      <w:r>
        <w:rPr/>
      </w:r>
      <w:r>
        <w:rPr>
          <w:rFonts w:ascii="宋体" w:hAnsi="宋体" w:cs="宋体" w:eastAsia="宋体" w:hint="default"/>
        </w:rPr>
        <w:t>15.</w:t>
      </w:r>
      <w:r>
        <w:rPr>
          <w:rFonts w:ascii="宋体" w:hAnsi="宋体" w:cs="宋体" w:eastAsia="宋体" w:hint="default"/>
          <w:spacing w:val="-1"/>
        </w:rPr>
        <w:t> </w:t>
      </w:r>
      <w:r>
        <w:rPr/>
        <w:t>长期待摊费用</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307"/>
        <w:gridCol w:w="1764"/>
        <w:gridCol w:w="1638"/>
        <w:gridCol w:w="1596"/>
        <w:gridCol w:w="862"/>
        <w:gridCol w:w="1703"/>
      </w:tblGrid>
      <w:tr>
        <w:trPr>
          <w:trHeight w:val="544"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68"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27"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0"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1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厂区维修绿化费</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673,053.27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1,834,099.34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386,945.42</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2,120,207.19</w:t>
            </w:r>
          </w:p>
        </w:tc>
      </w:tr>
      <w:tr>
        <w:trPr>
          <w:trHeight w:val="635"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737"/>
              <w:jc w:val="left"/>
              <w:rPr>
                <w:rFonts w:ascii="宋体" w:hAnsi="宋体" w:cs="宋体" w:eastAsia="宋体" w:hint="default"/>
                <w:sz w:val="18"/>
                <w:szCs w:val="18"/>
              </w:rPr>
            </w:pPr>
            <w:r>
              <w:rPr>
                <w:rFonts w:ascii="宋体" w:hAnsi="宋体" w:cs="宋体" w:eastAsia="宋体" w:hint="default"/>
                <w:sz w:val="18"/>
                <w:szCs w:val="18"/>
              </w:rPr>
              <w:t>经营租入固定资产 改良支出</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2,946,008.50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366,608.17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1,791,875.85</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1,520,740.82</w:t>
            </w:r>
          </w:p>
        </w:tc>
      </w:tr>
      <w:tr>
        <w:trPr>
          <w:trHeight w:val="558"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租入固定资产装修费</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321,465.83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9,937,918.64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1,152,597.89</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9,106,786.58</w:t>
            </w:r>
          </w:p>
        </w:tc>
      </w:tr>
      <w:tr>
        <w:trPr>
          <w:trHeight w:val="558"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其他零星待摊费用</w:t>
            </w:r>
          </w:p>
        </w:tc>
        <w:tc>
          <w:tcPr>
            <w:tcW w:w="176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73,980.07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4,710.23</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69,269.84</w:t>
            </w:r>
          </w:p>
        </w:tc>
      </w:tr>
      <w:tr>
        <w:trPr>
          <w:trHeight w:val="558" w:hRule="exact"/>
        </w:trPr>
        <w:tc>
          <w:tcPr>
            <w:tcW w:w="23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3,940,527.60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12,212,606.22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3,336,129.39</w:t>
            </w:r>
          </w:p>
        </w:tc>
        <w:tc>
          <w:tcPr>
            <w:tcW w:w="86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12,817,004.43</w:t>
            </w:r>
          </w:p>
        </w:tc>
      </w:tr>
    </w:tbl>
    <w:p>
      <w:pPr>
        <w:pStyle w:val="BodyText"/>
        <w:spacing w:line="240" w:lineRule="auto" w:before="63"/>
        <w:ind w:left="654" w:right="1029"/>
        <w:jc w:val="left"/>
      </w:pPr>
      <w:r>
        <w:rPr>
          <w:rFonts w:ascii="宋体" w:hAnsi="宋体" w:cs="宋体" w:eastAsia="宋体" w:hint="default"/>
        </w:rPr>
        <w:t>[</w:t>
      </w:r>
      <w:r>
        <w:rPr/>
        <w:t>注</w:t>
      </w:r>
      <w:r>
        <w:rPr>
          <w:rFonts w:ascii="宋体" w:hAnsi="宋体" w:cs="宋体" w:eastAsia="宋体" w:hint="default"/>
        </w:rPr>
        <w:t>]</w:t>
      </w:r>
      <w:r>
        <w:rPr/>
        <w:t>：其中本期因非同一控制下企业合并转入</w:t>
      </w:r>
      <w:r>
        <w:rPr>
          <w:spacing w:val="-55"/>
        </w:rPr>
        <w:t> </w:t>
      </w:r>
      <w:r>
        <w:rPr>
          <w:rFonts w:ascii="宋体" w:hAnsi="宋体" w:cs="宋体" w:eastAsia="宋体" w:hint="default"/>
        </w:rPr>
        <w:t>40,214.49</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44" w:lineRule="auto" w:before="137"/>
        <w:ind w:left="654" w:right="6763"/>
        <w:jc w:val="left"/>
      </w:pPr>
      <w:bookmarkStart w:name="16. 递延所得税资产、递延所得税负债" w:id="205"/>
      <w:bookmarkEnd w:id="205"/>
      <w:r>
        <w:rPr/>
      </w:r>
      <w:r>
        <w:rPr>
          <w:rFonts w:ascii="宋体" w:hAnsi="宋体" w:cs="宋体" w:eastAsia="宋体" w:hint="default"/>
        </w:rPr>
        <w:t>16.</w:t>
      </w:r>
      <w:r>
        <w:rPr>
          <w:rFonts w:ascii="宋体" w:hAnsi="宋体" w:cs="宋体" w:eastAsia="宋体" w:hint="default"/>
          <w:spacing w:val="-1"/>
        </w:rPr>
        <w:t> </w:t>
      </w:r>
      <w:r>
        <w:rPr/>
        <w:t>递延所得税资产、递延所得税负债 未经抵销的递延所得税资产</w:t>
      </w:r>
    </w:p>
    <w:tbl>
      <w:tblPr>
        <w:tblW w:w="0" w:type="auto"/>
        <w:jc w:val="left"/>
        <w:tblInd w:w="106" w:type="dxa"/>
        <w:tblLayout w:type="fixed"/>
        <w:tblCellMar>
          <w:top w:w="0" w:type="dxa"/>
          <w:left w:w="0" w:type="dxa"/>
          <w:bottom w:w="0" w:type="dxa"/>
          <w:right w:w="0" w:type="dxa"/>
        </w:tblCellMar>
        <w:tblLook w:val="01E0"/>
      </w:tblPr>
      <w:tblGrid>
        <w:gridCol w:w="3018"/>
        <w:gridCol w:w="1766"/>
        <w:gridCol w:w="1667"/>
        <w:gridCol w:w="1714"/>
        <w:gridCol w:w="1705"/>
      </w:tblGrid>
      <w:tr>
        <w:trPr>
          <w:trHeight w:val="558" w:hRule="exact"/>
        </w:trPr>
        <w:tc>
          <w:tcPr>
            <w:tcW w:w="30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1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2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4" w:hRule="exact"/>
        </w:trPr>
        <w:tc>
          <w:tcPr>
            <w:tcW w:w="3018" w:type="dxa"/>
            <w:vMerge/>
            <w:tcBorders>
              <w:left w:val="nil" w:sz="6" w:space="0" w:color="auto"/>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2"/>
              <w:ind w:left="434" w:right="419"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2"/>
              <w:ind w:left="385" w:right="371" w:firstLine="270"/>
              <w:jc w:val="left"/>
              <w:rPr>
                <w:rFonts w:ascii="宋体" w:hAnsi="宋体" w:cs="宋体" w:eastAsia="宋体" w:hint="default"/>
                <w:sz w:val="18"/>
                <w:szCs w:val="18"/>
              </w:rPr>
            </w:pPr>
            <w:r>
              <w:rPr>
                <w:rFonts w:ascii="宋体" w:hAnsi="宋体" w:cs="宋体" w:eastAsia="宋体" w:hint="default"/>
                <w:sz w:val="18"/>
                <w:szCs w:val="18"/>
              </w:rPr>
              <w:t>递延 所得税资产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2"/>
              <w:ind w:left="411" w:right="390"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42"/>
              <w:ind w:left="393" w:right="404" w:firstLine="270"/>
              <w:jc w:val="left"/>
              <w:rPr>
                <w:rFonts w:ascii="宋体" w:hAnsi="宋体" w:cs="宋体" w:eastAsia="宋体" w:hint="default"/>
                <w:sz w:val="18"/>
                <w:szCs w:val="18"/>
              </w:rPr>
            </w:pPr>
            <w:r>
              <w:rPr>
                <w:rFonts w:ascii="宋体" w:hAnsi="宋体" w:cs="宋体" w:eastAsia="宋体" w:hint="default"/>
                <w:sz w:val="18"/>
                <w:szCs w:val="18"/>
              </w:rPr>
              <w:t>递延 所得税资产</w:t>
            </w:r>
          </w:p>
        </w:tc>
      </w:tr>
      <w:tr>
        <w:trPr>
          <w:trHeight w:val="55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117,257,268.35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20,713,201.49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105,382,601.19</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18"/>
                <w:szCs w:val="18"/>
              </w:rPr>
            </w:pPr>
            <w:r>
              <w:rPr>
                <w:rFonts w:ascii="宋体"/>
                <w:sz w:val="18"/>
              </w:rPr>
              <w:t>15,152,137.83</w:t>
            </w:r>
          </w:p>
        </w:tc>
      </w:tr>
      <w:tr>
        <w:trPr>
          <w:trHeight w:val="55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1,591,363.09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238,704.47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1,733,129.93</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259,969.49</w:t>
            </w:r>
          </w:p>
        </w:tc>
      </w:tr>
      <w:tr>
        <w:trPr>
          <w:trHeight w:val="55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存货中包含的未实现损益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1,463,506.67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219,526.00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1,088,656.45</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345,687.30</w:t>
            </w:r>
          </w:p>
        </w:tc>
      </w:tr>
      <w:tr>
        <w:trPr>
          <w:trHeight w:val="55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44,382,492.09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6,817,373.81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34,081,318.31</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5,624,845.25</w:t>
            </w:r>
          </w:p>
        </w:tc>
      </w:tr>
      <w:tr>
        <w:trPr>
          <w:trHeight w:val="55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预提费用、成本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7,035,191.68</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1,055,278.74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9,791,739.34</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18"/>
                <w:szCs w:val="18"/>
              </w:rPr>
            </w:pPr>
            <w:r>
              <w:rPr>
                <w:rFonts w:ascii="宋体"/>
                <w:sz w:val="18"/>
              </w:rPr>
              <w:t>1,622,777.60</w:t>
            </w:r>
          </w:p>
        </w:tc>
      </w:tr>
      <w:tr>
        <w:trPr>
          <w:trHeight w:val="55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未发放职工薪酬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38,576,832.90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8,908,841.40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10,481,885.25</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18"/>
                <w:szCs w:val="18"/>
              </w:rPr>
            </w:pPr>
            <w:r>
              <w:rPr>
                <w:rFonts w:ascii="宋体"/>
                <w:sz w:val="18"/>
              </w:rPr>
              <w:t>2,620,471.31</w:t>
            </w:r>
          </w:p>
        </w:tc>
      </w:tr>
      <w:tr>
        <w:trPr>
          <w:trHeight w:val="55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衍生金融工具公允价值变动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10,930,847.50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1,639,627.13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2,333,342.50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350,001.38</w:t>
            </w:r>
          </w:p>
        </w:tc>
      </w:tr>
      <w:tr>
        <w:trPr>
          <w:trHeight w:val="55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房屋土地中包含的未实现损益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28,254,383.33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4,238,157.50</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249,491,885.61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43,830,710.54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164,892,672.97</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18"/>
                <w:szCs w:val="18"/>
              </w:rPr>
            </w:pPr>
            <w:r>
              <w:rPr>
                <w:rFonts w:ascii="宋体"/>
                <w:sz w:val="18"/>
              </w:rPr>
              <w:t>25,975,890.16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35"/>
        <w:ind w:left="654" w:right="1029"/>
        <w:jc w:val="left"/>
      </w:pPr>
      <w:r>
        <w:rPr>
          <w:rFonts w:ascii="宋体" w:hAnsi="宋体" w:cs="宋体" w:eastAsia="宋体" w:hint="default"/>
        </w:rPr>
        <w:t>17.</w:t>
      </w:r>
      <w:r>
        <w:rPr>
          <w:rFonts w:ascii="宋体" w:hAnsi="宋体" w:cs="宋体" w:eastAsia="宋体" w:hint="default"/>
          <w:spacing w:val="-2"/>
        </w:rPr>
        <w:t> </w:t>
      </w:r>
      <w:r>
        <w:rPr/>
        <w:t>其他非流动资产</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5463"/>
        <w:gridCol w:w="2204"/>
        <w:gridCol w:w="2203"/>
      </w:tblGrid>
      <w:tr>
        <w:trPr>
          <w:trHeight w:val="558" w:hRule="exact"/>
        </w:trPr>
        <w:tc>
          <w:tcPr>
            <w:tcW w:w="54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463"/>
        <w:gridCol w:w="2204"/>
        <w:gridCol w:w="2203"/>
      </w:tblGrid>
      <w:tr>
        <w:trPr>
          <w:trHeight w:val="478" w:hRule="exact"/>
        </w:trPr>
        <w:tc>
          <w:tcPr>
            <w:tcW w:w="54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厂区搬迁累计已经发生的损失及相关费用</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30" w:right="0"/>
              <w:jc w:val="left"/>
              <w:rPr>
                <w:rFonts w:ascii="宋体" w:hAnsi="宋体" w:cs="宋体" w:eastAsia="宋体" w:hint="default"/>
                <w:sz w:val="18"/>
                <w:szCs w:val="18"/>
              </w:rPr>
            </w:pPr>
            <w:r>
              <w:rPr>
                <w:rFonts w:ascii="宋体"/>
                <w:sz w:val="18"/>
              </w:rPr>
              <w:t>120,906,088.83</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120,906,088.83</w:t>
            </w:r>
          </w:p>
        </w:tc>
      </w:tr>
      <w:tr>
        <w:trPr>
          <w:trHeight w:val="479" w:hRule="exact"/>
        </w:trPr>
        <w:tc>
          <w:tcPr>
            <w:tcW w:w="54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预付土地购置款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40,230,000.00</w:t>
            </w:r>
          </w:p>
        </w:tc>
      </w:tr>
      <w:tr>
        <w:trPr>
          <w:trHeight w:val="478" w:hRule="exact"/>
        </w:trPr>
        <w:tc>
          <w:tcPr>
            <w:tcW w:w="54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预付购房款等</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52" w:right="-14"/>
              <w:jc w:val="left"/>
              <w:rPr>
                <w:rFonts w:ascii="宋体" w:hAnsi="宋体" w:cs="宋体" w:eastAsia="宋体" w:hint="default"/>
                <w:sz w:val="18"/>
                <w:szCs w:val="18"/>
              </w:rPr>
            </w:pPr>
            <w:r>
              <w:rPr>
                <w:rFonts w:ascii="宋体" w:hAnsi="宋体" w:cs="宋体" w:eastAsia="宋体" w:hint="default"/>
                <w:sz w:val="18"/>
                <w:szCs w:val="18"/>
              </w:rPr>
              <w:t>137,673,231.00[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9,351,674.00</w:t>
            </w:r>
          </w:p>
        </w:tc>
      </w:tr>
      <w:tr>
        <w:trPr>
          <w:trHeight w:val="478" w:hRule="exact"/>
        </w:trPr>
        <w:tc>
          <w:tcPr>
            <w:tcW w:w="54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0" w:right="0"/>
              <w:jc w:val="left"/>
              <w:rPr>
                <w:rFonts w:ascii="宋体" w:hAnsi="宋体" w:cs="宋体" w:eastAsia="宋体" w:hint="default"/>
                <w:sz w:val="18"/>
                <w:szCs w:val="18"/>
              </w:rPr>
            </w:pPr>
            <w:r>
              <w:rPr>
                <w:rFonts w:ascii="宋体"/>
                <w:sz w:val="18"/>
              </w:rPr>
              <w:t>1,190,000.01</w:t>
            </w:r>
          </w:p>
        </w:tc>
        <w:tc>
          <w:tcPr>
            <w:tcW w:w="2203"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54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30" w:right="0"/>
              <w:jc w:val="left"/>
              <w:rPr>
                <w:rFonts w:ascii="宋体" w:hAnsi="宋体" w:cs="宋体" w:eastAsia="宋体" w:hint="default"/>
                <w:sz w:val="18"/>
                <w:szCs w:val="18"/>
              </w:rPr>
            </w:pPr>
            <w:r>
              <w:rPr>
                <w:rFonts w:ascii="宋体"/>
                <w:sz w:val="18"/>
              </w:rPr>
              <w:t>259,769,319.84</w:t>
            </w:r>
          </w:p>
        </w:tc>
        <w:tc>
          <w:tcPr>
            <w:tcW w:w="2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170,487,762.83</w:t>
            </w:r>
          </w:p>
        </w:tc>
      </w:tr>
    </w:tbl>
    <w:p>
      <w:pPr>
        <w:pStyle w:val="BodyText"/>
        <w:spacing w:line="408" w:lineRule="auto" w:before="63"/>
        <w:ind w:left="653" w:right="5177" w:firstLine="106"/>
        <w:jc w:val="left"/>
      </w:pPr>
      <w:r>
        <w:rPr>
          <w:rFonts w:ascii="宋体" w:hAnsi="宋体" w:cs="宋体" w:eastAsia="宋体" w:hint="default"/>
        </w:rPr>
        <w:t>[</w:t>
      </w:r>
      <w:r>
        <w:rPr/>
        <w:t>注</w:t>
      </w:r>
      <w:r>
        <w:rPr>
          <w:spacing w:val="-55"/>
        </w:rPr>
        <w:t> </w:t>
      </w:r>
      <w:r>
        <w:rPr>
          <w:rFonts w:ascii="宋体" w:hAnsi="宋体" w:cs="宋体" w:eastAsia="宋体" w:hint="default"/>
        </w:rPr>
        <w:t>1]</w:t>
      </w:r>
      <w:r>
        <w:rPr/>
        <w:t>：详见本财务报表附注其他重要事项之说明。 </w:t>
      </w:r>
      <w:r>
        <w:rPr>
          <w:rFonts w:ascii="宋体" w:hAnsi="宋体" w:cs="宋体" w:eastAsia="宋体" w:hint="default"/>
        </w:rPr>
        <w:t>[</w:t>
      </w:r>
      <w:r>
        <w:rPr/>
        <w:t>注</w:t>
      </w:r>
      <w:r>
        <w:rPr>
          <w:spacing w:val="-56"/>
        </w:rPr>
        <w:t> </w:t>
      </w:r>
      <w:r>
        <w:rPr>
          <w:rFonts w:ascii="宋体" w:hAnsi="宋体" w:cs="宋体" w:eastAsia="宋体" w:hint="default"/>
        </w:rPr>
        <w:t>2]</w:t>
      </w:r>
      <w:r>
        <w:rPr/>
        <w:t>：详见本财务报表附注承诺及或有事项之说明。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653" w:right="1029"/>
        <w:jc w:val="left"/>
      </w:pPr>
      <w:bookmarkStart w:name="18. 短期借款" w:id="206"/>
      <w:bookmarkEnd w:id="206"/>
      <w:r>
        <w:rPr/>
      </w:r>
      <w:r>
        <w:rPr>
          <w:rFonts w:ascii="宋体" w:hAnsi="宋体" w:cs="宋体" w:eastAsia="宋体" w:hint="default"/>
        </w:rPr>
        <w:t>18.</w:t>
      </w:r>
      <w:r>
        <w:rPr>
          <w:rFonts w:ascii="宋体" w:hAnsi="宋体" w:cs="宋体" w:eastAsia="宋体" w:hint="default"/>
          <w:spacing w:val="-1"/>
        </w:rPr>
        <w:t> </w:t>
      </w:r>
      <w:r>
        <w:rPr/>
        <w:t>短期借款</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62"/>
        <w:gridCol w:w="2165"/>
        <w:gridCol w:w="2243"/>
      </w:tblGrid>
      <w:tr>
        <w:trPr>
          <w:trHeight w:val="558" w:hRule="exact"/>
        </w:trPr>
        <w:tc>
          <w:tcPr>
            <w:tcW w:w="5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49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0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5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49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0" w:right="0"/>
              <w:jc w:val="left"/>
              <w:rPr>
                <w:rFonts w:ascii="宋体" w:hAnsi="宋体" w:cs="宋体" w:eastAsia="宋体" w:hint="default"/>
                <w:sz w:val="18"/>
                <w:szCs w:val="18"/>
              </w:rPr>
            </w:pPr>
            <w:r>
              <w:rPr>
                <w:rFonts w:ascii="宋体"/>
                <w:sz w:val="18"/>
              </w:rPr>
              <w:t>56,347,177.51</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260,396,392.07</w:t>
            </w:r>
          </w:p>
        </w:tc>
      </w:tr>
      <w:tr>
        <w:trPr>
          <w:trHeight w:val="478" w:hRule="exact"/>
        </w:trPr>
        <w:tc>
          <w:tcPr>
            <w:tcW w:w="5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490"/>
              <w:jc w:val="center"/>
              <w:rPr>
                <w:rFonts w:ascii="宋体" w:hAnsi="宋体" w:cs="宋体" w:eastAsia="宋体" w:hint="default"/>
                <w:sz w:val="18"/>
                <w:szCs w:val="18"/>
              </w:rPr>
            </w:pPr>
            <w:r>
              <w:rPr>
                <w:rFonts w:ascii="宋体" w:hAnsi="宋体" w:cs="宋体" w:eastAsia="宋体" w:hint="default"/>
                <w:sz w:val="18"/>
                <w:szCs w:val="18"/>
              </w:rPr>
              <w:t>质押借款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0" w:right="0"/>
              <w:jc w:val="left"/>
              <w:rPr>
                <w:rFonts w:ascii="宋体" w:hAnsi="宋体" w:cs="宋体" w:eastAsia="宋体" w:hint="default"/>
                <w:sz w:val="18"/>
                <w:szCs w:val="18"/>
              </w:rPr>
            </w:pPr>
            <w:r>
              <w:rPr>
                <w:rFonts w:ascii="宋体"/>
                <w:sz w:val="18"/>
              </w:rPr>
              <w:t>11,860,000.00</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48,720,400.00</w:t>
            </w:r>
          </w:p>
        </w:tc>
      </w:tr>
      <w:tr>
        <w:trPr>
          <w:trHeight w:val="479" w:hRule="exact"/>
        </w:trPr>
        <w:tc>
          <w:tcPr>
            <w:tcW w:w="5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49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80" w:right="0"/>
              <w:jc w:val="left"/>
              <w:rPr>
                <w:rFonts w:ascii="宋体" w:hAnsi="宋体" w:cs="宋体" w:eastAsia="宋体" w:hint="default"/>
                <w:sz w:val="18"/>
                <w:szCs w:val="18"/>
              </w:rPr>
            </w:pPr>
            <w:r>
              <w:rPr>
                <w:rFonts w:ascii="宋体"/>
                <w:sz w:val="18"/>
              </w:rPr>
              <w:t>20,000,000.00</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95,000,000.00</w:t>
            </w:r>
          </w:p>
        </w:tc>
      </w:tr>
      <w:tr>
        <w:trPr>
          <w:trHeight w:val="478" w:hRule="exact"/>
        </w:trPr>
        <w:tc>
          <w:tcPr>
            <w:tcW w:w="5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49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0" w:right="0"/>
              <w:jc w:val="left"/>
              <w:rPr>
                <w:rFonts w:ascii="宋体" w:hAnsi="宋体" w:cs="宋体" w:eastAsia="宋体" w:hint="default"/>
                <w:sz w:val="18"/>
                <w:szCs w:val="18"/>
              </w:rPr>
            </w:pPr>
            <w:r>
              <w:rPr>
                <w:rFonts w:ascii="宋体"/>
                <w:sz w:val="18"/>
              </w:rPr>
              <w:t>10,000,000.00</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10,000,000.00</w:t>
            </w:r>
          </w:p>
        </w:tc>
      </w:tr>
      <w:tr>
        <w:trPr>
          <w:trHeight w:val="479" w:hRule="exact"/>
        </w:trPr>
        <w:tc>
          <w:tcPr>
            <w:tcW w:w="5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49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80" w:right="0"/>
              <w:jc w:val="left"/>
              <w:rPr>
                <w:rFonts w:ascii="宋体" w:hAnsi="宋体" w:cs="宋体" w:eastAsia="宋体" w:hint="default"/>
                <w:sz w:val="18"/>
                <w:szCs w:val="18"/>
              </w:rPr>
            </w:pPr>
            <w:r>
              <w:rPr>
                <w:rFonts w:ascii="宋体"/>
                <w:sz w:val="18"/>
              </w:rPr>
              <w:t>98,207,177.51</w:t>
            </w:r>
          </w:p>
        </w:tc>
        <w:tc>
          <w:tcPr>
            <w:tcW w:w="22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414,116,792.07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left="654" w:right="1029"/>
        <w:jc w:val="left"/>
      </w:pPr>
      <w:bookmarkStart w:name="19. 以公允价值计量且其变动计入当期损益的金融负债" w:id="207"/>
      <w:bookmarkEnd w:id="207"/>
      <w:r>
        <w:rPr/>
      </w:r>
      <w:r>
        <w:rPr>
          <w:rFonts w:ascii="宋体" w:hAnsi="宋体" w:cs="宋体" w:eastAsia="宋体" w:hint="default"/>
        </w:rPr>
        <w:t>19.</w:t>
      </w:r>
      <w:r>
        <w:rPr>
          <w:rFonts w:ascii="宋体" w:hAnsi="宋体" w:cs="宋体" w:eastAsia="宋体" w:hint="default"/>
          <w:spacing w:val="-1"/>
        </w:rPr>
        <w:t> </w:t>
      </w:r>
      <w:r>
        <w:rPr/>
        <w:t>以公允价值计量且其变动计入当期损益的金融负债</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7"/>
        <w:gridCol w:w="2218"/>
        <w:gridCol w:w="2215"/>
      </w:tblGrid>
      <w:tr>
        <w:trPr>
          <w:trHeight w:val="47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10,930,847.50</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2,333,342.50</w:t>
            </w:r>
          </w:p>
        </w:tc>
      </w:tr>
      <w:tr>
        <w:trPr>
          <w:trHeight w:val="47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其中：衍生金融负债</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10,930,847.50</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2,333,342.50</w:t>
            </w:r>
          </w:p>
        </w:tc>
      </w:tr>
      <w:tr>
        <w:trPr>
          <w:trHeight w:val="479"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10,930,847.50</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2,333,342.50</w:t>
            </w:r>
          </w:p>
        </w:tc>
      </w:tr>
    </w:tbl>
    <w:p>
      <w:pPr>
        <w:pStyle w:val="BodyText"/>
        <w:spacing w:line="240" w:lineRule="auto" w:before="63"/>
        <w:ind w:left="654" w:right="1029"/>
        <w:jc w:val="left"/>
      </w:pPr>
      <w:r>
        <w:rPr>
          <w:rFonts w:ascii="宋体" w:hAnsi="宋体" w:cs="宋体" w:eastAsia="宋体" w:hint="default"/>
        </w:rPr>
        <w:t>[</w:t>
      </w:r>
      <w:r>
        <w:rPr/>
        <w:t>注</w:t>
      </w:r>
      <w:r>
        <w:rPr>
          <w:rFonts w:ascii="宋体" w:hAnsi="宋体" w:cs="宋体" w:eastAsia="宋体" w:hint="default"/>
        </w:rPr>
        <w:t>]</w:t>
      </w:r>
      <w:r>
        <w:rPr/>
        <w:t>：期末数详见本财务报表附注承诺事项之说明。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54" w:right="1029"/>
        <w:jc w:val="left"/>
      </w:pPr>
      <w:bookmarkStart w:name="20. 应付票据" w:id="208"/>
      <w:bookmarkEnd w:id="208"/>
      <w:r>
        <w:rPr/>
      </w:r>
      <w:r>
        <w:rPr>
          <w:rFonts w:ascii="宋体" w:hAnsi="宋体" w:cs="宋体" w:eastAsia="宋体" w:hint="default"/>
        </w:rPr>
        <w:t>20.</w:t>
      </w:r>
      <w:r>
        <w:rPr>
          <w:rFonts w:ascii="宋体" w:hAnsi="宋体" w:cs="宋体" w:eastAsia="宋体" w:hint="default"/>
          <w:spacing w:val="-1"/>
        </w:rPr>
        <w:t> </w:t>
      </w:r>
      <w:r>
        <w:rPr/>
        <w:t>应付票据</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47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111,214,523.52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38,849,154.00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18,426,099.00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19,500,000.00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129,640,622.52</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58,349,154.00</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left="654" w:right="1029"/>
        <w:jc w:val="left"/>
      </w:pPr>
      <w:bookmarkStart w:name="21. 应付账款" w:id="209"/>
      <w:bookmarkEnd w:id="209"/>
      <w:r>
        <w:rPr/>
      </w:r>
      <w:r>
        <w:rPr>
          <w:rFonts w:ascii="宋体" w:hAnsi="宋体" w:cs="宋体" w:eastAsia="宋体" w:hint="default"/>
        </w:rPr>
        <w:t>21.</w:t>
      </w:r>
      <w:r>
        <w:rPr>
          <w:rFonts w:ascii="宋体" w:hAnsi="宋体" w:cs="宋体" w:eastAsia="宋体" w:hint="default"/>
          <w:spacing w:val="-1"/>
        </w:rPr>
        <w:t> </w:t>
      </w:r>
      <w:r>
        <w:rPr/>
        <w:t>应付账款</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13"/>
        <w:gridCol w:w="2262"/>
        <w:gridCol w:w="2358"/>
      </w:tblGrid>
      <w:tr>
        <w:trPr>
          <w:trHeight w:val="478"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1,130,956,827.32</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818,265,057.25</w:t>
            </w:r>
          </w:p>
        </w:tc>
      </w:tr>
      <w:tr>
        <w:trPr>
          <w:trHeight w:val="558"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8,382,649.22</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10,301,681.53</w:t>
            </w:r>
          </w:p>
        </w:tc>
      </w:tr>
      <w:tr>
        <w:trPr>
          <w:trHeight w:val="559" w:hRule="exact"/>
        </w:trPr>
        <w:tc>
          <w:tcPr>
            <w:tcW w:w="54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1,139,339,476.54</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828,566,738.78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left="654" w:right="1029"/>
        <w:jc w:val="left"/>
      </w:pPr>
      <w:bookmarkStart w:name="22. 预收款项" w:id="210"/>
      <w:bookmarkEnd w:id="210"/>
      <w:r>
        <w:rPr/>
      </w:r>
      <w:r>
        <w:rPr>
          <w:rFonts w:ascii="宋体" w:hAnsi="宋体" w:cs="宋体" w:eastAsia="宋体" w:hint="default"/>
        </w:rPr>
        <w:t>22.</w:t>
      </w:r>
      <w:r>
        <w:rPr>
          <w:rFonts w:ascii="宋体" w:hAnsi="宋体" w:cs="宋体" w:eastAsia="宋体" w:hint="default"/>
          <w:spacing w:val="-1"/>
        </w:rPr>
        <w:t> </w:t>
      </w:r>
      <w:r>
        <w:rPr/>
        <w:t>预收款项</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398"/>
        <w:gridCol w:w="2297"/>
        <w:gridCol w:w="2359"/>
      </w:tblGrid>
      <w:tr>
        <w:trPr>
          <w:trHeight w:val="479" w:hRule="exact"/>
        </w:trPr>
        <w:tc>
          <w:tcPr>
            <w:tcW w:w="5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426"/>
              <w:jc w:val="center"/>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4426"/>
              <w:jc w:val="center"/>
              <w:rPr>
                <w:rFonts w:ascii="宋体" w:hAnsi="宋体" w:cs="宋体" w:eastAsia="宋体" w:hint="default"/>
                <w:sz w:val="18"/>
                <w:szCs w:val="18"/>
              </w:rPr>
            </w:pPr>
            <w:r>
              <w:rPr>
                <w:rFonts w:ascii="宋体" w:hAnsi="宋体" w:cs="宋体" w:eastAsia="宋体" w:hint="default"/>
                <w:sz w:val="18"/>
                <w:szCs w:val="18"/>
              </w:rPr>
              <w:t>预收货款</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78"/>
              <w:jc w:val="right"/>
              <w:rPr>
                <w:rFonts w:ascii="宋体" w:hAnsi="宋体" w:cs="宋体" w:eastAsia="宋体" w:hint="default"/>
                <w:sz w:val="18"/>
                <w:szCs w:val="18"/>
              </w:rPr>
            </w:pPr>
            <w:r>
              <w:rPr>
                <w:rFonts w:ascii="宋体"/>
                <w:sz w:val="18"/>
              </w:rPr>
              <w:t>136,197,330.05</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14"/>
              <w:jc w:val="right"/>
              <w:rPr>
                <w:rFonts w:ascii="宋体" w:hAnsi="宋体" w:cs="宋体" w:eastAsia="宋体" w:hint="default"/>
                <w:sz w:val="18"/>
                <w:szCs w:val="18"/>
              </w:rPr>
            </w:pPr>
            <w:r>
              <w:rPr>
                <w:rFonts w:ascii="宋体"/>
                <w:sz w:val="18"/>
              </w:rPr>
              <w:t>134,110,119.72</w:t>
            </w:r>
          </w:p>
        </w:tc>
      </w:tr>
      <w:tr>
        <w:trPr>
          <w:trHeight w:val="478" w:hRule="exact"/>
        </w:trPr>
        <w:tc>
          <w:tcPr>
            <w:tcW w:w="5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426"/>
              <w:jc w:val="center"/>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78"/>
              <w:jc w:val="right"/>
              <w:rPr>
                <w:rFonts w:ascii="宋体" w:hAnsi="宋体" w:cs="宋体" w:eastAsia="宋体" w:hint="default"/>
                <w:sz w:val="18"/>
                <w:szCs w:val="18"/>
              </w:rPr>
            </w:pPr>
            <w:r>
              <w:rPr>
                <w:rFonts w:ascii="宋体"/>
                <w:sz w:val="18"/>
              </w:rPr>
              <w:t>136,197,330.05</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414"/>
              <w:jc w:val="right"/>
              <w:rPr>
                <w:rFonts w:ascii="宋体" w:hAnsi="宋体" w:cs="宋体" w:eastAsia="宋体" w:hint="default"/>
                <w:sz w:val="18"/>
                <w:szCs w:val="18"/>
              </w:rPr>
            </w:pPr>
            <w:r>
              <w:rPr>
                <w:rFonts w:ascii="宋体"/>
                <w:sz w:val="18"/>
              </w:rPr>
              <w:t>134,110,119.72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029"/>
        <w:jc w:val="left"/>
      </w:pPr>
      <w:bookmarkStart w:name="23. 应付职工薪酬" w:id="211"/>
      <w:bookmarkEnd w:id="211"/>
      <w:r>
        <w:rPr/>
      </w:r>
      <w:r>
        <w:rPr>
          <w:rFonts w:ascii="宋体" w:hAnsi="宋体" w:cs="宋体" w:eastAsia="宋体" w:hint="default"/>
        </w:rPr>
        <w:t>23.</w:t>
      </w:r>
      <w:r>
        <w:rPr>
          <w:rFonts w:ascii="宋体" w:hAnsi="宋体" w:cs="宋体" w:eastAsia="宋体" w:hint="default"/>
          <w:spacing w:val="-1"/>
        </w:rPr>
        <w:t> </w:t>
      </w:r>
      <w:r>
        <w:rPr/>
        <w:t>应付职工薪酬</w:t>
      </w:r>
    </w:p>
    <w:p>
      <w:pPr>
        <w:spacing w:line="240" w:lineRule="auto" w:before="11"/>
        <w:rPr>
          <w:rFonts w:ascii="宋体" w:hAnsi="宋体" w:cs="宋体" w:eastAsia="宋体" w:hint="default"/>
          <w:sz w:val="19"/>
          <w:szCs w:val="19"/>
        </w:rPr>
      </w:pPr>
    </w:p>
    <w:p>
      <w:pPr>
        <w:spacing w:before="0"/>
        <w:ind w:left="594" w:right="1029"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明细情况</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924"/>
        <w:gridCol w:w="1679"/>
        <w:gridCol w:w="1830"/>
        <w:gridCol w:w="1732"/>
        <w:gridCol w:w="1705"/>
      </w:tblGrid>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75"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60,995,908.71</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392,829,546.26</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373,066,198.89</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80,759,256.08</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离职后福利—设定提存计划</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4,197,661.85</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25,643,674.06</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28,060,672.17</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1,780,663.74</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3,278,902.12</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1,624,490.11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2,099,104.01</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2,804,288.22</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68,472,472.68</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420,097,710.43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403,225,975.07</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85,344,208.04</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：其中本期因非同一控制下企业合并转入</w:t>
      </w:r>
      <w:r>
        <w:rPr>
          <w:rFonts w:ascii="宋体" w:hAnsi="宋体" w:cs="宋体" w:eastAsia="宋体" w:hint="default"/>
          <w:spacing w:val="-46"/>
          <w:sz w:val="18"/>
          <w:szCs w:val="18"/>
        </w:rPr>
        <w:t> </w:t>
      </w:r>
      <w:r>
        <w:rPr>
          <w:rFonts w:ascii="宋体" w:hAnsi="宋体" w:cs="宋体" w:eastAsia="宋体" w:hint="default"/>
          <w:sz w:val="18"/>
          <w:szCs w:val="18"/>
        </w:rPr>
        <w:t>6,153,529.94</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18"/>
          <w:szCs w:val="18"/>
        </w:rPr>
      </w:pPr>
    </w:p>
    <w:p>
      <w:pPr>
        <w:pStyle w:val="BodyText"/>
        <w:spacing w:line="240" w:lineRule="auto"/>
        <w:ind w:left="654" w:right="1029"/>
        <w:jc w:val="left"/>
      </w:pPr>
      <w:r>
        <w:rPr>
          <w:rFonts w:ascii="宋体" w:hAnsi="宋体" w:cs="宋体" w:eastAsia="宋体" w:hint="default"/>
        </w:rPr>
        <w:t>(2)</w:t>
      </w:r>
      <w:r>
        <w:rPr>
          <w:rFonts w:ascii="宋体" w:hAnsi="宋体" w:cs="宋体" w:eastAsia="宋体" w:hint="default"/>
          <w:spacing w:val="-1"/>
        </w:rPr>
        <w:t> </w:t>
      </w:r>
      <w:r>
        <w:rPr/>
        <w:t>短期薪酬明细情况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24"/>
        <w:gridCol w:w="1893"/>
        <w:gridCol w:w="1712"/>
        <w:gridCol w:w="1739"/>
        <w:gridCol w:w="1602"/>
      </w:tblGrid>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52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55,360,592.20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348,447,333.02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325,779,257.67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78,028,667.55</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893"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14,506,207.72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14,506,207.72</w:t>
            </w:r>
          </w:p>
        </w:tc>
        <w:tc>
          <w:tcPr>
            <w:tcW w:w="160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2,327,004.20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17,678,733.51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18,958,380.96</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1,047,356.75</w:t>
            </w:r>
          </w:p>
        </w:tc>
      </w:tr>
      <w:tr>
        <w:trPr>
          <w:trHeight w:val="559"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1,927,177.48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13,034,584.36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14,235,066.27</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726,695.57</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924"/>
        <w:gridCol w:w="1893"/>
        <w:gridCol w:w="1712"/>
        <w:gridCol w:w="1739"/>
        <w:gridCol w:w="1602"/>
      </w:tblGrid>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217,767.47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3,583,889.90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3,573,604.20</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228,053.17</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182,059.25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1,060,259.25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1,149,710.49</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92,608.01</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1,720,142.66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8,982,865.56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10,511,953.61</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191,054.61</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1,374,610.54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2,353,077.90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2,237,246.58</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1,490,441.86</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213,559.11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861,328.55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1,073,152.35</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1,735.31</w:t>
            </w:r>
          </w:p>
        </w:tc>
      </w:tr>
      <w:tr>
        <w:trPr>
          <w:trHeight w:val="558"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60,995,908.71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392,829,546.26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373,066,198.89</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80,759,256.08</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(3)</w:t>
      </w:r>
      <w:r>
        <w:rPr>
          <w:rFonts w:ascii="宋体" w:hAnsi="宋体" w:cs="宋体" w:eastAsia="宋体" w:hint="default"/>
          <w:spacing w:val="-1"/>
        </w:rPr>
        <w:t> </w:t>
      </w:r>
      <w:r>
        <w:rPr/>
        <w:t>设定提存计划明细情况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37"/>
        <w:gridCol w:w="1876"/>
        <w:gridCol w:w="1717"/>
        <w:gridCol w:w="1763"/>
        <w:gridCol w:w="1577"/>
      </w:tblGrid>
      <w:tr>
        <w:trPr>
          <w:trHeight w:val="558" w:hRule="exact"/>
        </w:trPr>
        <w:tc>
          <w:tcPr>
            <w:tcW w:w="2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1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3,879,500.30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23,582,266.49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25,859,880.60</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1,601,886.19</w:t>
            </w:r>
          </w:p>
        </w:tc>
      </w:tr>
      <w:tr>
        <w:trPr>
          <w:trHeight w:val="558" w:hRule="exact"/>
        </w:trPr>
        <w:tc>
          <w:tcPr>
            <w:tcW w:w="2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318,161.55</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2,061,407.57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2,200,791.57</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178,777.55</w:t>
            </w:r>
          </w:p>
        </w:tc>
      </w:tr>
      <w:tr>
        <w:trPr>
          <w:trHeight w:val="558" w:hRule="exact"/>
        </w:trPr>
        <w:tc>
          <w:tcPr>
            <w:tcW w:w="2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4,197,661.85</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25,643,674.06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28,060,672.17</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1,780,663.74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bookmarkStart w:name="24. 应交税费" w:id="212"/>
      <w:bookmarkEnd w:id="212"/>
      <w:r>
        <w:rPr/>
      </w:r>
      <w:r>
        <w:rPr>
          <w:rFonts w:ascii="宋体" w:hAnsi="宋体" w:cs="宋体" w:eastAsia="宋体" w:hint="default"/>
        </w:rPr>
        <w:t>24.</w:t>
      </w:r>
      <w:r>
        <w:rPr>
          <w:rFonts w:ascii="宋体" w:hAnsi="宋体" w:cs="宋体" w:eastAsia="宋体" w:hint="default"/>
          <w:spacing w:val="-1"/>
        </w:rPr>
        <w:t> </w:t>
      </w:r>
      <w:r>
        <w:rPr/>
        <w:t>应交税费</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0"/>
        <w:gridCol w:w="2199"/>
        <w:gridCol w:w="2242"/>
      </w:tblGrid>
      <w:tr>
        <w:trPr>
          <w:trHeight w:val="482"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29,236,674.89</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6,734,013.90</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153,368.69</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52,507.43</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52,374,596.54</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31,103,026.67</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673,786.38</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390,084.81</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2,575,636.56</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596,666.51</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1,410,341.89</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1,318,239.58</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2,368,770.52</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3,142,913.11</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1,355,317.20</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356,527.45</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894,942.26</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237,684.95</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1,220,931.13</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972,702.78</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2,245,233.82</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869,559.19</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430"/>
        <w:gridCol w:w="2199"/>
        <w:gridCol w:w="2242"/>
      </w:tblGrid>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9,226,867.43</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5,997,123.85</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79,110.00</w:t>
            </w:r>
          </w:p>
        </w:tc>
        <w:tc>
          <w:tcPr>
            <w:tcW w:w="224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103,815,577.31</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51,771,050.23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bookmarkStart w:name="25. 应付利息" w:id="213"/>
      <w:bookmarkEnd w:id="213"/>
      <w:r>
        <w:rPr/>
      </w:r>
      <w:r>
        <w:rPr>
          <w:rFonts w:ascii="宋体" w:hAnsi="宋体" w:cs="宋体" w:eastAsia="宋体" w:hint="default"/>
        </w:rPr>
        <w:t>25.</w:t>
      </w:r>
      <w:r>
        <w:rPr>
          <w:rFonts w:ascii="宋体" w:hAnsi="宋体" w:cs="宋体" w:eastAsia="宋体" w:hint="default"/>
          <w:spacing w:val="-1"/>
        </w:rPr>
        <w:t> </w:t>
      </w:r>
      <w:r>
        <w:rPr/>
        <w:t>应付利息</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30"/>
        <w:gridCol w:w="2199"/>
        <w:gridCol w:w="2242"/>
      </w:tblGrid>
      <w:tr>
        <w:trPr>
          <w:trHeight w:val="482"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605,964.95</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215,924.58</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178,138.37</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614,444.66</w:t>
            </w:r>
          </w:p>
        </w:tc>
      </w:tr>
      <w:tr>
        <w:trPr>
          <w:trHeight w:val="558" w:hRule="exact"/>
        </w:trPr>
        <w:tc>
          <w:tcPr>
            <w:tcW w:w="5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784,103.32</w:t>
            </w:r>
          </w:p>
        </w:tc>
        <w:tc>
          <w:tcPr>
            <w:tcW w:w="2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830,369.24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bookmarkStart w:name="26. 其他应付款" w:id="214"/>
      <w:bookmarkEnd w:id="214"/>
      <w:r>
        <w:rPr/>
      </w:r>
      <w:r>
        <w:rPr>
          <w:rFonts w:ascii="宋体" w:hAnsi="宋体" w:cs="宋体" w:eastAsia="宋体" w:hint="default"/>
        </w:rPr>
        <w:t>26.</w:t>
      </w:r>
      <w:r>
        <w:rPr>
          <w:rFonts w:ascii="宋体" w:hAnsi="宋体" w:cs="宋体" w:eastAsia="宋体" w:hint="default"/>
          <w:spacing w:val="-1"/>
        </w:rPr>
        <w:t> </w:t>
      </w:r>
      <w:r>
        <w:rPr/>
        <w:t>其他应付款</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705"/>
        <w:gridCol w:w="1916"/>
        <w:gridCol w:w="1917"/>
      </w:tblGrid>
      <w:tr>
        <w:trPr>
          <w:trHeight w:val="481"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股权购置款</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206,302,056.81</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214,950,000.00</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44,788,052.13</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23,701,660.91</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42,673,465.23</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1,193,077.25</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3,273,613.40</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9,462,208.89</w:t>
            </w:r>
          </w:p>
        </w:tc>
      </w:tr>
      <w:tr>
        <w:trPr>
          <w:trHeight w:val="559"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297,037,187.57</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249,306,947.05</w:t>
            </w:r>
          </w:p>
        </w:tc>
      </w:tr>
    </w:tbl>
    <w:p>
      <w:pPr>
        <w:spacing w:line="240" w:lineRule="auto" w:before="6"/>
        <w:rPr>
          <w:rFonts w:ascii="宋体" w:hAnsi="宋体" w:cs="宋体" w:eastAsia="宋体" w:hint="default"/>
          <w:sz w:val="6"/>
          <w:szCs w:val="6"/>
        </w:rPr>
      </w:pPr>
    </w:p>
    <w:p>
      <w:pPr>
        <w:spacing w:before="44"/>
        <w:ind w:left="74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：其中应付上海漫酷股权购置款</w:t>
      </w:r>
      <w:r>
        <w:rPr>
          <w:rFonts w:ascii="宋体" w:hAnsi="宋体" w:cs="宋体" w:eastAsia="宋体" w:hint="default"/>
          <w:spacing w:val="-46"/>
          <w:sz w:val="18"/>
          <w:szCs w:val="18"/>
        </w:rPr>
        <w:t> </w:t>
      </w:r>
      <w:r>
        <w:rPr>
          <w:rFonts w:ascii="宋体" w:hAnsi="宋体" w:cs="宋体" w:eastAsia="宋体" w:hint="default"/>
          <w:sz w:val="18"/>
          <w:szCs w:val="18"/>
        </w:rPr>
        <w:t>150,465,000.00</w:t>
      </w:r>
      <w:r>
        <w:rPr>
          <w:rFonts w:ascii="宋体" w:hAnsi="宋体" w:cs="宋体" w:eastAsia="宋体" w:hint="default"/>
          <w:spacing w:val="-46"/>
          <w:sz w:val="18"/>
          <w:szCs w:val="18"/>
        </w:rPr>
        <w:t> </w:t>
      </w:r>
      <w:r>
        <w:rPr>
          <w:rFonts w:ascii="宋体" w:hAnsi="宋体" w:cs="宋体" w:eastAsia="宋体" w:hint="default"/>
          <w:sz w:val="18"/>
          <w:szCs w:val="18"/>
        </w:rPr>
        <w:t>元，详见本财务报表附注其他重要事项之说明。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654" w:right="1029"/>
        <w:jc w:val="left"/>
      </w:pPr>
      <w:r>
        <w:rPr>
          <w:rFonts w:ascii="宋体" w:hAnsi="宋体" w:cs="宋体" w:eastAsia="宋体" w:hint="default"/>
        </w:rPr>
        <w:t>27.</w:t>
      </w:r>
      <w:r>
        <w:rPr>
          <w:rFonts w:ascii="宋体" w:hAnsi="宋体" w:cs="宋体" w:eastAsia="宋体" w:hint="default"/>
          <w:spacing w:val="-1"/>
        </w:rPr>
        <w:t> </w:t>
      </w:r>
      <w:r>
        <w:rPr/>
        <w:t>一年内到期的非流动负债</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705"/>
        <w:gridCol w:w="1916"/>
        <w:gridCol w:w="1917"/>
      </w:tblGrid>
      <w:tr>
        <w:trPr>
          <w:trHeight w:val="482"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8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27,500,000.00</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23" w:right="0"/>
              <w:jc w:val="left"/>
              <w:rPr>
                <w:rFonts w:ascii="宋体" w:hAnsi="宋体" w:cs="宋体" w:eastAsia="宋体" w:hint="default"/>
                <w:sz w:val="18"/>
                <w:szCs w:val="18"/>
              </w:rPr>
            </w:pPr>
            <w:r>
              <w:rPr>
                <w:rFonts w:ascii="宋体"/>
                <w:sz w:val="18"/>
              </w:rPr>
              <w:t>7,500,000.00</w:t>
            </w:r>
          </w:p>
        </w:tc>
      </w:tr>
      <w:tr>
        <w:trPr>
          <w:trHeight w:val="55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27,500,000.00</w:t>
            </w:r>
          </w:p>
        </w:tc>
        <w:tc>
          <w:tcPr>
            <w:tcW w:w="19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23" w:right="0"/>
              <w:jc w:val="left"/>
              <w:rPr>
                <w:rFonts w:ascii="宋体" w:hAnsi="宋体" w:cs="宋体" w:eastAsia="宋体" w:hint="default"/>
                <w:sz w:val="18"/>
                <w:szCs w:val="18"/>
              </w:rPr>
            </w:pPr>
            <w:r>
              <w:rPr>
                <w:rFonts w:ascii="宋体"/>
                <w:sz w:val="18"/>
              </w:rPr>
              <w:t>7,500,000.00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029"/>
        <w:jc w:val="left"/>
      </w:pPr>
      <w:bookmarkStart w:name="28. 长期借款" w:id="215"/>
      <w:bookmarkEnd w:id="215"/>
      <w:r>
        <w:rPr/>
      </w:r>
      <w:r>
        <w:rPr>
          <w:rFonts w:ascii="宋体" w:hAnsi="宋体" w:cs="宋体" w:eastAsia="宋体" w:hint="default"/>
        </w:rPr>
        <w:t>28.</w:t>
      </w:r>
      <w:r>
        <w:rPr>
          <w:rFonts w:ascii="宋体" w:hAnsi="宋体" w:cs="宋体" w:eastAsia="宋体" w:hint="default"/>
          <w:spacing w:val="-3"/>
        </w:rPr>
        <w:t> </w:t>
      </w:r>
      <w:r>
        <w:rPr/>
        <w:t>长期借款</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587"/>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100,000,000.00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117,500,000.00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587"/>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190,000,000.00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587"/>
              <w:jc w:val="right"/>
              <w:rPr>
                <w:rFonts w:ascii="宋体" w:hAnsi="宋体" w:cs="宋体" w:eastAsia="宋体" w:hint="default"/>
                <w:sz w:val="18"/>
                <w:szCs w:val="18"/>
              </w:rPr>
            </w:pPr>
            <w:r>
              <w:rPr>
                <w:rFonts w:ascii="宋体" w:hAnsi="宋体" w:cs="宋体" w:eastAsia="宋体" w:hint="default"/>
                <w:sz w:val="18"/>
                <w:szCs w:val="18"/>
              </w:rPr>
              <w:t>合  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290,000,000.00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117,500,000.00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029"/>
        <w:jc w:val="left"/>
      </w:pPr>
      <w:r>
        <w:rPr>
          <w:rFonts w:ascii="宋体" w:hAnsi="宋体" w:cs="宋体" w:eastAsia="宋体" w:hint="default"/>
        </w:rPr>
        <w:t>29.</w:t>
      </w:r>
      <w:r>
        <w:rPr>
          <w:rFonts w:ascii="宋体" w:hAnsi="宋体" w:cs="宋体" w:eastAsia="宋体" w:hint="default"/>
          <w:spacing w:val="-1"/>
        </w:rPr>
        <w:t> </w:t>
      </w:r>
      <w:r>
        <w:rPr/>
        <w:t>长期应付职工薪酬</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375"/>
        <w:gridCol w:w="3249"/>
        <w:gridCol w:w="3250"/>
      </w:tblGrid>
      <w:tr>
        <w:trPr>
          <w:trHeight w:val="558"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34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超额奖励</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372" w:right="0"/>
              <w:jc w:val="left"/>
              <w:rPr>
                <w:rFonts w:ascii="宋体" w:hAnsi="宋体" w:cs="宋体" w:eastAsia="宋体" w:hint="default"/>
                <w:sz w:val="18"/>
                <w:szCs w:val="18"/>
              </w:rPr>
            </w:pPr>
            <w:r>
              <w:rPr>
                <w:rFonts w:ascii="宋体"/>
                <w:sz w:val="18"/>
              </w:rPr>
              <w:t>25,060,515.28</w:t>
            </w:r>
          </w:p>
        </w:tc>
        <w:tc>
          <w:tcPr>
            <w:tcW w:w="325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372" w:right="0"/>
              <w:jc w:val="left"/>
              <w:rPr>
                <w:rFonts w:ascii="宋体" w:hAnsi="宋体" w:cs="宋体" w:eastAsia="宋体" w:hint="default"/>
                <w:sz w:val="18"/>
                <w:szCs w:val="18"/>
              </w:rPr>
            </w:pPr>
            <w:r>
              <w:rPr>
                <w:rFonts w:ascii="宋体"/>
                <w:sz w:val="18"/>
              </w:rPr>
              <w:t>25,060,515.28</w:t>
            </w:r>
          </w:p>
        </w:tc>
        <w:tc>
          <w:tcPr>
            <w:tcW w:w="3250"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line="477" w:lineRule="auto" w:before="44"/>
        <w:ind w:left="233" w:right="1029" w:firstLine="4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注</w:t>
      </w:r>
      <w:r>
        <w:rPr>
          <w:rFonts w:ascii="宋体" w:hAnsi="宋体" w:cs="宋体" w:eastAsia="宋体" w:hint="default"/>
          <w:spacing w:val="-2"/>
          <w:sz w:val="18"/>
          <w:szCs w:val="18"/>
        </w:rPr>
        <w:t>]</w:t>
      </w:r>
      <w:r>
        <w:rPr>
          <w:rFonts w:ascii="宋体" w:hAnsi="宋体" w:cs="宋体" w:eastAsia="宋体" w:hint="default"/>
          <w:spacing w:val="-2"/>
          <w:sz w:val="18"/>
          <w:szCs w:val="18"/>
        </w:rPr>
        <w:t>：根据公司关于超额业绩奖励的相关会计处理方法，在业绩承诺期的各期期末，标的公司即上海漫酷、上海氩氪、</w:t>
      </w:r>
      <w:r>
        <w:rPr>
          <w:rFonts w:ascii="宋体" w:hAnsi="宋体" w:cs="宋体" w:eastAsia="宋体" w:hint="default"/>
          <w:sz w:val="18"/>
          <w:szCs w:val="18"/>
        </w:rPr>
        <w:t> </w:t>
      </w:r>
      <w:r>
        <w:rPr>
          <w:rFonts w:ascii="宋体" w:hAnsi="宋体" w:cs="宋体" w:eastAsia="宋体" w:hint="default"/>
          <w:spacing w:val="-2"/>
          <w:sz w:val="18"/>
          <w:szCs w:val="18"/>
        </w:rPr>
        <w:t>琥珀传播、万圣伟业和微创时代，如基本确认当期可实现的归属于母公司股东的扣除非经营性损益净利润能超过当期的业绩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承诺金额，则标的公司上海氩氪、琥珀传播、万圣伟业、微创时代按照当期预计可实现的归属于母公司股东的扣除非经营性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损益净利润减去当期业绩承诺金额后的余额的</w:t>
      </w:r>
      <w:r>
        <w:rPr>
          <w:rFonts w:ascii="宋体" w:hAnsi="宋体" w:cs="宋体" w:eastAsia="宋体" w:hint="default"/>
          <w:spacing w:val="-41"/>
          <w:sz w:val="18"/>
          <w:szCs w:val="18"/>
        </w:rPr>
        <w:t> </w:t>
      </w:r>
      <w:r>
        <w:rPr>
          <w:rFonts w:ascii="宋体" w:hAnsi="宋体" w:cs="宋体" w:eastAsia="宋体" w:hint="default"/>
          <w:sz w:val="18"/>
          <w:szCs w:val="18"/>
        </w:rPr>
        <w:t>50%</w:t>
      </w:r>
      <w:r>
        <w:rPr>
          <w:rFonts w:ascii="宋体" w:hAnsi="宋体" w:cs="宋体" w:eastAsia="宋体" w:hint="default"/>
          <w:sz w:val="18"/>
          <w:szCs w:val="18"/>
        </w:rPr>
        <w:t>，上海漫酷按余额的</w:t>
      </w:r>
      <w:r>
        <w:rPr>
          <w:rFonts w:ascii="宋体" w:hAnsi="宋体" w:cs="宋体" w:eastAsia="宋体" w:hint="default"/>
          <w:spacing w:val="-41"/>
          <w:sz w:val="18"/>
          <w:szCs w:val="18"/>
        </w:rPr>
        <w:t> </w:t>
      </w:r>
      <w:r>
        <w:rPr>
          <w:rFonts w:ascii="宋体" w:hAnsi="宋体" w:cs="宋体" w:eastAsia="宋体" w:hint="default"/>
          <w:sz w:val="18"/>
          <w:szCs w:val="18"/>
        </w:rPr>
        <w:t>25%</w:t>
      </w:r>
      <w:r>
        <w:rPr>
          <w:rFonts w:ascii="宋体" w:hAnsi="宋体" w:cs="宋体" w:eastAsia="宋体" w:hint="default"/>
          <w:sz w:val="18"/>
          <w:szCs w:val="18"/>
        </w:rPr>
        <w:t>，作为业绩绩效考核奖励，由标的公司根据确定 </w:t>
      </w:r>
      <w:r>
        <w:rPr>
          <w:rFonts w:ascii="宋体" w:hAnsi="宋体" w:cs="宋体" w:eastAsia="宋体" w:hint="default"/>
          <w:spacing w:val="-2"/>
          <w:sz w:val="18"/>
          <w:szCs w:val="18"/>
        </w:rPr>
        <w:t>予以发放奖励的员工后，预提相应的奖金，计入标的公司当期损益。根据公司与上述标的公司签订相应业绩补偿协议的相关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规定，公司按照上述标的公司各期期末实现的归属于母公司股东的扣除非经营性损益净利润能超过当期业绩承诺金额的差额</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按相应的比例计提超额奖励，截至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日，累计计提超额奖励</w:t>
      </w:r>
      <w:r>
        <w:rPr>
          <w:rFonts w:ascii="宋体" w:hAnsi="宋体" w:cs="宋体" w:eastAsia="宋体" w:hint="default"/>
          <w:spacing w:val="-45"/>
          <w:sz w:val="18"/>
          <w:szCs w:val="18"/>
        </w:rPr>
        <w:t> </w:t>
      </w:r>
      <w:r>
        <w:rPr>
          <w:rFonts w:ascii="宋体" w:hAnsi="宋体" w:cs="宋体" w:eastAsia="宋体" w:hint="default"/>
          <w:sz w:val="18"/>
          <w:szCs w:val="18"/>
        </w:rPr>
        <w:t>25,060,515.28</w:t>
      </w:r>
      <w:r>
        <w:rPr>
          <w:rFonts w:ascii="宋体" w:hAnsi="宋体" w:cs="宋体" w:eastAsia="宋体" w:hint="default"/>
          <w:spacing w:val="-44"/>
          <w:sz w:val="18"/>
          <w:szCs w:val="18"/>
        </w:rPr>
        <w:t> </w:t>
      </w:r>
      <w:r>
        <w:rPr>
          <w:rFonts w:ascii="宋体" w:hAnsi="宋体" w:cs="宋体" w:eastAsia="宋体" w:hint="default"/>
          <w:sz w:val="18"/>
          <w:szCs w:val="18"/>
        </w:rPr>
        <w:t>元，计入长期应付职工薪酬，同 时确认该超额奖励计提引起的可抵扣暂时性差异。</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653" w:right="1029"/>
        <w:jc w:val="left"/>
      </w:pPr>
      <w:bookmarkStart w:name="30.专项应付款" w:id="216"/>
      <w:bookmarkEnd w:id="216"/>
      <w:r>
        <w:rPr/>
      </w:r>
      <w:r>
        <w:rPr>
          <w:rFonts w:ascii="宋体" w:hAnsi="宋体" w:cs="宋体" w:eastAsia="宋体" w:hint="default"/>
        </w:rPr>
        <w:t>30.</w:t>
      </w:r>
      <w:r>
        <w:rPr/>
        <w:t>专项应付款</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858"/>
        <w:gridCol w:w="1683"/>
        <w:gridCol w:w="1520"/>
        <w:gridCol w:w="959"/>
        <w:gridCol w:w="1742"/>
        <w:gridCol w:w="1109"/>
      </w:tblGrid>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97"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8"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土地收购补偿款</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137,500,000.00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68,750,000.00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206,250,000.00</w:t>
            </w:r>
          </w:p>
        </w:tc>
        <w:tc>
          <w:tcPr>
            <w:tcW w:w="1109"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137,500,000.00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68,750,000.00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206,250,000.00</w:t>
            </w:r>
          </w:p>
        </w:tc>
        <w:tc>
          <w:tcPr>
            <w:tcW w:w="110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3"/>
        <w:ind w:left="654" w:right="1029"/>
        <w:jc w:val="left"/>
      </w:pPr>
      <w:r>
        <w:rPr>
          <w:rFonts w:ascii="宋体" w:hAnsi="宋体" w:cs="宋体" w:eastAsia="宋体" w:hint="default"/>
        </w:rPr>
        <w:t>[</w:t>
      </w:r>
      <w:r>
        <w:rPr/>
        <w:t>注</w:t>
      </w:r>
      <w:r>
        <w:rPr>
          <w:rFonts w:ascii="宋体" w:hAnsi="宋体" w:cs="宋体" w:eastAsia="宋体" w:hint="default"/>
        </w:rPr>
        <w:t>]</w:t>
      </w:r>
      <w:r>
        <w:rPr/>
        <w:t>：详见本财务报表附注其他重要事项之说明。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654" w:right="1029"/>
        <w:jc w:val="left"/>
      </w:pPr>
      <w:r>
        <w:rPr>
          <w:rFonts w:ascii="宋体" w:hAnsi="宋体" w:cs="宋体" w:eastAsia="宋体" w:hint="default"/>
        </w:rPr>
        <w:t>31.</w:t>
      </w:r>
      <w:r>
        <w:rPr>
          <w:rFonts w:ascii="宋体" w:hAnsi="宋体" w:cs="宋体" w:eastAsia="宋体" w:hint="default"/>
          <w:spacing w:val="-1"/>
        </w:rPr>
        <w:t> </w:t>
      </w:r>
      <w:r>
        <w:rPr/>
        <w:t>预计负债</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100"/>
        <w:gridCol w:w="2166"/>
        <w:gridCol w:w="2194"/>
        <w:gridCol w:w="2084"/>
      </w:tblGrid>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77"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100"/>
        <w:gridCol w:w="2166"/>
        <w:gridCol w:w="2194"/>
        <w:gridCol w:w="2084"/>
      </w:tblGrid>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300,000.00</w:t>
            </w: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2,533,875.85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2,354,610.89</w:t>
            </w: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2,533,875.85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2,654,610.89</w:t>
            </w:r>
          </w:p>
        </w:tc>
        <w:tc>
          <w:tcPr>
            <w:tcW w:w="208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444" w:lineRule="auto" w:before="35"/>
        <w:ind w:left="673" w:right="1119"/>
        <w:jc w:val="left"/>
      </w:pPr>
      <w:r>
        <w:rPr>
          <w:rFonts w:ascii="宋体" w:hAnsi="宋体" w:cs="宋体" w:eastAsia="宋体" w:hint="default"/>
        </w:rPr>
        <w:t>(2)</w:t>
      </w:r>
      <w:r>
        <w:rPr/>
        <w:t>其他说明 </w:t>
      </w:r>
      <w:r>
        <w:rPr>
          <w:spacing w:val="-1"/>
        </w:rPr>
        <w:t>产品质量保证系湖南天鹅、湖南利欧、大连华能和无锡锡泵等工业泵生产企业根据与客户签订的销售</w:t>
      </w:r>
    </w:p>
    <w:p>
      <w:pPr>
        <w:pStyle w:val="BodyText"/>
        <w:spacing w:line="410" w:lineRule="auto" w:before="14"/>
        <w:ind w:left="253" w:right="1119"/>
        <w:jc w:val="left"/>
      </w:pPr>
      <w:r>
        <w:rPr/>
        <w:t>合同中关于承诺</w:t>
      </w:r>
      <w:r>
        <w:rPr>
          <w:spacing w:val="-52"/>
        </w:rPr>
        <w:t> </w:t>
      </w:r>
      <w:r>
        <w:rPr>
          <w:rFonts w:ascii="宋体" w:hAnsi="宋体" w:cs="宋体" w:eastAsia="宋体" w:hint="default"/>
        </w:rPr>
        <w:t>1</w:t>
      </w:r>
      <w:r>
        <w:rPr>
          <w:rFonts w:ascii="宋体" w:hAnsi="宋体" w:cs="宋体" w:eastAsia="宋体" w:hint="default"/>
          <w:spacing w:val="-52"/>
        </w:rPr>
        <w:t> </w:t>
      </w:r>
      <w:r>
        <w:rPr>
          <w:spacing w:val="-5"/>
        </w:rPr>
        <w:t>年免费维修的条款，按其相关收入的</w:t>
      </w:r>
      <w:r>
        <w:rPr>
          <w:spacing w:val="-52"/>
        </w:rPr>
        <w:t> </w:t>
      </w:r>
      <w:r>
        <w:rPr>
          <w:rFonts w:ascii="宋体" w:hAnsi="宋体" w:cs="宋体" w:eastAsia="宋体" w:hint="default"/>
        </w:rPr>
        <w:t>0.5%(</w:t>
      </w:r>
      <w:r>
        <w:rPr/>
        <w:t>根据以往实际发生数据测算</w:t>
      </w:r>
      <w:r>
        <w:rPr>
          <w:rFonts w:ascii="宋体" w:hAnsi="宋体" w:cs="宋体" w:eastAsia="宋体" w:hint="default"/>
        </w:rPr>
        <w:t>)</w:t>
      </w:r>
      <w:r>
        <w:rPr/>
        <w:t>计提的售后维修 费用。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444" w:lineRule="auto"/>
        <w:ind w:left="673" w:right="9178"/>
        <w:jc w:val="left"/>
      </w:pPr>
      <w:r>
        <w:rPr/>
        <w:pict>
          <v:shape style="position:absolute;margin-left:50.34pt;margin-top:47.543686pt;width:545.5pt;height:92.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2"/>
                    <w:gridCol w:w="1678"/>
                    <w:gridCol w:w="1682"/>
                    <w:gridCol w:w="1681"/>
                    <w:gridCol w:w="1680"/>
                    <w:gridCol w:w="2872"/>
                  </w:tblGrid>
                  <w:tr>
                    <w:trPr>
                      <w:trHeight w:val="558"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8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59"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44,308,373.48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15,029,300.00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8" w:right="0"/>
                          <w:jc w:val="left"/>
                          <w:rPr>
                            <w:rFonts w:ascii="宋体" w:hAnsi="宋体" w:cs="宋体" w:eastAsia="宋体" w:hint="default"/>
                            <w:sz w:val="18"/>
                            <w:szCs w:val="18"/>
                          </w:rPr>
                        </w:pPr>
                        <w:r>
                          <w:rPr>
                            <w:rFonts w:ascii="宋体"/>
                            <w:sz w:val="18"/>
                          </w:rPr>
                          <w:t>1,626,243.69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57,711,429.79</w:t>
                        </w:r>
                      </w:p>
                    </w:tc>
                    <w:tc>
                      <w:tcPr>
                        <w:tcW w:w="287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107" w:right="-37"/>
                          <w:jc w:val="left"/>
                          <w:rPr>
                            <w:rFonts w:ascii="宋体" w:hAnsi="宋体" w:cs="宋体" w:eastAsia="宋体" w:hint="default"/>
                            <w:sz w:val="18"/>
                            <w:szCs w:val="18"/>
                          </w:rPr>
                        </w:pPr>
                        <w:r>
                          <w:rPr>
                            <w:rFonts w:ascii="宋体" w:hAnsi="宋体" w:cs="宋体" w:eastAsia="宋体" w:hint="default"/>
                            <w:spacing w:val="6"/>
                            <w:sz w:val="18"/>
                            <w:szCs w:val="18"/>
                          </w:rPr>
                          <w:t>根据浙江省温岭经济开发区管委会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项目投资协议书等文件</w:t>
                        </w:r>
                      </w:p>
                    </w:tc>
                  </w:tr>
                  <w:tr>
                    <w:trPr>
                      <w:trHeight w:val="560"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44,308,373.48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15,029,300.00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88" w:right="0"/>
                          <w:jc w:val="left"/>
                          <w:rPr>
                            <w:rFonts w:ascii="宋体" w:hAnsi="宋体" w:cs="宋体" w:eastAsia="宋体" w:hint="default"/>
                            <w:sz w:val="18"/>
                            <w:szCs w:val="18"/>
                          </w:rPr>
                        </w:pPr>
                        <w:r>
                          <w:rPr>
                            <w:rFonts w:ascii="宋体"/>
                            <w:sz w:val="18"/>
                          </w:rPr>
                          <w:t>1,626,243.69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57,711,429.79</w:t>
                        </w:r>
                      </w:p>
                    </w:tc>
                    <w:tc>
                      <w:tcPr>
                        <w:tcW w:w="2872"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32.</w:t>
      </w:r>
      <w:r>
        <w:rPr/>
        <w:t>递延收益 </w:t>
      </w:r>
      <w:r>
        <w:rPr>
          <w:rFonts w:ascii="宋体" w:hAnsi="宋体" w:cs="宋体" w:eastAsia="宋体" w:hint="default"/>
        </w:rPr>
        <w:t>(1)</w:t>
      </w:r>
      <w:r>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35"/>
        <w:ind w:left="674" w:right="1119"/>
        <w:jc w:val="left"/>
      </w:pPr>
      <w:r>
        <w:rPr>
          <w:rFonts w:ascii="宋体" w:hAnsi="宋体" w:cs="宋体" w:eastAsia="宋体" w:hint="default"/>
        </w:rPr>
        <w:t>(2)</w:t>
      </w:r>
      <w:r>
        <w:rPr/>
        <w:t>政府补助明细</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423"/>
        <w:gridCol w:w="1218"/>
        <w:gridCol w:w="1316"/>
        <w:gridCol w:w="1139"/>
        <w:gridCol w:w="1130"/>
        <w:gridCol w:w="1218"/>
        <w:gridCol w:w="1134"/>
      </w:tblGrid>
      <w:tr>
        <w:trPr>
          <w:trHeight w:val="755"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5"/>
              <w:ind w:left="353" w:right="350"/>
              <w:jc w:val="left"/>
              <w:rPr>
                <w:rFonts w:ascii="宋体" w:hAnsi="宋体" w:cs="宋体" w:eastAsia="宋体" w:hint="default"/>
                <w:sz w:val="15"/>
                <w:szCs w:val="15"/>
              </w:rPr>
            </w:pPr>
            <w:r>
              <w:rPr>
                <w:rFonts w:ascii="宋体" w:hAnsi="宋体" w:cs="宋体" w:eastAsia="宋体" w:hint="default"/>
                <w:sz w:val="15"/>
                <w:szCs w:val="15"/>
              </w:rPr>
              <w:t>本期新增 补助金额</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95"/>
              <w:ind w:left="188" w:right="113" w:hanging="75"/>
              <w:jc w:val="left"/>
              <w:rPr>
                <w:rFonts w:ascii="宋体" w:hAnsi="宋体" w:cs="宋体" w:eastAsia="宋体" w:hint="default"/>
                <w:sz w:val="15"/>
                <w:szCs w:val="15"/>
              </w:rPr>
            </w:pPr>
            <w:r>
              <w:rPr>
                <w:rFonts w:ascii="宋体" w:hAnsi="宋体" w:cs="宋体" w:eastAsia="宋体" w:hint="default"/>
                <w:sz w:val="15"/>
                <w:szCs w:val="15"/>
              </w:rPr>
              <w:t>本期计入营业 外收入金额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其他变动</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384" w:lineRule="auto" w:before="95"/>
              <w:ind w:left="185" w:right="153" w:hanging="38"/>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宋体" w:hAnsi="宋体" w:cs="宋体" w:eastAsia="宋体" w:hint="default"/>
                <w:sz w:val="15"/>
                <w:szCs w:val="15"/>
              </w:rPr>
              <w:t>/ </w:t>
            </w:r>
            <w:r>
              <w:rPr>
                <w:rFonts w:ascii="宋体" w:hAnsi="宋体" w:cs="宋体" w:eastAsia="宋体" w:hint="default"/>
                <w:sz w:val="15"/>
                <w:szCs w:val="15"/>
              </w:rPr>
              <w:t>与收益相关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开工奖励</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30,654,425.00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4,101,200.00</w:t>
            </w:r>
          </w:p>
        </w:tc>
        <w:tc>
          <w:tcPr>
            <w:tcW w:w="113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34,755,625.00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634"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193"/>
              <w:jc w:val="left"/>
              <w:rPr>
                <w:rFonts w:ascii="宋体" w:hAnsi="宋体" w:cs="宋体" w:eastAsia="宋体" w:hint="default"/>
                <w:sz w:val="15"/>
                <w:szCs w:val="15"/>
              </w:rPr>
            </w:pPr>
            <w:r>
              <w:rPr>
                <w:rFonts w:ascii="宋体" w:hAnsi="宋体" w:cs="宋体" w:eastAsia="宋体" w:hint="default"/>
                <w:sz w:val="15"/>
                <w:szCs w:val="15"/>
              </w:rPr>
              <w:t>年增产量</w:t>
            </w:r>
            <w:r>
              <w:rPr>
                <w:rFonts w:ascii="宋体" w:hAnsi="宋体" w:cs="宋体" w:eastAsia="宋体" w:hint="default"/>
                <w:spacing w:val="-39"/>
                <w:sz w:val="15"/>
                <w:szCs w:val="15"/>
              </w:rPr>
              <w:t> </w:t>
            </w:r>
            <w:r>
              <w:rPr>
                <w:rFonts w:ascii="宋体" w:hAnsi="宋体" w:cs="宋体" w:eastAsia="宋体" w:hint="default"/>
                <w:sz w:val="15"/>
                <w:szCs w:val="15"/>
              </w:rPr>
              <w:t>200</w:t>
            </w:r>
            <w:r>
              <w:rPr>
                <w:rFonts w:ascii="宋体" w:hAnsi="宋体" w:cs="宋体" w:eastAsia="宋体" w:hint="default"/>
                <w:spacing w:val="-39"/>
                <w:sz w:val="15"/>
                <w:szCs w:val="15"/>
              </w:rPr>
              <w:t> </w:t>
            </w:r>
            <w:r>
              <w:rPr>
                <w:rFonts w:ascii="宋体" w:hAnsi="宋体" w:cs="宋体" w:eastAsia="宋体" w:hint="default"/>
                <w:sz w:val="15"/>
                <w:szCs w:val="15"/>
              </w:rPr>
              <w:t>万台高效微小型水 泵技改项目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2,392,483.19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302,208.40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2,090,274.79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946"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100</w:t>
            </w:r>
            <w:r>
              <w:rPr>
                <w:rFonts w:ascii="宋体" w:hAnsi="宋体" w:cs="宋体" w:eastAsia="宋体" w:hint="default"/>
                <w:spacing w:val="-39"/>
                <w:sz w:val="15"/>
                <w:szCs w:val="15"/>
              </w:rPr>
              <w:t> </w:t>
            </w:r>
            <w:r>
              <w:rPr>
                <w:rFonts w:ascii="宋体" w:hAnsi="宋体" w:cs="宋体" w:eastAsia="宋体" w:hint="default"/>
                <w:sz w:val="15"/>
                <w:szCs w:val="15"/>
              </w:rPr>
              <w:t>万台碎枝机技改项</w:t>
            </w:r>
          </w:p>
          <w:p>
            <w:pPr>
              <w:pStyle w:val="TableParagraph"/>
              <w:spacing w:line="381" w:lineRule="auto" w:before="115"/>
              <w:ind w:left="122" w:right="119"/>
              <w:jc w:val="left"/>
              <w:rPr>
                <w:rFonts w:ascii="宋体" w:hAnsi="宋体" w:cs="宋体" w:eastAsia="宋体" w:hint="default"/>
                <w:sz w:val="15"/>
                <w:szCs w:val="15"/>
              </w:rPr>
            </w:pPr>
            <w:r>
              <w:rPr>
                <w:rFonts w:ascii="宋体" w:hAnsi="宋体" w:cs="宋体" w:eastAsia="宋体" w:hint="default"/>
                <w:sz w:val="15"/>
                <w:szCs w:val="15"/>
              </w:rPr>
              <w:t>目、年产</w:t>
            </w:r>
            <w:r>
              <w:rPr>
                <w:rFonts w:ascii="宋体" w:hAnsi="宋体" w:cs="宋体" w:eastAsia="宋体" w:hint="default"/>
                <w:spacing w:val="-39"/>
                <w:sz w:val="15"/>
                <w:szCs w:val="15"/>
              </w:rPr>
              <w:t> </w:t>
            </w:r>
            <w:r>
              <w:rPr>
                <w:rFonts w:ascii="宋体" w:hAnsi="宋体" w:cs="宋体" w:eastAsia="宋体" w:hint="default"/>
                <w:sz w:val="15"/>
                <w:szCs w:val="15"/>
              </w:rPr>
              <w:t>20</w:t>
            </w:r>
            <w:r>
              <w:rPr>
                <w:rFonts w:ascii="宋体" w:hAnsi="宋体" w:cs="宋体" w:eastAsia="宋体" w:hint="default"/>
                <w:spacing w:val="-39"/>
                <w:sz w:val="15"/>
                <w:szCs w:val="15"/>
              </w:rPr>
              <w:t> </w:t>
            </w:r>
            <w:r>
              <w:rPr>
                <w:rFonts w:ascii="宋体" w:hAnsi="宋体" w:cs="宋体" w:eastAsia="宋体" w:hint="default"/>
                <w:sz w:val="15"/>
                <w:szCs w:val="15"/>
              </w:rPr>
              <w:t>万台热水循环屏蔽泵 技改项目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946,711.11</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135,244.44</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811,466.67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职工宿舍项目专项补助</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5,014,115.80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570,000.00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276,570.78</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5,307,545.02</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635"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5"/>
              <w:ind w:left="122" w:right="119"/>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0"/>
                <w:sz w:val="15"/>
                <w:szCs w:val="15"/>
              </w:rPr>
              <w:t> </w:t>
            </w:r>
            <w:r>
              <w:rPr>
                <w:rFonts w:ascii="宋体" w:hAnsi="宋体" w:cs="宋体" w:eastAsia="宋体" w:hint="default"/>
                <w:sz w:val="15"/>
                <w:szCs w:val="15"/>
              </w:rPr>
              <w:t>4000</w:t>
            </w:r>
            <w:r>
              <w:rPr>
                <w:rFonts w:ascii="宋体" w:hAnsi="宋体" w:cs="宋体" w:eastAsia="宋体" w:hint="default"/>
                <w:spacing w:val="-39"/>
                <w:sz w:val="15"/>
                <w:szCs w:val="15"/>
              </w:rPr>
              <w:t> </w:t>
            </w:r>
            <w:r>
              <w:rPr>
                <w:rFonts w:ascii="宋体" w:hAnsi="宋体" w:cs="宋体" w:eastAsia="宋体" w:hint="default"/>
                <w:sz w:val="15"/>
                <w:szCs w:val="15"/>
              </w:rPr>
              <w:t>台高转速轻量化高压柱 塞泵技改项目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692,393.97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67,807.20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624,586.77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高效智能离心泵研发项目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2,734,499.36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474,883.60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2,259,615.76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634"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119"/>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50</w:t>
            </w:r>
            <w:r>
              <w:rPr>
                <w:rFonts w:ascii="宋体" w:hAnsi="宋体" w:cs="宋体" w:eastAsia="宋体" w:hint="default"/>
                <w:spacing w:val="-39"/>
                <w:sz w:val="15"/>
                <w:szCs w:val="15"/>
              </w:rPr>
              <w:t> </w:t>
            </w:r>
            <w:r>
              <w:rPr>
                <w:rFonts w:ascii="宋体" w:hAnsi="宋体" w:cs="宋体" w:eastAsia="宋体" w:hint="default"/>
                <w:sz w:val="15"/>
                <w:szCs w:val="15"/>
              </w:rPr>
              <w:t>万台节能型水泵技改 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802,078.38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97,221.62</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704,856.76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635"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193"/>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100</w:t>
            </w:r>
            <w:r>
              <w:rPr>
                <w:rFonts w:ascii="宋体" w:hAnsi="宋体" w:cs="宋体" w:eastAsia="宋体" w:hint="default"/>
                <w:spacing w:val="-39"/>
                <w:sz w:val="15"/>
                <w:szCs w:val="15"/>
              </w:rPr>
              <w:t> </w:t>
            </w:r>
            <w:r>
              <w:rPr>
                <w:rFonts w:ascii="宋体" w:hAnsi="宋体" w:cs="宋体" w:eastAsia="宋体" w:hint="default"/>
                <w:sz w:val="15"/>
                <w:szCs w:val="15"/>
              </w:rPr>
              <w:t>万台高效节能水泵 技改项目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181,666.67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139,600.00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35,368.81</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285,897.86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center"/>
        <w:rPr>
          <w:rFonts w:ascii="宋体" w:hAnsi="宋体" w:cs="宋体" w:eastAsia="宋体" w:hint="default"/>
          <w:sz w:val="15"/>
          <w:szCs w:val="15"/>
        </w:rPr>
        <w:sectPr>
          <w:pgSz w:w="11910" w:h="16840"/>
          <w:pgMar w:header="877" w:footer="979" w:top="1100" w:bottom="1160" w:left="880" w:right="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423"/>
        <w:gridCol w:w="1218"/>
        <w:gridCol w:w="1316"/>
        <w:gridCol w:w="1139"/>
        <w:gridCol w:w="1130"/>
        <w:gridCol w:w="1218"/>
        <w:gridCol w:w="1134"/>
      </w:tblGrid>
      <w:tr>
        <w:trPr>
          <w:trHeight w:val="634"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156"/>
              <w:jc w:val="left"/>
              <w:rPr>
                <w:rFonts w:ascii="宋体" w:hAnsi="宋体" w:cs="宋体" w:eastAsia="宋体" w:hint="default"/>
                <w:sz w:val="15"/>
                <w:szCs w:val="15"/>
              </w:rPr>
            </w:pPr>
            <w:r>
              <w:rPr>
                <w:rFonts w:ascii="宋体" w:hAnsi="宋体" w:cs="宋体" w:eastAsia="宋体" w:hint="default"/>
                <w:sz w:val="15"/>
                <w:szCs w:val="15"/>
              </w:rPr>
              <w:t>60</w:t>
            </w:r>
            <w:r>
              <w:rPr>
                <w:rFonts w:ascii="宋体" w:hAnsi="宋体" w:cs="宋体" w:eastAsia="宋体" w:hint="default"/>
                <w:spacing w:val="-40"/>
                <w:sz w:val="15"/>
                <w:szCs w:val="15"/>
              </w:rPr>
              <w:t> </w:t>
            </w:r>
            <w:r>
              <w:rPr>
                <w:rFonts w:ascii="宋体" w:hAnsi="宋体" w:cs="宋体" w:eastAsia="宋体" w:hint="default"/>
                <w:sz w:val="15"/>
                <w:szCs w:val="15"/>
              </w:rPr>
              <w:t>万千瓦及以上发电设备用泵等 关键铸锻件生产线技术改造项目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10,000.00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80,000.00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947"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5"/>
              <w:ind w:left="122" w:right="193"/>
              <w:jc w:val="both"/>
              <w:rPr>
                <w:rFonts w:ascii="宋体" w:hAnsi="宋体" w:cs="宋体" w:eastAsia="宋体" w:hint="default"/>
                <w:sz w:val="15"/>
                <w:szCs w:val="15"/>
              </w:rPr>
            </w:pPr>
            <w:r>
              <w:rPr>
                <w:rFonts w:ascii="宋体" w:hAnsi="宋体" w:cs="宋体" w:eastAsia="宋体" w:hint="default"/>
                <w:sz w:val="15"/>
                <w:szCs w:val="15"/>
              </w:rPr>
              <w:t>以效果为导向的服务电商和品牌 客户的互联网</w:t>
            </w:r>
            <w:r>
              <w:rPr>
                <w:rFonts w:ascii="宋体" w:hAnsi="宋体" w:cs="宋体" w:eastAsia="宋体" w:hint="default"/>
                <w:spacing w:val="-38"/>
                <w:sz w:val="15"/>
                <w:szCs w:val="15"/>
              </w:rPr>
              <w:t> </w:t>
            </w:r>
            <w:r>
              <w:rPr>
                <w:rFonts w:ascii="宋体" w:hAnsi="宋体" w:cs="宋体" w:eastAsia="宋体" w:hint="default"/>
                <w:sz w:val="15"/>
                <w:szCs w:val="15"/>
              </w:rPr>
              <w:t>RTB</w:t>
            </w:r>
            <w:r>
              <w:rPr>
                <w:rFonts w:ascii="宋体" w:hAnsi="宋体" w:cs="宋体" w:eastAsia="宋体" w:hint="default"/>
                <w:spacing w:val="-39"/>
                <w:sz w:val="15"/>
                <w:szCs w:val="15"/>
              </w:rPr>
              <w:t> </w:t>
            </w:r>
            <w:r>
              <w:rPr>
                <w:rFonts w:ascii="宋体" w:hAnsi="宋体" w:cs="宋体" w:eastAsia="宋体" w:hint="default"/>
                <w:sz w:val="15"/>
                <w:szCs w:val="15"/>
              </w:rPr>
              <w:t>营销及数据管 理云服务平台开发项目</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160,000.00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640,000.00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634"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119"/>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40"/>
                <w:sz w:val="15"/>
                <w:szCs w:val="15"/>
              </w:rPr>
              <w:t> </w:t>
            </w:r>
            <w:r>
              <w:rPr>
                <w:rFonts w:ascii="宋体" w:hAnsi="宋体" w:cs="宋体" w:eastAsia="宋体" w:hint="default"/>
                <w:sz w:val="15"/>
                <w:szCs w:val="15"/>
              </w:rPr>
              <w:t>2000</w:t>
            </w:r>
            <w:r>
              <w:rPr>
                <w:rFonts w:ascii="宋体" w:hAnsi="宋体" w:cs="宋体" w:eastAsia="宋体" w:hint="default"/>
                <w:spacing w:val="-39"/>
                <w:sz w:val="15"/>
                <w:szCs w:val="15"/>
              </w:rPr>
              <w:t> </w:t>
            </w:r>
            <w:r>
              <w:rPr>
                <w:rFonts w:ascii="宋体" w:hAnsi="宋体" w:cs="宋体" w:eastAsia="宋体" w:hint="default"/>
                <w:sz w:val="15"/>
                <w:szCs w:val="15"/>
              </w:rPr>
              <w:t>万只水泵配件技术 改造项目</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518,500.00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51,850.00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466,650.00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保障性安居工程补助款</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700,000.00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15,088.84</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684,911.16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国家智能制造项目补助资金</w:t>
            </w:r>
          </w:p>
        </w:tc>
        <w:tc>
          <w:tcPr>
            <w:tcW w:w="12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9,000,000.00</w:t>
            </w:r>
          </w:p>
        </w:tc>
        <w:tc>
          <w:tcPr>
            <w:tcW w:w="113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9,000,000.00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58" w:hRule="exact"/>
        </w:trPr>
        <w:tc>
          <w:tcPr>
            <w:tcW w:w="2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44,308,373.48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15,029,300.00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1,626,243.69</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57,711,429.79</w:t>
            </w:r>
          </w:p>
        </w:tc>
        <w:tc>
          <w:tcPr>
            <w:tcW w:w="113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74" w:right="1119"/>
        <w:jc w:val="left"/>
      </w:pPr>
      <w:r>
        <w:rPr>
          <w:rFonts w:ascii="宋体" w:hAnsi="宋体" w:cs="宋体" w:eastAsia="宋体" w:hint="default"/>
        </w:rPr>
        <w:t>33.</w:t>
      </w:r>
      <w:r>
        <w:rPr/>
        <w:t>股本</w:t>
      </w:r>
    </w:p>
    <w:p>
      <w:pPr>
        <w:spacing w:line="240" w:lineRule="auto" w:before="10"/>
        <w:rPr>
          <w:rFonts w:ascii="宋体" w:hAnsi="宋体" w:cs="宋体" w:eastAsia="宋体" w:hint="default"/>
          <w:sz w:val="17"/>
          <w:szCs w:val="17"/>
        </w:rPr>
      </w:pPr>
    </w:p>
    <w:p>
      <w:pPr>
        <w:pStyle w:val="BodyText"/>
        <w:spacing w:line="240" w:lineRule="auto"/>
        <w:ind w:left="673" w:right="111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168"/>
        <w:gridCol w:w="1415"/>
        <w:gridCol w:w="1467"/>
        <w:gridCol w:w="672"/>
        <w:gridCol w:w="1445"/>
        <w:gridCol w:w="716"/>
        <w:gridCol w:w="1494"/>
        <w:gridCol w:w="1493"/>
      </w:tblGrid>
      <w:tr>
        <w:trPr>
          <w:trHeight w:val="402" w:hRule="exact"/>
        </w:trPr>
        <w:tc>
          <w:tcPr>
            <w:tcW w:w="11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7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3" w:right="0"/>
              <w:jc w:val="left"/>
              <w:rPr>
                <w:rFonts w:ascii="宋体" w:hAnsi="宋体" w:cs="宋体" w:eastAsia="宋体" w:hint="default"/>
                <w:sz w:val="18"/>
                <w:szCs w:val="18"/>
              </w:rPr>
            </w:pPr>
            <w:r>
              <w:rPr>
                <w:rFonts w:ascii="宋体" w:hAnsi="宋体" w:cs="宋体" w:eastAsia="宋体" w:hint="default"/>
                <w:sz w:val="18"/>
                <w:szCs w:val="18"/>
              </w:rPr>
              <w:t>本期增减变动（减少以“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”表示）</w:t>
            </w:r>
          </w:p>
        </w:tc>
        <w:tc>
          <w:tcPr>
            <w:tcW w:w="149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54" w:hRule="exact"/>
        </w:trPr>
        <w:tc>
          <w:tcPr>
            <w:tcW w:w="1168" w:type="dxa"/>
            <w:vMerge/>
            <w:tcBorders>
              <w:left w:val="nil" w:sz="6" w:space="0" w:color="auto"/>
              <w:bottom w:val="single" w:sz="4" w:space="0" w:color="000000"/>
              <w:right w:val="single" w:sz="4" w:space="0" w:color="000000"/>
            </w:tcBorders>
          </w:tcPr>
          <w:p>
            <w:pPr/>
          </w:p>
        </w:tc>
        <w:tc>
          <w:tcPr>
            <w:tcW w:w="1415" w:type="dxa"/>
            <w:vMerge/>
            <w:tcBorders>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38" w:right="44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93" w:type="dxa"/>
            <w:vMerge/>
            <w:tcBorders>
              <w:left w:val="single" w:sz="4" w:space="0" w:color="000000"/>
              <w:bottom w:val="single" w:sz="4" w:space="0" w:color="000000"/>
              <w:right w:val="nil" w:sz="6" w:space="0" w:color="auto"/>
            </w:tcBorders>
          </w:tcPr>
          <w:p>
            <w:pPr/>
          </w:p>
        </w:tc>
      </w:tr>
      <w:tr>
        <w:trPr>
          <w:trHeight w:val="558" w:hRule="exact"/>
        </w:trPr>
        <w:tc>
          <w:tcPr>
            <w:tcW w:w="1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1" w:right="0"/>
              <w:jc w:val="left"/>
              <w:rPr>
                <w:rFonts w:ascii="宋体" w:hAnsi="宋体" w:cs="宋体" w:eastAsia="宋体" w:hint="default"/>
                <w:sz w:val="15"/>
                <w:szCs w:val="15"/>
              </w:rPr>
            </w:pPr>
            <w:r>
              <w:rPr>
                <w:rFonts w:ascii="宋体"/>
                <w:sz w:val="15"/>
              </w:rPr>
              <w:t>391,424,450.00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03" w:right="0"/>
              <w:jc w:val="left"/>
              <w:rPr>
                <w:rFonts w:ascii="宋体" w:hAnsi="宋体" w:cs="宋体" w:eastAsia="宋体" w:hint="default"/>
                <w:sz w:val="15"/>
                <w:szCs w:val="15"/>
              </w:rPr>
            </w:pPr>
            <w:r>
              <w:rPr>
                <w:rFonts w:ascii="宋体"/>
                <w:sz w:val="15"/>
              </w:rPr>
              <w:t>335,154,299.00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81" w:right="0"/>
              <w:jc w:val="left"/>
              <w:rPr>
                <w:rFonts w:ascii="宋体" w:hAnsi="宋体" w:cs="宋体" w:eastAsia="宋体" w:hint="default"/>
                <w:sz w:val="15"/>
                <w:szCs w:val="15"/>
              </w:rPr>
            </w:pPr>
            <w:r>
              <w:rPr>
                <w:rFonts w:ascii="宋体"/>
                <w:sz w:val="15"/>
              </w:rPr>
              <w:t>782,848,900.00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8" w:right="0"/>
              <w:jc w:val="left"/>
              <w:rPr>
                <w:rFonts w:ascii="宋体" w:hAnsi="宋体" w:cs="宋体" w:eastAsia="宋体" w:hint="default"/>
                <w:sz w:val="15"/>
                <w:szCs w:val="15"/>
              </w:rPr>
            </w:pPr>
            <w:r>
              <w:rPr>
                <w:rFonts w:ascii="宋体"/>
                <w:sz w:val="15"/>
              </w:rPr>
              <w:t>1,118,003,199.00</w:t>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6" w:right="0"/>
              <w:jc w:val="left"/>
              <w:rPr>
                <w:rFonts w:ascii="宋体" w:hAnsi="宋体" w:cs="宋体" w:eastAsia="宋体" w:hint="default"/>
                <w:sz w:val="15"/>
                <w:szCs w:val="15"/>
              </w:rPr>
            </w:pPr>
            <w:r>
              <w:rPr>
                <w:rFonts w:ascii="宋体"/>
                <w:sz w:val="15"/>
              </w:rPr>
              <w:t>1,509,427,649.00</w:t>
            </w:r>
          </w:p>
        </w:tc>
      </w:tr>
    </w:tbl>
    <w:p>
      <w:pPr>
        <w:pStyle w:val="BodyText"/>
        <w:spacing w:line="240" w:lineRule="auto" w:before="63"/>
        <w:ind w:left="674" w:right="1119"/>
        <w:jc w:val="left"/>
      </w:pPr>
      <w:r>
        <w:rPr>
          <w:rFonts w:ascii="宋体" w:hAnsi="宋体" w:cs="宋体" w:eastAsia="宋体" w:hint="default"/>
        </w:rPr>
        <w:t>(2)</w:t>
      </w:r>
      <w:r>
        <w:rPr>
          <w:rFonts w:ascii="宋体" w:hAnsi="宋体" w:cs="宋体" w:eastAsia="宋体" w:hint="default"/>
          <w:spacing w:val="-1"/>
        </w:rPr>
        <w:t> </w:t>
      </w:r>
      <w:r>
        <w:rPr/>
        <w:t>其他说明</w:t>
      </w:r>
    </w:p>
    <w:p>
      <w:pPr>
        <w:spacing w:line="240" w:lineRule="auto" w:before="10"/>
        <w:rPr>
          <w:rFonts w:ascii="宋体" w:hAnsi="宋体" w:cs="宋体" w:eastAsia="宋体" w:hint="default"/>
          <w:sz w:val="14"/>
          <w:szCs w:val="14"/>
        </w:rPr>
      </w:pPr>
    </w:p>
    <w:p>
      <w:pPr>
        <w:pStyle w:val="BodyText"/>
        <w:spacing w:line="240" w:lineRule="auto"/>
        <w:ind w:left="674" w:right="1019"/>
        <w:jc w:val="left"/>
      </w:pPr>
      <w:r>
        <w:rPr/>
        <w:t>根据公司</w:t>
      </w:r>
      <w:r>
        <w:rPr>
          <w:spacing w:val="-17"/>
        </w:rPr>
        <w:t> </w:t>
      </w:r>
      <w:r>
        <w:rPr>
          <w:rFonts w:ascii="宋体" w:hAnsi="宋体" w:cs="宋体" w:eastAsia="宋体" w:hint="default"/>
        </w:rPr>
        <w:t>2015</w:t>
      </w:r>
      <w:r>
        <w:rPr>
          <w:rFonts w:ascii="宋体" w:hAnsi="宋体" w:cs="宋体" w:eastAsia="宋体" w:hint="default"/>
          <w:spacing w:val="-16"/>
        </w:rPr>
        <w:t> </w:t>
      </w:r>
      <w:r>
        <w:rPr/>
        <w:t>年第五次临时股东大会决议和修改后章程的规定，公司以</w:t>
      </w:r>
      <w:r>
        <w:rPr>
          <w:spacing w:val="-17"/>
        </w:rPr>
        <w:t> </w:t>
      </w:r>
      <w:r>
        <w:rPr>
          <w:rFonts w:ascii="宋体" w:hAnsi="宋体" w:cs="宋体" w:eastAsia="宋体" w:hint="default"/>
        </w:rPr>
        <w:t>2015</w:t>
      </w:r>
      <w:r>
        <w:rPr>
          <w:rFonts w:ascii="宋体" w:hAnsi="宋体" w:cs="宋体" w:eastAsia="宋体" w:hint="default"/>
          <w:spacing w:val="-17"/>
        </w:rPr>
        <w:t> </w:t>
      </w:r>
      <w:r>
        <w:rPr/>
        <w:t>年</w:t>
      </w:r>
      <w:r>
        <w:rPr>
          <w:spacing w:val="-19"/>
        </w:rPr>
        <w:t> </w:t>
      </w:r>
      <w:r>
        <w:rPr>
          <w:rFonts w:ascii="宋体" w:hAnsi="宋体" w:cs="宋体" w:eastAsia="宋体" w:hint="default"/>
        </w:rPr>
        <w:t>6</w:t>
      </w:r>
      <w:r>
        <w:rPr>
          <w:rFonts w:ascii="宋体" w:hAnsi="宋体" w:cs="宋体" w:eastAsia="宋体" w:hint="default"/>
          <w:spacing w:val="-17"/>
        </w:rPr>
        <w:t> </w:t>
      </w:r>
      <w:r>
        <w:rPr/>
        <w:t>月</w:t>
      </w:r>
      <w:r>
        <w:rPr>
          <w:spacing w:val="-18"/>
        </w:rPr>
        <w:t> </w:t>
      </w:r>
      <w:r>
        <w:rPr>
          <w:rFonts w:ascii="宋体" w:hAnsi="宋体" w:cs="宋体" w:eastAsia="宋体" w:hint="default"/>
        </w:rPr>
        <w:t>30</w:t>
      </w:r>
      <w:r>
        <w:rPr>
          <w:rFonts w:ascii="宋体" w:hAnsi="宋体" w:cs="宋体" w:eastAsia="宋体" w:hint="default"/>
          <w:spacing w:val="-17"/>
        </w:rPr>
        <w:t> </w:t>
      </w:r>
      <w:r>
        <w:rPr/>
        <w:t>日总股份</w:t>
      </w:r>
    </w:p>
    <w:p>
      <w:pPr>
        <w:spacing w:line="240" w:lineRule="auto" w:before="10"/>
        <w:rPr>
          <w:rFonts w:ascii="宋体" w:hAnsi="宋体" w:cs="宋体" w:eastAsia="宋体" w:hint="default"/>
          <w:sz w:val="14"/>
          <w:szCs w:val="14"/>
        </w:rPr>
      </w:pPr>
    </w:p>
    <w:p>
      <w:pPr>
        <w:pStyle w:val="BodyText"/>
        <w:spacing w:line="240" w:lineRule="auto"/>
        <w:ind w:left="254" w:right="1019"/>
        <w:jc w:val="left"/>
      </w:pPr>
      <w:r>
        <w:rPr>
          <w:rFonts w:ascii="宋体" w:hAnsi="宋体" w:cs="宋体" w:eastAsia="宋体" w:hint="default"/>
        </w:rPr>
        <w:t>391,424,450</w:t>
      </w:r>
      <w:r>
        <w:rPr>
          <w:rFonts w:ascii="宋体" w:hAnsi="宋体" w:cs="宋体" w:eastAsia="宋体" w:hint="default"/>
          <w:spacing w:val="-53"/>
        </w:rPr>
        <w:t> </w:t>
      </w:r>
      <w:r>
        <w:rPr>
          <w:spacing w:val="-6"/>
        </w:rPr>
        <w:t>股为基数，按每</w:t>
      </w:r>
      <w:r>
        <w:rPr>
          <w:spacing w:val="-53"/>
        </w:rPr>
        <w:t> </w:t>
      </w:r>
      <w:r>
        <w:rPr>
          <w:rFonts w:ascii="宋体" w:hAnsi="宋体" w:cs="宋体" w:eastAsia="宋体" w:hint="default"/>
        </w:rPr>
        <w:t>10</w:t>
      </w:r>
      <w:r>
        <w:rPr>
          <w:rFonts w:ascii="宋体" w:hAnsi="宋体" w:cs="宋体" w:eastAsia="宋体" w:hint="default"/>
          <w:spacing w:val="-52"/>
        </w:rPr>
        <w:t> </w:t>
      </w:r>
      <w:r>
        <w:rPr/>
        <w:t>股转增</w:t>
      </w:r>
      <w:r>
        <w:rPr>
          <w:spacing w:val="-54"/>
        </w:rPr>
        <w:t> </w:t>
      </w:r>
      <w:r>
        <w:rPr>
          <w:rFonts w:ascii="宋体" w:hAnsi="宋体" w:cs="宋体" w:eastAsia="宋体" w:hint="default"/>
        </w:rPr>
        <w:t>20</w:t>
      </w:r>
      <w:r>
        <w:rPr>
          <w:rFonts w:ascii="宋体" w:hAnsi="宋体" w:cs="宋体" w:eastAsia="宋体" w:hint="default"/>
          <w:spacing w:val="-52"/>
        </w:rPr>
        <w:t> </w:t>
      </w:r>
      <w:r>
        <w:rPr>
          <w:spacing w:val="-4"/>
        </w:rPr>
        <w:t>股的比例，以资本公积</w:t>
      </w:r>
      <w:r>
        <w:rPr>
          <w:spacing w:val="-53"/>
        </w:rPr>
        <w:t> </w:t>
      </w:r>
      <w:r>
        <w:rPr>
          <w:rFonts w:ascii="宋体" w:hAnsi="宋体" w:cs="宋体" w:eastAsia="宋体" w:hint="default"/>
        </w:rPr>
        <w:t>782,848,900.00</w:t>
      </w:r>
      <w:r>
        <w:rPr>
          <w:rFonts w:ascii="宋体" w:hAnsi="宋体" w:cs="宋体" w:eastAsia="宋体" w:hint="default"/>
          <w:spacing w:val="-52"/>
        </w:rPr>
        <w:t> </w:t>
      </w:r>
      <w:r>
        <w:rPr/>
        <w:t>元向全体出资者转增股</w:t>
      </w:r>
    </w:p>
    <w:p>
      <w:pPr>
        <w:spacing w:line="240" w:lineRule="auto" w:before="10"/>
        <w:rPr>
          <w:rFonts w:ascii="宋体" w:hAnsi="宋体" w:cs="宋体" w:eastAsia="宋体" w:hint="default"/>
          <w:sz w:val="14"/>
          <w:szCs w:val="14"/>
        </w:rPr>
      </w:pPr>
    </w:p>
    <w:p>
      <w:pPr>
        <w:pStyle w:val="BodyText"/>
        <w:spacing w:line="408" w:lineRule="auto"/>
        <w:ind w:left="254" w:right="1115"/>
        <w:jc w:val="left"/>
      </w:pPr>
      <w:r>
        <w:rPr/>
        <w:t>份总额</w:t>
      </w:r>
      <w:r>
        <w:rPr>
          <w:spacing w:val="-64"/>
        </w:rPr>
        <w:t> </w:t>
      </w:r>
      <w:r>
        <w:rPr>
          <w:rFonts w:ascii="宋体" w:hAnsi="宋体" w:cs="宋体" w:eastAsia="宋体" w:hint="default"/>
        </w:rPr>
        <w:t>782,848,900</w:t>
      </w:r>
      <w:r>
        <w:rPr>
          <w:rFonts w:ascii="宋体" w:hAnsi="宋体" w:cs="宋体" w:eastAsia="宋体" w:hint="default"/>
          <w:spacing w:val="-64"/>
        </w:rPr>
        <w:t> </w:t>
      </w:r>
      <w:r>
        <w:rPr/>
        <w:t>股。上述资本公积转增股本事项业经天健会计师事务所</w:t>
      </w:r>
      <w:r>
        <w:rPr>
          <w:rFonts w:ascii="宋体" w:hAnsi="宋体" w:cs="宋体" w:eastAsia="宋体" w:hint="default"/>
        </w:rPr>
        <w:t>(</w:t>
      </w:r>
      <w:r>
        <w:rPr/>
        <w:t>特殊普通合伙</w:t>
      </w:r>
      <w:r>
        <w:rPr>
          <w:rFonts w:ascii="宋体" w:hAnsi="宋体" w:cs="宋体" w:eastAsia="宋体" w:hint="default"/>
        </w:rPr>
        <w:t>)</w:t>
      </w:r>
      <w:r>
        <w:rPr/>
        <w:t>审验，并由其 出具《验资报告》</w:t>
      </w:r>
      <w:r>
        <w:rPr>
          <w:rFonts w:ascii="宋体" w:hAnsi="宋体" w:cs="宋体" w:eastAsia="宋体" w:hint="default"/>
        </w:rPr>
        <w:t>(</w:t>
      </w:r>
      <w:r>
        <w:rPr/>
        <w:t>天健验〔</w:t>
      </w:r>
      <w:r>
        <w:rPr>
          <w:rFonts w:ascii="宋体" w:hAnsi="宋体" w:cs="宋体" w:eastAsia="宋体" w:hint="default"/>
        </w:rPr>
        <w:t>2015</w:t>
      </w:r>
      <w:r>
        <w:rPr/>
        <w:t>〕</w:t>
      </w:r>
      <w:r>
        <w:rPr>
          <w:rFonts w:ascii="宋体" w:hAnsi="宋体" w:cs="宋体" w:eastAsia="宋体" w:hint="default"/>
        </w:rPr>
        <w:t>335</w:t>
      </w:r>
      <w:r>
        <w:rPr>
          <w:rFonts w:ascii="宋体" w:hAnsi="宋体" w:cs="宋体" w:eastAsia="宋体" w:hint="default"/>
          <w:spacing w:val="-56"/>
        </w:rPr>
        <w:t> </w:t>
      </w:r>
      <w:r>
        <w:rPr/>
        <w:t>号</w:t>
      </w:r>
      <w:r>
        <w:rPr>
          <w:rFonts w:ascii="宋体" w:hAnsi="宋体" w:cs="宋体" w:eastAsia="宋体" w:hint="default"/>
        </w:rPr>
        <w:t>)</w:t>
      </w:r>
      <w:r>
        <w:rPr/>
        <w:t>。</w:t>
      </w:r>
    </w:p>
    <w:p>
      <w:pPr>
        <w:pStyle w:val="BodyText"/>
        <w:spacing w:line="408" w:lineRule="auto" w:before="46"/>
        <w:ind w:left="253" w:right="1130" w:firstLine="420"/>
        <w:jc w:val="both"/>
      </w:pPr>
      <w:r>
        <w:rPr/>
        <w:t>根据公司 </w:t>
      </w:r>
      <w:r>
        <w:rPr>
          <w:rFonts w:ascii="宋体" w:hAnsi="宋体" w:cs="宋体" w:eastAsia="宋体" w:hint="default"/>
        </w:rPr>
        <w:t>2015</w:t>
      </w:r>
      <w:r>
        <w:rPr>
          <w:rFonts w:ascii="宋体" w:hAnsi="宋体" w:cs="宋体" w:eastAsia="宋体" w:hint="default"/>
          <w:spacing w:val="-24"/>
        </w:rPr>
        <w:t> </w:t>
      </w:r>
      <w:r>
        <w:rPr/>
        <w:t>年第四次临时股东大会决议通过，公司拟向万圣伟业股东徐先明、淮安明硕，向微创 </w:t>
      </w:r>
      <w:r>
        <w:rPr>
          <w:spacing w:val="-2"/>
        </w:rPr>
        <w:t>时代股东刘璐、何若萌以发行股份及支付现金相结合的方式分别购买万圣伟业、微创时代</w:t>
      </w:r>
      <w:r>
        <w:rPr>
          <w:spacing w:val="-30"/>
        </w:rPr>
        <w:t> </w:t>
      </w:r>
      <w:r>
        <w:rPr>
          <w:rFonts w:ascii="宋体" w:hAnsi="宋体" w:cs="宋体" w:eastAsia="宋体" w:hint="default"/>
          <w:spacing w:val="-3"/>
        </w:rPr>
        <w:t>100%</w:t>
      </w:r>
      <w:r>
        <w:rPr>
          <w:spacing w:val="-3"/>
        </w:rPr>
        <w:t>的股权，并</w:t>
      </w:r>
      <w:r>
        <w:rPr>
          <w:spacing w:val="-101"/>
        </w:rPr>
        <w:t> </w:t>
      </w:r>
      <w:r>
        <w:rPr>
          <w:spacing w:val="-101"/>
        </w:rPr>
      </w:r>
      <w:r>
        <w:rPr/>
        <w:t>向不超过 </w:t>
      </w:r>
      <w:r>
        <w:rPr>
          <w:rFonts w:ascii="宋体" w:hAnsi="宋体" w:cs="宋体" w:eastAsia="宋体" w:hint="default"/>
        </w:rPr>
        <w:t>10</w:t>
      </w:r>
      <w:r>
        <w:rPr>
          <w:rFonts w:ascii="宋体" w:hAnsi="宋体" w:cs="宋体" w:eastAsia="宋体" w:hint="default"/>
          <w:spacing w:val="-22"/>
        </w:rPr>
        <w:t> </w:t>
      </w:r>
      <w:r>
        <w:rPr/>
        <w:t>名其他特定投资者发行股份募集配套资金。经中国证券监督管理委员会《关于核准利欧集团 </w:t>
      </w:r>
      <w:r>
        <w:rPr>
          <w:spacing w:val="-2"/>
        </w:rPr>
        <w:t>股份有限公司向徐先明等发行股份购买资产并募集配套资金的批复》</w:t>
      </w:r>
      <w:r>
        <w:rPr>
          <w:rFonts w:ascii="宋体" w:hAnsi="宋体" w:cs="宋体" w:eastAsia="宋体" w:hint="default"/>
          <w:spacing w:val="-2"/>
        </w:rPr>
        <w:t>(</w:t>
      </w:r>
      <w:r>
        <w:rPr>
          <w:spacing w:val="-2"/>
        </w:rPr>
        <w:t>证监许可〔</w:t>
      </w:r>
      <w:r>
        <w:rPr>
          <w:rFonts w:ascii="宋体" w:hAnsi="宋体" w:cs="宋体" w:eastAsia="宋体" w:hint="default"/>
          <w:spacing w:val="-2"/>
        </w:rPr>
        <w:t>2015</w:t>
      </w:r>
      <w:r>
        <w:rPr>
          <w:spacing w:val="-2"/>
        </w:rPr>
        <w:t>〕</w:t>
      </w:r>
      <w:r>
        <w:rPr>
          <w:rFonts w:ascii="宋体" w:hAnsi="宋体" w:cs="宋体" w:eastAsia="宋体" w:hint="default"/>
          <w:spacing w:val="-2"/>
        </w:rPr>
        <w:t>2395</w:t>
      </w:r>
      <w:r>
        <w:rPr>
          <w:rFonts w:ascii="宋体" w:hAnsi="宋体" w:cs="宋体" w:eastAsia="宋体" w:hint="default"/>
          <w:spacing w:val="-24"/>
        </w:rPr>
        <w:t> </w:t>
      </w:r>
      <w:r>
        <w:rPr>
          <w:spacing w:val="-4"/>
        </w:rPr>
        <w:t>号</w:t>
      </w:r>
      <w:r>
        <w:rPr>
          <w:rFonts w:ascii="宋体" w:hAnsi="宋体" w:cs="宋体" w:eastAsia="宋体" w:hint="default"/>
          <w:spacing w:val="-4"/>
        </w:rPr>
        <w:t>)</w:t>
      </w:r>
      <w:r>
        <w:rPr>
          <w:spacing w:val="-4"/>
        </w:rPr>
        <w:t>批准，公</w:t>
      </w:r>
      <w:r>
        <w:rPr>
          <w:spacing w:val="-99"/>
        </w:rPr>
        <w:t> </w:t>
      </w:r>
      <w:r>
        <w:rPr>
          <w:spacing w:val="-99"/>
        </w:rPr>
      </w:r>
      <w:r>
        <w:rPr/>
        <w:t>司获准分别向万圣伟业股东徐先明、淮安明硕和微创时代股东刘璐、何若萌定向增发人民币普通股</w:t>
      </w:r>
      <w:r>
        <w:rPr>
          <w:rFonts w:ascii="宋体" w:hAnsi="宋体" w:cs="宋体" w:eastAsia="宋体" w:hint="default"/>
        </w:rPr>
        <w:t>(A</w:t>
      </w:r>
      <w:r>
        <w:rPr>
          <w:rFonts w:ascii="宋体" w:hAnsi="宋体" w:cs="宋体" w:eastAsia="宋体" w:hint="default"/>
          <w:spacing w:val="-23"/>
        </w:rPr>
        <w:t> </w:t>
      </w:r>
      <w:r>
        <w:rPr/>
        <w:t>股</w:t>
      </w:r>
      <w:r>
        <w:rPr>
          <w:rFonts w:ascii="宋体" w:hAnsi="宋体" w:cs="宋体" w:eastAsia="宋体" w:hint="default"/>
        </w:rPr>
        <w:t>) </w:t>
      </w:r>
      <w:r>
        <w:rPr/>
        <w:t>股票</w:t>
      </w:r>
      <w:r>
        <w:rPr>
          <w:spacing w:val="-62"/>
        </w:rPr>
        <w:t> </w:t>
      </w:r>
      <w:r>
        <w:rPr>
          <w:rFonts w:ascii="宋体" w:hAnsi="宋体" w:cs="宋体" w:eastAsia="宋体" w:hint="default"/>
        </w:rPr>
        <w:t>136,495,388</w:t>
      </w:r>
      <w:r>
        <w:rPr>
          <w:rFonts w:ascii="宋体" w:hAnsi="宋体" w:cs="宋体" w:eastAsia="宋体" w:hint="default"/>
          <w:spacing w:val="-62"/>
        </w:rPr>
        <w:t> </w:t>
      </w:r>
      <w:r>
        <w:rPr/>
        <w:t>股、</w:t>
      </w:r>
      <w:r>
        <w:rPr>
          <w:rFonts w:ascii="宋体" w:hAnsi="宋体" w:cs="宋体" w:eastAsia="宋体" w:hint="default"/>
        </w:rPr>
        <w:t>27,299,077</w:t>
      </w:r>
      <w:r>
        <w:rPr>
          <w:rFonts w:ascii="宋体" w:hAnsi="宋体" w:cs="宋体" w:eastAsia="宋体" w:hint="default"/>
          <w:spacing w:val="-62"/>
        </w:rPr>
        <w:t> </w:t>
      </w:r>
      <w:r>
        <w:rPr/>
        <w:t>股、</w:t>
      </w:r>
      <w:r>
        <w:rPr>
          <w:rFonts w:ascii="宋体" w:hAnsi="宋体" w:cs="宋体" w:eastAsia="宋体" w:hint="default"/>
        </w:rPr>
        <w:t>35,968,379</w:t>
      </w:r>
      <w:r>
        <w:rPr>
          <w:rFonts w:ascii="宋体" w:hAnsi="宋体" w:cs="宋体" w:eastAsia="宋体" w:hint="default"/>
          <w:spacing w:val="-62"/>
        </w:rPr>
        <w:t> </w:t>
      </w:r>
      <w:r>
        <w:rPr/>
        <w:t>股、</w:t>
      </w:r>
      <w:r>
        <w:rPr>
          <w:rFonts w:ascii="宋体" w:hAnsi="宋体" w:cs="宋体" w:eastAsia="宋体" w:hint="default"/>
        </w:rPr>
        <w:t>35,968,379</w:t>
      </w:r>
      <w:r>
        <w:rPr>
          <w:rFonts w:ascii="宋体" w:hAnsi="宋体" w:cs="宋体" w:eastAsia="宋体" w:hint="default"/>
          <w:spacing w:val="-62"/>
        </w:rPr>
        <w:t> </w:t>
      </w:r>
      <w:r>
        <w:rPr>
          <w:spacing w:val="-5"/>
        </w:rPr>
        <w:t>股，合计</w:t>
      </w:r>
      <w:r>
        <w:rPr>
          <w:spacing w:val="-62"/>
        </w:rPr>
        <w:t> </w:t>
      </w:r>
      <w:r>
        <w:rPr>
          <w:rFonts w:ascii="宋体" w:hAnsi="宋体" w:cs="宋体" w:eastAsia="宋体" w:hint="default"/>
        </w:rPr>
        <w:t>235,731,223</w:t>
      </w:r>
      <w:r>
        <w:rPr>
          <w:rFonts w:ascii="宋体" w:hAnsi="宋体" w:cs="宋体" w:eastAsia="宋体" w:hint="default"/>
          <w:spacing w:val="-62"/>
        </w:rPr>
        <w:t> </w:t>
      </w:r>
      <w:r>
        <w:rPr/>
        <w:t>股</w:t>
      </w:r>
      <w:r>
        <w:rPr>
          <w:rFonts w:ascii="宋体" w:hAnsi="宋体" w:cs="宋体" w:eastAsia="宋体" w:hint="default"/>
        </w:rPr>
        <w:t>(</w:t>
      </w:r>
      <w:r>
        <w:rPr/>
        <w:t>发行股份数</w:t>
      </w:r>
    </w:p>
    <w:p>
      <w:pPr>
        <w:pStyle w:val="BodyText"/>
        <w:spacing w:line="240" w:lineRule="auto" w:before="46"/>
        <w:ind w:left="253" w:right="1019"/>
        <w:jc w:val="left"/>
      </w:pPr>
      <w:r>
        <w:rPr/>
        <w:t>按公司</w:t>
      </w:r>
      <w:r>
        <w:rPr>
          <w:spacing w:val="-59"/>
        </w:rPr>
        <w:t> </w:t>
      </w:r>
      <w:r>
        <w:rPr>
          <w:rFonts w:ascii="宋体" w:hAnsi="宋体" w:cs="宋体" w:eastAsia="宋体" w:hint="default"/>
        </w:rPr>
        <w:t>2015</w:t>
      </w:r>
      <w:r>
        <w:rPr>
          <w:rFonts w:ascii="宋体" w:hAnsi="宋体" w:cs="宋体" w:eastAsia="宋体" w:hint="default"/>
          <w:spacing w:val="-61"/>
        </w:rPr>
        <w:t> </w:t>
      </w:r>
      <w:r>
        <w:rPr/>
        <w:t>年半年度权益分派方案实施之后的情况进行了相应调整，下同</w:t>
      </w:r>
      <w:r>
        <w:rPr>
          <w:rFonts w:ascii="宋体" w:hAnsi="宋体" w:cs="宋体" w:eastAsia="宋体" w:hint="default"/>
        </w:rPr>
        <w:t>)</w:t>
      </w:r>
      <w:r>
        <w:rPr/>
        <w:t>，每股面值</w:t>
      </w:r>
      <w:r>
        <w:rPr>
          <w:spacing w:val="-59"/>
        </w:rPr>
        <w:t> </w:t>
      </w:r>
      <w:r>
        <w:rPr>
          <w:rFonts w:ascii="宋体" w:hAnsi="宋体" w:cs="宋体" w:eastAsia="宋体" w:hint="default"/>
        </w:rPr>
        <w:t>1</w:t>
      </w:r>
      <w:r>
        <w:rPr>
          <w:rFonts w:ascii="宋体" w:hAnsi="宋体" w:cs="宋体" w:eastAsia="宋体" w:hint="default"/>
          <w:spacing w:val="-59"/>
        </w:rPr>
        <w:t> </w:t>
      </w:r>
      <w:r>
        <w:rPr/>
        <w:t>元，每股发行价</w:t>
      </w:r>
    </w:p>
    <w:p>
      <w:pPr>
        <w:spacing w:line="240" w:lineRule="auto" w:before="10"/>
        <w:rPr>
          <w:rFonts w:ascii="宋体" w:hAnsi="宋体" w:cs="宋体" w:eastAsia="宋体" w:hint="default"/>
          <w:sz w:val="14"/>
          <w:szCs w:val="14"/>
        </w:rPr>
      </w:pPr>
    </w:p>
    <w:p>
      <w:pPr>
        <w:pStyle w:val="BodyText"/>
        <w:spacing w:line="408" w:lineRule="auto"/>
        <w:ind w:left="254" w:right="1019"/>
        <w:jc w:val="left"/>
      </w:pPr>
      <w:r>
        <w:rPr/>
        <w:t>格为人民币</w:t>
      </w:r>
      <w:r>
        <w:rPr>
          <w:spacing w:val="-55"/>
        </w:rPr>
        <w:t> </w:t>
      </w:r>
      <w:r>
        <w:rPr>
          <w:rFonts w:ascii="宋体" w:hAnsi="宋体" w:cs="宋体" w:eastAsia="宋体" w:hint="default"/>
        </w:rPr>
        <w:t>7.59</w:t>
      </w:r>
      <w:r>
        <w:rPr>
          <w:rFonts w:ascii="宋体" w:hAnsi="宋体" w:cs="宋体" w:eastAsia="宋体" w:hint="default"/>
          <w:spacing w:val="-55"/>
        </w:rPr>
        <w:t> </w:t>
      </w:r>
      <w:r>
        <w:rPr>
          <w:spacing w:val="-1"/>
        </w:rPr>
        <w:t>元</w:t>
      </w:r>
      <w:r>
        <w:rPr>
          <w:rFonts w:ascii="宋体" w:hAnsi="宋体" w:cs="宋体" w:eastAsia="宋体" w:hint="default"/>
          <w:spacing w:val="-1"/>
        </w:rPr>
        <w:t>(</w:t>
      </w:r>
      <w:r>
        <w:rPr>
          <w:spacing w:val="-1"/>
        </w:rPr>
        <w:t>发行价格按公司</w:t>
      </w:r>
      <w:r>
        <w:rPr>
          <w:spacing w:val="-57"/>
        </w:rPr>
        <w:t> </w:t>
      </w:r>
      <w:r>
        <w:rPr>
          <w:rFonts w:ascii="宋体" w:hAnsi="宋体" w:cs="宋体" w:eastAsia="宋体" w:hint="default"/>
        </w:rPr>
        <w:t>2015</w:t>
      </w:r>
      <w:r>
        <w:rPr>
          <w:rFonts w:ascii="宋体" w:hAnsi="宋体" w:cs="宋体" w:eastAsia="宋体" w:hint="default"/>
          <w:spacing w:val="-55"/>
        </w:rPr>
        <w:t> </w:t>
      </w:r>
      <w:r>
        <w:rPr>
          <w:spacing w:val="-4"/>
        </w:rPr>
        <w:t>年半年度权益分派方案实施之后的情况进行了相应调整，下同</w:t>
      </w:r>
      <w:r>
        <w:rPr>
          <w:rFonts w:ascii="宋体" w:hAnsi="宋体" w:cs="宋体" w:eastAsia="宋体" w:hint="default"/>
          <w:spacing w:val="-4"/>
        </w:rPr>
        <w:t>)</w:t>
      </w:r>
      <w:r>
        <w:rPr>
          <w:spacing w:val="-4"/>
        </w:rPr>
        <w:t>。</w:t>
      </w:r>
      <w:r>
        <w:rPr/>
        <w:t> 另公司获准非公开发行不超过</w:t>
      </w:r>
      <w:r>
        <w:rPr>
          <w:spacing w:val="-44"/>
        </w:rPr>
        <w:t> </w:t>
      </w:r>
      <w:r>
        <w:rPr>
          <w:rFonts w:ascii="宋体" w:hAnsi="宋体" w:cs="宋体" w:eastAsia="宋体" w:hint="default"/>
        </w:rPr>
        <w:t>221,664,564</w:t>
      </w:r>
      <w:r>
        <w:rPr>
          <w:rFonts w:ascii="宋体" w:hAnsi="宋体" w:cs="宋体" w:eastAsia="宋体" w:hint="default"/>
          <w:spacing w:val="-43"/>
        </w:rPr>
        <w:t> </w:t>
      </w:r>
      <w:r>
        <w:rPr/>
        <w:t>股普通股</w:t>
      </w:r>
      <w:r>
        <w:rPr>
          <w:rFonts w:ascii="宋体" w:hAnsi="宋体" w:cs="宋体" w:eastAsia="宋体" w:hint="default"/>
        </w:rPr>
        <w:t>(A</w:t>
      </w:r>
      <w:r>
        <w:rPr>
          <w:rFonts w:ascii="宋体" w:hAnsi="宋体" w:cs="宋体" w:eastAsia="宋体" w:hint="default"/>
          <w:spacing w:val="-43"/>
        </w:rPr>
        <w:t> </w:t>
      </w:r>
      <w:r>
        <w:rPr/>
        <w:t>股</w:t>
      </w:r>
      <w:r>
        <w:rPr>
          <w:rFonts w:ascii="宋体" w:hAnsi="宋体" w:cs="宋体" w:eastAsia="宋体" w:hint="default"/>
        </w:rPr>
        <w:t>)</w:t>
      </w:r>
      <w:r>
        <w:rPr/>
        <w:t>募集配套资金，并最终通过询价确认向中欧盛</w:t>
      </w:r>
    </w:p>
    <w:p>
      <w:pPr>
        <w:spacing w:after="0" w:line="408" w:lineRule="auto"/>
        <w:jc w:val="left"/>
        <w:sectPr>
          <w:pgSz w:w="11910" w:h="16840"/>
          <w:pgMar w:header="877" w:footer="979" w:top="1100" w:bottom="1160" w:left="880" w:right="0"/>
        </w:sectPr>
      </w:pPr>
    </w:p>
    <w:p>
      <w:pPr>
        <w:spacing w:line="240" w:lineRule="auto" w:before="8"/>
        <w:rPr>
          <w:rFonts w:ascii="宋体" w:hAnsi="宋体" w:cs="宋体" w:eastAsia="宋体" w:hint="default"/>
          <w:sz w:val="26"/>
          <w:szCs w:val="26"/>
        </w:rPr>
      </w:pPr>
    </w:p>
    <w:p>
      <w:pPr>
        <w:pStyle w:val="BodyText"/>
        <w:spacing w:line="408" w:lineRule="auto" w:before="35"/>
        <w:ind w:left="234" w:right="1056"/>
        <w:jc w:val="both"/>
      </w:pPr>
      <w:r>
        <w:rPr/>
        <w:t>世资产管理</w:t>
      </w:r>
      <w:r>
        <w:rPr>
          <w:rFonts w:ascii="宋体" w:hAnsi="宋体" w:cs="宋体" w:eastAsia="宋体" w:hint="default"/>
        </w:rPr>
        <w:t>(</w:t>
      </w:r>
      <w:r>
        <w:rPr/>
        <w:t>上海</w:t>
      </w:r>
      <w:r>
        <w:rPr>
          <w:rFonts w:ascii="宋体" w:hAnsi="宋体" w:cs="宋体" w:eastAsia="宋体" w:hint="default"/>
        </w:rPr>
        <w:t>)</w:t>
      </w:r>
      <w:r>
        <w:rPr/>
        <w:t>有限公司、英大基金管理有限公司、中国北方工业公司、安信基金管理有限责任公司、 珠海中兵广发投资基金合伙企业</w:t>
      </w:r>
      <w:r>
        <w:rPr>
          <w:rFonts w:ascii="宋体" w:hAnsi="宋体" w:cs="宋体" w:eastAsia="宋体" w:hint="default"/>
        </w:rPr>
        <w:t>(</w:t>
      </w:r>
      <w:r>
        <w:rPr/>
        <w:t>有限合伙</w:t>
      </w:r>
      <w:r>
        <w:rPr>
          <w:rFonts w:ascii="宋体" w:hAnsi="宋体" w:cs="宋体" w:eastAsia="宋体" w:hint="default"/>
        </w:rPr>
        <w:t>)</w:t>
      </w:r>
      <w:r>
        <w:rPr/>
        <w:t>、云南卓晔投资管理有限公司六名其他特定投资者定向增发人 民币普通股</w:t>
      </w:r>
      <w:r>
        <w:rPr>
          <w:rFonts w:ascii="宋体" w:hAnsi="宋体" w:cs="宋体" w:eastAsia="宋体" w:hint="default"/>
        </w:rPr>
        <w:t>(A</w:t>
      </w:r>
      <w:r>
        <w:rPr>
          <w:rFonts w:ascii="宋体" w:hAnsi="宋体" w:cs="宋体" w:eastAsia="宋体" w:hint="default"/>
          <w:spacing w:val="-54"/>
        </w:rPr>
        <w:t> </w:t>
      </w:r>
      <w:r>
        <w:rPr/>
        <w:t>股</w:t>
      </w:r>
      <w:r>
        <w:rPr>
          <w:rFonts w:ascii="宋体" w:hAnsi="宋体" w:cs="宋体" w:eastAsia="宋体" w:hint="default"/>
        </w:rPr>
        <w:t>)</w:t>
      </w:r>
      <w:r>
        <w:rPr/>
        <w:t>股票</w:t>
      </w:r>
      <w:r>
        <w:rPr>
          <w:spacing w:val="-55"/>
        </w:rPr>
        <w:t> </w:t>
      </w:r>
      <w:r>
        <w:rPr>
          <w:rFonts w:ascii="宋体" w:hAnsi="宋体" w:cs="宋体" w:eastAsia="宋体" w:hint="default"/>
        </w:rPr>
        <w:t>31,102,262</w:t>
      </w:r>
      <w:r>
        <w:rPr>
          <w:rFonts w:ascii="宋体" w:hAnsi="宋体" w:cs="宋体" w:eastAsia="宋体" w:hint="default"/>
          <w:spacing w:val="-53"/>
        </w:rPr>
        <w:t> </w:t>
      </w:r>
      <w:r>
        <w:rPr/>
        <w:t>股、</w:t>
      </w:r>
      <w:r>
        <w:rPr>
          <w:rFonts w:ascii="宋体" w:hAnsi="宋体" w:cs="宋体" w:eastAsia="宋体" w:hint="default"/>
        </w:rPr>
        <w:t>29,826,923</w:t>
      </w:r>
      <w:r>
        <w:rPr>
          <w:rFonts w:ascii="宋体" w:hAnsi="宋体" w:cs="宋体" w:eastAsia="宋体" w:hint="default"/>
          <w:spacing w:val="-54"/>
        </w:rPr>
        <w:t> </w:t>
      </w:r>
      <w:r>
        <w:rPr/>
        <w:t>股、</w:t>
      </w:r>
      <w:r>
        <w:rPr>
          <w:rFonts w:ascii="宋体" w:hAnsi="宋体" w:cs="宋体" w:eastAsia="宋体" w:hint="default"/>
        </w:rPr>
        <w:t>11,312,217</w:t>
      </w:r>
      <w:r>
        <w:rPr>
          <w:rFonts w:ascii="宋体" w:hAnsi="宋体" w:cs="宋体" w:eastAsia="宋体" w:hint="default"/>
          <w:spacing w:val="-53"/>
        </w:rPr>
        <w:t> </w:t>
      </w:r>
      <w:r>
        <w:rPr/>
        <w:t>股、</w:t>
      </w:r>
      <w:r>
        <w:rPr>
          <w:rFonts w:ascii="宋体" w:hAnsi="宋体" w:cs="宋体" w:eastAsia="宋体" w:hint="default"/>
        </w:rPr>
        <w:t>10,269,796</w:t>
      </w:r>
      <w:r>
        <w:rPr>
          <w:rFonts w:ascii="宋体" w:hAnsi="宋体" w:cs="宋体" w:eastAsia="宋体" w:hint="default"/>
          <w:spacing w:val="-54"/>
        </w:rPr>
        <w:t> </w:t>
      </w:r>
      <w:r>
        <w:rPr/>
        <w:t>股、</w:t>
      </w:r>
      <w:r>
        <w:rPr>
          <w:rFonts w:ascii="宋体" w:hAnsi="宋体" w:cs="宋体" w:eastAsia="宋体" w:hint="default"/>
        </w:rPr>
        <w:t>10,189,157</w:t>
      </w:r>
      <w:r>
        <w:rPr>
          <w:rFonts w:ascii="宋体" w:hAnsi="宋体" w:cs="宋体" w:eastAsia="宋体" w:hint="default"/>
          <w:spacing w:val="-55"/>
        </w:rPr>
        <w:t> </w:t>
      </w:r>
      <w:r>
        <w:rPr/>
        <w:t>股、</w:t>
      </w:r>
    </w:p>
    <w:p>
      <w:pPr>
        <w:pStyle w:val="BodyText"/>
        <w:spacing w:line="240" w:lineRule="auto" w:before="46"/>
        <w:ind w:left="233" w:right="0"/>
        <w:jc w:val="both"/>
      </w:pPr>
      <w:r>
        <w:rPr>
          <w:rFonts w:ascii="宋体" w:hAnsi="宋体" w:cs="宋体" w:eastAsia="宋体" w:hint="default"/>
        </w:rPr>
        <w:t>6,722,721</w:t>
      </w:r>
      <w:r>
        <w:rPr>
          <w:rFonts w:ascii="宋体" w:hAnsi="宋体" w:cs="宋体" w:eastAsia="宋体" w:hint="default"/>
          <w:spacing w:val="-54"/>
        </w:rPr>
        <w:t> </w:t>
      </w:r>
      <w:r>
        <w:rPr>
          <w:spacing w:val="-6"/>
        </w:rPr>
        <w:t>股，合计</w:t>
      </w:r>
      <w:r>
        <w:rPr>
          <w:spacing w:val="-55"/>
        </w:rPr>
        <w:t> </w:t>
      </w:r>
      <w:r>
        <w:rPr>
          <w:rFonts w:ascii="宋体" w:hAnsi="宋体" w:cs="宋体" w:eastAsia="宋体" w:hint="default"/>
        </w:rPr>
        <w:t>99,423,076</w:t>
      </w:r>
      <w:r>
        <w:rPr>
          <w:rFonts w:ascii="宋体" w:hAnsi="宋体" w:cs="宋体" w:eastAsia="宋体" w:hint="default"/>
          <w:spacing w:val="-55"/>
        </w:rPr>
        <w:t> </w:t>
      </w:r>
      <w:r>
        <w:rPr>
          <w:spacing w:val="-4"/>
        </w:rPr>
        <w:t>股，每股面值</w:t>
      </w:r>
      <w:r>
        <w:rPr>
          <w:spacing w:val="-54"/>
        </w:rPr>
        <w:t> </w:t>
      </w:r>
      <w:r>
        <w:rPr>
          <w:rFonts w:ascii="宋体" w:hAnsi="宋体" w:cs="宋体" w:eastAsia="宋体" w:hint="default"/>
        </w:rPr>
        <w:t>1</w:t>
      </w:r>
      <w:r>
        <w:rPr>
          <w:rFonts w:ascii="宋体" w:hAnsi="宋体" w:cs="宋体" w:eastAsia="宋体" w:hint="default"/>
          <w:spacing w:val="-54"/>
        </w:rPr>
        <w:t> </w:t>
      </w:r>
      <w:r>
        <w:rPr>
          <w:spacing w:val="-3"/>
        </w:rPr>
        <w:t>元，每股发行价格为</w:t>
      </w:r>
      <w:r>
        <w:rPr>
          <w:spacing w:val="-55"/>
        </w:rPr>
        <w:t> </w:t>
      </w:r>
      <w:r>
        <w:rPr>
          <w:rFonts w:ascii="宋体" w:hAnsi="宋体" w:cs="宋体" w:eastAsia="宋体" w:hint="default"/>
        </w:rPr>
        <w:t>17.68</w:t>
      </w:r>
      <w:r>
        <w:rPr>
          <w:rFonts w:ascii="宋体" w:hAnsi="宋体" w:cs="宋体" w:eastAsia="宋体" w:hint="default"/>
          <w:spacing w:val="-54"/>
        </w:rPr>
        <w:t> </w:t>
      </w:r>
      <w:r>
        <w:rPr/>
        <w:t>元。上述合计定向增发人民币</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普通股</w:t>
      </w:r>
      <w:r>
        <w:rPr>
          <w:rFonts w:ascii="宋体" w:hAnsi="宋体" w:cs="宋体" w:eastAsia="宋体" w:hint="default"/>
        </w:rPr>
        <w:t>(A</w:t>
      </w:r>
      <w:r>
        <w:rPr>
          <w:rFonts w:ascii="宋体" w:hAnsi="宋体" w:cs="宋体" w:eastAsia="宋体" w:hint="default"/>
          <w:spacing w:val="-54"/>
        </w:rPr>
        <w:t> </w:t>
      </w:r>
      <w:r>
        <w:rPr/>
        <w:t>股</w:t>
      </w:r>
      <w:r>
        <w:rPr>
          <w:rFonts w:ascii="宋体" w:hAnsi="宋体" w:cs="宋体" w:eastAsia="宋体" w:hint="default"/>
        </w:rPr>
        <w:t>)</w:t>
      </w:r>
      <w:r>
        <w:rPr/>
        <w:t>股票</w:t>
      </w:r>
      <w:r>
        <w:rPr>
          <w:spacing w:val="-55"/>
        </w:rPr>
        <w:t> </w:t>
      </w:r>
      <w:r>
        <w:rPr>
          <w:rFonts w:ascii="宋体" w:hAnsi="宋体" w:cs="宋体" w:eastAsia="宋体" w:hint="default"/>
        </w:rPr>
        <w:t>335,154,299</w:t>
      </w:r>
      <w:r>
        <w:rPr>
          <w:rFonts w:ascii="宋体" w:hAnsi="宋体" w:cs="宋体" w:eastAsia="宋体" w:hint="default"/>
          <w:spacing w:val="-54"/>
        </w:rPr>
        <w:t> </w:t>
      </w:r>
      <w:r>
        <w:rPr/>
        <w:t>股，增加注册资本</w:t>
      </w:r>
      <w:r>
        <w:rPr>
          <w:spacing w:val="-54"/>
        </w:rPr>
        <w:t> </w:t>
      </w:r>
      <w:r>
        <w:rPr>
          <w:rFonts w:ascii="宋体" w:hAnsi="宋体" w:cs="宋体" w:eastAsia="宋体" w:hint="default"/>
        </w:rPr>
        <w:t>335,154,299.00</w:t>
      </w:r>
      <w:r>
        <w:rPr>
          <w:rFonts w:ascii="宋体" w:hAnsi="宋体" w:cs="宋体" w:eastAsia="宋体" w:hint="default"/>
          <w:spacing w:val="-53"/>
        </w:rPr>
        <w:t> </w:t>
      </w:r>
      <w:r>
        <w:rPr/>
        <w:t>元。</w:t>
      </w:r>
    </w:p>
    <w:p>
      <w:pPr>
        <w:spacing w:line="240" w:lineRule="auto" w:before="10"/>
        <w:rPr>
          <w:rFonts w:ascii="宋体" w:hAnsi="宋体" w:cs="宋体" w:eastAsia="宋体" w:hint="default"/>
          <w:sz w:val="14"/>
          <w:szCs w:val="14"/>
        </w:rPr>
      </w:pPr>
    </w:p>
    <w:p>
      <w:pPr>
        <w:pStyle w:val="BodyText"/>
        <w:spacing w:line="408" w:lineRule="auto"/>
        <w:ind w:left="233" w:right="1132" w:firstLine="420"/>
        <w:jc w:val="both"/>
        <w:rPr>
          <w:rFonts w:ascii="宋体" w:hAnsi="宋体" w:cs="宋体" w:eastAsia="宋体" w:hint="default"/>
        </w:rPr>
      </w:pPr>
      <w:r>
        <w:rPr/>
        <w:t>截至</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spacing w:val="-10"/>
        </w:rPr>
        <w:t>日，公司已收到徐先明、淮安明硕投入的万圣伟业</w:t>
      </w:r>
      <w:r>
        <w:rPr>
          <w:spacing w:val="-55"/>
        </w:rPr>
        <w:t> </w:t>
      </w:r>
      <w:r>
        <w:rPr>
          <w:rFonts w:ascii="宋体" w:hAnsi="宋体" w:cs="宋体" w:eastAsia="宋体" w:hint="default"/>
          <w:spacing w:val="-1"/>
        </w:rPr>
        <w:t>60%</w:t>
      </w:r>
      <w:r>
        <w:rPr>
          <w:spacing w:val="-1"/>
        </w:rPr>
        <w:t>股权折合</w:t>
      </w:r>
      <w:r>
        <w:rPr>
          <w:spacing w:val="-55"/>
        </w:rPr>
        <w:t> </w:t>
      </w:r>
      <w:r>
        <w:rPr>
          <w:rFonts w:ascii="宋体" w:hAnsi="宋体" w:cs="宋体" w:eastAsia="宋体" w:hint="default"/>
        </w:rPr>
        <w:t>1,243,199,989.35 </w:t>
      </w:r>
      <w:r>
        <w:rPr>
          <w:spacing w:val="-4"/>
        </w:rPr>
        <w:t>元，收到刘璐、何若萌投入的微创时代</w:t>
      </w:r>
      <w:r>
        <w:rPr>
          <w:spacing w:val="-56"/>
        </w:rPr>
        <w:t> </w:t>
      </w:r>
      <w:r>
        <w:rPr>
          <w:rFonts w:ascii="宋体" w:hAnsi="宋体" w:cs="宋体" w:eastAsia="宋体" w:hint="default"/>
        </w:rPr>
        <w:t>65%</w:t>
      </w:r>
      <w:r>
        <w:rPr/>
        <w:t>股权折合</w:t>
      </w:r>
      <w:r>
        <w:rPr>
          <w:spacing w:val="-57"/>
        </w:rPr>
        <w:t> </w:t>
      </w:r>
      <w:r>
        <w:rPr>
          <w:rFonts w:ascii="宋体" w:hAnsi="宋体" w:cs="宋体" w:eastAsia="宋体" w:hint="default"/>
        </w:rPr>
        <w:t>545,999,993.22</w:t>
      </w:r>
      <w:r>
        <w:rPr>
          <w:rFonts w:ascii="宋体" w:hAnsi="宋体" w:cs="宋体" w:eastAsia="宋体" w:hint="default"/>
          <w:spacing w:val="-57"/>
        </w:rPr>
        <w:t> </w:t>
      </w:r>
      <w:r>
        <w:rPr/>
        <w:t>元，收到其他六名特定投资者投入的 </w:t>
      </w:r>
      <w:r>
        <w:rPr>
          <w:spacing w:val="15"/>
        </w:rPr>
        <w:t>货币资金合计 </w:t>
      </w:r>
      <w:r>
        <w:rPr>
          <w:rFonts w:ascii="宋体" w:hAnsi="宋体" w:cs="宋体" w:eastAsia="宋体" w:hint="default"/>
        </w:rPr>
        <w:t>1,757,799,983.68 </w:t>
      </w:r>
      <w:r>
        <w:rPr>
          <w:spacing w:val="14"/>
        </w:rPr>
        <w:t>元，扣减发行费用 </w:t>
      </w:r>
      <w:r>
        <w:rPr>
          <w:rFonts w:ascii="宋体" w:hAnsi="宋体" w:cs="宋体" w:eastAsia="宋体" w:hint="default"/>
        </w:rPr>
        <w:t>33,816,286.16</w:t>
      </w:r>
      <w:r>
        <w:rPr>
          <w:rFonts w:ascii="宋体" w:hAnsi="宋体" w:cs="宋体" w:eastAsia="宋体" w:hint="default"/>
          <w:spacing w:val="54"/>
        </w:rPr>
        <w:t> </w:t>
      </w:r>
      <w:r>
        <w:rPr>
          <w:spacing w:val="15"/>
        </w:rPr>
        <w:t>元后，公司收到的出资净额为</w:t>
      </w:r>
      <w:r>
        <w:rPr/>
        <w:t> </w:t>
      </w:r>
      <w:r>
        <w:rPr>
          <w:rFonts w:ascii="宋体" w:hAnsi="宋体" w:cs="宋体" w:eastAsia="宋体" w:hint="default"/>
        </w:rPr>
        <w:t>3,513,183,680.09</w:t>
      </w:r>
      <w:r>
        <w:rPr>
          <w:rFonts w:ascii="宋体" w:hAnsi="宋体" w:cs="宋体" w:eastAsia="宋体" w:hint="default"/>
          <w:spacing w:val="44"/>
        </w:rPr>
        <w:t> </w:t>
      </w:r>
      <w:r>
        <w:rPr/>
        <w:t>元</w:t>
      </w:r>
      <w:r>
        <w:rPr>
          <w:spacing w:val="-62"/>
        </w:rPr>
        <w:t> </w:t>
      </w:r>
      <w:r>
        <w:rPr/>
        <w:t>，</w:t>
      </w:r>
      <w:r>
        <w:rPr>
          <w:spacing w:val="-62"/>
        </w:rPr>
        <w:t> </w:t>
      </w:r>
      <w:r>
        <w:rPr/>
        <w:t>其</w:t>
      </w:r>
      <w:r>
        <w:rPr>
          <w:spacing w:val="-62"/>
        </w:rPr>
        <w:t> </w:t>
      </w:r>
      <w:r>
        <w:rPr/>
        <w:t>中</w:t>
      </w:r>
      <w:r>
        <w:rPr>
          <w:spacing w:val="-62"/>
        </w:rPr>
        <w:t> </w:t>
      </w:r>
      <w:r>
        <w:rPr/>
        <w:t>，</w:t>
      </w:r>
      <w:r>
        <w:rPr>
          <w:spacing w:val="-62"/>
        </w:rPr>
        <w:t> </w:t>
      </w:r>
      <w:r>
        <w:rPr/>
        <w:t>计</w:t>
      </w:r>
      <w:r>
        <w:rPr>
          <w:spacing w:val="-61"/>
        </w:rPr>
        <w:t> </w:t>
      </w:r>
      <w:r>
        <w:rPr/>
        <w:t>入</w:t>
      </w:r>
      <w:r>
        <w:rPr>
          <w:spacing w:val="-62"/>
        </w:rPr>
        <w:t> </w:t>
      </w:r>
      <w:r>
        <w:rPr/>
        <w:t>实</w:t>
      </w:r>
      <w:r>
        <w:rPr>
          <w:spacing w:val="-62"/>
        </w:rPr>
        <w:t> </w:t>
      </w:r>
      <w:r>
        <w:rPr/>
        <w:t>收</w:t>
      </w:r>
      <w:r>
        <w:rPr>
          <w:spacing w:val="-62"/>
        </w:rPr>
        <w:t> </w:t>
      </w:r>
      <w:r>
        <w:rPr/>
        <w:t>资</w:t>
      </w:r>
      <w:r>
        <w:rPr>
          <w:spacing w:val="-61"/>
        </w:rPr>
        <w:t> </w:t>
      </w:r>
      <w:r>
        <w:rPr/>
        <w:t>本</w:t>
      </w:r>
      <w:r>
        <w:rPr>
          <w:spacing w:val="46"/>
        </w:rPr>
        <w:t> </w:t>
      </w:r>
      <w:r>
        <w:rPr>
          <w:rFonts w:ascii="宋体" w:hAnsi="宋体" w:cs="宋体" w:eastAsia="宋体" w:hint="default"/>
        </w:rPr>
        <w:t>335,154,299.00</w:t>
      </w:r>
      <w:r>
        <w:rPr>
          <w:rFonts w:ascii="宋体" w:hAnsi="宋体" w:cs="宋体" w:eastAsia="宋体" w:hint="default"/>
          <w:spacing w:val="45"/>
        </w:rPr>
        <w:t> </w:t>
      </w:r>
      <w:r>
        <w:rPr/>
        <w:t>元</w:t>
      </w:r>
      <w:r>
        <w:rPr>
          <w:spacing w:val="-64"/>
        </w:rPr>
        <w:t> </w:t>
      </w:r>
      <w:r>
        <w:rPr/>
        <w:t>，</w:t>
      </w:r>
      <w:r>
        <w:rPr>
          <w:spacing w:val="-62"/>
        </w:rPr>
        <w:t> </w:t>
      </w:r>
      <w:r>
        <w:rPr/>
        <w:t>计</w:t>
      </w:r>
      <w:r>
        <w:rPr>
          <w:spacing w:val="-62"/>
        </w:rPr>
        <w:t> </w:t>
      </w:r>
      <w:r>
        <w:rPr/>
        <w:t>入</w:t>
      </w:r>
      <w:r>
        <w:rPr>
          <w:spacing w:val="-62"/>
        </w:rPr>
        <w:t> </w:t>
      </w:r>
      <w:r>
        <w:rPr/>
        <w:t>资</w:t>
      </w:r>
      <w:r>
        <w:rPr>
          <w:spacing w:val="-61"/>
        </w:rPr>
        <w:t> </w:t>
      </w:r>
      <w:r>
        <w:rPr/>
        <w:t>本</w:t>
      </w:r>
      <w:r>
        <w:rPr>
          <w:spacing w:val="-62"/>
        </w:rPr>
        <w:t> </w:t>
      </w:r>
      <w:r>
        <w:rPr/>
        <w:t>公</w:t>
      </w:r>
      <w:r>
        <w:rPr>
          <w:spacing w:val="-62"/>
        </w:rPr>
        <w:t> </w:t>
      </w:r>
      <w:r>
        <w:rPr/>
        <w:t>积</w:t>
      </w:r>
      <w:r>
        <w:rPr>
          <w:spacing w:val="-61"/>
        </w:rPr>
        <w:t> </w:t>
      </w:r>
      <w:r>
        <w:rPr>
          <w:rFonts w:ascii="宋体" w:hAnsi="宋体" w:cs="宋体" w:eastAsia="宋体" w:hint="default"/>
        </w:rPr>
        <w:t>(</w:t>
      </w:r>
      <w:r>
        <w:rPr>
          <w:rFonts w:ascii="宋体" w:hAnsi="宋体" w:cs="宋体" w:eastAsia="宋体" w:hint="default"/>
          <w:spacing w:val="-62"/>
        </w:rPr>
        <w:t> </w:t>
      </w:r>
      <w:r>
        <w:rPr/>
        <w:t>股</w:t>
      </w:r>
      <w:r>
        <w:rPr>
          <w:spacing w:val="-61"/>
        </w:rPr>
        <w:t> </w:t>
      </w:r>
      <w:r>
        <w:rPr/>
        <w:t>本</w:t>
      </w:r>
      <w:r>
        <w:rPr>
          <w:spacing w:val="-62"/>
        </w:rPr>
        <w:t> </w:t>
      </w:r>
      <w:r>
        <w:rPr/>
        <w:t>溢</w:t>
      </w:r>
      <w:r>
        <w:rPr>
          <w:spacing w:val="-62"/>
        </w:rPr>
        <w:t> </w:t>
      </w:r>
      <w:r>
        <w:rPr/>
        <w:t>价</w:t>
      </w:r>
      <w:r>
        <w:rPr>
          <w:spacing w:val="-60"/>
        </w:rPr>
        <w:t> </w:t>
      </w:r>
      <w:r>
        <w:rPr>
          <w:rFonts w:ascii="宋体" w:hAnsi="宋体" w:cs="宋体" w:eastAsia="宋体" w:hint="default"/>
        </w:rPr>
        <w:t>)</w:t>
      </w:r>
    </w:p>
    <w:p>
      <w:pPr>
        <w:pStyle w:val="BodyText"/>
        <w:spacing w:line="408" w:lineRule="auto" w:before="46"/>
        <w:ind w:left="233" w:right="1027"/>
        <w:jc w:val="both"/>
      </w:pPr>
      <w:r>
        <w:rPr>
          <w:rFonts w:ascii="宋体" w:hAnsi="宋体" w:cs="宋体" w:eastAsia="宋体" w:hint="default"/>
        </w:rPr>
        <w:t>3,178,029,381.09</w:t>
      </w:r>
      <w:r>
        <w:rPr>
          <w:rFonts w:ascii="宋体" w:hAnsi="宋体" w:cs="宋体" w:eastAsia="宋体" w:hint="default"/>
          <w:spacing w:val="-40"/>
        </w:rPr>
        <w:t> </w:t>
      </w:r>
      <w:r>
        <w:rPr>
          <w:spacing w:val="-5"/>
        </w:rPr>
        <w:t>元。上述新增股份业经天健会计师事务所</w:t>
      </w:r>
      <w:r>
        <w:rPr>
          <w:rFonts w:ascii="宋体" w:hAnsi="宋体" w:cs="宋体" w:eastAsia="宋体" w:hint="default"/>
          <w:spacing w:val="-5"/>
        </w:rPr>
        <w:t>(</w:t>
      </w:r>
      <w:r>
        <w:rPr>
          <w:spacing w:val="-5"/>
        </w:rPr>
        <w:t>特殊普通合伙</w:t>
      </w:r>
      <w:r>
        <w:rPr>
          <w:rFonts w:ascii="宋体" w:hAnsi="宋体" w:cs="宋体" w:eastAsia="宋体" w:hint="default"/>
          <w:spacing w:val="-5"/>
        </w:rPr>
        <w:t>)</w:t>
      </w:r>
      <w:r>
        <w:rPr>
          <w:spacing w:val="-5"/>
        </w:rPr>
        <w:t>审验，并由其出具《验资报告》</w:t>
      </w:r>
      <w:r>
        <w:rPr>
          <w:spacing w:val="-103"/>
        </w:rPr>
        <w:t> </w:t>
      </w:r>
      <w:r>
        <w:rPr>
          <w:spacing w:val="-103"/>
        </w:rPr>
      </w:r>
      <w:r>
        <w:rPr>
          <w:rFonts w:ascii="宋体" w:hAnsi="宋体" w:cs="宋体" w:eastAsia="宋体" w:hint="default"/>
        </w:rPr>
        <w:t>(</w:t>
      </w:r>
      <w:r>
        <w:rPr/>
        <w:t>天健验〔</w:t>
      </w:r>
      <w:r>
        <w:rPr>
          <w:rFonts w:ascii="宋体" w:hAnsi="宋体" w:cs="宋体" w:eastAsia="宋体" w:hint="default"/>
        </w:rPr>
        <w:t>2015</w:t>
      </w:r>
      <w:r>
        <w:rPr/>
        <w:t>〕</w:t>
      </w:r>
      <w:r>
        <w:rPr>
          <w:rFonts w:ascii="宋体" w:hAnsi="宋体" w:cs="宋体" w:eastAsia="宋体" w:hint="default"/>
        </w:rPr>
        <w:t>485</w:t>
      </w:r>
      <w:r>
        <w:rPr>
          <w:rFonts w:ascii="宋体" w:hAnsi="宋体" w:cs="宋体" w:eastAsia="宋体" w:hint="default"/>
          <w:spacing w:val="-56"/>
        </w:rPr>
        <w:t> </w:t>
      </w:r>
      <w:r>
        <w:rPr/>
        <w:t>号</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653" w:right="9074"/>
        <w:jc w:val="left"/>
      </w:pPr>
      <w:bookmarkStart w:name="34.资本公积" w:id="217"/>
      <w:bookmarkEnd w:id="217"/>
      <w:r>
        <w:rPr/>
      </w:r>
      <w:r>
        <w:rPr>
          <w:rFonts w:ascii="宋体" w:hAnsi="宋体" w:cs="宋体" w:eastAsia="宋体" w:hint="default"/>
        </w:rPr>
        <w:t>34.</w:t>
      </w:r>
      <w:r>
        <w:rPr/>
        <w:t>资本公积 </w:t>
      </w:r>
      <w:r>
        <w:rPr>
          <w:rFonts w:ascii="宋体" w:hAnsi="宋体" w:cs="宋体" w:eastAsia="宋体" w:hint="default"/>
        </w:rPr>
        <w:t>(1)</w:t>
      </w:r>
      <w:r>
        <w:rPr>
          <w:rFonts w:ascii="宋体" w:hAnsi="宋体" w:cs="宋体" w:eastAsia="宋体" w:hint="default"/>
          <w:spacing w:val="-1"/>
        </w:rPr>
        <w:t> </w:t>
      </w:r>
      <w:r>
        <w:rPr/>
        <w:t>明细情况</w:t>
      </w:r>
    </w:p>
    <w:tbl>
      <w:tblPr>
        <w:tblW w:w="0" w:type="auto"/>
        <w:jc w:val="left"/>
        <w:tblInd w:w="106" w:type="dxa"/>
        <w:tblLayout w:type="fixed"/>
        <w:tblCellMar>
          <w:top w:w="0" w:type="dxa"/>
          <w:left w:w="0" w:type="dxa"/>
          <w:bottom w:w="0" w:type="dxa"/>
          <w:right w:w="0" w:type="dxa"/>
        </w:tblCellMar>
        <w:tblLook w:val="01E0"/>
      </w:tblPr>
      <w:tblGrid>
        <w:gridCol w:w="2400"/>
        <w:gridCol w:w="1833"/>
        <w:gridCol w:w="1890"/>
        <w:gridCol w:w="1684"/>
        <w:gridCol w:w="2063"/>
      </w:tblGrid>
      <w:tr>
        <w:trPr>
          <w:trHeight w:val="558"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8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资本溢价</w:t>
            </w:r>
            <w:r>
              <w:rPr>
                <w:rFonts w:ascii="宋体" w:hAnsi="宋体" w:cs="宋体" w:eastAsia="宋体" w:hint="default"/>
                <w:sz w:val="18"/>
                <w:szCs w:val="18"/>
              </w:rPr>
              <w:t>(</w:t>
            </w:r>
            <w:r>
              <w:rPr>
                <w:rFonts w:ascii="宋体" w:hAnsi="宋体" w:cs="宋体" w:eastAsia="宋体" w:hint="default"/>
                <w:sz w:val="18"/>
                <w:szCs w:val="18"/>
              </w:rPr>
              <w:t>股本溢价</w:t>
            </w:r>
            <w:r>
              <w:rPr>
                <w:rFonts w:ascii="宋体" w:hAnsi="宋体" w:cs="宋体" w:eastAsia="宋体" w:hint="default"/>
                <w:sz w:val="18"/>
                <w:szCs w:val="18"/>
              </w:rPr>
              <w:t>)</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909,897,990.50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3,178,029,381.09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783,294,762.19</w:t>
            </w:r>
          </w:p>
        </w:tc>
        <w:tc>
          <w:tcPr>
            <w:tcW w:w="2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18"/>
                <w:szCs w:val="18"/>
              </w:rPr>
            </w:pPr>
            <w:r>
              <w:rPr>
                <w:rFonts w:ascii="宋体"/>
                <w:sz w:val="18"/>
              </w:rPr>
              <w:t>3,304,632,609.40</w:t>
            </w:r>
          </w:p>
        </w:tc>
      </w:tr>
      <w:tr>
        <w:trPr>
          <w:trHeight w:val="558"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155,172.19</w:t>
            </w:r>
          </w:p>
        </w:tc>
        <w:tc>
          <w:tcPr>
            <w:tcW w:w="189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2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18"/>
                <w:szCs w:val="18"/>
              </w:rPr>
            </w:pPr>
            <w:r>
              <w:rPr>
                <w:rFonts w:ascii="宋体"/>
                <w:sz w:val="18"/>
              </w:rPr>
              <w:t>155,172.19</w:t>
            </w:r>
          </w:p>
        </w:tc>
      </w:tr>
      <w:tr>
        <w:trPr>
          <w:trHeight w:val="558" w:hRule="exact"/>
        </w:trPr>
        <w:tc>
          <w:tcPr>
            <w:tcW w:w="2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910,053,162.69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3,178,029,381.09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783,294,762.19</w:t>
            </w:r>
          </w:p>
        </w:tc>
        <w:tc>
          <w:tcPr>
            <w:tcW w:w="2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18"/>
                <w:szCs w:val="18"/>
              </w:rPr>
            </w:pPr>
            <w:r>
              <w:rPr>
                <w:rFonts w:ascii="宋体"/>
                <w:sz w:val="18"/>
              </w:rPr>
              <w:t>3,304,787,781.59</w:t>
            </w:r>
          </w:p>
        </w:tc>
      </w:tr>
    </w:tbl>
    <w:p>
      <w:pPr>
        <w:spacing w:line="240" w:lineRule="auto" w:before="3"/>
        <w:rPr>
          <w:rFonts w:ascii="宋体" w:hAnsi="宋体" w:cs="宋体" w:eastAsia="宋体" w:hint="default"/>
          <w:sz w:val="5"/>
          <w:szCs w:val="5"/>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其他说明</w:t>
      </w:r>
    </w:p>
    <w:p>
      <w:pPr>
        <w:spacing w:line="240" w:lineRule="auto" w:before="11"/>
        <w:rPr>
          <w:rFonts w:ascii="宋体" w:hAnsi="宋体" w:cs="宋体" w:eastAsia="宋体" w:hint="default"/>
          <w:sz w:val="18"/>
          <w:szCs w:val="18"/>
        </w:rPr>
      </w:pPr>
    </w:p>
    <w:p>
      <w:pPr>
        <w:pStyle w:val="BodyText"/>
        <w:spacing w:line="408" w:lineRule="auto"/>
        <w:ind w:left="233" w:right="1047" w:firstLine="420"/>
        <w:jc w:val="left"/>
      </w:pP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日，根据本公司与无锡威克集团有限公司、何宝荣、叶文浩、王桂月、唐成、周志祥、 刘敏、高元蕾和宋念平签订的《关于无锡利欧锡泵制造有限公司之股权转让协议》，根据相关协议约定， 本公司以</w:t>
      </w:r>
      <w:r>
        <w:rPr>
          <w:spacing w:val="-44"/>
        </w:rPr>
        <w:t> </w:t>
      </w:r>
      <w:r>
        <w:rPr>
          <w:rFonts w:ascii="宋体" w:hAnsi="宋体" w:cs="宋体" w:eastAsia="宋体" w:hint="default"/>
        </w:rPr>
        <w:t>28,823,619.48</w:t>
      </w:r>
      <w:r>
        <w:rPr>
          <w:rFonts w:ascii="宋体" w:hAnsi="宋体" w:cs="宋体" w:eastAsia="宋体" w:hint="default"/>
          <w:spacing w:val="-44"/>
        </w:rPr>
        <w:t> </w:t>
      </w:r>
      <w:r>
        <w:rPr/>
        <w:t>元对价受让上述股东持有的无锡锡泵</w:t>
      </w:r>
      <w:r>
        <w:rPr>
          <w:spacing w:val="-44"/>
        </w:rPr>
        <w:t> </w:t>
      </w:r>
      <w:r>
        <w:rPr>
          <w:rFonts w:ascii="宋体" w:hAnsi="宋体" w:cs="宋体" w:eastAsia="宋体" w:hint="default"/>
        </w:rPr>
        <w:t>28%</w:t>
      </w:r>
      <w:r>
        <w:rPr/>
        <w:t>股权。公司支付的上述对价与按原持股 比例享有无锡锡泵自购买日按公允价值持续计量的截至</w:t>
      </w:r>
      <w:r>
        <w:rPr>
          <w:spacing w:val="-39"/>
        </w:rPr>
        <w:t> </w:t>
      </w:r>
      <w:r>
        <w:rPr>
          <w:rFonts w:ascii="宋体" w:hAnsi="宋体" w:cs="宋体" w:eastAsia="宋体" w:hint="default"/>
        </w:rPr>
        <w:t>2015</w:t>
      </w:r>
      <w:r>
        <w:rPr>
          <w:rFonts w:ascii="宋体" w:hAnsi="宋体" w:cs="宋体" w:eastAsia="宋体" w:hint="default"/>
          <w:spacing w:val="-39"/>
        </w:rPr>
        <w:t> </w:t>
      </w:r>
      <w:r>
        <w:rPr/>
        <w:t>年</w:t>
      </w:r>
      <w:r>
        <w:rPr>
          <w:spacing w:val="-39"/>
        </w:rPr>
        <w:t> </w:t>
      </w:r>
      <w:r>
        <w:rPr>
          <w:rFonts w:ascii="宋体" w:hAnsi="宋体" w:cs="宋体" w:eastAsia="宋体" w:hint="default"/>
        </w:rPr>
        <w:t>10</w:t>
      </w:r>
      <w:r>
        <w:rPr>
          <w:rFonts w:ascii="宋体" w:hAnsi="宋体" w:cs="宋体" w:eastAsia="宋体" w:hint="default"/>
          <w:spacing w:val="-39"/>
        </w:rPr>
        <w:t> </w:t>
      </w:r>
      <w:r>
        <w:rPr/>
        <w:t>月</w:t>
      </w:r>
      <w:r>
        <w:rPr>
          <w:spacing w:val="-39"/>
        </w:rPr>
        <w:t> </w:t>
      </w:r>
      <w:r>
        <w:rPr>
          <w:rFonts w:ascii="宋体" w:hAnsi="宋体" w:cs="宋体" w:eastAsia="宋体" w:hint="default"/>
        </w:rPr>
        <w:t>31</w:t>
      </w:r>
      <w:r>
        <w:rPr>
          <w:rFonts w:ascii="宋体" w:hAnsi="宋体" w:cs="宋体" w:eastAsia="宋体" w:hint="default"/>
          <w:spacing w:val="-39"/>
        </w:rPr>
        <w:t> </w:t>
      </w:r>
      <w:r>
        <w:rPr/>
        <w:t>日可辨认净资产公允价值的份额</w:t>
      </w:r>
    </w:p>
    <w:p>
      <w:pPr>
        <w:pStyle w:val="BodyText"/>
        <w:spacing w:line="444" w:lineRule="auto" w:before="46"/>
        <w:ind w:left="654" w:right="1885" w:hanging="420"/>
        <w:jc w:val="left"/>
      </w:pPr>
      <w:r>
        <w:rPr>
          <w:rFonts w:ascii="宋体" w:hAnsi="宋体" w:cs="宋体" w:eastAsia="宋体" w:hint="default"/>
        </w:rPr>
        <w:t>28,377,757.29</w:t>
      </w:r>
      <w:r>
        <w:rPr>
          <w:rFonts w:ascii="宋体" w:hAnsi="宋体" w:cs="宋体" w:eastAsia="宋体" w:hint="default"/>
          <w:spacing w:val="-54"/>
        </w:rPr>
        <w:t> </w:t>
      </w:r>
      <w:r>
        <w:rPr/>
        <w:t>元的差额冲减资本公积</w:t>
      </w:r>
      <w:r>
        <w:rPr>
          <w:rFonts w:ascii="宋体" w:hAnsi="宋体" w:cs="宋体" w:eastAsia="宋体" w:hint="default"/>
        </w:rPr>
        <w:t>-</w:t>
      </w:r>
      <w:r>
        <w:rPr/>
        <w:t>资本溢价，相应调减资本公积</w:t>
      </w:r>
      <w:r>
        <w:rPr>
          <w:rFonts w:ascii="宋体" w:hAnsi="宋体" w:cs="宋体" w:eastAsia="宋体" w:hint="default"/>
        </w:rPr>
        <w:t>-</w:t>
      </w:r>
      <w:r>
        <w:rPr/>
        <w:t>资本溢价</w:t>
      </w:r>
      <w:r>
        <w:rPr>
          <w:spacing w:val="-54"/>
        </w:rPr>
        <w:t> </w:t>
      </w:r>
      <w:r>
        <w:rPr>
          <w:rFonts w:ascii="宋体" w:hAnsi="宋体" w:cs="宋体" w:eastAsia="宋体" w:hint="default"/>
        </w:rPr>
        <w:t>445,862.19</w:t>
      </w:r>
      <w:r>
        <w:rPr>
          <w:rFonts w:ascii="宋体" w:hAnsi="宋体" w:cs="宋体" w:eastAsia="宋体" w:hint="default"/>
          <w:spacing w:val="-55"/>
        </w:rPr>
        <w:t> </w:t>
      </w:r>
      <w:r>
        <w:rPr/>
        <w:t>元。 本期其他增减变动情况详见本财务报表附注五股本之说明。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654" w:right="1029"/>
        <w:jc w:val="left"/>
      </w:pPr>
      <w:r>
        <w:rPr>
          <w:rFonts w:ascii="宋体" w:hAnsi="宋体" w:cs="宋体" w:eastAsia="宋体" w:hint="default"/>
        </w:rPr>
        <w:t>35.</w:t>
      </w:r>
      <w:r>
        <w:rPr/>
        <w:t>其他综合收益</w:t>
      </w:r>
    </w:p>
    <w:p>
      <w:pPr>
        <w:spacing w:line="240" w:lineRule="auto" w:before="11"/>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930"/>
        <w:gridCol w:w="1301"/>
        <w:gridCol w:w="5293"/>
        <w:gridCol w:w="1330"/>
      </w:tblGrid>
      <w:tr>
        <w:trPr>
          <w:trHeight w:val="403" w:hRule="exact"/>
        </w:trPr>
        <w:tc>
          <w:tcPr>
            <w:tcW w:w="1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258"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5"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46" w:right="0"/>
              <w:jc w:val="left"/>
              <w:rPr>
                <w:rFonts w:ascii="宋体" w:hAnsi="宋体" w:cs="宋体" w:eastAsia="宋体" w:hint="default"/>
                <w:sz w:val="15"/>
                <w:szCs w:val="15"/>
              </w:rPr>
            </w:pPr>
            <w:r>
              <w:rPr>
                <w:rFonts w:ascii="宋体" w:hAnsi="宋体" w:cs="宋体" w:eastAsia="宋体" w:hint="default"/>
                <w:sz w:val="15"/>
                <w:szCs w:val="15"/>
              </w:rPr>
              <w:t>期末数</w:t>
            </w:r>
          </w:p>
        </w:tc>
      </w:tr>
    </w:tbl>
    <w:p>
      <w:pPr>
        <w:spacing w:after="0" w:line="240" w:lineRule="auto"/>
        <w:jc w:val="left"/>
        <w:rPr>
          <w:rFonts w:ascii="宋体" w:hAnsi="宋体" w:cs="宋体" w:eastAsia="宋体" w:hint="default"/>
          <w:sz w:val="15"/>
          <w:szCs w:val="15"/>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944"/>
        <w:gridCol w:w="1301"/>
        <w:gridCol w:w="1233"/>
        <w:gridCol w:w="1212"/>
        <w:gridCol w:w="660"/>
        <w:gridCol w:w="1200"/>
        <w:gridCol w:w="988"/>
        <w:gridCol w:w="1330"/>
      </w:tblGrid>
      <w:tr>
        <w:trPr>
          <w:trHeight w:val="1272" w:hRule="exact"/>
        </w:trPr>
        <w:tc>
          <w:tcPr>
            <w:tcW w:w="1944" w:type="dxa"/>
            <w:tcBorders>
              <w:top w:val="single" w:sz="4" w:space="0" w:color="000000"/>
              <w:left w:val="nil" w:sz="6" w:space="0" w:color="auto"/>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432" w:lineRule="auto"/>
              <w:ind w:left="308" w:right="237" w:hanging="75"/>
              <w:jc w:val="left"/>
              <w:rPr>
                <w:rFonts w:ascii="宋体" w:hAnsi="宋体" w:cs="宋体" w:eastAsia="宋体" w:hint="default"/>
                <w:sz w:val="15"/>
                <w:szCs w:val="15"/>
              </w:rPr>
            </w:pPr>
            <w:r>
              <w:rPr>
                <w:rFonts w:ascii="宋体" w:hAnsi="宋体" w:cs="宋体" w:eastAsia="宋体" w:hint="default"/>
                <w:sz w:val="15"/>
                <w:szCs w:val="15"/>
              </w:rPr>
              <w:t>本期所得税 前发生额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381" w:lineRule="auto"/>
              <w:ind w:left="40" w:right="19"/>
              <w:jc w:val="center"/>
              <w:rPr>
                <w:rFonts w:ascii="宋体" w:hAnsi="宋体" w:cs="宋体" w:eastAsia="宋体" w:hint="default"/>
                <w:sz w:val="15"/>
                <w:szCs w:val="15"/>
              </w:rPr>
            </w:pPr>
            <w:r>
              <w:rPr>
                <w:rFonts w:ascii="宋体" w:hAnsi="宋体" w:cs="宋体" w:eastAsia="宋体" w:hint="default"/>
                <w:spacing w:val="-8"/>
                <w:sz w:val="15"/>
                <w:szCs w:val="15"/>
              </w:rPr>
              <w:t>减：前期计入其他</w:t>
            </w:r>
            <w:r>
              <w:rPr>
                <w:rFonts w:ascii="宋体" w:hAnsi="宋体" w:cs="宋体" w:eastAsia="宋体" w:hint="default"/>
                <w:sz w:val="15"/>
                <w:szCs w:val="15"/>
              </w:rPr>
              <w:t> 综合收益当期转 入损益</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429" w:lineRule="auto"/>
              <w:ind w:left="97" w:right="101" w:hanging="2"/>
              <w:jc w:val="center"/>
              <w:rPr>
                <w:rFonts w:ascii="宋体" w:hAnsi="宋体" w:cs="宋体" w:eastAsia="宋体" w:hint="default"/>
                <w:sz w:val="15"/>
                <w:szCs w:val="15"/>
              </w:rPr>
            </w:pPr>
            <w:r>
              <w:rPr>
                <w:rFonts w:ascii="宋体" w:hAnsi="宋体" w:cs="宋体" w:eastAsia="宋体" w:hint="default"/>
                <w:sz w:val="15"/>
                <w:szCs w:val="15"/>
              </w:rPr>
              <w:t>减： 所得税 费用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81" w:lineRule="auto"/>
              <w:ind w:left="530" w:right="52" w:hanging="444"/>
              <w:jc w:val="left"/>
              <w:rPr>
                <w:rFonts w:ascii="宋体" w:hAnsi="宋体" w:cs="宋体" w:eastAsia="宋体" w:hint="default"/>
                <w:sz w:val="15"/>
                <w:szCs w:val="15"/>
              </w:rPr>
            </w:pPr>
            <w:r>
              <w:rPr>
                <w:rFonts w:ascii="宋体" w:hAnsi="宋体" w:cs="宋体" w:eastAsia="宋体" w:hint="default"/>
                <w:sz w:val="15"/>
                <w:szCs w:val="15"/>
              </w:rPr>
              <w:t>税后归属于母公 司</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81" w:lineRule="auto"/>
              <w:ind w:left="188" w:right="113" w:hanging="75"/>
              <w:jc w:val="left"/>
              <w:rPr>
                <w:rFonts w:ascii="宋体" w:hAnsi="宋体" w:cs="宋体" w:eastAsia="宋体" w:hint="default"/>
                <w:sz w:val="15"/>
                <w:szCs w:val="15"/>
              </w:rPr>
            </w:pPr>
            <w:r>
              <w:rPr>
                <w:rFonts w:ascii="宋体" w:hAnsi="宋体" w:cs="宋体" w:eastAsia="宋体" w:hint="default"/>
                <w:sz w:val="15"/>
                <w:szCs w:val="15"/>
              </w:rPr>
              <w:t>税后归属于 少数股东</w:t>
            </w: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84" w:lineRule="auto" w:before="75"/>
              <w:ind w:left="122" w:right="104"/>
              <w:jc w:val="left"/>
              <w:rPr>
                <w:rFonts w:ascii="宋体" w:hAnsi="宋体" w:cs="宋体" w:eastAsia="宋体" w:hint="default"/>
                <w:sz w:val="15"/>
                <w:szCs w:val="15"/>
              </w:rPr>
            </w:pPr>
            <w:r>
              <w:rPr>
                <w:rFonts w:ascii="宋体" w:hAnsi="宋体" w:cs="宋体" w:eastAsia="宋体" w:hint="default"/>
                <w:spacing w:val="4"/>
                <w:sz w:val="15"/>
                <w:szCs w:val="15"/>
              </w:rPr>
              <w:t>以后不能重分类进损益的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其他综合收益</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422" w:right="101" w:hanging="300"/>
              <w:jc w:val="both"/>
              <w:rPr>
                <w:rFonts w:ascii="宋体" w:hAnsi="宋体" w:cs="宋体" w:eastAsia="宋体" w:hint="default"/>
                <w:sz w:val="15"/>
                <w:szCs w:val="15"/>
              </w:rPr>
            </w:pPr>
            <w:r>
              <w:rPr>
                <w:rFonts w:ascii="宋体" w:hAnsi="宋体" w:cs="宋体" w:eastAsia="宋体" w:hint="default"/>
                <w:spacing w:val="4"/>
                <w:sz w:val="15"/>
                <w:szCs w:val="15"/>
              </w:rPr>
              <w:t>其中：权益法下在被投资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6"/>
                <w:sz w:val="15"/>
                <w:szCs w:val="15"/>
              </w:rPr>
              <w:t>单位不能重分类进损</w:t>
            </w:r>
            <w:r>
              <w:rPr>
                <w:rFonts w:ascii="宋体" w:hAnsi="宋体" w:cs="宋体" w:eastAsia="宋体" w:hint="default"/>
                <w:sz w:val="15"/>
                <w:szCs w:val="15"/>
              </w:rPr>
              <w:t> </w:t>
            </w:r>
            <w:r>
              <w:rPr>
                <w:rFonts w:ascii="宋体" w:hAnsi="宋体" w:cs="宋体" w:eastAsia="宋体" w:hint="default"/>
                <w:spacing w:val="6"/>
                <w:sz w:val="15"/>
                <w:szCs w:val="15"/>
              </w:rPr>
              <w:t>益的其他综合收益中</w:t>
            </w:r>
            <w:r>
              <w:rPr>
                <w:rFonts w:ascii="宋体" w:hAnsi="宋体" w:cs="宋体" w:eastAsia="宋体" w:hint="default"/>
                <w:sz w:val="15"/>
                <w:szCs w:val="15"/>
              </w:rPr>
              <w:t> 享有的份额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84" w:lineRule="auto" w:before="74"/>
              <w:ind w:left="122" w:right="104"/>
              <w:jc w:val="left"/>
              <w:rPr>
                <w:rFonts w:ascii="宋体" w:hAnsi="宋体" w:cs="宋体" w:eastAsia="宋体" w:hint="default"/>
                <w:sz w:val="15"/>
                <w:szCs w:val="15"/>
              </w:rPr>
            </w:pPr>
            <w:r>
              <w:rPr>
                <w:rFonts w:ascii="宋体" w:hAnsi="宋体" w:cs="宋体" w:eastAsia="宋体" w:hint="default"/>
                <w:spacing w:val="4"/>
                <w:sz w:val="15"/>
                <w:szCs w:val="15"/>
              </w:rPr>
              <w:t>以后将重分类进损益的其</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他综合收益</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-1,672,658.39</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1,105,322.97</w:t>
            </w:r>
          </w:p>
        </w:tc>
        <w:tc>
          <w:tcPr>
            <w:tcW w:w="121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1,080,675.38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24,647.60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-591,983.01</w:t>
            </w:r>
          </w:p>
        </w:tc>
      </w:tr>
      <w:tr>
        <w:trPr>
          <w:trHeight w:val="1417"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74"/>
              <w:ind w:left="422" w:right="101" w:hanging="300"/>
              <w:jc w:val="both"/>
              <w:rPr>
                <w:rFonts w:ascii="宋体" w:hAnsi="宋体" w:cs="宋体" w:eastAsia="宋体" w:hint="default"/>
                <w:sz w:val="15"/>
                <w:szCs w:val="15"/>
              </w:rPr>
            </w:pPr>
            <w:r>
              <w:rPr>
                <w:rFonts w:ascii="宋体" w:hAnsi="宋体" w:cs="宋体" w:eastAsia="宋体" w:hint="default"/>
                <w:spacing w:val="4"/>
                <w:sz w:val="15"/>
                <w:szCs w:val="15"/>
              </w:rPr>
              <w:t>其中：权益法下在被投资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6"/>
                <w:sz w:val="15"/>
                <w:szCs w:val="15"/>
              </w:rPr>
              <w:t>单位以后将重分类进</w:t>
            </w:r>
            <w:r>
              <w:rPr>
                <w:rFonts w:ascii="宋体" w:hAnsi="宋体" w:cs="宋体" w:eastAsia="宋体" w:hint="default"/>
                <w:sz w:val="15"/>
                <w:szCs w:val="15"/>
              </w:rPr>
              <w:t> </w:t>
            </w:r>
            <w:r>
              <w:rPr>
                <w:rFonts w:ascii="宋体" w:hAnsi="宋体" w:cs="宋体" w:eastAsia="宋体" w:hint="default"/>
                <w:spacing w:val="6"/>
                <w:sz w:val="15"/>
                <w:szCs w:val="15"/>
              </w:rPr>
              <w:t>损益的其他综合收益</w:t>
            </w:r>
            <w:r>
              <w:rPr>
                <w:rFonts w:ascii="宋体" w:hAnsi="宋体" w:cs="宋体" w:eastAsia="宋体" w:hint="default"/>
                <w:sz w:val="15"/>
                <w:szCs w:val="15"/>
              </w:rPr>
              <w:t> 中享有的份额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3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75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432" w:lineRule="auto" w:before="74"/>
              <w:ind w:left="423" w:right="615"/>
              <w:jc w:val="left"/>
              <w:rPr>
                <w:rFonts w:ascii="宋体" w:hAnsi="宋体" w:cs="宋体" w:eastAsia="宋体" w:hint="default"/>
                <w:sz w:val="15"/>
                <w:szCs w:val="15"/>
              </w:rPr>
            </w:pPr>
            <w:r>
              <w:rPr>
                <w:rFonts w:ascii="宋体" w:hAnsi="宋体" w:cs="宋体" w:eastAsia="宋体" w:hint="default"/>
                <w:sz w:val="15"/>
                <w:szCs w:val="15"/>
              </w:rPr>
              <w:t>外币财务报表 折算差额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-1,672,658.39</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1,105,322.97</w:t>
            </w:r>
          </w:p>
        </w:tc>
        <w:tc>
          <w:tcPr>
            <w:tcW w:w="121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1,080,675.38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24,647.60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-591,983.01</w:t>
            </w:r>
          </w:p>
        </w:tc>
      </w:tr>
      <w:tr>
        <w:trPr>
          <w:trHeight w:val="558"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-1,672,658.39</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1,105,322.97</w:t>
            </w:r>
          </w:p>
        </w:tc>
        <w:tc>
          <w:tcPr>
            <w:tcW w:w="121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1,080,675.38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24,647.60</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-591,983.01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bookmarkStart w:name="36.专项储备" w:id="218"/>
      <w:bookmarkEnd w:id="218"/>
      <w:r>
        <w:rPr/>
      </w:r>
      <w:r>
        <w:rPr>
          <w:rFonts w:ascii="宋体" w:hAnsi="宋体" w:cs="宋体" w:eastAsia="宋体" w:hint="default"/>
        </w:rPr>
        <w:t>36.</w:t>
      </w:r>
      <w:r>
        <w:rPr/>
        <w:t>专项储备</w:t>
      </w:r>
    </w:p>
    <w:p>
      <w:pPr>
        <w:spacing w:line="240" w:lineRule="auto" w:before="11"/>
        <w:rPr>
          <w:rFonts w:ascii="宋体" w:hAnsi="宋体" w:cs="宋体" w:eastAsia="宋体" w:hint="default"/>
          <w:sz w:val="19"/>
          <w:szCs w:val="19"/>
        </w:rPr>
      </w:pPr>
    </w:p>
    <w:p>
      <w:pPr>
        <w:spacing w:before="0"/>
        <w:ind w:left="593" w:right="1029"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663"/>
        <w:gridCol w:w="1760"/>
        <w:gridCol w:w="1763"/>
        <w:gridCol w:w="1760"/>
        <w:gridCol w:w="1763"/>
      </w:tblGrid>
      <w:tr>
        <w:trPr>
          <w:trHeight w:val="558"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0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8"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7" w:right="0"/>
              <w:jc w:val="left"/>
              <w:rPr>
                <w:rFonts w:ascii="宋体" w:hAnsi="宋体" w:cs="宋体" w:eastAsia="宋体" w:hint="default"/>
                <w:sz w:val="18"/>
                <w:szCs w:val="18"/>
              </w:rPr>
            </w:pPr>
            <w:r>
              <w:rPr>
                <w:rFonts w:ascii="宋体"/>
                <w:sz w:val="18"/>
              </w:rPr>
              <w:t>1,075,087.49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6,649,686.19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6,259,052.45</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68" w:right="0"/>
              <w:jc w:val="left"/>
              <w:rPr>
                <w:rFonts w:ascii="宋体" w:hAnsi="宋体" w:cs="宋体" w:eastAsia="宋体" w:hint="default"/>
                <w:sz w:val="18"/>
                <w:szCs w:val="18"/>
              </w:rPr>
            </w:pPr>
            <w:r>
              <w:rPr>
                <w:rFonts w:ascii="宋体"/>
                <w:sz w:val="18"/>
              </w:rPr>
              <w:t>1,465,721.23</w:t>
            </w:r>
          </w:p>
        </w:tc>
      </w:tr>
      <w:tr>
        <w:trPr>
          <w:trHeight w:val="558"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7" w:right="0"/>
              <w:jc w:val="left"/>
              <w:rPr>
                <w:rFonts w:ascii="宋体" w:hAnsi="宋体" w:cs="宋体" w:eastAsia="宋体" w:hint="default"/>
                <w:sz w:val="18"/>
                <w:szCs w:val="18"/>
              </w:rPr>
            </w:pPr>
            <w:r>
              <w:rPr>
                <w:rFonts w:ascii="宋体"/>
                <w:sz w:val="18"/>
              </w:rPr>
              <w:t>1,075,087.49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6,649,686.19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6,259,052.45</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68" w:right="0"/>
              <w:jc w:val="left"/>
              <w:rPr>
                <w:rFonts w:ascii="宋体" w:hAnsi="宋体" w:cs="宋体" w:eastAsia="宋体" w:hint="default"/>
                <w:sz w:val="18"/>
                <w:szCs w:val="18"/>
              </w:rPr>
            </w:pPr>
            <w:r>
              <w:rPr>
                <w:rFonts w:ascii="宋体"/>
                <w:sz w:val="18"/>
              </w:rPr>
              <w:t>1,465,721.23</w:t>
            </w:r>
          </w:p>
        </w:tc>
      </w:tr>
    </w:tbl>
    <w:p>
      <w:pPr>
        <w:spacing w:line="240" w:lineRule="auto" w:before="3"/>
        <w:rPr>
          <w:rFonts w:ascii="宋体" w:hAnsi="宋体" w:cs="宋体" w:eastAsia="宋体" w:hint="default"/>
          <w:sz w:val="5"/>
          <w:szCs w:val="5"/>
        </w:rPr>
      </w:pPr>
    </w:p>
    <w:p>
      <w:pPr>
        <w:pStyle w:val="BodyText"/>
        <w:spacing w:line="444" w:lineRule="auto" w:before="35"/>
        <w:ind w:left="653" w:right="1029"/>
        <w:jc w:val="left"/>
      </w:pPr>
      <w:r>
        <w:rPr>
          <w:rFonts w:ascii="宋体" w:hAnsi="宋体" w:cs="宋体" w:eastAsia="宋体" w:hint="default"/>
        </w:rPr>
        <w:t>(2)</w:t>
      </w:r>
      <w:r>
        <w:rPr/>
        <w:t>其他说明 </w:t>
      </w:r>
      <w:r>
        <w:rPr>
          <w:spacing w:val="-1"/>
        </w:rPr>
        <w:t>本期专项储备增减变动主要系公司根据财政部和安全监管总局联合发布的《企业安全生产费用提取和</w:t>
      </w:r>
    </w:p>
    <w:p>
      <w:pPr>
        <w:pStyle w:val="BodyText"/>
        <w:spacing w:line="240" w:lineRule="auto" w:before="16"/>
        <w:ind w:left="233" w:right="1029"/>
        <w:jc w:val="left"/>
      </w:pPr>
      <w:r>
        <w:rPr/>
        <w:t>使用管理办法》</w:t>
      </w:r>
      <w:r>
        <w:rPr>
          <w:rFonts w:ascii="宋体" w:hAnsi="宋体" w:cs="宋体" w:eastAsia="宋体" w:hint="default"/>
        </w:rPr>
        <w:t>(</w:t>
      </w:r>
      <w:r>
        <w:rPr/>
        <w:t>财企〔</w:t>
      </w:r>
      <w:r>
        <w:rPr>
          <w:rFonts w:ascii="宋体" w:hAnsi="宋体" w:cs="宋体" w:eastAsia="宋体" w:hint="default"/>
        </w:rPr>
        <w:t>2012</w:t>
      </w:r>
      <w:r>
        <w:rPr/>
        <w:t>〕</w:t>
      </w:r>
      <w:r>
        <w:rPr>
          <w:rFonts w:ascii="宋体" w:hAnsi="宋体" w:cs="宋体" w:eastAsia="宋体" w:hint="default"/>
        </w:rPr>
        <w:t>16</w:t>
      </w:r>
      <w:r>
        <w:rPr>
          <w:rFonts w:ascii="宋体" w:hAnsi="宋体" w:cs="宋体" w:eastAsia="宋体" w:hint="default"/>
          <w:spacing w:val="-58"/>
        </w:rPr>
        <w:t> </w:t>
      </w:r>
      <w:r>
        <w:rPr/>
        <w:t>号</w:t>
      </w:r>
      <w:r>
        <w:rPr>
          <w:rFonts w:ascii="宋体" w:hAnsi="宋体" w:cs="宋体" w:eastAsia="宋体" w:hint="default"/>
        </w:rPr>
        <w:t>)</w:t>
      </w:r>
      <w:r>
        <w:rPr/>
        <w:t>的规定计提和使用安全生产费用。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653" w:right="1029"/>
        <w:jc w:val="left"/>
      </w:pPr>
      <w:bookmarkStart w:name="37.盈余公积" w:id="219"/>
      <w:bookmarkEnd w:id="219"/>
      <w:r>
        <w:rPr/>
      </w:r>
      <w:r>
        <w:rPr>
          <w:rFonts w:ascii="宋体" w:hAnsi="宋体" w:cs="宋体" w:eastAsia="宋体" w:hint="default"/>
        </w:rPr>
        <w:t>37.</w:t>
      </w:r>
      <w:r>
        <w:rPr/>
        <w:t>盈余公积</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664"/>
        <w:gridCol w:w="1800"/>
        <w:gridCol w:w="1802"/>
        <w:gridCol w:w="1802"/>
        <w:gridCol w:w="1801"/>
      </w:tblGrid>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17" w:right="0"/>
              <w:jc w:val="left"/>
              <w:rPr>
                <w:rFonts w:ascii="宋体" w:hAnsi="宋体" w:cs="宋体" w:eastAsia="宋体" w:hint="default"/>
                <w:sz w:val="18"/>
                <w:szCs w:val="18"/>
              </w:rPr>
            </w:pPr>
            <w:r>
              <w:rPr>
                <w:rFonts w:ascii="宋体"/>
                <w:sz w:val="18"/>
              </w:rPr>
              <w:t>87,793,694.54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19" w:right="0"/>
              <w:jc w:val="left"/>
              <w:rPr>
                <w:rFonts w:ascii="宋体" w:hAnsi="宋体" w:cs="宋体" w:eastAsia="宋体" w:hint="default"/>
                <w:sz w:val="18"/>
                <w:szCs w:val="18"/>
              </w:rPr>
            </w:pPr>
            <w:r>
              <w:rPr>
                <w:rFonts w:ascii="宋体"/>
                <w:sz w:val="18"/>
              </w:rPr>
              <w:t>14,596,318.01</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428" w:right="0"/>
              <w:jc w:val="left"/>
              <w:rPr>
                <w:rFonts w:ascii="宋体" w:hAnsi="宋体" w:cs="宋体" w:eastAsia="宋体" w:hint="default"/>
                <w:sz w:val="18"/>
                <w:szCs w:val="18"/>
              </w:rPr>
            </w:pPr>
            <w:r>
              <w:rPr>
                <w:rFonts w:ascii="宋体"/>
                <w:sz w:val="18"/>
              </w:rPr>
              <w:t>102,390,012.55</w:t>
            </w:r>
          </w:p>
        </w:tc>
      </w:tr>
    </w:tbl>
    <w:p>
      <w:pPr>
        <w:spacing w:after="0" w:line="240"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664"/>
        <w:gridCol w:w="1800"/>
        <w:gridCol w:w="1802"/>
        <w:gridCol w:w="1802"/>
        <w:gridCol w:w="1801"/>
      </w:tblGrid>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国家扶持基金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8,302,444.90</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8,302,444.90</w:t>
            </w:r>
          </w:p>
        </w:tc>
      </w:tr>
      <w:tr>
        <w:trPr>
          <w:trHeight w:val="558" w:hRule="exact"/>
        </w:trPr>
        <w:tc>
          <w:tcPr>
            <w:tcW w:w="26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96,096,139.44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19" w:right="0"/>
              <w:jc w:val="left"/>
              <w:rPr>
                <w:rFonts w:ascii="宋体" w:hAnsi="宋体" w:cs="宋体" w:eastAsia="宋体" w:hint="default"/>
                <w:sz w:val="18"/>
                <w:szCs w:val="18"/>
              </w:rPr>
            </w:pPr>
            <w:r>
              <w:rPr>
                <w:rFonts w:ascii="宋体"/>
                <w:sz w:val="18"/>
              </w:rPr>
              <w:t>14,596,318.01</w:t>
            </w:r>
          </w:p>
        </w:tc>
        <w:tc>
          <w:tcPr>
            <w:tcW w:w="1802"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110,692,457.45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44" w:lineRule="auto" w:before="35"/>
        <w:ind w:left="654" w:right="8967"/>
        <w:jc w:val="left"/>
      </w:pPr>
      <w:bookmarkStart w:name="38.未分配利润" w:id="220"/>
      <w:bookmarkEnd w:id="220"/>
      <w:r>
        <w:rPr/>
      </w:r>
      <w:r>
        <w:rPr>
          <w:rFonts w:ascii="宋体" w:hAnsi="宋体" w:cs="宋体" w:eastAsia="宋体" w:hint="default"/>
        </w:rPr>
        <w:t>38.</w:t>
      </w:r>
      <w:r>
        <w:rPr/>
        <w:t>未分配利润 </w:t>
      </w:r>
      <w:r>
        <w:rPr>
          <w:rFonts w:ascii="宋体" w:hAnsi="宋体" w:cs="宋体" w:eastAsia="宋体" w:hint="default"/>
        </w:rPr>
        <w:t>(1)</w:t>
      </w:r>
      <w:r>
        <w:rPr/>
        <w:t>明细情况</w:t>
      </w:r>
    </w:p>
    <w:tbl>
      <w:tblPr>
        <w:tblW w:w="0" w:type="auto"/>
        <w:jc w:val="left"/>
        <w:tblInd w:w="106" w:type="dxa"/>
        <w:tblLayout w:type="fixed"/>
        <w:tblCellMar>
          <w:top w:w="0" w:type="dxa"/>
          <w:left w:w="0" w:type="dxa"/>
          <w:bottom w:w="0" w:type="dxa"/>
          <w:right w:w="0" w:type="dxa"/>
        </w:tblCellMar>
        <w:tblLook w:val="01E0"/>
      </w:tblPr>
      <w:tblGrid>
        <w:gridCol w:w="4831"/>
        <w:gridCol w:w="2520"/>
        <w:gridCol w:w="2519"/>
      </w:tblGrid>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606,759,661.56</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461,337,026.99</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Courier New" w:hAnsi="Courier New" w:cs="Courier New" w:eastAsia="Courier New" w:hint="default"/>
                <w:sz w:val="18"/>
                <w:szCs w:val="18"/>
              </w:rPr>
              <w:t>+</w:t>
            </w:r>
            <w:r>
              <w:rPr>
                <w:rFonts w:ascii="宋体" w:hAnsi="宋体" w:cs="宋体" w:eastAsia="宋体" w:hint="default"/>
                <w:sz w:val="18"/>
                <w:szCs w:val="18"/>
              </w:rPr>
              <w:t>，调减</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1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606,759,661.56</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461,337,026.99</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48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225,410,543.63</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179,916,115.75</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48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14,596,318.01</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15,856,681.63</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84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19,571,222.50</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18,636,799.55</w:t>
            </w:r>
          </w:p>
        </w:tc>
      </w:tr>
      <w:tr>
        <w:trPr>
          <w:trHeight w:val="558" w:hRule="exact"/>
        </w:trPr>
        <w:tc>
          <w:tcPr>
            <w:tcW w:w="4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798,002,664.68</w:t>
            </w:r>
          </w:p>
        </w:tc>
        <w:tc>
          <w:tcPr>
            <w:tcW w:w="2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606,759,661.56</w:t>
            </w:r>
          </w:p>
        </w:tc>
      </w:tr>
    </w:tbl>
    <w:p>
      <w:pPr>
        <w:pStyle w:val="BodyText"/>
        <w:spacing w:line="240" w:lineRule="auto" w:before="95"/>
        <w:ind w:left="654" w:right="1029"/>
        <w:jc w:val="left"/>
      </w:pPr>
      <w:r>
        <w:rPr>
          <w:rFonts w:ascii="宋体" w:hAnsi="宋体" w:cs="宋体" w:eastAsia="宋体" w:hint="default"/>
        </w:rPr>
        <w:t>(2)</w:t>
      </w:r>
      <w:r>
        <w:rPr/>
        <w:t>其他说明</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2015 </w:t>
      </w:r>
      <w:r>
        <w:rPr/>
        <w:t>年 </w:t>
      </w:r>
      <w:r>
        <w:rPr>
          <w:rFonts w:ascii="宋体" w:hAnsi="宋体" w:cs="宋体" w:eastAsia="宋体" w:hint="default"/>
        </w:rPr>
        <w:t>3 </w:t>
      </w:r>
      <w:r>
        <w:rPr/>
        <w:t>月 </w:t>
      </w:r>
      <w:r>
        <w:rPr>
          <w:rFonts w:ascii="宋体" w:hAnsi="宋体" w:cs="宋体" w:eastAsia="宋体" w:hint="default"/>
        </w:rPr>
        <w:t>31 </w:t>
      </w:r>
      <w:r>
        <w:rPr>
          <w:spacing w:val="3"/>
        </w:rPr>
        <w:t>日，根据公司 </w:t>
      </w:r>
      <w:r>
        <w:rPr>
          <w:rFonts w:ascii="宋体" w:hAnsi="宋体" w:cs="宋体" w:eastAsia="宋体" w:hint="default"/>
        </w:rPr>
        <w:t>2014 </w:t>
      </w:r>
      <w:r>
        <w:rPr>
          <w:spacing w:val="3"/>
        </w:rPr>
        <w:t>年度股东大会审议通过的 </w:t>
      </w:r>
      <w:r>
        <w:rPr>
          <w:rFonts w:ascii="宋体" w:hAnsi="宋体" w:cs="宋体" w:eastAsia="宋体" w:hint="default"/>
        </w:rPr>
        <w:t>2014</w:t>
      </w:r>
      <w:r>
        <w:rPr>
          <w:rFonts w:ascii="宋体" w:hAnsi="宋体" w:cs="宋体" w:eastAsia="宋体" w:hint="default"/>
          <w:spacing w:val="56"/>
        </w:rPr>
        <w:t> </w:t>
      </w:r>
      <w:r>
        <w:rPr>
          <w:spacing w:val="4"/>
        </w:rPr>
        <w:t>年度利润分配预案，公司以</w:t>
      </w:r>
    </w:p>
    <w:p>
      <w:pPr>
        <w:spacing w:line="240" w:lineRule="auto" w:before="10"/>
        <w:rPr>
          <w:rFonts w:ascii="宋体" w:hAnsi="宋体" w:cs="宋体" w:eastAsia="宋体" w:hint="default"/>
          <w:sz w:val="14"/>
          <w:szCs w:val="14"/>
        </w:rPr>
      </w:pPr>
    </w:p>
    <w:p>
      <w:pPr>
        <w:pStyle w:val="BodyText"/>
        <w:spacing w:line="240" w:lineRule="auto"/>
        <w:ind w:left="234" w:right="1029"/>
        <w:jc w:val="left"/>
      </w:pPr>
      <w:r>
        <w:rPr>
          <w:rFonts w:ascii="宋体" w:hAnsi="宋体" w:cs="宋体" w:eastAsia="宋体" w:hint="default"/>
        </w:rPr>
        <w:t>391,424,450</w:t>
      </w:r>
      <w:r>
        <w:rPr>
          <w:rFonts w:ascii="宋体" w:hAnsi="宋体" w:cs="宋体" w:eastAsia="宋体" w:hint="default"/>
          <w:spacing w:val="-48"/>
        </w:rPr>
        <w:t> </w:t>
      </w:r>
      <w:r>
        <w:rPr>
          <w:spacing w:val="-3"/>
        </w:rPr>
        <w:t>股</w:t>
      </w:r>
      <w:r>
        <w:rPr>
          <w:rFonts w:ascii="宋体" w:hAnsi="宋体" w:cs="宋体" w:eastAsia="宋体" w:hint="default"/>
          <w:spacing w:val="-3"/>
        </w:rPr>
        <w:t>(</w:t>
      </w:r>
      <w:r>
        <w:rPr>
          <w:spacing w:val="-3"/>
        </w:rPr>
        <w:t>扣除不拥有表决权且不享有股利分配的权利的股份</w:t>
      </w:r>
      <w:r>
        <w:rPr>
          <w:rFonts w:ascii="宋体" w:hAnsi="宋体" w:cs="宋体" w:eastAsia="宋体" w:hint="default"/>
          <w:spacing w:val="-3"/>
        </w:rPr>
        <w:t>)</w:t>
      </w:r>
      <w:r>
        <w:rPr>
          <w:spacing w:val="-3"/>
        </w:rPr>
        <w:t>为基数，向股东每</w:t>
      </w:r>
      <w:r>
        <w:rPr>
          <w:spacing w:val="-46"/>
        </w:rPr>
        <w:t> </w:t>
      </w:r>
      <w:r>
        <w:rPr>
          <w:rFonts w:ascii="宋体" w:hAnsi="宋体" w:cs="宋体" w:eastAsia="宋体" w:hint="default"/>
        </w:rPr>
        <w:t>10</w:t>
      </w:r>
      <w:r>
        <w:rPr>
          <w:rFonts w:ascii="宋体" w:hAnsi="宋体" w:cs="宋体" w:eastAsia="宋体" w:hint="default"/>
          <w:spacing w:val="-46"/>
        </w:rPr>
        <w:t> </w:t>
      </w:r>
      <w:r>
        <w:rPr/>
        <w:t>股派发现金股利</w:t>
      </w:r>
    </w:p>
    <w:p>
      <w:pPr>
        <w:spacing w:line="240" w:lineRule="auto" w:before="11"/>
        <w:rPr>
          <w:rFonts w:ascii="宋体" w:hAnsi="宋体" w:cs="宋体" w:eastAsia="宋体" w:hint="default"/>
          <w:sz w:val="14"/>
          <w:szCs w:val="14"/>
        </w:rPr>
      </w:pPr>
    </w:p>
    <w:p>
      <w:pPr>
        <w:pStyle w:val="BodyText"/>
        <w:spacing w:line="240" w:lineRule="auto"/>
        <w:ind w:left="233" w:right="1029"/>
        <w:jc w:val="left"/>
      </w:pPr>
      <w:r>
        <w:rPr>
          <w:rFonts w:ascii="宋体" w:hAnsi="宋体" w:cs="宋体" w:eastAsia="宋体" w:hint="default"/>
        </w:rPr>
        <w:t>0.5</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，送红股</w:t>
      </w:r>
      <w:r>
        <w:rPr>
          <w:spacing w:val="-55"/>
        </w:rPr>
        <w:t> </w:t>
      </w:r>
      <w:r>
        <w:rPr>
          <w:rFonts w:ascii="宋体" w:hAnsi="宋体" w:cs="宋体" w:eastAsia="宋体" w:hint="default"/>
        </w:rPr>
        <w:t>0</w:t>
      </w:r>
      <w:r>
        <w:rPr>
          <w:rFonts w:ascii="宋体" w:hAnsi="宋体" w:cs="宋体" w:eastAsia="宋体" w:hint="default"/>
          <w:spacing w:val="-55"/>
        </w:rPr>
        <w:t> </w:t>
      </w:r>
      <w:r>
        <w:rPr/>
        <w:t>股</w:t>
      </w:r>
      <w:r>
        <w:rPr>
          <w:rFonts w:ascii="宋体" w:hAnsi="宋体" w:cs="宋体" w:eastAsia="宋体" w:hint="default"/>
        </w:rPr>
        <w:t>(</w:t>
      </w:r>
      <w:r>
        <w:rPr/>
        <w:t>含税</w:t>
      </w:r>
      <w:r>
        <w:rPr>
          <w:rFonts w:ascii="宋体" w:hAnsi="宋体" w:cs="宋体" w:eastAsia="宋体" w:hint="default"/>
        </w:rPr>
        <w:t>)</w:t>
      </w:r>
      <w:r>
        <w:rPr/>
        <w:t>，不以公积金转增股本，合计派发现金红利</w:t>
      </w:r>
      <w:r>
        <w:rPr>
          <w:spacing w:val="-54"/>
        </w:rPr>
        <w:t> </w:t>
      </w:r>
      <w:r>
        <w:rPr>
          <w:rFonts w:ascii="宋体" w:hAnsi="宋体" w:cs="宋体" w:eastAsia="宋体" w:hint="default"/>
        </w:rPr>
        <w:t>19,571,222.50</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654" w:right="1029"/>
        <w:jc w:val="left"/>
      </w:pPr>
      <w:bookmarkStart w:name="(二)合并利润表项目注释" w:id="221"/>
      <w:bookmarkEnd w:id="221"/>
      <w:r>
        <w:rPr/>
      </w:r>
      <w:r>
        <w:rPr>
          <w:rFonts w:ascii="宋体" w:hAnsi="宋体" w:cs="宋体" w:eastAsia="宋体" w:hint="default"/>
        </w:rPr>
        <w:t>(</w:t>
      </w:r>
      <w:r>
        <w:rPr/>
        <w:t>二</w:t>
      </w:r>
      <w:r>
        <w:rPr>
          <w:rFonts w:ascii="宋体" w:hAnsi="宋体" w:cs="宋体" w:eastAsia="宋体" w:hint="default"/>
        </w:rPr>
        <w:t>)</w:t>
      </w:r>
      <w:r>
        <w:rPr/>
        <w:t>合并利润表项目注释</w:t>
      </w:r>
    </w:p>
    <w:p>
      <w:pPr>
        <w:spacing w:line="240" w:lineRule="auto" w:before="9"/>
        <w:rPr>
          <w:rFonts w:ascii="宋体" w:hAnsi="宋体" w:cs="宋体" w:eastAsia="宋体" w:hint="default"/>
          <w:sz w:val="22"/>
          <w:szCs w:val="22"/>
        </w:rPr>
      </w:pPr>
    </w:p>
    <w:p>
      <w:pPr>
        <w:spacing w:before="0"/>
        <w:ind w:left="594" w:right="1029" w:firstLine="0"/>
        <w:jc w:val="left"/>
        <w:rPr>
          <w:rFonts w:ascii="宋体" w:hAnsi="宋体" w:cs="宋体" w:eastAsia="宋体" w:hint="default"/>
          <w:sz w:val="18"/>
          <w:szCs w:val="18"/>
        </w:rPr>
      </w:pPr>
      <w:bookmarkStart w:name="1. 营业收入/营业成本" w:id="222"/>
      <w:bookmarkEnd w:id="222"/>
      <w:r>
        <w:rPr/>
      </w:r>
      <w:r>
        <w:rPr>
          <w:rFonts w:ascii="宋体" w:hAnsi="宋体" w:cs="宋体" w:eastAsia="宋体" w:hint="default"/>
          <w:sz w:val="18"/>
          <w:szCs w:val="18"/>
        </w:rPr>
        <w:t>1. </w:t>
      </w: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营业成本</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208"/>
        <w:gridCol w:w="1919"/>
        <w:gridCol w:w="1914"/>
        <w:gridCol w:w="1914"/>
        <w:gridCol w:w="1914"/>
      </w:tblGrid>
      <w:tr>
        <w:trPr>
          <w:trHeight w:val="340" w:hRule="exact"/>
        </w:trPr>
        <w:tc>
          <w:tcPr>
            <w:tcW w:w="2208"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82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0" w:hRule="exact"/>
        </w:trPr>
        <w:tc>
          <w:tcPr>
            <w:tcW w:w="2208" w:type="dxa"/>
            <w:vMerge/>
            <w:tcBorders>
              <w:left w:val="nil" w:sz="6" w:space="0" w:color="auto"/>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7"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5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4,362,643,129.41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3,357,685,853.16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2,837,939,174.77</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2,185,832,298.69</w:t>
            </w:r>
          </w:p>
        </w:tc>
      </w:tr>
      <w:tr>
        <w:trPr>
          <w:trHeight w:val="558"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29,584,528.87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26,119,335.63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36,330,424.87</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25,843,067.64</w:t>
            </w:r>
          </w:p>
        </w:tc>
      </w:tr>
      <w:tr>
        <w:trPr>
          <w:trHeight w:val="540" w:hRule="exact"/>
        </w:trPr>
        <w:tc>
          <w:tcPr>
            <w:tcW w:w="22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18"/>
                <w:szCs w:val="18"/>
              </w:rPr>
            </w:pPr>
            <w:r>
              <w:rPr>
                <w:rFonts w:ascii="宋体"/>
                <w:sz w:val="18"/>
              </w:rPr>
              <w:t>4,392,227,658.28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3,383,805,188.79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2,874,269,599.64</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2,211,675,366.33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029"/>
        <w:jc w:val="left"/>
      </w:pPr>
      <w:bookmarkStart w:name="2. 营业税金及附加" w:id="223"/>
      <w:bookmarkEnd w:id="223"/>
      <w:r>
        <w:rPr/>
      </w:r>
      <w:r>
        <w:rPr>
          <w:rFonts w:ascii="宋体" w:hAnsi="宋体" w:cs="宋体" w:eastAsia="宋体" w:hint="default"/>
        </w:rPr>
        <w:t>2.</w:t>
      </w:r>
      <w:r>
        <w:rPr>
          <w:rFonts w:ascii="宋体" w:hAnsi="宋体" w:cs="宋体" w:eastAsia="宋体" w:hint="default"/>
          <w:spacing w:val="-1"/>
        </w:rPr>
        <w:t> </w:t>
      </w:r>
      <w:r>
        <w:rPr/>
        <w:t>营业税金及附加</w:t>
      </w:r>
    </w:p>
    <w:p>
      <w:pPr>
        <w:spacing w:after="0" w:line="240" w:lineRule="auto"/>
        <w:jc w:val="left"/>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581"/>
        <w:gridCol w:w="3143"/>
        <w:gridCol w:w="3146"/>
      </w:tblGrid>
      <w:tr>
        <w:trPr>
          <w:trHeight w:val="558"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225,510.03</w:t>
            </w:r>
          </w:p>
        </w:tc>
        <w:tc>
          <w:tcPr>
            <w:tcW w:w="3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112,447.93</w:t>
            </w:r>
          </w:p>
        </w:tc>
      </w:tr>
      <w:tr>
        <w:trPr>
          <w:trHeight w:val="558"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7,226,530.80</w:t>
            </w:r>
          </w:p>
        </w:tc>
        <w:tc>
          <w:tcPr>
            <w:tcW w:w="3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5,271,905.60</w:t>
            </w:r>
          </w:p>
        </w:tc>
      </w:tr>
      <w:tr>
        <w:trPr>
          <w:trHeight w:val="558"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4,383,545.58</w:t>
            </w:r>
          </w:p>
        </w:tc>
        <w:tc>
          <w:tcPr>
            <w:tcW w:w="3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3,095,496.40</w:t>
            </w:r>
          </w:p>
        </w:tc>
      </w:tr>
      <w:tr>
        <w:trPr>
          <w:trHeight w:val="558"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2,921,869.74</w:t>
            </w:r>
          </w:p>
        </w:tc>
        <w:tc>
          <w:tcPr>
            <w:tcW w:w="3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2,083,171.45</w:t>
            </w:r>
          </w:p>
        </w:tc>
      </w:tr>
      <w:tr>
        <w:trPr>
          <w:trHeight w:val="558"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273,376.69</w:t>
            </w:r>
          </w:p>
        </w:tc>
        <w:tc>
          <w:tcPr>
            <w:tcW w:w="3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95,224.66</w:t>
            </w:r>
          </w:p>
        </w:tc>
      </w:tr>
      <w:tr>
        <w:trPr>
          <w:trHeight w:val="558"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17,860,832.03</w:t>
            </w:r>
          </w:p>
        </w:tc>
        <w:tc>
          <w:tcPr>
            <w:tcW w:w="3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5,142,678.32</w:t>
            </w:r>
          </w:p>
        </w:tc>
      </w:tr>
      <w:tr>
        <w:trPr>
          <w:trHeight w:val="558"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32,891,664.87</w:t>
            </w:r>
          </w:p>
        </w:tc>
        <w:tc>
          <w:tcPr>
            <w:tcW w:w="31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15,800,924.36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bookmarkStart w:name="3. 销售费用" w:id="224"/>
      <w:bookmarkEnd w:id="224"/>
      <w:r>
        <w:rPr/>
      </w:r>
      <w:r>
        <w:rPr>
          <w:rFonts w:ascii="宋体" w:hAnsi="宋体" w:cs="宋体" w:eastAsia="宋体" w:hint="default"/>
        </w:rPr>
        <w:t>3.</w:t>
      </w:r>
      <w:r>
        <w:rPr>
          <w:rFonts w:ascii="宋体" w:hAnsi="宋体" w:cs="宋体" w:eastAsia="宋体" w:hint="default"/>
          <w:spacing w:val="1"/>
        </w:rPr>
        <w:t> </w:t>
      </w:r>
      <w:r>
        <w:rPr/>
        <w:t>销售费用</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3076"/>
        <w:gridCol w:w="2734"/>
        <w:gridCol w:w="2703"/>
      </w:tblGrid>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155,989,891.78</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82,174,771.84</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销售业务费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47,977,875.32</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36,318,480.49</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运费保险费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27,953,094.74</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30,512,215.94</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22,100,062.72</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19,870,890.56</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18,267,439.87</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16,059,228.34</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11,578,414.97</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12,960,409.09</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675,031.80</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751,703.40</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10,605,082.13</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5,459,372.52</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3,126,616.06</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1,804,583.56</w:t>
            </w:r>
          </w:p>
        </w:tc>
      </w:tr>
      <w:tr>
        <w:trPr>
          <w:trHeight w:val="558" w:hRule="exact"/>
        </w:trPr>
        <w:tc>
          <w:tcPr>
            <w:tcW w:w="3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298,273,509.39</w:t>
            </w:r>
          </w:p>
        </w:tc>
        <w:tc>
          <w:tcPr>
            <w:tcW w:w="2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205,911,655.74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bookmarkStart w:name="4. 管理费用" w:id="225"/>
      <w:bookmarkEnd w:id="225"/>
      <w:r>
        <w:rPr/>
      </w:r>
      <w:r>
        <w:rPr>
          <w:rFonts w:ascii="宋体" w:hAnsi="宋体" w:cs="宋体" w:eastAsia="宋体" w:hint="default"/>
        </w:rPr>
        <w:t>4.</w:t>
      </w:r>
      <w:r>
        <w:rPr>
          <w:rFonts w:ascii="宋体" w:hAnsi="宋体" w:cs="宋体" w:eastAsia="宋体" w:hint="default"/>
          <w:spacing w:val="1"/>
        </w:rPr>
        <w:t> </w:t>
      </w:r>
      <w:r>
        <w:rPr/>
        <w:t>管理费用</w:t>
      </w:r>
    </w:p>
    <w:p>
      <w:pPr>
        <w:spacing w:line="240" w:lineRule="auto" w:before="13"/>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3062"/>
        <w:gridCol w:w="2718"/>
        <w:gridCol w:w="2718"/>
      </w:tblGrid>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091"/>
              <w:jc w:val="center"/>
              <w:rPr>
                <w:rFonts w:ascii="宋体" w:hAnsi="宋体" w:cs="宋体" w:eastAsia="宋体" w:hint="default"/>
                <w:sz w:val="18"/>
                <w:szCs w:val="18"/>
              </w:rPr>
            </w:pPr>
            <w:r>
              <w:rPr>
                <w:rFonts w:ascii="宋体" w:hAnsi="宋体" w:cs="宋体" w:eastAsia="宋体" w:hint="default"/>
                <w:sz w:val="18"/>
                <w:szCs w:val="18"/>
              </w:rPr>
              <w:t>项目</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091"/>
              <w:jc w:val="center"/>
              <w:rPr>
                <w:rFonts w:ascii="宋体" w:hAnsi="宋体" w:cs="宋体" w:eastAsia="宋体" w:hint="default"/>
                <w:sz w:val="18"/>
                <w:szCs w:val="18"/>
              </w:rPr>
            </w:pPr>
            <w:r>
              <w:rPr>
                <w:rFonts w:ascii="宋体" w:hAnsi="宋体" w:cs="宋体" w:eastAsia="宋体" w:hint="default"/>
                <w:sz w:val="18"/>
                <w:szCs w:val="18"/>
              </w:rPr>
              <w:t>职工薪酬</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46" w:right="0"/>
              <w:jc w:val="left"/>
              <w:rPr>
                <w:rFonts w:ascii="宋体" w:hAnsi="宋体" w:cs="宋体" w:eastAsia="宋体" w:hint="default"/>
                <w:sz w:val="18"/>
                <w:szCs w:val="18"/>
              </w:rPr>
            </w:pPr>
            <w:r>
              <w:rPr>
                <w:rFonts w:ascii="宋体"/>
                <w:sz w:val="18"/>
              </w:rPr>
              <w:t>133,127,112.10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8"/>
              <w:jc w:val="center"/>
              <w:rPr>
                <w:rFonts w:ascii="宋体" w:hAnsi="宋体" w:cs="宋体" w:eastAsia="宋体" w:hint="default"/>
                <w:sz w:val="18"/>
                <w:szCs w:val="18"/>
              </w:rPr>
            </w:pPr>
            <w:r>
              <w:rPr>
                <w:rFonts w:ascii="宋体"/>
                <w:sz w:val="18"/>
              </w:rPr>
              <w:t>93,053,586.60</w:t>
            </w:r>
          </w:p>
        </w:tc>
      </w:tr>
    </w:tbl>
    <w:p>
      <w:pPr>
        <w:spacing w:after="0" w:line="240" w:lineRule="auto"/>
        <w:jc w:val="center"/>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85" w:type="dxa"/>
        <w:tblLayout w:type="fixed"/>
        <w:tblCellMar>
          <w:top w:w="0" w:type="dxa"/>
          <w:left w:w="0" w:type="dxa"/>
          <w:bottom w:w="0" w:type="dxa"/>
          <w:right w:w="0" w:type="dxa"/>
        </w:tblCellMar>
        <w:tblLook w:val="01E0"/>
      </w:tblPr>
      <w:tblGrid>
        <w:gridCol w:w="3062"/>
        <w:gridCol w:w="2718"/>
        <w:gridCol w:w="2718"/>
      </w:tblGrid>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1"/>
              <w:jc w:val="right"/>
              <w:rPr>
                <w:rFonts w:ascii="宋体" w:hAnsi="宋体" w:cs="宋体" w:eastAsia="宋体" w:hint="default"/>
                <w:sz w:val="18"/>
                <w:szCs w:val="18"/>
              </w:rPr>
            </w:pPr>
            <w:r>
              <w:rPr>
                <w:rFonts w:ascii="宋体"/>
                <w:sz w:val="18"/>
              </w:rPr>
              <w:t>79,490,123.76</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72,381,482.03</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1"/>
              <w:jc w:val="right"/>
              <w:rPr>
                <w:rFonts w:ascii="宋体" w:hAnsi="宋体" w:cs="宋体" w:eastAsia="宋体" w:hint="default"/>
                <w:sz w:val="18"/>
                <w:szCs w:val="18"/>
              </w:rPr>
            </w:pPr>
            <w:r>
              <w:rPr>
                <w:rFonts w:ascii="宋体"/>
                <w:sz w:val="18"/>
              </w:rPr>
              <w:t>68,579,648.33</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43,092,240.74</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1"/>
              <w:jc w:val="right"/>
              <w:rPr>
                <w:rFonts w:ascii="宋体" w:hAnsi="宋体" w:cs="宋体" w:eastAsia="宋体" w:hint="default"/>
                <w:sz w:val="18"/>
                <w:szCs w:val="18"/>
              </w:rPr>
            </w:pPr>
            <w:r>
              <w:rPr>
                <w:rFonts w:ascii="宋体"/>
                <w:sz w:val="18"/>
              </w:rPr>
              <w:t>25,758,678.82</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20,607,801.59</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9"/>
              <w:jc w:val="right"/>
              <w:rPr>
                <w:rFonts w:ascii="宋体" w:hAnsi="宋体" w:cs="宋体" w:eastAsia="宋体" w:hint="default"/>
                <w:sz w:val="18"/>
                <w:szCs w:val="18"/>
              </w:rPr>
            </w:pPr>
            <w:r>
              <w:rPr>
                <w:rFonts w:ascii="宋体"/>
                <w:sz w:val="18"/>
              </w:rPr>
              <w:t>15,486,004.77</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10,041,132.80</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1"/>
              <w:jc w:val="right"/>
              <w:rPr>
                <w:rFonts w:ascii="宋体" w:hAnsi="宋体" w:cs="宋体" w:eastAsia="宋体" w:hint="default"/>
                <w:sz w:val="18"/>
                <w:szCs w:val="18"/>
              </w:rPr>
            </w:pPr>
            <w:r>
              <w:rPr>
                <w:rFonts w:ascii="宋体"/>
                <w:sz w:val="18"/>
              </w:rPr>
              <w:t>14,233,515.99</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8,844,139.20</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业务经费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9"/>
              <w:jc w:val="right"/>
              <w:rPr>
                <w:rFonts w:ascii="宋体" w:hAnsi="宋体" w:cs="宋体" w:eastAsia="宋体" w:hint="default"/>
                <w:sz w:val="18"/>
                <w:szCs w:val="18"/>
              </w:rPr>
            </w:pPr>
            <w:r>
              <w:rPr>
                <w:rFonts w:ascii="宋体"/>
                <w:sz w:val="18"/>
              </w:rPr>
              <w:t>4,469,883.08</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5,200,120.77</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9"/>
              <w:jc w:val="right"/>
              <w:rPr>
                <w:rFonts w:ascii="宋体" w:hAnsi="宋体" w:cs="宋体" w:eastAsia="宋体" w:hint="default"/>
                <w:sz w:val="18"/>
                <w:szCs w:val="18"/>
              </w:rPr>
            </w:pPr>
            <w:r>
              <w:rPr>
                <w:rFonts w:ascii="宋体"/>
                <w:sz w:val="18"/>
              </w:rPr>
              <w:t>6,118,738.94</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4,838,787.94</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1"/>
              <w:jc w:val="right"/>
              <w:rPr>
                <w:rFonts w:ascii="宋体" w:hAnsi="宋体" w:cs="宋体" w:eastAsia="宋体" w:hint="default"/>
                <w:sz w:val="18"/>
                <w:szCs w:val="18"/>
              </w:rPr>
            </w:pPr>
            <w:r>
              <w:rPr>
                <w:rFonts w:ascii="宋体"/>
                <w:sz w:val="18"/>
              </w:rPr>
              <w:t>14,363,166.72</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9,926,710.72</w:t>
            </w:r>
          </w:p>
        </w:tc>
      </w:tr>
      <w:tr>
        <w:trPr>
          <w:trHeight w:val="558" w:hRule="exact"/>
        </w:trPr>
        <w:tc>
          <w:tcPr>
            <w:tcW w:w="3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801"/>
              <w:jc w:val="right"/>
              <w:rPr>
                <w:rFonts w:ascii="宋体" w:hAnsi="宋体" w:cs="宋体" w:eastAsia="宋体" w:hint="default"/>
                <w:sz w:val="18"/>
                <w:szCs w:val="18"/>
              </w:rPr>
            </w:pPr>
            <w:r>
              <w:rPr>
                <w:rFonts w:ascii="宋体"/>
                <w:sz w:val="18"/>
              </w:rPr>
              <w:t>361,626,872.51</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267,986,002.39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94" w:right="1198"/>
        <w:jc w:val="left"/>
      </w:pPr>
      <w:bookmarkStart w:name="5. 财务费用" w:id="226"/>
      <w:bookmarkEnd w:id="226"/>
      <w:r>
        <w:rPr/>
      </w:r>
      <w:r>
        <w:rPr>
          <w:rFonts w:ascii="宋体" w:hAnsi="宋体" w:cs="宋体" w:eastAsia="宋体" w:hint="default"/>
        </w:rPr>
        <w:t>5.</w:t>
      </w:r>
      <w:r>
        <w:rPr>
          <w:rFonts w:ascii="宋体" w:hAnsi="宋体" w:cs="宋体" w:eastAsia="宋体" w:hint="default"/>
          <w:spacing w:val="1"/>
        </w:rPr>
        <w:t> </w:t>
      </w:r>
      <w:r>
        <w:rPr/>
        <w:t>财务费用</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134"/>
        <w:gridCol w:w="2734"/>
        <w:gridCol w:w="2730"/>
      </w:tblGrid>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33,024,586.82</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27,495,604.15</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2,632,452.10</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2,727,032.10</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-22,627,978.59</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-10,738,240.12</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2,856,000.23</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2,747,863.13</w:t>
            </w:r>
          </w:p>
        </w:tc>
      </w:tr>
      <w:tr>
        <w:trPr>
          <w:trHeight w:val="558"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10,620,156.36</w:t>
            </w:r>
          </w:p>
        </w:tc>
        <w:tc>
          <w:tcPr>
            <w:tcW w:w="2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16,778,195.06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94" w:right="1198"/>
        <w:jc w:val="left"/>
      </w:pPr>
      <w:bookmarkStart w:name="6. 资产减值损失" w:id="227"/>
      <w:bookmarkEnd w:id="227"/>
      <w:r>
        <w:rPr/>
      </w:r>
      <w:r>
        <w:rPr>
          <w:rFonts w:ascii="宋体" w:hAnsi="宋体" w:cs="宋体" w:eastAsia="宋体" w:hint="default"/>
        </w:rPr>
        <w:t>6.</w:t>
      </w:r>
      <w:r>
        <w:rPr>
          <w:rFonts w:ascii="宋体" w:hAnsi="宋体" w:cs="宋体" w:eastAsia="宋体" w:hint="default"/>
          <w:spacing w:val="-1"/>
        </w:rPr>
        <w:t> </w:t>
      </w:r>
      <w:r>
        <w:rPr/>
        <w:t>资产减值损失</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111"/>
        <w:gridCol w:w="2750"/>
        <w:gridCol w:w="2752"/>
      </w:tblGrid>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40,720,516.15</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34,988,992.11</w:t>
            </w:r>
          </w:p>
        </w:tc>
      </w:tr>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2,971,137.33</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16,507,106.47</w:t>
            </w:r>
          </w:p>
        </w:tc>
      </w:tr>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850,788.86</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3,196,160.13</w:t>
            </w:r>
          </w:p>
        </w:tc>
      </w:tr>
      <w:tr>
        <w:trPr>
          <w:trHeight w:val="558" w:hRule="exact"/>
        </w:trPr>
        <w:tc>
          <w:tcPr>
            <w:tcW w:w="3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98"/>
              <w:jc w:val="right"/>
              <w:rPr>
                <w:rFonts w:ascii="宋体" w:hAnsi="宋体" w:cs="宋体" w:eastAsia="宋体" w:hint="default"/>
                <w:sz w:val="18"/>
                <w:szCs w:val="18"/>
              </w:rPr>
            </w:pPr>
            <w:r>
              <w:rPr>
                <w:rFonts w:ascii="宋体"/>
                <w:sz w:val="18"/>
              </w:rPr>
              <w:t>44,542,442.34</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04"/>
              <w:jc w:val="right"/>
              <w:rPr>
                <w:rFonts w:ascii="宋体" w:hAnsi="宋体" w:cs="宋体" w:eastAsia="宋体" w:hint="default"/>
                <w:sz w:val="18"/>
                <w:szCs w:val="18"/>
              </w:rPr>
            </w:pPr>
            <w:r>
              <w:rPr>
                <w:rFonts w:ascii="宋体"/>
                <w:sz w:val="18"/>
              </w:rPr>
              <w:t>54,692,258.71</w:t>
            </w:r>
          </w:p>
        </w:tc>
      </w:tr>
    </w:tbl>
    <w:p>
      <w:pPr>
        <w:spacing w:after="0" w:line="240" w:lineRule="auto"/>
        <w:jc w:val="right"/>
        <w:rPr>
          <w:rFonts w:ascii="宋体" w:hAnsi="宋体" w:cs="宋体" w:eastAsia="宋体" w:hint="default"/>
          <w:sz w:val="18"/>
          <w:szCs w:val="18"/>
        </w:rPr>
        <w:sectPr>
          <w:pgSz w:w="11910" w:h="16840"/>
          <w:pgMar w:header="877" w:footer="979" w:top="1100" w:bottom="1160" w:left="860" w:right="0"/>
        </w:sectPr>
      </w:pPr>
    </w:p>
    <w:p>
      <w:pPr>
        <w:spacing w:line="240" w:lineRule="auto" w:before="8"/>
        <w:rPr>
          <w:rFonts w:ascii="宋体" w:hAnsi="宋体" w:cs="宋体" w:eastAsia="宋体" w:hint="default"/>
          <w:sz w:val="26"/>
          <w:szCs w:val="26"/>
        </w:rPr>
      </w:pPr>
    </w:p>
    <w:p>
      <w:pPr>
        <w:pStyle w:val="BodyText"/>
        <w:spacing w:line="240" w:lineRule="auto" w:before="35"/>
        <w:ind w:left="694" w:right="1198"/>
        <w:jc w:val="left"/>
      </w:pPr>
      <w:bookmarkStart w:name="7. 公允价值变动收益" w:id="228"/>
      <w:bookmarkEnd w:id="228"/>
      <w:r>
        <w:rPr/>
      </w:r>
      <w:r>
        <w:rPr>
          <w:rFonts w:ascii="宋体" w:hAnsi="宋体" w:cs="宋体" w:eastAsia="宋体" w:hint="default"/>
        </w:rPr>
        <w:t>7.</w:t>
      </w:r>
      <w:r>
        <w:rPr>
          <w:rFonts w:ascii="宋体" w:hAnsi="宋体" w:cs="宋体" w:eastAsia="宋体" w:hint="default"/>
          <w:spacing w:val="-1"/>
        </w:rPr>
        <w:t> </w:t>
      </w:r>
      <w:r>
        <w:rPr/>
        <w:t>公允价值变动收益</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-18,517,087.00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-18,517,087.00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以公允价值计量的且其变动计入当期损益的金融负债</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-8,597,505.00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-2,333,342.50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-8,597,505.00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-20,850,429.50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94" w:right="1198"/>
        <w:jc w:val="left"/>
      </w:pPr>
      <w:bookmarkStart w:name="8.投资收益" w:id="229"/>
      <w:bookmarkEnd w:id="229"/>
      <w:r>
        <w:rPr/>
      </w:r>
      <w:r>
        <w:rPr>
          <w:rFonts w:ascii="宋体" w:hAnsi="宋体" w:cs="宋体" w:eastAsia="宋体" w:hint="default"/>
        </w:rPr>
        <w:t>8.</w:t>
      </w:r>
      <w:r>
        <w:rPr/>
        <w:t>投资收益</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8"/>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2,346,486.85</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12,418,379.70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194,174.82</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96,079,626.50</w:t>
            </w:r>
          </w:p>
        </w:tc>
      </w:tr>
      <w:tr>
        <w:trPr>
          <w:trHeight w:val="714"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7"/>
              <w:jc w:val="left"/>
              <w:rPr>
                <w:rFonts w:ascii="宋体" w:hAnsi="宋体" w:cs="宋体" w:eastAsia="宋体" w:hint="default"/>
                <w:sz w:val="18"/>
                <w:szCs w:val="18"/>
              </w:rPr>
            </w:pPr>
            <w:r>
              <w:rPr>
                <w:rFonts w:ascii="宋体" w:hAnsi="宋体" w:cs="宋体" w:eastAsia="宋体" w:hint="default"/>
                <w:spacing w:val="5"/>
                <w:sz w:val="18"/>
                <w:szCs w:val="18"/>
              </w:rPr>
              <w:t>处置以公允价值计量且其变动计入当期损益的金融资产取得的投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资收益</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45,750.00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406,560.00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677,600.00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赎回理财产品取得的投资收益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283,931.41</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256,341.28</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3,231,153.08</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109,477,697.48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93" w:right="1198"/>
        <w:jc w:val="left"/>
      </w:pPr>
      <w:bookmarkStart w:name="9. 营业外收入" w:id="230"/>
      <w:bookmarkEnd w:id="230"/>
      <w:r>
        <w:rPr/>
      </w:r>
      <w:r>
        <w:rPr>
          <w:rFonts w:ascii="宋体" w:hAnsi="宋体" w:cs="宋体" w:eastAsia="宋体" w:hint="default"/>
        </w:rPr>
        <w:t>9.</w:t>
      </w:r>
      <w:r>
        <w:rPr>
          <w:rFonts w:ascii="宋体" w:hAnsi="宋体" w:cs="宋体" w:eastAsia="宋体" w:hint="default"/>
          <w:spacing w:val="-1"/>
        </w:rPr>
        <w:t> </w:t>
      </w:r>
      <w:r>
        <w:rPr/>
        <w:t>营业外收入</w:t>
      </w:r>
    </w:p>
    <w:p>
      <w:pPr>
        <w:spacing w:line="240" w:lineRule="auto" w:before="12"/>
        <w:rPr>
          <w:rFonts w:ascii="宋体" w:hAnsi="宋体" w:cs="宋体" w:eastAsia="宋体" w:hint="default"/>
          <w:sz w:val="17"/>
          <w:szCs w:val="17"/>
        </w:rPr>
      </w:pPr>
    </w:p>
    <w:p>
      <w:pPr>
        <w:pStyle w:val="BodyText"/>
        <w:spacing w:line="240" w:lineRule="auto"/>
        <w:ind w:left="693" w:right="119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358"/>
        <w:gridCol w:w="2153"/>
        <w:gridCol w:w="2154"/>
        <w:gridCol w:w="1919"/>
      </w:tblGrid>
      <w:tr>
        <w:trPr>
          <w:trHeight w:val="754"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504" w:right="238" w:hanging="271"/>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269,183.24</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448,504.09</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269,183.24</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269,183.24</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448,504.09</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269,183.24</w:t>
            </w:r>
          </w:p>
        </w:tc>
      </w:tr>
      <w:tr>
        <w:trPr>
          <w:trHeight w:val="479"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38,047,569.12</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61,160,127.31</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35,415,673.30</w:t>
            </w:r>
          </w:p>
        </w:tc>
      </w:tr>
      <w:tr>
        <w:trPr>
          <w:trHeight w:val="47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其中：税收返还</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3,186,310.23</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4,550,364.00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554,414.41</w:t>
            </w:r>
          </w:p>
        </w:tc>
      </w:tr>
      <w:tr>
        <w:trPr>
          <w:trHeight w:val="47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财政补助及奖励</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34,861,258.89</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56,609,763.31</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34,861,258.89</w:t>
            </w:r>
          </w:p>
        </w:tc>
      </w:tr>
      <w:tr>
        <w:trPr>
          <w:trHeight w:val="479"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153" w:type="dxa"/>
            <w:tcBorders>
              <w:top w:val="single" w:sz="4" w:space="0" w:color="000000"/>
              <w:left w:val="single" w:sz="4" w:space="0" w:color="000000"/>
              <w:bottom w:val="single" w:sz="4" w:space="0" w:color="000000"/>
              <w:right w:val="single" w:sz="4" w:space="0" w:color="000000"/>
            </w:tcBorders>
          </w:tcPr>
          <w:p>
            <w:pP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3,745,542.70</w:t>
            </w:r>
          </w:p>
        </w:tc>
        <w:tc>
          <w:tcPr>
            <w:tcW w:w="191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860" w:right="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358"/>
        <w:gridCol w:w="2153"/>
        <w:gridCol w:w="2154"/>
        <w:gridCol w:w="1919"/>
      </w:tblGrid>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785,295.30</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578,461.27</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785,295.30</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1,759,265.30</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2,360,606.56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1,759,265.30</w:t>
            </w:r>
          </w:p>
        </w:tc>
      </w:tr>
      <w:tr>
        <w:trPr>
          <w:trHeight w:val="558" w:hRule="exact"/>
        </w:trPr>
        <w:tc>
          <w:tcPr>
            <w:tcW w:w="2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40,861,312.96</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68,293,241.93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38,229,417.14</w:t>
            </w:r>
          </w:p>
        </w:tc>
      </w:tr>
    </w:tbl>
    <w:p>
      <w:pPr>
        <w:spacing w:line="240" w:lineRule="auto" w:before="6"/>
        <w:rPr>
          <w:rFonts w:ascii="宋体" w:hAnsi="宋体" w:cs="宋体" w:eastAsia="宋体" w:hint="default"/>
          <w:sz w:val="6"/>
          <w:szCs w:val="6"/>
        </w:rPr>
      </w:pPr>
    </w:p>
    <w:p>
      <w:pPr>
        <w:spacing w:line="477" w:lineRule="auto" w:before="44"/>
        <w:ind w:left="273" w:right="10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：大连华能系被当地民政部门认定的社会福利企业，</w:t>
      </w:r>
      <w:r>
        <w:rPr>
          <w:rFonts w:ascii="宋体" w:hAnsi="宋体" w:cs="宋体" w:eastAsia="宋体" w:hint="default"/>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年享受增值税按实际安置残疾人员的人数每人每年</w:t>
      </w:r>
      <w:r>
        <w:rPr>
          <w:rFonts w:ascii="宋体" w:hAnsi="宋体" w:cs="宋体" w:eastAsia="宋体" w:hint="default"/>
          <w:spacing w:val="-41"/>
          <w:sz w:val="18"/>
          <w:szCs w:val="18"/>
        </w:rPr>
        <w:t> </w:t>
      </w:r>
      <w:r>
        <w:rPr>
          <w:rFonts w:ascii="宋体" w:hAnsi="宋体" w:cs="宋体" w:eastAsia="宋体" w:hint="default"/>
          <w:sz w:val="18"/>
          <w:szCs w:val="18"/>
        </w:rPr>
        <w:t>3.50 </w:t>
      </w:r>
      <w:r>
        <w:rPr>
          <w:rFonts w:ascii="宋体" w:hAnsi="宋体" w:cs="宋体" w:eastAsia="宋体" w:hint="default"/>
          <w:spacing w:val="-5"/>
          <w:sz w:val="18"/>
          <w:szCs w:val="18"/>
        </w:rPr>
        <w:t>万元的限额即征即退的税收优惠政策。</w:t>
      </w:r>
      <w:r>
        <w:rPr>
          <w:rFonts w:ascii="宋体" w:hAnsi="宋体" w:cs="宋体" w:eastAsia="宋体" w:hint="default"/>
          <w:spacing w:val="-5"/>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年大连华能收到即征即退增值税返还款共计</w:t>
      </w:r>
      <w:r>
        <w:rPr>
          <w:rFonts w:ascii="宋体" w:hAnsi="宋体" w:cs="宋体" w:eastAsia="宋体" w:hint="default"/>
          <w:spacing w:val="-53"/>
          <w:sz w:val="18"/>
          <w:szCs w:val="18"/>
        </w:rPr>
        <w:t> </w:t>
      </w:r>
      <w:r>
        <w:rPr>
          <w:rFonts w:ascii="宋体" w:hAnsi="宋体" w:cs="宋体" w:eastAsia="宋体" w:hint="default"/>
          <w:sz w:val="18"/>
          <w:szCs w:val="18"/>
        </w:rPr>
        <w:t>2,631,895.82</w:t>
      </w:r>
      <w:r>
        <w:rPr>
          <w:rFonts w:ascii="宋体" w:hAnsi="宋体" w:cs="宋体" w:eastAsia="宋体" w:hint="default"/>
          <w:spacing w:val="-53"/>
          <w:sz w:val="18"/>
          <w:szCs w:val="18"/>
        </w:rPr>
        <w:t> </w:t>
      </w:r>
      <w:r>
        <w:rPr>
          <w:rFonts w:ascii="宋体" w:hAnsi="宋体" w:cs="宋体" w:eastAsia="宋体" w:hint="default"/>
          <w:spacing w:val="-14"/>
          <w:sz w:val="18"/>
          <w:szCs w:val="18"/>
        </w:rPr>
        <w:t>元；根据浙财综〔</w:t>
      </w:r>
      <w:r>
        <w:rPr>
          <w:rFonts w:ascii="宋体" w:hAnsi="宋体" w:cs="宋体" w:eastAsia="宋体" w:hint="default"/>
          <w:spacing w:val="-14"/>
          <w:sz w:val="18"/>
          <w:szCs w:val="18"/>
        </w:rPr>
        <w:t>2012</w:t>
      </w:r>
      <w:r>
        <w:rPr>
          <w:rFonts w:ascii="宋体" w:hAnsi="宋体" w:cs="宋体" w:eastAsia="宋体" w:hint="default"/>
          <w:spacing w:val="-14"/>
          <w:sz w:val="18"/>
          <w:szCs w:val="18"/>
        </w:rPr>
        <w:t>〕</w:t>
      </w:r>
      <w:r>
        <w:rPr>
          <w:rFonts w:ascii="宋体" w:hAnsi="宋体" w:cs="宋体" w:eastAsia="宋体" w:hint="default"/>
          <w:sz w:val="18"/>
          <w:szCs w:val="18"/>
        </w:rPr>
        <w:t> </w:t>
      </w:r>
      <w:r>
        <w:rPr>
          <w:rFonts w:ascii="宋体" w:hAnsi="宋体" w:cs="宋体" w:eastAsia="宋体" w:hint="default"/>
          <w:sz w:val="18"/>
          <w:szCs w:val="18"/>
        </w:rPr>
        <w:t>130</w:t>
      </w:r>
      <w:r>
        <w:rPr>
          <w:rFonts w:ascii="宋体" w:hAnsi="宋体" w:cs="宋体" w:eastAsia="宋体" w:hint="default"/>
          <w:spacing w:val="-46"/>
          <w:sz w:val="18"/>
          <w:szCs w:val="18"/>
        </w:rPr>
        <w:t> </w:t>
      </w:r>
      <w:r>
        <w:rPr>
          <w:rFonts w:ascii="宋体" w:hAnsi="宋体" w:cs="宋体" w:eastAsia="宋体" w:hint="default"/>
          <w:sz w:val="18"/>
          <w:szCs w:val="18"/>
        </w:rPr>
        <w:t>号文件，公司收到</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年度水利建设基金返还金额</w:t>
      </w:r>
      <w:r>
        <w:rPr>
          <w:rFonts w:ascii="宋体" w:hAnsi="宋体" w:cs="宋体" w:eastAsia="宋体" w:hint="default"/>
          <w:spacing w:val="-46"/>
          <w:sz w:val="18"/>
          <w:szCs w:val="18"/>
        </w:rPr>
        <w:t> </w:t>
      </w:r>
      <w:r>
        <w:rPr>
          <w:rFonts w:ascii="宋体" w:hAnsi="宋体" w:cs="宋体" w:eastAsia="宋体" w:hint="default"/>
          <w:sz w:val="18"/>
          <w:szCs w:val="18"/>
        </w:rPr>
        <w:t>554,414.41</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BodyText"/>
        <w:spacing w:line="240" w:lineRule="auto" w:before="68"/>
        <w:ind w:left="693" w:right="1198"/>
        <w:jc w:val="left"/>
      </w:pPr>
      <w:r>
        <w:rPr>
          <w:rFonts w:ascii="宋体" w:hAnsi="宋体" w:cs="宋体" w:eastAsia="宋体" w:hint="default"/>
        </w:rPr>
        <w:t>(2)</w:t>
      </w:r>
      <w:r>
        <w:rPr>
          <w:rFonts w:ascii="宋体" w:hAnsi="宋体" w:cs="宋体" w:eastAsia="宋体" w:hint="default"/>
          <w:spacing w:val="-1"/>
        </w:rPr>
        <w:t> </w:t>
      </w:r>
      <w:r>
        <w:rPr/>
        <w:t>政府补助明细</w:t>
      </w:r>
    </w:p>
    <w:p>
      <w:pPr>
        <w:spacing w:line="240" w:lineRule="auto" w:before="11"/>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2550"/>
        <w:gridCol w:w="2286"/>
        <w:gridCol w:w="2034"/>
        <w:gridCol w:w="1712"/>
      </w:tblGrid>
      <w:tr>
        <w:trPr>
          <w:trHeight w:val="755"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2"/>
              <w:ind w:left="401" w:right="359"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搬迁奖励</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24,060,000.00</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48,120,000.00</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财政奖励</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4,777,741.56</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3,881,383.40</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2,184,188.17</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2,058,870.42</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科技奖励经费</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431,200.00</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845,000.00</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其他奖励</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1,781,885.47</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486,646.52</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递延收益摊销</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1,626,243.69</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1,217,862.97</w:t>
            </w:r>
          </w:p>
        </w:tc>
        <w:tc>
          <w:tcPr>
            <w:tcW w:w="1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34,861,258.89</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56,609,763.31</w:t>
            </w:r>
          </w:p>
        </w:tc>
        <w:tc>
          <w:tcPr>
            <w:tcW w:w="1712"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line="518" w:lineRule="auto" w:before="44"/>
        <w:ind w:left="694" w:right="623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：详见本财务报表附注其他重要事项之说明；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：详见本财务报表附注递延收益之说明。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left="694" w:right="1198"/>
        <w:jc w:val="left"/>
      </w:pPr>
      <w:bookmarkStart w:name="10. 营业外支出" w:id="231"/>
      <w:bookmarkEnd w:id="231"/>
      <w:r>
        <w:rPr/>
      </w:r>
      <w:r>
        <w:rPr>
          <w:rFonts w:ascii="宋体" w:hAnsi="宋体" w:cs="宋体" w:eastAsia="宋体" w:hint="default"/>
        </w:rPr>
        <w:t>10.</w:t>
      </w:r>
      <w:r>
        <w:rPr>
          <w:rFonts w:ascii="宋体" w:hAnsi="宋体" w:cs="宋体" w:eastAsia="宋体" w:hint="default"/>
          <w:spacing w:val="-1"/>
        </w:rPr>
        <w:t> </w:t>
      </w:r>
      <w:r>
        <w:rPr/>
        <w:t>营业外支出</w:t>
      </w:r>
    </w:p>
    <w:p>
      <w:pPr>
        <w:spacing w:line="240" w:lineRule="auto" w:before="12"/>
        <w:rPr>
          <w:rFonts w:ascii="宋体" w:hAnsi="宋体" w:cs="宋体" w:eastAsia="宋体" w:hint="default"/>
          <w:sz w:val="9"/>
          <w:szCs w:val="9"/>
        </w:rPr>
      </w:pPr>
    </w:p>
    <w:tbl>
      <w:tblPr>
        <w:tblW w:w="0" w:type="auto"/>
        <w:jc w:val="left"/>
        <w:tblInd w:w="143" w:type="dxa"/>
        <w:tblLayout w:type="fixed"/>
        <w:tblCellMar>
          <w:top w:w="0" w:type="dxa"/>
          <w:left w:w="0" w:type="dxa"/>
          <w:bottom w:w="0" w:type="dxa"/>
          <w:right w:w="0" w:type="dxa"/>
        </w:tblCellMar>
        <w:tblLook w:val="01E0"/>
      </w:tblPr>
      <w:tblGrid>
        <w:gridCol w:w="2536"/>
        <w:gridCol w:w="1991"/>
        <w:gridCol w:w="1990"/>
        <w:gridCol w:w="1974"/>
      </w:tblGrid>
      <w:tr>
        <w:trPr>
          <w:trHeight w:val="755"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2"/>
              <w:ind w:left="531" w:right="267"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964,927.65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2,118,063.33</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964,927.65</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964,614.26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1,973,546.54</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964,614.26</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313.39</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144,516.79</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313.39</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2,290,700.00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1,158,180.00</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2,290,700.00</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396,764.92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285,872.49</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396,764.92</w:t>
            </w:r>
          </w:p>
        </w:tc>
      </w:tr>
    </w:tbl>
    <w:p>
      <w:pPr>
        <w:spacing w:after="0" w:line="240" w:lineRule="auto"/>
        <w:jc w:val="right"/>
        <w:rPr>
          <w:rFonts w:ascii="宋体" w:hAnsi="宋体" w:cs="宋体" w:eastAsia="宋体" w:hint="default"/>
          <w:sz w:val="18"/>
          <w:szCs w:val="18"/>
        </w:rPr>
        <w:sectPr>
          <w:pgSz w:w="11910" w:h="16840"/>
          <w:pgMar w:header="877" w:footer="979" w:top="1100" w:bottom="1160" w:left="86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536"/>
        <w:gridCol w:w="1991"/>
        <w:gridCol w:w="1990"/>
        <w:gridCol w:w="1974"/>
      </w:tblGrid>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质量赔款</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2,061,217.89</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2,061,217.89</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1,941,237.53</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1,923,772.74</w:t>
            </w:r>
          </w:p>
        </w:tc>
        <w:tc>
          <w:tcPr>
            <w:tcW w:w="1974"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1,129,409.19</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558,083.88</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1,129,409.19</w:t>
            </w:r>
          </w:p>
        </w:tc>
      </w:tr>
      <w:tr>
        <w:trPr>
          <w:trHeight w:val="558"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8,784,257.18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6,043,972.44</w:t>
            </w:r>
          </w:p>
        </w:tc>
        <w:tc>
          <w:tcPr>
            <w:tcW w:w="1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6,843,019.65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44" w:lineRule="auto" w:before="35"/>
        <w:ind w:left="653" w:right="8968"/>
        <w:jc w:val="left"/>
      </w:pPr>
      <w:bookmarkStart w:name="11.所得税费用" w:id="232"/>
      <w:bookmarkEnd w:id="232"/>
      <w:r>
        <w:rPr/>
      </w:r>
      <w:r>
        <w:rPr>
          <w:rFonts w:ascii="宋体" w:hAnsi="宋体" w:cs="宋体" w:eastAsia="宋体" w:hint="default"/>
        </w:rPr>
        <w:t>11.</w:t>
      </w:r>
      <w:r>
        <w:rPr/>
        <w:t>所得税费用 </w:t>
      </w:r>
      <w:r>
        <w:rPr>
          <w:rFonts w:ascii="宋体" w:hAnsi="宋体" w:cs="宋体" w:eastAsia="宋体" w:hint="default"/>
        </w:rPr>
        <w:t>(1)</w:t>
      </w:r>
      <w:r>
        <w:rPr>
          <w:rFonts w:ascii="宋体" w:hAnsi="宋体" w:cs="宋体" w:eastAsia="宋体" w:hint="default"/>
          <w:spacing w:val="-1"/>
        </w:rPr>
        <w:t> </w:t>
      </w:r>
      <w:r>
        <w:rPr/>
        <w:t>明细情况</w:t>
      </w:r>
    </w:p>
    <w:tbl>
      <w:tblPr>
        <w:tblW w:w="0" w:type="auto"/>
        <w:jc w:val="left"/>
        <w:tblInd w:w="106" w:type="dxa"/>
        <w:tblLayout w:type="fixed"/>
        <w:tblCellMar>
          <w:top w:w="0" w:type="dxa"/>
          <w:left w:w="0" w:type="dxa"/>
          <w:bottom w:w="0" w:type="dxa"/>
          <w:right w:w="0" w:type="dxa"/>
        </w:tblCellMar>
        <w:tblLook w:val="01E0"/>
      </w:tblPr>
      <w:tblGrid>
        <w:gridCol w:w="5251"/>
        <w:gridCol w:w="2309"/>
        <w:gridCol w:w="2310"/>
      </w:tblGrid>
      <w:tr>
        <w:trPr>
          <w:trHeight w:val="558"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63,992,417.20</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18"/>
                <w:szCs w:val="18"/>
              </w:rPr>
            </w:pPr>
            <w:r>
              <w:rPr>
                <w:rFonts w:ascii="宋体"/>
                <w:sz w:val="18"/>
              </w:rPr>
              <w:t>54,673,425.45</w:t>
            </w:r>
          </w:p>
        </w:tc>
      </w:tr>
      <w:tr>
        <w:trPr>
          <w:trHeight w:val="558"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-16,788,655.95</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18"/>
                <w:szCs w:val="18"/>
              </w:rPr>
            </w:pPr>
            <w:r>
              <w:rPr>
                <w:rFonts w:ascii="宋体"/>
                <w:sz w:val="18"/>
              </w:rPr>
              <w:t>-15,497,557.17</w:t>
            </w:r>
          </w:p>
        </w:tc>
      </w:tr>
      <w:tr>
        <w:trPr>
          <w:trHeight w:val="558" w:hRule="exact"/>
        </w:trPr>
        <w:tc>
          <w:tcPr>
            <w:tcW w:w="5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47,203,761.25</w:t>
            </w:r>
          </w:p>
        </w:tc>
        <w:tc>
          <w:tcPr>
            <w:tcW w:w="2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18"/>
                <w:szCs w:val="18"/>
              </w:rPr>
            </w:pPr>
            <w:r>
              <w:rPr>
                <w:rFonts w:ascii="宋体"/>
                <w:sz w:val="18"/>
              </w:rPr>
              <w:t>39,175,868.28</w:t>
            </w:r>
          </w:p>
        </w:tc>
      </w:tr>
    </w:tbl>
    <w:p>
      <w:pPr>
        <w:pStyle w:val="BodyText"/>
        <w:spacing w:line="240" w:lineRule="auto" w:before="95"/>
        <w:ind w:left="654" w:right="1029"/>
        <w:jc w:val="left"/>
      </w:pPr>
      <w:r>
        <w:rPr>
          <w:rFonts w:ascii="宋体" w:hAnsi="宋体" w:cs="宋体" w:eastAsia="宋体" w:hint="default"/>
        </w:rPr>
        <w:t>(2)</w:t>
      </w:r>
      <w:r>
        <w:rPr/>
        <w:t>会计利润与所得税费用调整过程</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7564"/>
        <w:gridCol w:w="2298"/>
      </w:tblGrid>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287,178,527.88</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Courier New" w:hAnsi="Courier New" w:cs="Courier New" w:eastAsia="Courier New" w:hint="default"/>
                <w:sz w:val="18"/>
                <w:szCs w:val="18"/>
              </w:rPr>
              <w:t>/</w:t>
            </w:r>
            <w:r>
              <w:rPr>
                <w:rFonts w:ascii="宋体" w:hAnsi="宋体" w:cs="宋体" w:eastAsia="宋体" w:hint="default"/>
                <w:sz w:val="18"/>
                <w:szCs w:val="18"/>
              </w:rPr>
              <w:t>适用税率计算的所得税费用</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71,794,631.97</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-29,826,924.69</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-2,546,356.67</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-636,151.17</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研发费、残疾人工资加计扣除的影响</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-5,976,027.52</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8,568,863.85</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-5,953.60</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9,943,675.28</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合并报表未实现毛利的影响</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-4,111,996.20</w:t>
            </w:r>
          </w:p>
        </w:tc>
      </w:tr>
      <w:tr>
        <w:trPr>
          <w:trHeight w:val="558" w:hRule="exact"/>
        </w:trPr>
        <w:tc>
          <w:tcPr>
            <w:tcW w:w="7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47,203,761.25</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9"/>
        <w:rPr>
          <w:rFonts w:ascii="宋体" w:hAnsi="宋体" w:cs="宋体" w:eastAsia="宋体" w:hint="default"/>
          <w:sz w:val="26"/>
          <w:szCs w:val="26"/>
        </w:rPr>
      </w:pPr>
    </w:p>
    <w:p>
      <w:pPr>
        <w:pStyle w:val="BodyText"/>
        <w:spacing w:line="444" w:lineRule="auto" w:before="35"/>
        <w:ind w:left="653" w:right="3013"/>
        <w:jc w:val="left"/>
        <w:rPr>
          <w:sz w:val="18"/>
          <w:szCs w:val="18"/>
        </w:rPr>
      </w:pPr>
      <w:r>
        <w:rPr>
          <w:rFonts w:ascii="宋体" w:hAnsi="宋体" w:cs="宋体" w:eastAsia="宋体" w:hint="default"/>
        </w:rPr>
        <w:t>12.</w:t>
      </w:r>
      <w:r>
        <w:rPr/>
        <w:t>其他综合收益的税后净额 其他综合收益的税后净额详见本附注资产负债表项目注释其他综合收益之说明</w:t>
      </w:r>
      <w:r>
        <w:rPr>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653" w:right="1029"/>
        <w:jc w:val="left"/>
      </w:pPr>
      <w:r>
        <w:rPr>
          <w:rFonts w:ascii="宋体" w:hAnsi="宋体" w:cs="宋体" w:eastAsia="宋体" w:hint="default"/>
        </w:rPr>
        <w:t>(</w:t>
      </w:r>
      <w:r>
        <w:rPr/>
        <w:t>三</w:t>
      </w:r>
      <w:r>
        <w:rPr>
          <w:rFonts w:ascii="宋体" w:hAnsi="宋体" w:cs="宋体" w:eastAsia="宋体" w:hint="default"/>
        </w:rPr>
        <w:t>)</w:t>
      </w:r>
      <w:r>
        <w:rPr/>
        <w:t>合并现金流量表项目注释</w:t>
      </w:r>
    </w:p>
    <w:p>
      <w:pPr>
        <w:spacing w:line="240" w:lineRule="auto" w:before="9"/>
        <w:rPr>
          <w:rFonts w:ascii="宋体" w:hAnsi="宋体" w:cs="宋体" w:eastAsia="宋体" w:hint="default"/>
          <w:sz w:val="17"/>
          <w:szCs w:val="17"/>
        </w:rPr>
      </w:pPr>
    </w:p>
    <w:p>
      <w:pPr>
        <w:pStyle w:val="BodyText"/>
        <w:spacing w:line="240" w:lineRule="auto"/>
        <w:ind w:left="654" w:right="1029"/>
        <w:jc w:val="left"/>
      </w:pPr>
      <w:bookmarkStart w:name="1. 收到其他与经营活动有关的现金" w:id="233"/>
      <w:bookmarkEnd w:id="233"/>
      <w:r>
        <w:rPr/>
      </w:r>
      <w:r>
        <w:rPr>
          <w:rFonts w:ascii="宋体" w:hAnsi="宋体" w:cs="宋体" w:eastAsia="宋体" w:hint="default"/>
        </w:rPr>
        <w:t>1.</w:t>
      </w:r>
      <w:r>
        <w:rPr>
          <w:rFonts w:ascii="宋体" w:hAnsi="宋体" w:cs="宋体" w:eastAsia="宋体" w:hint="default"/>
          <w:spacing w:val="-1"/>
        </w:rPr>
        <w:t> </w:t>
      </w:r>
      <w:r>
        <w:rPr/>
        <w:t>收到其他与经营活动有关的现金</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9,175,015.20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5,917,864.64</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544,354,474.90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6,413,138.46</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收回的保证金及押金</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113,825,407.25</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56,450,924.67</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收回的暂借款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17,857,837.95</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11,427,816.67</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收到的银行存款利息</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2,632,452.10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2,727,032.10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3,469,705.71</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2,954,000.92</w:t>
            </w:r>
          </w:p>
        </w:tc>
      </w:tr>
      <w:tr>
        <w:trPr>
          <w:trHeight w:val="559"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691,314,893.11</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85,890,777.46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支付其他与经营活动有关的现金</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付现的管理费用</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143,243,273.85</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99,977,677.86</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139,201,683.09</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113,613,420.12</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146,529,342.91</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82,226,403.44</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544,835,734.81</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122,976,811.85</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支付的暂借款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56,846,886.22</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48,825,859.60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付现的银行手续费</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2,856,000.23</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2,747,863.13</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4,840,669.03</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4,125,076.78</w:t>
            </w:r>
          </w:p>
        </w:tc>
      </w:tr>
      <w:tr>
        <w:trPr>
          <w:trHeight w:val="560"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1,038,353,590.14</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474,493,112.78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r>
        <w:rPr>
          <w:rFonts w:ascii="宋体" w:hAnsi="宋体" w:cs="宋体" w:eastAsia="宋体" w:hint="default"/>
        </w:rPr>
        <w:t>3.</w:t>
      </w:r>
      <w:r>
        <w:rPr>
          <w:rFonts w:ascii="宋体" w:hAnsi="宋体" w:cs="宋体" w:eastAsia="宋体" w:hint="default"/>
          <w:spacing w:val="-1"/>
        </w:rPr>
        <w:t> </w:t>
      </w:r>
      <w:r>
        <w:rPr/>
        <w:t>收到其他与投资活动有关的现金</w:t>
      </w:r>
    </w:p>
    <w:p>
      <w:pPr>
        <w:spacing w:after="0" w:line="240" w:lineRule="auto"/>
        <w:jc w:val="left"/>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收到土地收购款及搬迁奖励</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92,810,000.00</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10,928,100.00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12,472,300.00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收到开工奖励款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4,101,200.00</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理财产品到期赎回本金及收益</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62,733,931.41</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124,592,091.28</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收回土地投标保证金</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26,246,600.00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18"/>
                <w:szCs w:val="18"/>
              </w:rPr>
            </w:pPr>
            <w:r>
              <w:rPr>
                <w:rFonts w:ascii="宋体"/>
                <w:sz w:val="18"/>
              </w:rPr>
              <w:t>170,573,231.41</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163,310,991.28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029"/>
        <w:jc w:val="left"/>
      </w:pPr>
      <w:r>
        <w:rPr>
          <w:rFonts w:ascii="宋体" w:hAnsi="宋体" w:cs="宋体" w:eastAsia="宋体" w:hint="default"/>
        </w:rPr>
        <w:t>4.</w:t>
      </w:r>
      <w:r>
        <w:rPr>
          <w:rFonts w:ascii="宋体" w:hAnsi="宋体" w:cs="宋体" w:eastAsia="宋体" w:hint="default"/>
          <w:spacing w:val="-1"/>
        </w:rPr>
        <w:t> </w:t>
      </w:r>
      <w:r>
        <w:rPr/>
        <w:t>支付其他与投资活动有关的现金</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48"/>
        <w:gridCol w:w="2211"/>
        <w:gridCol w:w="2212"/>
      </w:tblGrid>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支付的股权收购款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64,485,000.00</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支付的股权意向款</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195,000,000.00</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支付购买的理财产品</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117,450,000.00</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108,790,000.00</w:t>
            </w: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处置子公司现金净流出</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1,388,416.85</w:t>
            </w:r>
          </w:p>
        </w:tc>
        <w:tc>
          <w:tcPr>
            <w:tcW w:w="221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支付长期资产购置保证金</w:t>
            </w:r>
          </w:p>
        </w:tc>
        <w:tc>
          <w:tcPr>
            <w:tcW w:w="2211" w:type="dxa"/>
            <w:tcBorders>
              <w:top w:val="single" w:sz="4" w:space="0" w:color="000000"/>
              <w:left w:val="single" w:sz="4" w:space="0" w:color="000000"/>
              <w:bottom w:val="single" w:sz="4" w:space="0" w:color="000000"/>
              <w:right w:val="single" w:sz="4" w:space="0" w:color="000000"/>
            </w:tcBorders>
          </w:tcPr>
          <w:p>
            <w:pP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75,760.00</w:t>
            </w:r>
          </w:p>
        </w:tc>
      </w:tr>
      <w:tr>
        <w:trPr>
          <w:trHeight w:val="559" w:hRule="exact"/>
        </w:trPr>
        <w:tc>
          <w:tcPr>
            <w:tcW w:w="5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378,323,416.85</w:t>
            </w:r>
          </w:p>
        </w:tc>
        <w:tc>
          <w:tcPr>
            <w:tcW w:w="2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108,865,760.00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r>
        <w:rPr>
          <w:rFonts w:ascii="宋体" w:hAnsi="宋体" w:cs="宋体" w:eastAsia="宋体" w:hint="default"/>
        </w:rPr>
        <w:t>5.</w:t>
      </w:r>
      <w:r>
        <w:rPr/>
        <w:t>收到其他与筹资活动有关的现金</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33"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取得出口押汇借款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111,869,585.17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4" w:right="0"/>
              <w:jc w:val="left"/>
              <w:rPr>
                <w:rFonts w:ascii="宋体" w:hAnsi="宋体" w:cs="宋体" w:eastAsia="宋体" w:hint="default"/>
                <w:sz w:val="18"/>
                <w:szCs w:val="18"/>
              </w:rPr>
            </w:pPr>
            <w:r>
              <w:rPr>
                <w:rFonts w:ascii="宋体"/>
                <w:sz w:val="18"/>
              </w:rPr>
              <w:t>163,119,557.56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取得出口打包借款</w:t>
            </w:r>
          </w:p>
        </w:tc>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4" w:right="0"/>
              <w:jc w:val="left"/>
              <w:rPr>
                <w:rFonts w:ascii="宋体" w:hAnsi="宋体" w:cs="宋体" w:eastAsia="宋体" w:hint="default"/>
                <w:sz w:val="18"/>
                <w:szCs w:val="18"/>
              </w:rPr>
            </w:pPr>
            <w:r>
              <w:rPr>
                <w:rFonts w:ascii="宋体"/>
                <w:sz w:val="18"/>
              </w:rPr>
              <w:t>324,038,596.00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收到单位往来款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86,300,000.00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198,169,585.17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4" w:right="0"/>
              <w:jc w:val="left"/>
              <w:rPr>
                <w:rFonts w:ascii="宋体" w:hAnsi="宋体" w:cs="宋体" w:eastAsia="宋体" w:hint="default"/>
                <w:sz w:val="18"/>
                <w:szCs w:val="18"/>
              </w:rPr>
            </w:pPr>
            <w:r>
              <w:rPr>
                <w:rFonts w:ascii="宋体"/>
                <w:sz w:val="18"/>
              </w:rPr>
              <w:t>487,158,153.56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54" w:right="1029"/>
        <w:jc w:val="left"/>
      </w:pPr>
      <w:bookmarkStart w:name="6.支付其他与筹资活动有关的现金" w:id="234"/>
      <w:bookmarkEnd w:id="234"/>
      <w:r>
        <w:rPr/>
      </w:r>
      <w:r>
        <w:rPr>
          <w:rFonts w:ascii="宋体" w:hAnsi="宋体" w:cs="宋体" w:eastAsia="宋体" w:hint="default"/>
        </w:rPr>
        <w:t>6.</w:t>
      </w:r>
      <w:r>
        <w:rPr/>
        <w:t>支付其他与筹资活动有关的现金</w:t>
      </w:r>
    </w:p>
    <w:p>
      <w:pPr>
        <w:spacing w:after="0" w:line="240" w:lineRule="auto"/>
        <w:jc w:val="left"/>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归还出口押汇借款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127,209,199.73</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395,038,596.00</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归还出口打包借款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80,000,000.00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185,927,564.48</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注销子公司归还投资款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1,513,404.73</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归还单位往来款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48,000,000.00</w:t>
            </w:r>
          </w:p>
        </w:tc>
        <w:tc>
          <w:tcPr>
            <w:tcW w:w="22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非公开发行股票中介机构费用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5,975,154.30</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6,038,689.46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262,697,758.76</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587,004,849.94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444" w:lineRule="auto" w:before="35"/>
        <w:ind w:left="654" w:right="8127"/>
        <w:jc w:val="left"/>
      </w:pPr>
      <w:r>
        <w:rPr>
          <w:rFonts w:ascii="宋体" w:hAnsi="宋体" w:cs="宋体" w:eastAsia="宋体" w:hint="default"/>
        </w:rPr>
        <w:t>7.</w:t>
      </w:r>
      <w:r>
        <w:rPr/>
        <w:t>现金流量表补充资料 </w:t>
      </w:r>
      <w:r>
        <w:rPr>
          <w:rFonts w:ascii="宋体" w:hAnsi="宋体" w:cs="宋体" w:eastAsia="宋体" w:hint="default"/>
        </w:rPr>
        <w:t>(1)</w:t>
      </w:r>
      <w:r>
        <w:rPr/>
        <w:t>现金流量表补充资料</w:t>
      </w:r>
    </w:p>
    <w:tbl>
      <w:tblPr>
        <w:tblW w:w="0" w:type="auto"/>
        <w:jc w:val="left"/>
        <w:tblInd w:w="145" w:type="dxa"/>
        <w:tblLayout w:type="fixed"/>
        <w:tblCellMar>
          <w:top w:w="0" w:type="dxa"/>
          <w:left w:w="0" w:type="dxa"/>
          <w:bottom w:w="0" w:type="dxa"/>
          <w:right w:w="0" w:type="dxa"/>
        </w:tblCellMar>
        <w:tblLook w:val="01E0"/>
      </w:tblPr>
      <w:tblGrid>
        <w:gridCol w:w="4762"/>
        <w:gridCol w:w="1874"/>
        <w:gridCol w:w="1876"/>
      </w:tblGrid>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3"/>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239,974,766.63</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213,125,866.24</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44,542,442.34</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54,692,258.71</w:t>
            </w:r>
          </w:p>
        </w:tc>
      </w:tr>
      <w:tr>
        <w:trPr>
          <w:trHeight w:val="75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42"/>
              <w:ind w:left="820" w:right="155"/>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75,499,298.65</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71,570,613.83</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12,648,122.83</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10,519,920.41</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3,336,129.39</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2,138,942.73</w:t>
            </w:r>
          </w:p>
        </w:tc>
      </w:tr>
      <w:tr>
        <w:trPr>
          <w:trHeight w:val="75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42"/>
              <w:ind w:left="820" w:right="3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695,744.41</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18"/>
                <w:szCs w:val="18"/>
              </w:rPr>
            </w:pPr>
            <w:r>
              <w:rPr>
                <w:rFonts w:ascii="宋体"/>
                <w:sz w:val="18"/>
              </w:rPr>
              <w:t>1,669,559.24</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8,597,505.00</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7"/>
              <w:jc w:val="right"/>
              <w:rPr>
                <w:rFonts w:ascii="宋体" w:hAnsi="宋体" w:cs="宋体" w:eastAsia="宋体" w:hint="default"/>
                <w:sz w:val="18"/>
                <w:szCs w:val="18"/>
              </w:rPr>
            </w:pPr>
            <w:r>
              <w:rPr>
                <w:rFonts w:ascii="宋体"/>
                <w:sz w:val="18"/>
              </w:rPr>
              <w:t>20,850,429.50</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801"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10,845,996.98</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7"/>
              <w:jc w:val="right"/>
              <w:rPr>
                <w:rFonts w:ascii="宋体" w:hAnsi="宋体" w:cs="宋体" w:eastAsia="宋体" w:hint="default"/>
                <w:sz w:val="18"/>
                <w:szCs w:val="18"/>
              </w:rPr>
            </w:pPr>
            <w:r>
              <w:rPr>
                <w:rFonts w:ascii="宋体"/>
                <w:sz w:val="18"/>
              </w:rPr>
              <w:t>16,445,452.13</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801"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-3,231,153.08</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7"/>
              <w:jc w:val="right"/>
              <w:rPr>
                <w:rFonts w:ascii="宋体" w:hAnsi="宋体" w:cs="宋体" w:eastAsia="宋体" w:hint="default"/>
                <w:sz w:val="18"/>
                <w:szCs w:val="18"/>
              </w:rPr>
            </w:pPr>
            <w:r>
              <w:rPr>
                <w:rFonts w:ascii="宋体"/>
                <w:sz w:val="18"/>
              </w:rPr>
              <w:t>-109,477,697.48</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right="533"/>
              <w:jc w:val="righ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-16,788,655.95</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7"/>
              <w:jc w:val="right"/>
              <w:rPr>
                <w:rFonts w:ascii="宋体" w:hAnsi="宋体" w:cs="宋体" w:eastAsia="宋体" w:hint="default"/>
                <w:sz w:val="18"/>
                <w:szCs w:val="18"/>
              </w:rPr>
            </w:pPr>
            <w:r>
              <w:rPr>
                <w:rFonts w:ascii="宋体"/>
                <w:sz w:val="18"/>
              </w:rPr>
              <w:t>-12,767,708.59</w:t>
            </w:r>
          </w:p>
        </w:tc>
      </w:tr>
      <w:tr>
        <w:trPr>
          <w:trHeight w:val="559"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right="533"/>
              <w:jc w:val="righ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7"/>
              <w:jc w:val="right"/>
              <w:rPr>
                <w:rFonts w:ascii="宋体" w:hAnsi="宋体" w:cs="宋体" w:eastAsia="宋体" w:hint="default"/>
                <w:sz w:val="18"/>
                <w:szCs w:val="18"/>
              </w:rPr>
            </w:pPr>
            <w:r>
              <w:rPr>
                <w:rFonts w:ascii="宋体"/>
                <w:sz w:val="18"/>
              </w:rPr>
              <w:t>-2,777,563.05</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4762"/>
        <w:gridCol w:w="1874"/>
        <w:gridCol w:w="1876"/>
      </w:tblGrid>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83,105,129.11</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-89,872,349.81</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-132,315,135.82</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-289,754,414.82</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2,603,752.70</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3,659,468.87</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329,513,943.19</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-109,977,222.09</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715,498,618.39</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129,290,089.66</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129,290,089.66</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442,582,837.03</w:t>
            </w: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586,208,528.73</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-313,292,747.37</w:t>
            </w:r>
          </w:p>
        </w:tc>
      </w:tr>
    </w:tbl>
    <w:p>
      <w:pPr>
        <w:spacing w:line="240" w:lineRule="auto" w:before="6"/>
        <w:rPr>
          <w:rFonts w:ascii="宋体" w:hAnsi="宋体" w:cs="宋体" w:eastAsia="宋体" w:hint="default"/>
          <w:sz w:val="6"/>
          <w:szCs w:val="6"/>
        </w:rPr>
      </w:pPr>
    </w:p>
    <w:p>
      <w:pPr>
        <w:spacing w:before="44"/>
        <w:ind w:left="620"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本期支付的取得子公司的现金净额</w:t>
      </w:r>
    </w:p>
    <w:p>
      <w:pPr>
        <w:spacing w:line="240" w:lineRule="auto" w:before="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394"/>
        <w:gridCol w:w="2220"/>
      </w:tblGrid>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222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其中：万圣伟业公司</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708,800,010.65</w:t>
            </w:r>
          </w:p>
        </w:tc>
      </w:tr>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微创时代公司</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204,339,439.86</w:t>
            </w:r>
          </w:p>
        </w:tc>
      </w:tr>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22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其中：万圣伟业公司</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73,687,002.88</w:t>
            </w:r>
          </w:p>
        </w:tc>
      </w:tr>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22" w:right="0"/>
              <w:jc w:val="left"/>
              <w:rPr>
                <w:rFonts w:ascii="宋体" w:hAnsi="宋体" w:cs="宋体" w:eastAsia="宋体" w:hint="default"/>
                <w:sz w:val="18"/>
                <w:szCs w:val="18"/>
              </w:rPr>
            </w:pPr>
            <w:r>
              <w:rPr>
                <w:rFonts w:ascii="宋体" w:hAnsi="宋体" w:cs="宋体" w:eastAsia="宋体" w:hint="default"/>
                <w:sz w:val="18"/>
                <w:szCs w:val="18"/>
              </w:rPr>
              <w:t>微创时代公司</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80,592,442.11</w:t>
            </w:r>
          </w:p>
        </w:tc>
      </w:tr>
      <w:tr>
        <w:trPr>
          <w:trHeight w:val="464"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222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其中：万圣伟业公司</w:t>
            </w:r>
          </w:p>
        </w:tc>
        <w:tc>
          <w:tcPr>
            <w:tcW w:w="222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40" w:right="0"/>
        </w:sectPr>
      </w:pPr>
    </w:p>
    <w:p>
      <w:pPr>
        <w:spacing w:line="240" w:lineRule="auto" w:before="6"/>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5394"/>
        <w:gridCol w:w="2220"/>
      </w:tblGrid>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22" w:right="0"/>
              <w:jc w:val="left"/>
              <w:rPr>
                <w:rFonts w:ascii="宋体" w:hAnsi="宋体" w:cs="宋体" w:eastAsia="宋体" w:hint="default"/>
                <w:sz w:val="18"/>
                <w:szCs w:val="18"/>
              </w:rPr>
            </w:pPr>
            <w:r>
              <w:rPr>
                <w:rFonts w:ascii="宋体" w:hAnsi="宋体" w:cs="宋体" w:eastAsia="宋体" w:hint="default"/>
                <w:sz w:val="18"/>
                <w:szCs w:val="18"/>
              </w:rPr>
              <w:t>微创时代公司</w:t>
            </w:r>
          </w:p>
        </w:tc>
        <w:tc>
          <w:tcPr>
            <w:tcW w:w="222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47" w:right="0"/>
              <w:jc w:val="left"/>
              <w:rPr>
                <w:rFonts w:ascii="宋体" w:hAnsi="宋体" w:cs="宋体" w:eastAsia="宋体" w:hint="default"/>
                <w:sz w:val="18"/>
                <w:szCs w:val="18"/>
              </w:rPr>
            </w:pPr>
            <w:r>
              <w:rPr>
                <w:rFonts w:ascii="宋体"/>
                <w:sz w:val="18"/>
              </w:rPr>
              <w:t>758,860,005.52</w:t>
            </w:r>
          </w:p>
        </w:tc>
      </w:tr>
    </w:tbl>
    <w:p>
      <w:pPr>
        <w:spacing w:line="240" w:lineRule="auto" w:before="4"/>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(3)</w:t>
      </w:r>
      <w:r>
        <w:rPr>
          <w:rFonts w:ascii="宋体" w:hAnsi="宋体" w:cs="宋体" w:eastAsia="宋体" w:hint="default"/>
          <w:spacing w:val="-1"/>
        </w:rPr>
        <w:t> </w:t>
      </w:r>
      <w:r>
        <w:rPr/>
        <w:t>本期收到的处置子公司的现金净额</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7"/>
        <w:gridCol w:w="2222"/>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222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222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222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-1,388,416.85</w:t>
            </w:r>
          </w:p>
        </w:tc>
      </w:tr>
      <w:tr>
        <w:trPr>
          <w:trHeight w:val="464"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222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2222"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22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-1,388,416.85</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(4)</w:t>
      </w:r>
      <w:r>
        <w:rPr/>
        <w:t>现金和现金等价物的构成</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现  金</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715,498,618.39</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129,290,089.66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853,556.42</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603,499.95</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9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714,643,888.47</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128,686,589.71</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247"/>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1,173.50</w:t>
            </w: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247"/>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现金等价物</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期末现金及现金等价物余额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715,498,618.39</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129,290,089.66</w:t>
            </w:r>
          </w:p>
        </w:tc>
      </w:tr>
      <w:tr>
        <w:trPr>
          <w:trHeight w:val="754"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972" w:right="807" w:hanging="49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其中：母公司或集团内子公司使用受限制的现金及现 金等价物</w:t>
            </w:r>
          </w:p>
        </w:tc>
        <w:tc>
          <w:tcPr>
            <w:tcW w:w="2218" w:type="dxa"/>
            <w:tcBorders>
              <w:top w:val="single" w:sz="4" w:space="0" w:color="000000"/>
              <w:left w:val="single" w:sz="4" w:space="0" w:color="000000"/>
              <w:bottom w:val="single" w:sz="4" w:space="0" w:color="000000"/>
              <w:right w:val="single" w:sz="4" w:space="0" w:color="000000"/>
            </w:tcBorders>
          </w:tcPr>
          <w:p>
            <w:pPr/>
          </w:p>
        </w:tc>
        <w:tc>
          <w:tcPr>
            <w:tcW w:w="22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(5)</w:t>
      </w:r>
      <w:r>
        <w:rPr>
          <w:rFonts w:ascii="宋体" w:hAnsi="宋体" w:cs="宋体" w:eastAsia="宋体" w:hint="default"/>
          <w:spacing w:val="-1"/>
        </w:rPr>
        <w:t> </w:t>
      </w:r>
      <w:r>
        <w:rPr/>
        <w:t>不涉及现金收支的商业汇票背书转让金额</w:t>
      </w:r>
    </w:p>
    <w:p>
      <w:pPr>
        <w:spacing w:after="0" w:line="240" w:lineRule="auto"/>
        <w:jc w:val="left"/>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4659"/>
        <w:gridCol w:w="1942"/>
        <w:gridCol w:w="1943"/>
      </w:tblGrid>
      <w:tr>
        <w:trPr>
          <w:trHeight w:val="55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55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背书转让的商业汇票金额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423,542,334.41</w:t>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253,168,349.35</w:t>
            </w:r>
          </w:p>
        </w:tc>
      </w:tr>
      <w:tr>
        <w:trPr>
          <w:trHeight w:val="55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其中：支付货款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344,354,259.41</w:t>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252,868,349.35</w:t>
            </w:r>
          </w:p>
        </w:tc>
      </w:tr>
      <w:tr>
        <w:trPr>
          <w:trHeight w:val="558"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2" w:right="0"/>
              <w:jc w:val="left"/>
              <w:rPr>
                <w:rFonts w:ascii="宋体" w:hAnsi="宋体" w:cs="宋体" w:eastAsia="宋体" w:hint="default"/>
                <w:sz w:val="18"/>
                <w:szCs w:val="18"/>
              </w:rPr>
            </w:pPr>
            <w:r>
              <w:rPr>
                <w:rFonts w:ascii="宋体" w:hAnsi="宋体" w:cs="宋体" w:eastAsia="宋体" w:hint="default"/>
                <w:sz w:val="18"/>
                <w:szCs w:val="18"/>
              </w:rPr>
              <w:t>支付固定资产等长期资产购置款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79,188,075.00</w:t>
            </w:r>
          </w:p>
        </w:tc>
        <w:tc>
          <w:tcPr>
            <w:tcW w:w="1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300,000.00</w:t>
            </w:r>
          </w:p>
        </w:tc>
      </w:tr>
    </w:tbl>
    <w:p>
      <w:pPr>
        <w:spacing w:line="240" w:lineRule="auto" w:before="3"/>
        <w:rPr>
          <w:rFonts w:ascii="宋体" w:hAnsi="宋体" w:cs="宋体" w:eastAsia="宋体" w:hint="default"/>
          <w:sz w:val="5"/>
          <w:szCs w:val="5"/>
        </w:rPr>
      </w:pPr>
    </w:p>
    <w:p>
      <w:pPr>
        <w:pStyle w:val="BodyText"/>
        <w:spacing w:line="444" w:lineRule="auto" w:before="35"/>
        <w:ind w:left="654" w:right="5712"/>
        <w:jc w:val="left"/>
      </w:pPr>
      <w:r>
        <w:rPr>
          <w:rFonts w:ascii="宋体" w:hAnsi="宋体" w:cs="宋体" w:eastAsia="宋体" w:hint="default"/>
        </w:rPr>
        <w:t>(6)</w:t>
      </w:r>
      <w:r>
        <w:rPr/>
        <w:t>现金流量表补充资料的说明 不属于现金及现金等价物的货币资金情况的说明：</w:t>
      </w:r>
    </w:p>
    <w:p>
      <w:pPr>
        <w:pStyle w:val="BodyText"/>
        <w:spacing w:line="240" w:lineRule="auto" w:before="53"/>
        <w:ind w:left="654" w:right="1029"/>
        <w:jc w:val="left"/>
      </w:pPr>
      <w:r>
        <w:rPr>
          <w:rFonts w:ascii="宋体" w:hAnsi="宋体" w:cs="宋体" w:eastAsia="宋体" w:hint="default"/>
        </w:rPr>
        <w:t>2015</w:t>
      </w:r>
      <w:r>
        <w:rPr>
          <w:rFonts w:ascii="宋体" w:hAnsi="宋体" w:cs="宋体" w:eastAsia="宋体" w:hint="default"/>
          <w:spacing w:val="-42"/>
        </w:rPr>
        <w:t> </w:t>
      </w:r>
      <w:r>
        <w:rPr/>
        <w:t>年度现金流量表中期末现金及现金等价物余额为</w:t>
      </w:r>
      <w:r>
        <w:rPr>
          <w:spacing w:val="-44"/>
        </w:rPr>
        <w:t> </w:t>
      </w:r>
      <w:r>
        <w:rPr>
          <w:rFonts w:ascii="宋体" w:hAnsi="宋体" w:cs="宋体" w:eastAsia="宋体" w:hint="default"/>
        </w:rPr>
        <w:t>715,498,618.39</w:t>
      </w:r>
      <w:r>
        <w:rPr>
          <w:rFonts w:ascii="宋体" w:hAnsi="宋体" w:cs="宋体" w:eastAsia="宋体" w:hint="default"/>
          <w:spacing w:val="-43"/>
        </w:rPr>
        <w:t> </w:t>
      </w:r>
      <w:r>
        <w:rPr/>
        <w:t>元，资产负债表中货币资金期</w:t>
      </w:r>
    </w:p>
    <w:p>
      <w:pPr>
        <w:spacing w:line="240" w:lineRule="auto" w:before="10"/>
        <w:rPr>
          <w:rFonts w:ascii="宋体" w:hAnsi="宋体" w:cs="宋体" w:eastAsia="宋体" w:hint="default"/>
          <w:sz w:val="14"/>
          <w:szCs w:val="14"/>
        </w:rPr>
      </w:pPr>
    </w:p>
    <w:p>
      <w:pPr>
        <w:pStyle w:val="BodyText"/>
        <w:spacing w:line="240" w:lineRule="auto"/>
        <w:ind w:left="234" w:right="1029"/>
        <w:jc w:val="left"/>
      </w:pPr>
      <w:r>
        <w:rPr/>
        <w:t>末数为 </w:t>
      </w:r>
      <w:r>
        <w:rPr>
          <w:rFonts w:ascii="宋体" w:hAnsi="宋体" w:cs="宋体" w:eastAsia="宋体" w:hint="default"/>
        </w:rPr>
        <w:t>770,546,898.26</w:t>
      </w:r>
      <w:r>
        <w:rPr>
          <w:rFonts w:ascii="宋体" w:hAnsi="宋体" w:cs="宋体" w:eastAsia="宋体" w:hint="default"/>
          <w:spacing w:val="-24"/>
        </w:rPr>
        <w:t> </w:t>
      </w:r>
      <w:r>
        <w:rPr/>
        <w:t>元，差额系公司现金流量表期末现金及现金等价物余额扣除了不符合现金及现金</w:t>
      </w:r>
    </w:p>
    <w:p>
      <w:pPr>
        <w:spacing w:line="240" w:lineRule="auto" w:before="11"/>
        <w:rPr>
          <w:rFonts w:ascii="宋体" w:hAnsi="宋体" w:cs="宋体" w:eastAsia="宋体" w:hint="default"/>
          <w:sz w:val="14"/>
          <w:szCs w:val="14"/>
        </w:rPr>
      </w:pPr>
    </w:p>
    <w:p>
      <w:pPr>
        <w:pStyle w:val="BodyText"/>
        <w:spacing w:line="240" w:lineRule="auto"/>
        <w:ind w:left="234" w:right="1029"/>
        <w:jc w:val="left"/>
      </w:pPr>
      <w:r>
        <w:rPr/>
        <w:t>等价物标准的保证金等</w:t>
      </w:r>
      <w:r>
        <w:rPr>
          <w:spacing w:val="-53"/>
        </w:rPr>
        <w:t> </w:t>
      </w:r>
      <w:r>
        <w:rPr>
          <w:rFonts w:ascii="宋体" w:hAnsi="宋体" w:cs="宋体" w:eastAsia="宋体" w:hint="default"/>
        </w:rPr>
        <w:t>55,048,279.87</w:t>
      </w:r>
      <w:r>
        <w:rPr>
          <w:rFonts w:ascii="宋体" w:hAnsi="宋体" w:cs="宋体" w:eastAsia="宋体" w:hint="default"/>
          <w:spacing w:val="-53"/>
        </w:rPr>
        <w:t> </w:t>
      </w:r>
      <w:r>
        <w:rPr/>
        <w:t>元。</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2014</w:t>
      </w:r>
      <w:r>
        <w:rPr>
          <w:rFonts w:ascii="宋体" w:hAnsi="宋体" w:cs="宋体" w:eastAsia="宋体" w:hint="default"/>
          <w:spacing w:val="-42"/>
        </w:rPr>
        <w:t> </w:t>
      </w:r>
      <w:r>
        <w:rPr/>
        <w:t>年度现金流量表中期末现金及现金等价物余额为</w:t>
      </w:r>
      <w:r>
        <w:rPr>
          <w:spacing w:val="-44"/>
        </w:rPr>
        <w:t> </w:t>
      </w:r>
      <w:r>
        <w:rPr>
          <w:rFonts w:ascii="宋体" w:hAnsi="宋体" w:cs="宋体" w:eastAsia="宋体" w:hint="default"/>
        </w:rPr>
        <w:t>129,290,089.66</w:t>
      </w:r>
      <w:r>
        <w:rPr>
          <w:rFonts w:ascii="宋体" w:hAnsi="宋体" w:cs="宋体" w:eastAsia="宋体" w:hint="default"/>
          <w:spacing w:val="-43"/>
        </w:rPr>
        <w:t> </w:t>
      </w:r>
      <w:r>
        <w:rPr/>
        <w:t>元，资产负债表中货币资金期</w:t>
      </w:r>
    </w:p>
    <w:p>
      <w:pPr>
        <w:spacing w:line="240" w:lineRule="auto" w:before="10"/>
        <w:rPr>
          <w:rFonts w:ascii="宋体" w:hAnsi="宋体" w:cs="宋体" w:eastAsia="宋体" w:hint="default"/>
          <w:sz w:val="14"/>
          <w:szCs w:val="14"/>
        </w:rPr>
      </w:pPr>
    </w:p>
    <w:p>
      <w:pPr>
        <w:pStyle w:val="BodyText"/>
        <w:spacing w:line="240" w:lineRule="auto"/>
        <w:ind w:left="234" w:right="1029"/>
        <w:jc w:val="left"/>
      </w:pPr>
      <w:r>
        <w:rPr/>
        <w:t>末数为 </w:t>
      </w:r>
      <w:r>
        <w:rPr>
          <w:rFonts w:ascii="宋体" w:hAnsi="宋体" w:cs="宋体" w:eastAsia="宋体" w:hint="default"/>
        </w:rPr>
        <w:t>179,467,891.43</w:t>
      </w:r>
      <w:r>
        <w:rPr>
          <w:rFonts w:ascii="宋体" w:hAnsi="宋体" w:cs="宋体" w:eastAsia="宋体" w:hint="default"/>
          <w:spacing w:val="-24"/>
        </w:rPr>
        <w:t> </w:t>
      </w:r>
      <w:r>
        <w:rPr/>
        <w:t>元，差额系公司现金流量表期末现金及现金等价物余额扣除了不符合现金及现金</w:t>
      </w:r>
    </w:p>
    <w:p>
      <w:pPr>
        <w:spacing w:line="240" w:lineRule="auto" w:before="11"/>
        <w:rPr>
          <w:rFonts w:ascii="宋体" w:hAnsi="宋体" w:cs="宋体" w:eastAsia="宋体" w:hint="default"/>
          <w:sz w:val="14"/>
          <w:szCs w:val="14"/>
        </w:rPr>
      </w:pPr>
    </w:p>
    <w:p>
      <w:pPr>
        <w:pStyle w:val="BodyText"/>
        <w:spacing w:line="240" w:lineRule="auto"/>
        <w:ind w:left="234" w:right="1029"/>
        <w:jc w:val="left"/>
      </w:pPr>
      <w:r>
        <w:rPr/>
        <w:t>等价物标准的保证金等</w:t>
      </w:r>
      <w:r>
        <w:rPr>
          <w:spacing w:val="-53"/>
        </w:rPr>
        <w:t> </w:t>
      </w:r>
      <w:r>
        <w:rPr>
          <w:rFonts w:ascii="宋体" w:hAnsi="宋体" w:cs="宋体" w:eastAsia="宋体" w:hint="default"/>
        </w:rPr>
        <w:t>50,177,801.77</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444" w:lineRule="auto"/>
        <w:ind w:left="653" w:right="7183"/>
        <w:jc w:val="left"/>
      </w:pPr>
      <w:r>
        <w:rPr>
          <w:rFonts w:ascii="宋体" w:hAnsi="宋体" w:cs="宋体" w:eastAsia="宋体" w:hint="default"/>
        </w:rPr>
        <w:t>(</w:t>
      </w:r>
      <w:r>
        <w:rPr/>
        <w:t>四</w:t>
      </w:r>
      <w:r>
        <w:rPr>
          <w:rFonts w:ascii="宋体" w:hAnsi="宋体" w:cs="宋体" w:eastAsia="宋体" w:hint="default"/>
        </w:rPr>
        <w:t>)</w:t>
      </w:r>
      <w:r>
        <w:rPr/>
        <w:t>其他 </w:t>
      </w:r>
      <w:r>
        <w:rPr>
          <w:rFonts w:ascii="宋体" w:hAnsi="宋体" w:cs="宋体" w:eastAsia="宋体" w:hint="default"/>
        </w:rPr>
        <w:t>1.</w:t>
      </w:r>
      <w:r>
        <w:rPr/>
        <w:t>所有权或使用权受到限制的资产</w:t>
      </w:r>
    </w:p>
    <w:tbl>
      <w:tblPr>
        <w:tblW w:w="0" w:type="auto"/>
        <w:jc w:val="left"/>
        <w:tblInd w:w="106" w:type="dxa"/>
        <w:tblLayout w:type="fixed"/>
        <w:tblCellMar>
          <w:top w:w="0" w:type="dxa"/>
          <w:left w:w="0" w:type="dxa"/>
          <w:bottom w:w="0" w:type="dxa"/>
          <w:right w:w="0" w:type="dxa"/>
        </w:tblCellMar>
        <w:tblLook w:val="01E0"/>
      </w:tblPr>
      <w:tblGrid>
        <w:gridCol w:w="3299"/>
        <w:gridCol w:w="3285"/>
        <w:gridCol w:w="3286"/>
      </w:tblGrid>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0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4"/>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z w:val="18"/>
              </w:rPr>
              <w:t>55,048,279.87</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6"/>
              <w:jc w:val="center"/>
              <w:rPr>
                <w:rFonts w:ascii="宋体" w:hAnsi="宋体" w:cs="宋体" w:eastAsia="宋体" w:hint="default"/>
                <w:sz w:val="18"/>
                <w:szCs w:val="18"/>
              </w:rPr>
            </w:pPr>
            <w:r>
              <w:rPr>
                <w:rFonts w:ascii="宋体" w:hAnsi="宋体" w:cs="宋体" w:eastAsia="宋体" w:hint="default"/>
                <w:sz w:val="18"/>
                <w:szCs w:val="18"/>
              </w:rPr>
              <w:t>保证金等</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z w:val="18"/>
              </w:rPr>
              <w:t>12,149,000.00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6"/>
              <w:jc w:val="center"/>
              <w:rPr>
                <w:rFonts w:ascii="宋体" w:hAnsi="宋体" w:cs="宋体" w:eastAsia="宋体" w:hint="default"/>
                <w:sz w:val="18"/>
                <w:szCs w:val="18"/>
              </w:rPr>
            </w:pPr>
            <w:r>
              <w:rPr>
                <w:rFonts w:ascii="宋体" w:hAnsi="宋体" w:cs="宋体" w:eastAsia="宋体" w:hint="default"/>
                <w:sz w:val="18"/>
                <w:szCs w:val="18"/>
              </w:rPr>
              <w:t>质  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z w:val="18"/>
              </w:rPr>
              <w:t>37,425,251.64</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6"/>
              <w:jc w:val="center"/>
              <w:rPr>
                <w:rFonts w:ascii="宋体" w:hAnsi="宋体" w:cs="宋体" w:eastAsia="宋体" w:hint="default"/>
                <w:sz w:val="18"/>
                <w:szCs w:val="18"/>
              </w:rPr>
            </w:pPr>
            <w:r>
              <w:rPr>
                <w:rFonts w:ascii="宋体" w:hAnsi="宋体" w:cs="宋体" w:eastAsia="宋体" w:hint="default"/>
                <w:sz w:val="18"/>
                <w:szCs w:val="18"/>
              </w:rPr>
              <w:t>质  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z w:val="18"/>
              </w:rPr>
              <w:t>255,040.98</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6"/>
              <w:jc w:val="center"/>
              <w:rPr>
                <w:rFonts w:ascii="宋体" w:hAnsi="宋体" w:cs="宋体" w:eastAsia="宋体" w:hint="default"/>
                <w:sz w:val="18"/>
                <w:szCs w:val="18"/>
              </w:rPr>
            </w:pPr>
            <w:r>
              <w:rPr>
                <w:rFonts w:ascii="宋体" w:hAnsi="宋体" w:cs="宋体" w:eastAsia="宋体" w:hint="default"/>
                <w:sz w:val="18"/>
                <w:szCs w:val="18"/>
              </w:rPr>
              <w:t>抵  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z w:val="18"/>
              </w:rPr>
              <w:t>27,078,388.67</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6"/>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z w:val="18"/>
              </w:rPr>
              <w:t>149,766,039.37</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86"/>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558"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z w:val="18"/>
              </w:rPr>
              <w:t>281,722,000.53</w:t>
            </w:r>
          </w:p>
        </w:tc>
        <w:tc>
          <w:tcPr>
            <w:tcW w:w="32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外币货币性项目</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after="0" w:line="240" w:lineRule="auto"/>
        <w:jc w:val="left"/>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597"/>
        <w:gridCol w:w="2345"/>
        <w:gridCol w:w="1592"/>
        <w:gridCol w:w="3335"/>
      </w:tblGrid>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38"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9"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67" w:right="0"/>
              <w:jc w:val="left"/>
              <w:rPr>
                <w:rFonts w:ascii="宋体" w:hAnsi="宋体" w:cs="宋体" w:eastAsia="宋体" w:hint="default"/>
                <w:sz w:val="18"/>
                <w:szCs w:val="18"/>
              </w:rPr>
            </w:pPr>
            <w:r>
              <w:rPr>
                <w:rFonts w:ascii="宋体" w:hAnsi="宋体" w:cs="宋体" w:eastAsia="宋体" w:hint="default"/>
                <w:sz w:val="18"/>
                <w:szCs w:val="18"/>
              </w:rPr>
              <w:t>期末折算成人民币余额</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4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10,942,639.85</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1,302,408.38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6.4936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8,457,319.06</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欧  元</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96,222.18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7.0952</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682,715.61</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澳  元</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4.7276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5.06</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福  林</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48,305,000.00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0.0223568</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1,079,945.22</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迪拉姆</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408,764.58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1.7679</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722,654.90</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157,459,470.49</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23,372,978.92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6.4936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151,774,775.91</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欧  元</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585,239.49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7.0952</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4,152,391.23</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福  林</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51,051,000.00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0.0223568</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1,141,337.00</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迪拉姆</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221,147.32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1.7679</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390,966.35</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4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32,976.28</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其中：福  林</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1,475,000.00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0.0223568</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32,976.28</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4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30,347,177.51</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4,673,398.04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6.4936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30,347,177.51</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4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7,373,159.33</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其中：美  元</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280,491.64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6.4936</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1,821,400.51</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福  林</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247,649,000.00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0.0223568</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5,536,639.16</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欧  元</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2,130.97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7.0952</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15,119.66</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4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263,050.11</w:t>
            </w:r>
          </w:p>
        </w:tc>
      </w:tr>
      <w:tr>
        <w:trPr>
          <w:trHeight w:val="558"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1027"/>
              <w:jc w:val="right"/>
              <w:rPr>
                <w:rFonts w:ascii="宋体" w:hAnsi="宋体" w:cs="宋体" w:eastAsia="宋体" w:hint="default"/>
                <w:sz w:val="18"/>
                <w:szCs w:val="18"/>
              </w:rPr>
            </w:pPr>
            <w:r>
              <w:rPr>
                <w:rFonts w:ascii="宋体" w:hAnsi="宋体" w:cs="宋体" w:eastAsia="宋体" w:hint="default"/>
                <w:sz w:val="18"/>
                <w:szCs w:val="18"/>
              </w:rPr>
              <w:t>其中：福  林</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11,766,000.00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0.0223568</w:t>
            </w:r>
          </w:p>
        </w:tc>
        <w:tc>
          <w:tcPr>
            <w:tcW w:w="3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263,050.11</w:t>
            </w:r>
          </w:p>
        </w:tc>
      </w:tr>
    </w:tbl>
    <w:p>
      <w:pPr>
        <w:spacing w:line="240" w:lineRule="auto" w:before="4"/>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t>境外经营实体说明</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250"/>
        <w:gridCol w:w="2016"/>
        <w:gridCol w:w="1386"/>
        <w:gridCol w:w="2891"/>
      </w:tblGrid>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7" w:right="0"/>
              <w:jc w:val="left"/>
              <w:rPr>
                <w:rFonts w:ascii="宋体" w:hAnsi="宋体" w:cs="宋体" w:eastAsia="宋体" w:hint="default"/>
                <w:sz w:val="18"/>
                <w:szCs w:val="18"/>
              </w:rPr>
            </w:pPr>
            <w:r>
              <w:rPr>
                <w:rFonts w:ascii="宋体" w:hAnsi="宋体" w:cs="宋体" w:eastAsia="宋体" w:hint="default"/>
                <w:sz w:val="18"/>
                <w:szCs w:val="18"/>
              </w:rPr>
              <w:t>记账本位币</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选择依据</w:t>
            </w:r>
          </w:p>
        </w:tc>
      </w:tr>
    </w:tbl>
    <w:p>
      <w:pPr>
        <w:spacing w:after="0" w:line="240" w:lineRule="auto"/>
        <w:jc w:val="center"/>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50"/>
        <w:gridCol w:w="2016"/>
        <w:gridCol w:w="1386"/>
        <w:gridCol w:w="2891"/>
      </w:tblGrid>
      <w:tr>
        <w:trPr>
          <w:trHeight w:val="55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28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69" w:right="0"/>
              <w:jc w:val="left"/>
              <w:rPr>
                <w:rFonts w:ascii="宋体" w:hAnsi="宋体" w:cs="宋体" w:eastAsia="宋体" w:hint="default"/>
                <w:sz w:val="18"/>
                <w:szCs w:val="18"/>
              </w:rPr>
            </w:pPr>
            <w:r>
              <w:rPr>
                <w:rFonts w:ascii="宋体" w:hAnsi="宋体" w:cs="宋体" w:eastAsia="宋体" w:hint="default"/>
                <w:sz w:val="18"/>
                <w:szCs w:val="18"/>
              </w:rPr>
              <w:t>选择美元为记账本位币的依据</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3"/>
        <w:spacing w:line="240" w:lineRule="auto" w:before="35"/>
        <w:ind w:left="654" w:right="1029"/>
        <w:jc w:val="left"/>
        <w:rPr>
          <w:rFonts w:ascii="黑体" w:hAnsi="黑体" w:cs="黑体" w:eastAsia="黑体" w:hint="default"/>
          <w:b w:val="0"/>
          <w:bCs w:val="0"/>
        </w:rPr>
      </w:pPr>
      <w:bookmarkStart w:name="八、合并范围的变更" w:id="235"/>
      <w:bookmarkEnd w:id="235"/>
      <w:r>
        <w:rPr>
          <w:b w:val="0"/>
          <w:bCs w:val="0"/>
        </w:rPr>
      </w:r>
      <w:r>
        <w:rPr>
          <w:rFonts w:ascii="黑体" w:hAnsi="黑体" w:cs="黑体" w:eastAsia="黑体" w:hint="default"/>
        </w:rPr>
        <w:t>八、合并范围的变更</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240" w:lineRule="auto"/>
        <w:ind w:left="653" w:right="1029"/>
        <w:jc w:val="left"/>
      </w:pPr>
      <w:bookmarkStart w:name="(一) 非同一控制下企业合并" w:id="236"/>
      <w:bookmarkEnd w:id="236"/>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非同一控制下企业合并</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本期发生的非同一控制下企业合并</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986"/>
        <w:gridCol w:w="1971"/>
        <w:gridCol w:w="1972"/>
        <w:gridCol w:w="1523"/>
        <w:gridCol w:w="2418"/>
      </w:tblGrid>
      <w:tr>
        <w:trPr>
          <w:trHeight w:val="634" w:hRule="exact"/>
        </w:trPr>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7"/>
              <w:jc w:val="right"/>
              <w:rPr>
                <w:rFonts w:ascii="宋体" w:hAnsi="宋体" w:cs="宋体" w:eastAsia="宋体" w:hint="default"/>
                <w:sz w:val="18"/>
                <w:szCs w:val="18"/>
              </w:rPr>
            </w:pPr>
            <w:r>
              <w:rPr>
                <w:rFonts w:ascii="宋体" w:hAnsi="宋体" w:cs="宋体" w:eastAsia="宋体" w:hint="default"/>
                <w:sz w:val="18"/>
                <w:szCs w:val="18"/>
              </w:rPr>
              <w:t>被购买方名称</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04" w:right="61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05" w:right="614"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5" w:right="393" w:hanging="46"/>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宋体" w:hAnsi="宋体" w:cs="宋体" w:eastAsia="宋体" w:hint="default"/>
                <w:sz w:val="18"/>
                <w:szCs w:val="18"/>
              </w:rPr>
              <w:t>(%)</w:t>
            </w:r>
          </w:p>
        </w:tc>
        <w:tc>
          <w:tcPr>
            <w:tcW w:w="241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48" w:right="842"/>
              <w:jc w:val="center"/>
              <w:rPr>
                <w:rFonts w:ascii="宋体" w:hAnsi="宋体" w:cs="宋体" w:eastAsia="宋体" w:hint="default"/>
                <w:sz w:val="18"/>
                <w:szCs w:val="18"/>
              </w:rPr>
            </w:pPr>
            <w:r>
              <w:rPr>
                <w:rFonts w:ascii="宋体" w:hAnsi="宋体" w:cs="宋体" w:eastAsia="宋体" w:hint="default"/>
                <w:sz w:val="18"/>
                <w:szCs w:val="18"/>
              </w:rPr>
              <w:t>股权取得 方式</w:t>
            </w:r>
          </w:p>
        </w:tc>
      </w:tr>
      <w:tr>
        <w:trPr>
          <w:trHeight w:val="478" w:hRule="exact"/>
        </w:trPr>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619"/>
              <w:jc w:val="right"/>
              <w:rPr>
                <w:rFonts w:ascii="宋体" w:hAnsi="宋体" w:cs="宋体" w:eastAsia="宋体" w:hint="default"/>
                <w:sz w:val="18"/>
                <w:szCs w:val="18"/>
              </w:rPr>
            </w:pPr>
            <w:r>
              <w:rPr>
                <w:rFonts w:ascii="宋体" w:hAnsi="宋体" w:cs="宋体" w:eastAsia="宋体" w:hint="default"/>
                <w:sz w:val="18"/>
                <w:szCs w:val="18"/>
              </w:rPr>
              <w:t>万圣伟业</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0" w:right="0"/>
              <w:jc w:val="left"/>
              <w:rPr>
                <w:rFonts w:ascii="宋体" w:hAnsi="宋体" w:cs="宋体" w:eastAsia="宋体" w:hint="default"/>
                <w:sz w:val="18"/>
                <w:szCs w:val="18"/>
              </w:rPr>
            </w:pPr>
            <w:r>
              <w:rPr>
                <w:rFonts w:ascii="宋体"/>
                <w:sz w:val="18"/>
              </w:rPr>
              <w:t>2,072,000,000.00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宋体" w:hAnsi="宋体" w:cs="宋体" w:eastAsia="宋体" w:hint="default"/>
                <w:sz w:val="18"/>
                <w:szCs w:val="18"/>
              </w:rPr>
            </w:pPr>
            <w:r>
              <w:rPr>
                <w:rFonts w:ascii="宋体"/>
                <w:sz w:val="18"/>
              </w:rPr>
              <w:t>100.00</w:t>
            </w:r>
          </w:p>
        </w:tc>
        <w:tc>
          <w:tcPr>
            <w:tcW w:w="2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9" w:hRule="exact"/>
        </w:trPr>
        <w:tc>
          <w:tcPr>
            <w:tcW w:w="1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619"/>
              <w:jc w:val="right"/>
              <w:rPr>
                <w:rFonts w:ascii="宋体" w:hAnsi="宋体" w:cs="宋体" w:eastAsia="宋体" w:hint="default"/>
                <w:sz w:val="18"/>
                <w:szCs w:val="18"/>
              </w:rPr>
            </w:pPr>
            <w:r>
              <w:rPr>
                <w:rFonts w:ascii="宋体" w:hAnsi="宋体" w:cs="宋体" w:eastAsia="宋体" w:hint="default"/>
                <w:sz w:val="18"/>
                <w:szCs w:val="18"/>
              </w:rPr>
              <w:t>微创时代</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98" w:right="0"/>
              <w:jc w:val="left"/>
              <w:rPr>
                <w:rFonts w:ascii="宋体" w:hAnsi="宋体" w:cs="宋体" w:eastAsia="宋体" w:hint="default"/>
                <w:sz w:val="18"/>
                <w:szCs w:val="18"/>
              </w:rPr>
            </w:pPr>
            <w:r>
              <w:rPr>
                <w:rFonts w:ascii="宋体"/>
                <w:sz w:val="18"/>
              </w:rPr>
              <w:t>840,000,000.00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sz w:val="18"/>
              </w:rPr>
              <w:t>100.00</w:t>
            </w:r>
          </w:p>
        </w:tc>
        <w:tc>
          <w:tcPr>
            <w:tcW w:w="2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240" w:lineRule="auto" w:before="63"/>
        <w:ind w:left="654" w:right="1029"/>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982"/>
        <w:gridCol w:w="1960"/>
        <w:gridCol w:w="1973"/>
        <w:gridCol w:w="1958"/>
        <w:gridCol w:w="1998"/>
      </w:tblGrid>
      <w:tr>
        <w:trPr>
          <w:trHeight w:val="634"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2"/>
              <w:jc w:val="right"/>
              <w:rPr>
                <w:rFonts w:ascii="宋体" w:hAnsi="宋体" w:cs="宋体" w:eastAsia="宋体" w:hint="default"/>
                <w:sz w:val="18"/>
                <w:szCs w:val="18"/>
              </w:rPr>
            </w:pPr>
            <w:r>
              <w:rPr>
                <w:rFonts w:ascii="宋体" w:hAnsi="宋体" w:cs="宋体" w:eastAsia="宋体" w:hint="default"/>
                <w:sz w:val="18"/>
                <w:szCs w:val="18"/>
              </w:rPr>
              <w:t>被购买方名称</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26" w:right="614"/>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7" w:right="339" w:firstLine="90"/>
              <w:jc w:val="left"/>
              <w:rPr>
                <w:rFonts w:ascii="宋体" w:hAnsi="宋体" w:cs="宋体" w:eastAsia="宋体" w:hint="default"/>
                <w:sz w:val="18"/>
                <w:szCs w:val="18"/>
              </w:rPr>
            </w:pPr>
            <w:r>
              <w:rPr>
                <w:rFonts w:ascii="宋体" w:hAnsi="宋体" w:cs="宋体" w:eastAsia="宋体" w:hint="default"/>
                <w:sz w:val="18"/>
                <w:szCs w:val="18"/>
              </w:rPr>
              <w:t>购买日至期末 被购买方的收入</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68" w:right="362"/>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479"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617"/>
              <w:jc w:val="right"/>
              <w:rPr>
                <w:rFonts w:ascii="宋体" w:hAnsi="宋体" w:cs="宋体" w:eastAsia="宋体" w:hint="default"/>
                <w:sz w:val="18"/>
                <w:szCs w:val="18"/>
              </w:rPr>
            </w:pPr>
            <w:r>
              <w:rPr>
                <w:rFonts w:ascii="宋体" w:hAnsi="宋体" w:cs="宋体" w:eastAsia="宋体" w:hint="default"/>
                <w:sz w:val="18"/>
                <w:szCs w:val="18"/>
              </w:rPr>
              <w:t>万圣伟业</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办妥股权转让手续</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88" w:right="0"/>
              <w:jc w:val="left"/>
              <w:rPr>
                <w:rFonts w:ascii="宋体" w:hAnsi="宋体" w:cs="宋体" w:eastAsia="宋体" w:hint="default"/>
                <w:sz w:val="18"/>
                <w:szCs w:val="18"/>
              </w:rPr>
            </w:pPr>
            <w:r>
              <w:rPr>
                <w:rFonts w:ascii="宋体"/>
                <w:sz w:val="18"/>
              </w:rPr>
              <w:t>95,375,361.01</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09" w:right="0"/>
              <w:jc w:val="left"/>
              <w:rPr>
                <w:rFonts w:ascii="宋体" w:hAnsi="宋体" w:cs="宋体" w:eastAsia="宋体" w:hint="default"/>
                <w:sz w:val="18"/>
                <w:szCs w:val="18"/>
              </w:rPr>
            </w:pPr>
            <w:r>
              <w:rPr>
                <w:rFonts w:ascii="宋体"/>
                <w:sz w:val="18"/>
              </w:rPr>
              <w:t>12,206,845.54</w:t>
            </w:r>
          </w:p>
        </w:tc>
      </w:tr>
      <w:tr>
        <w:trPr>
          <w:trHeight w:val="478" w:hRule="exact"/>
        </w:trPr>
        <w:tc>
          <w:tcPr>
            <w:tcW w:w="1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617"/>
              <w:jc w:val="right"/>
              <w:rPr>
                <w:rFonts w:ascii="宋体" w:hAnsi="宋体" w:cs="宋体" w:eastAsia="宋体" w:hint="default"/>
                <w:sz w:val="18"/>
                <w:szCs w:val="18"/>
              </w:rPr>
            </w:pPr>
            <w:r>
              <w:rPr>
                <w:rFonts w:ascii="宋体" w:hAnsi="宋体" w:cs="宋体" w:eastAsia="宋体" w:hint="default"/>
                <w:sz w:val="18"/>
                <w:szCs w:val="18"/>
              </w:rPr>
              <w:t>微创时代</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办妥股权转让手续</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8" w:right="0"/>
              <w:jc w:val="left"/>
              <w:rPr>
                <w:rFonts w:ascii="宋体" w:hAnsi="宋体" w:cs="宋体" w:eastAsia="宋体" w:hint="default"/>
                <w:sz w:val="18"/>
                <w:szCs w:val="18"/>
              </w:rPr>
            </w:pPr>
            <w:r>
              <w:rPr>
                <w:rFonts w:ascii="宋体"/>
                <w:sz w:val="18"/>
              </w:rPr>
              <w:t>79,903,882.02</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53" w:right="0"/>
              <w:jc w:val="left"/>
              <w:rPr>
                <w:rFonts w:ascii="宋体" w:hAnsi="宋体" w:cs="宋体" w:eastAsia="宋体" w:hint="default"/>
                <w:sz w:val="18"/>
                <w:szCs w:val="18"/>
              </w:rPr>
            </w:pPr>
            <w:r>
              <w:rPr>
                <w:rFonts w:ascii="宋体"/>
                <w:sz w:val="18"/>
              </w:rPr>
              <w:t>3,314,657.85</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bookmarkStart w:name="2. 合并成本及商誉" w:id="237"/>
      <w:bookmarkEnd w:id="237"/>
      <w:r>
        <w:rPr/>
      </w:r>
      <w:r>
        <w:rPr>
          <w:rFonts w:ascii="宋体" w:hAnsi="宋体" w:cs="宋体" w:eastAsia="宋体" w:hint="default"/>
          <w:sz w:val="18"/>
          <w:szCs w:val="18"/>
        </w:rPr>
        <w:t>2. </w:t>
      </w:r>
      <w:r>
        <w:rPr>
          <w:rFonts w:ascii="宋体" w:hAnsi="宋体" w:cs="宋体" w:eastAsia="宋体" w:hint="default"/>
          <w:sz w:val="18"/>
          <w:szCs w:val="18"/>
        </w:rPr>
        <w:t>合并成本及商誉</w:t>
      </w:r>
    </w:p>
    <w:p>
      <w:pPr>
        <w:spacing w:line="240" w:lineRule="auto" w:before="11"/>
        <w:rPr>
          <w:rFonts w:ascii="宋体" w:hAnsi="宋体" w:cs="宋体" w:eastAsia="宋体" w:hint="default"/>
          <w:sz w:val="18"/>
          <w:szCs w:val="18"/>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170"/>
        <w:gridCol w:w="2845"/>
        <w:gridCol w:w="2847"/>
      </w:tblGrid>
      <w:tr>
        <w:trPr>
          <w:trHeight w:val="478"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万圣伟业</w:t>
            </w:r>
          </w:p>
        </w:tc>
        <w:tc>
          <w:tcPr>
            <w:tcW w:w="2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
              <w:jc w:val="center"/>
              <w:rPr>
                <w:rFonts w:ascii="宋体" w:hAnsi="宋体" w:cs="宋体" w:eastAsia="宋体" w:hint="default"/>
                <w:sz w:val="18"/>
                <w:szCs w:val="18"/>
              </w:rPr>
            </w:pPr>
            <w:r>
              <w:rPr>
                <w:rFonts w:ascii="宋体" w:hAnsi="宋体" w:cs="宋体" w:eastAsia="宋体" w:hint="default"/>
                <w:sz w:val="18"/>
                <w:szCs w:val="18"/>
              </w:rPr>
              <w:t>微创时代</w:t>
            </w:r>
          </w:p>
        </w:tc>
      </w:tr>
      <w:tr>
        <w:trPr>
          <w:trHeight w:val="479"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828,800,010.65</w:t>
            </w:r>
          </w:p>
        </w:tc>
        <w:tc>
          <w:tcPr>
            <w:tcW w:w="2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294,000,006.78</w:t>
            </w:r>
          </w:p>
        </w:tc>
      </w:tr>
      <w:tr>
        <w:trPr>
          <w:trHeight w:val="478"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发行或承担的债务的公允价值</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1,243,199,989.35</w:t>
            </w:r>
          </w:p>
        </w:tc>
        <w:tc>
          <w:tcPr>
            <w:tcW w:w="2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545,999,993.22</w:t>
            </w:r>
          </w:p>
        </w:tc>
      </w:tr>
      <w:tr>
        <w:trPr>
          <w:trHeight w:val="478"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485" w:right="800" w:hanging="4"/>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 允价值</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4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2,072,000,000.00</w:t>
            </w:r>
          </w:p>
        </w:tc>
        <w:tc>
          <w:tcPr>
            <w:tcW w:w="2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840,000,000.00</w:t>
            </w:r>
          </w:p>
        </w:tc>
      </w:tr>
      <w:tr>
        <w:trPr>
          <w:trHeight w:val="479"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347,693,258.32</w:t>
            </w:r>
          </w:p>
        </w:tc>
        <w:tc>
          <w:tcPr>
            <w:tcW w:w="2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157,269,444.86</w:t>
            </w:r>
          </w:p>
        </w:tc>
      </w:tr>
      <w:tr>
        <w:trPr>
          <w:trHeight w:val="478"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1,724,306,741.68</w:t>
            </w:r>
          </w:p>
        </w:tc>
        <w:tc>
          <w:tcPr>
            <w:tcW w:w="2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682,730,555.14</w:t>
            </w:r>
          </w:p>
        </w:tc>
      </w:tr>
    </w:tbl>
    <w:p>
      <w:pPr>
        <w:pStyle w:val="BodyText"/>
        <w:spacing w:line="240" w:lineRule="auto" w:before="63"/>
        <w:ind w:left="654" w:right="1029"/>
        <w:jc w:val="left"/>
      </w:pPr>
      <w:r>
        <w:rPr>
          <w:rFonts w:ascii="宋体" w:hAnsi="宋体" w:cs="宋体" w:eastAsia="宋体" w:hint="default"/>
        </w:rPr>
        <w:t>(2)</w:t>
      </w:r>
      <w:r>
        <w:rPr>
          <w:rFonts w:ascii="宋体" w:hAnsi="宋体" w:cs="宋体" w:eastAsia="宋体" w:hint="default"/>
          <w:spacing w:val="-1"/>
        </w:rPr>
        <w:t> </w:t>
      </w:r>
      <w:r>
        <w:rPr/>
        <w:t>合并成本公允价值的确定方法、或有对价及其变动的说明</w:t>
      </w:r>
    </w:p>
    <w:p>
      <w:pPr>
        <w:spacing w:after="0" w:line="240" w:lineRule="auto"/>
        <w:jc w:val="left"/>
        <w:sectPr>
          <w:pgSz w:w="11910" w:h="16840"/>
          <w:pgMar w:header="877" w:footer="979" w:top="1100" w:bottom="1160" w:left="900" w:right="0"/>
        </w:sectPr>
      </w:pPr>
    </w:p>
    <w:p>
      <w:pPr>
        <w:spacing w:line="240" w:lineRule="auto" w:before="9"/>
        <w:rPr>
          <w:rFonts w:ascii="宋体" w:hAnsi="宋体" w:cs="宋体" w:eastAsia="宋体" w:hint="default"/>
          <w:sz w:val="26"/>
          <w:szCs w:val="26"/>
        </w:rPr>
      </w:pPr>
    </w:p>
    <w:p>
      <w:pPr>
        <w:pStyle w:val="BodyText"/>
        <w:spacing w:line="408" w:lineRule="auto" w:before="35"/>
        <w:ind w:left="233" w:right="1113" w:firstLine="420"/>
        <w:jc w:val="left"/>
      </w:pPr>
      <w:r>
        <w:rPr/>
        <w:t>公司以发行股份及支付现金相结合的方式购买万圣伟业、微创时代</w:t>
      </w:r>
      <w:r>
        <w:rPr>
          <w:spacing w:val="-74"/>
        </w:rPr>
        <w:t> </w:t>
      </w:r>
      <w:r>
        <w:rPr>
          <w:rFonts w:ascii="宋体" w:hAnsi="宋体" w:cs="宋体" w:eastAsia="宋体" w:hint="default"/>
          <w:spacing w:val="-3"/>
        </w:rPr>
        <w:t>100%</w:t>
      </w:r>
      <w:r>
        <w:rPr>
          <w:spacing w:val="-3"/>
        </w:rPr>
        <w:t>的股权。股份发行的定价基准</w:t>
      </w:r>
      <w:r>
        <w:rPr/>
        <w:t> 日为公司第四届董事会第十次会议决议公告日，即</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7</w:t>
      </w:r>
      <w:r>
        <w:rPr>
          <w:rFonts w:ascii="宋体" w:hAnsi="宋体" w:cs="宋体" w:eastAsia="宋体" w:hint="default"/>
          <w:spacing w:val="-52"/>
        </w:rPr>
        <w:t> </w:t>
      </w:r>
      <w:r>
        <w:rPr/>
        <w:t>日。</w:t>
      </w:r>
    </w:p>
    <w:p>
      <w:pPr>
        <w:pStyle w:val="BodyText"/>
        <w:spacing w:line="408" w:lineRule="auto" w:before="84"/>
        <w:ind w:left="233" w:right="1123" w:firstLine="420"/>
        <w:jc w:val="left"/>
      </w:pPr>
      <w:r>
        <w:rPr>
          <w:spacing w:val="-1"/>
        </w:rPr>
        <w:t>根据《上市公司重大资产重组管理办法》等有关规定，本次发行股份购买资产的定价依据为不低于定</w:t>
      </w:r>
      <w:r>
        <w:rPr/>
        <w:t> 价基准日前</w:t>
      </w:r>
      <w:r>
        <w:rPr>
          <w:spacing w:val="-40"/>
        </w:rPr>
        <w:t> </w:t>
      </w:r>
      <w:r>
        <w:rPr>
          <w:rFonts w:ascii="宋体" w:hAnsi="宋体" w:cs="宋体" w:eastAsia="宋体" w:hint="default"/>
        </w:rPr>
        <w:t>60</w:t>
      </w:r>
      <w:r>
        <w:rPr>
          <w:rFonts w:ascii="宋体" w:hAnsi="宋体" w:cs="宋体" w:eastAsia="宋体" w:hint="default"/>
          <w:spacing w:val="-40"/>
        </w:rPr>
        <w:t> </w:t>
      </w:r>
      <w:r>
        <w:rPr/>
        <w:t>个交易日公司股票交易均价，即</w:t>
      </w:r>
      <w:r>
        <w:rPr>
          <w:spacing w:val="-40"/>
        </w:rPr>
        <w:t> </w:t>
      </w:r>
      <w:r>
        <w:rPr>
          <w:rFonts w:ascii="宋体" w:hAnsi="宋体" w:cs="宋体" w:eastAsia="宋体" w:hint="default"/>
        </w:rPr>
        <w:t>7.59</w:t>
      </w:r>
      <w:r>
        <w:rPr>
          <w:rFonts w:ascii="宋体" w:hAnsi="宋体" w:cs="宋体" w:eastAsia="宋体" w:hint="default"/>
          <w:spacing w:val="-40"/>
        </w:rPr>
        <w:t> </w:t>
      </w:r>
      <w:r>
        <w:rPr/>
        <w:t>元</w:t>
      </w:r>
      <w:r>
        <w:rPr>
          <w:rFonts w:ascii="宋体" w:hAnsi="宋体" w:cs="宋体" w:eastAsia="宋体" w:hint="default"/>
        </w:rPr>
        <w:t>/</w:t>
      </w:r>
      <w:r>
        <w:rPr/>
        <w:t>股</w:t>
      </w:r>
      <w:r>
        <w:rPr>
          <w:rFonts w:ascii="宋体" w:hAnsi="宋体" w:cs="宋体" w:eastAsia="宋体" w:hint="default"/>
        </w:rPr>
        <w:t>(</w:t>
      </w:r>
      <w:r>
        <w:rPr/>
        <w:t>发行价格按公司</w:t>
      </w:r>
      <w:r>
        <w:rPr>
          <w:spacing w:val="-40"/>
        </w:rPr>
        <w:t> </w:t>
      </w:r>
      <w:r>
        <w:rPr>
          <w:rFonts w:ascii="宋体" w:hAnsi="宋体" w:cs="宋体" w:eastAsia="宋体" w:hint="default"/>
        </w:rPr>
        <w:t>2015</w:t>
      </w:r>
      <w:r>
        <w:rPr>
          <w:rFonts w:ascii="宋体" w:hAnsi="宋体" w:cs="宋体" w:eastAsia="宋体" w:hint="default"/>
          <w:spacing w:val="-40"/>
        </w:rPr>
        <w:t> </w:t>
      </w:r>
      <w:r>
        <w:rPr/>
        <w:t>年半年度权益分派方案</w:t>
      </w:r>
    </w:p>
    <w:p>
      <w:pPr>
        <w:pStyle w:val="BodyText"/>
        <w:spacing w:line="240" w:lineRule="auto" w:before="46"/>
        <w:ind w:left="233" w:right="1029"/>
        <w:jc w:val="left"/>
      </w:pPr>
      <w:r>
        <w:rPr/>
        <w:t>实施之后的情况进行了相应调整，下同</w:t>
      </w:r>
      <w:r>
        <w:rPr>
          <w:rFonts w:ascii="宋体" w:hAnsi="宋体" w:cs="宋体" w:eastAsia="宋体" w:hint="default"/>
        </w:rPr>
        <w:t>)</w:t>
      </w:r>
      <w:r>
        <w:rPr/>
        <w:t>。经交易各方友好协商，并经公司</w:t>
      </w:r>
      <w:r>
        <w:rPr>
          <w:spacing w:val="-66"/>
        </w:rPr>
        <w:t> </w:t>
      </w:r>
      <w:r>
        <w:rPr>
          <w:rFonts w:ascii="宋体" w:hAnsi="宋体" w:cs="宋体" w:eastAsia="宋体" w:hint="default"/>
        </w:rPr>
        <w:t>2015</w:t>
      </w:r>
      <w:r>
        <w:rPr>
          <w:rFonts w:ascii="宋体" w:hAnsi="宋体" w:cs="宋体" w:eastAsia="宋体" w:hint="default"/>
          <w:spacing w:val="-66"/>
        </w:rPr>
        <w:t> </w:t>
      </w:r>
      <w:r>
        <w:rPr/>
        <w:t>年第四次临时股东大会批</w:t>
      </w:r>
    </w:p>
    <w:p>
      <w:pPr>
        <w:spacing w:line="240" w:lineRule="auto" w:before="10"/>
        <w:rPr>
          <w:rFonts w:ascii="宋体" w:hAnsi="宋体" w:cs="宋体" w:eastAsia="宋体" w:hint="default"/>
          <w:sz w:val="14"/>
          <w:szCs w:val="14"/>
        </w:rPr>
      </w:pPr>
    </w:p>
    <w:p>
      <w:pPr>
        <w:pStyle w:val="BodyText"/>
        <w:spacing w:line="408" w:lineRule="auto"/>
        <w:ind w:left="233" w:right="1131"/>
        <w:jc w:val="both"/>
      </w:pPr>
      <w:r>
        <w:rPr/>
        <w:t>准，确定本次发行股份价格为</w:t>
      </w:r>
      <w:r>
        <w:rPr>
          <w:spacing w:val="-64"/>
        </w:rPr>
        <w:t> </w:t>
      </w:r>
      <w:r>
        <w:rPr>
          <w:rFonts w:ascii="宋体" w:hAnsi="宋体" w:cs="宋体" w:eastAsia="宋体" w:hint="default"/>
        </w:rPr>
        <w:t>7.59</w:t>
      </w:r>
      <w:r>
        <w:rPr>
          <w:rFonts w:ascii="宋体" w:hAnsi="宋体" w:cs="宋体" w:eastAsia="宋体" w:hint="default"/>
          <w:spacing w:val="-66"/>
        </w:rPr>
        <w:t> </w:t>
      </w:r>
      <w:r>
        <w:rPr/>
        <w:t>元</w:t>
      </w:r>
      <w:r>
        <w:rPr>
          <w:rFonts w:ascii="宋体" w:hAnsi="宋体" w:cs="宋体" w:eastAsia="宋体" w:hint="default"/>
        </w:rPr>
        <w:t>/</w:t>
      </w:r>
      <w:r>
        <w:rPr/>
        <w:t>股。根据中国证券监督管理委员会《关于核准利欧集团股份有限公 司向徐先明等发行股份购买资产并募集配套资金的批复》</w:t>
      </w:r>
      <w:r>
        <w:rPr>
          <w:rFonts w:ascii="宋体" w:hAnsi="宋体" w:cs="宋体" w:eastAsia="宋体" w:hint="default"/>
        </w:rPr>
        <w:t>(</w:t>
      </w:r>
      <w:r>
        <w:rPr/>
        <w:t>证监许可〔</w:t>
      </w:r>
      <w:r>
        <w:rPr>
          <w:rFonts w:ascii="宋体" w:hAnsi="宋体" w:cs="宋体" w:eastAsia="宋体" w:hint="default"/>
        </w:rPr>
        <w:t>2015</w:t>
      </w:r>
      <w:r>
        <w:rPr/>
        <w:t>〕</w:t>
      </w:r>
      <w:r>
        <w:rPr>
          <w:rFonts w:ascii="宋体" w:hAnsi="宋体" w:cs="宋体" w:eastAsia="宋体" w:hint="default"/>
        </w:rPr>
        <w:t>2395</w:t>
      </w:r>
      <w:r>
        <w:rPr>
          <w:rFonts w:ascii="宋体" w:hAnsi="宋体" w:cs="宋体" w:eastAsia="宋体" w:hint="default"/>
          <w:spacing w:val="-24"/>
        </w:rPr>
        <w:t> </w:t>
      </w:r>
      <w:r>
        <w:rPr/>
        <w:t>号），核准公司分别向 万圣伟业、微创时代原股东发行股份</w:t>
      </w:r>
      <w:r>
        <w:rPr>
          <w:spacing w:val="-66"/>
        </w:rPr>
        <w:t> </w:t>
      </w:r>
      <w:r>
        <w:rPr>
          <w:rFonts w:ascii="宋体" w:hAnsi="宋体" w:cs="宋体" w:eastAsia="宋体" w:hint="default"/>
        </w:rPr>
        <w:t>163,794,465</w:t>
      </w:r>
      <w:r>
        <w:rPr>
          <w:rFonts w:ascii="宋体" w:hAnsi="宋体" w:cs="宋体" w:eastAsia="宋体" w:hint="default"/>
          <w:spacing w:val="-66"/>
        </w:rPr>
        <w:t> </w:t>
      </w:r>
      <w:r>
        <w:rPr>
          <w:spacing w:val="-3"/>
        </w:rPr>
        <w:t>股、</w:t>
      </w:r>
      <w:r>
        <w:rPr>
          <w:rFonts w:ascii="宋体" w:hAnsi="宋体" w:cs="宋体" w:eastAsia="宋体" w:hint="default"/>
          <w:spacing w:val="-3"/>
        </w:rPr>
        <w:t>71,936,758</w:t>
      </w:r>
      <w:r>
        <w:rPr>
          <w:rFonts w:ascii="宋体" w:hAnsi="宋体" w:cs="宋体" w:eastAsia="宋体" w:hint="default"/>
          <w:spacing w:val="-66"/>
        </w:rPr>
        <w:t> </w:t>
      </w:r>
      <w:r>
        <w:rPr/>
        <w:t>股，即上述发行的股份其公允价值分别 为</w:t>
      </w:r>
      <w:r>
        <w:rPr>
          <w:spacing w:val="-54"/>
        </w:rPr>
        <w:t> </w:t>
      </w:r>
      <w:r>
        <w:rPr>
          <w:rFonts w:ascii="宋体" w:hAnsi="宋体" w:cs="宋体" w:eastAsia="宋体" w:hint="default"/>
        </w:rPr>
        <w:t>1,243,199,989.35</w:t>
      </w:r>
      <w:r>
        <w:rPr>
          <w:rFonts w:ascii="宋体" w:hAnsi="宋体" w:cs="宋体" w:eastAsia="宋体" w:hint="default"/>
          <w:spacing w:val="-53"/>
        </w:rPr>
        <w:t> </w:t>
      </w:r>
      <w:r>
        <w:rPr/>
        <w:t>元、</w:t>
      </w:r>
      <w:r>
        <w:rPr>
          <w:rFonts w:ascii="宋体" w:hAnsi="宋体" w:cs="宋体" w:eastAsia="宋体" w:hint="default"/>
        </w:rPr>
        <w:t>545,999,993.22</w:t>
      </w:r>
      <w:r>
        <w:rPr>
          <w:rFonts w:ascii="宋体" w:hAnsi="宋体" w:cs="宋体" w:eastAsia="宋体" w:hint="default"/>
          <w:spacing w:val="-53"/>
        </w:rPr>
        <w:t> </w:t>
      </w:r>
      <w:r>
        <w:rPr/>
        <w:t>元。</w:t>
      </w:r>
    </w:p>
    <w:p>
      <w:pPr>
        <w:pStyle w:val="BodyText"/>
        <w:spacing w:line="441" w:lineRule="auto" w:before="87"/>
        <w:ind w:left="653" w:right="1018"/>
        <w:jc w:val="left"/>
      </w:pPr>
      <w:r>
        <w:rPr>
          <w:rFonts w:ascii="宋体" w:hAnsi="宋体" w:cs="宋体" w:eastAsia="宋体" w:hint="default"/>
        </w:rPr>
        <w:t>(3) </w:t>
      </w:r>
      <w:r>
        <w:rPr/>
        <w:t>大额商誉形成的主要原因 </w:t>
      </w:r>
      <w:r>
        <w:rPr>
          <w:spacing w:val="-3"/>
        </w:rPr>
        <w:t>本次收购的万圣伟业和微创时代均属于轻资产企业，获利能力较强。评估机构在评估上述公司价值时，</w:t>
      </w:r>
    </w:p>
    <w:p>
      <w:pPr>
        <w:pStyle w:val="BodyText"/>
        <w:spacing w:line="408" w:lineRule="auto" w:before="16"/>
        <w:ind w:left="233" w:right="1024"/>
        <w:jc w:val="left"/>
      </w:pPr>
      <w:r>
        <w:rPr/>
        <w:t>从企业未来发展的角度，通过合理预测企业未来收益及其对应的风险，综合评估企业股东全部权益价值。 在评估时，不仅考虑了各分项资产是否在企业中得到合理和充分利用、组合在一起时是否发挥了其应有的 </w:t>
      </w:r>
      <w:r>
        <w:rPr>
          <w:spacing w:val="-3"/>
        </w:rPr>
        <w:t>贡献等因素对企业股东全部权益价值的影响，同时也考虑了企业运营资质、行业竞争力、企业的管理水平、</w:t>
      </w:r>
      <w:r>
        <w:rPr>
          <w:spacing w:val="-90"/>
        </w:rPr>
        <w:t> </w:t>
      </w:r>
      <w:r>
        <w:rPr>
          <w:spacing w:val="-90"/>
        </w:rPr>
      </w:r>
      <w:r>
        <w:rPr/>
        <w:t>人力资源、要素协同作用等资产基础法无法考虑的因素对股东全部权益价值的影响。根据坤元资产评估有</w:t>
      </w:r>
      <w:r>
        <w:rPr/>
        <w:t> 限公司对万圣伟业和微创时代分别出具的《资产评估报告》</w:t>
      </w:r>
      <w:r>
        <w:rPr>
          <w:rFonts w:ascii="宋体" w:hAnsi="宋体" w:cs="宋体" w:eastAsia="宋体" w:hint="default"/>
        </w:rPr>
        <w:t>(</w:t>
      </w:r>
      <w:r>
        <w:rPr/>
        <w:t>坤元评报〔</w:t>
      </w:r>
      <w:r>
        <w:rPr>
          <w:rFonts w:ascii="宋体" w:hAnsi="宋体" w:cs="宋体" w:eastAsia="宋体" w:hint="default"/>
        </w:rPr>
        <w:t>2015</w:t>
      </w:r>
      <w:r>
        <w:rPr/>
        <w:t>〕</w:t>
      </w:r>
      <w:r>
        <w:rPr>
          <w:rFonts w:ascii="宋体" w:hAnsi="宋体" w:cs="宋体" w:eastAsia="宋体" w:hint="default"/>
        </w:rPr>
        <w:t>202</w:t>
      </w:r>
      <w:r>
        <w:rPr>
          <w:rFonts w:ascii="宋体" w:hAnsi="宋体" w:cs="宋体" w:eastAsia="宋体" w:hint="default"/>
          <w:spacing w:val="-55"/>
        </w:rPr>
        <w:t> </w:t>
      </w:r>
      <w:r>
        <w:rPr/>
        <w:t>号、坤元评报〔</w:t>
      </w:r>
      <w:r>
        <w:rPr>
          <w:rFonts w:ascii="宋体" w:hAnsi="宋体" w:cs="宋体" w:eastAsia="宋体" w:hint="default"/>
        </w:rPr>
        <w:t>2015</w:t>
      </w:r>
      <w:r>
        <w:rPr/>
        <w:t>〕 </w:t>
      </w:r>
      <w:r>
        <w:rPr>
          <w:rFonts w:ascii="宋体" w:hAnsi="宋体" w:cs="宋体" w:eastAsia="宋体" w:hint="default"/>
        </w:rPr>
        <w:t>203</w:t>
      </w:r>
      <w:r>
        <w:rPr>
          <w:rFonts w:ascii="宋体" w:hAnsi="宋体" w:cs="宋体" w:eastAsia="宋体" w:hint="default"/>
          <w:spacing w:val="-52"/>
        </w:rPr>
        <w:t> </w:t>
      </w:r>
      <w:r>
        <w:rPr>
          <w:spacing w:val="-15"/>
        </w:rPr>
        <w:t>号</w:t>
      </w:r>
      <w:r>
        <w:rPr>
          <w:rFonts w:ascii="宋体" w:hAnsi="宋体" w:cs="宋体" w:eastAsia="宋体" w:hint="default"/>
          <w:spacing w:val="-15"/>
        </w:rPr>
        <w:t>)</w:t>
      </w:r>
      <w:r>
        <w:rPr>
          <w:spacing w:val="-15"/>
        </w:rPr>
        <w:t>，以</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9"/>
        </w:rPr>
        <w:t>日为基准日，万圣伟业、微创时代</w:t>
      </w:r>
      <w:r>
        <w:rPr>
          <w:spacing w:val="-52"/>
        </w:rPr>
        <w:t> </w:t>
      </w:r>
      <w:r>
        <w:rPr>
          <w:rFonts w:ascii="宋体" w:hAnsi="宋体" w:cs="宋体" w:eastAsia="宋体" w:hint="default"/>
        </w:rPr>
        <w:t>100%</w:t>
      </w:r>
      <w:r>
        <w:rPr/>
        <w:t>股权的评估值分别为</w:t>
      </w:r>
      <w:r>
        <w:rPr>
          <w:spacing w:val="-52"/>
        </w:rPr>
        <w:t> </w:t>
      </w:r>
      <w:r>
        <w:rPr>
          <w:rFonts w:ascii="宋体" w:hAnsi="宋体" w:cs="宋体" w:eastAsia="宋体" w:hint="default"/>
        </w:rPr>
        <w:t>2,072,227,100.00 </w:t>
      </w:r>
      <w:r>
        <w:rPr/>
        <w:t>元、</w:t>
      </w:r>
      <w:r>
        <w:rPr>
          <w:rFonts w:ascii="宋体" w:hAnsi="宋体" w:cs="宋体" w:eastAsia="宋体" w:hint="default"/>
        </w:rPr>
        <w:t>846,246,600.00</w:t>
      </w:r>
      <w:r>
        <w:rPr>
          <w:rFonts w:ascii="宋体" w:hAnsi="宋体" w:cs="宋体" w:eastAsia="宋体" w:hint="default"/>
          <w:spacing w:val="-77"/>
        </w:rPr>
        <w:t> </w:t>
      </w:r>
      <w:r>
        <w:rPr/>
        <w:t>元。在考虑上述各种因素后，上述评价价值较原各公司账面价值</w:t>
      </w:r>
      <w:r>
        <w:rPr>
          <w:rFonts w:ascii="宋体" w:hAnsi="宋体" w:cs="宋体" w:eastAsia="宋体" w:hint="default"/>
        </w:rPr>
        <w:t>(</w:t>
      </w:r>
      <w:r>
        <w:rPr/>
        <w:t>母公司口径</w:t>
      </w:r>
      <w:r>
        <w:rPr>
          <w:rFonts w:ascii="宋体" w:hAnsi="宋体" w:cs="宋体" w:eastAsia="宋体" w:hint="default"/>
        </w:rPr>
        <w:t>)</w:t>
      </w:r>
      <w:r>
        <w:rPr/>
        <w:t>均存在 大幅增值。</w:t>
      </w:r>
    </w:p>
    <w:p>
      <w:pPr>
        <w:pStyle w:val="BodyText"/>
        <w:spacing w:line="240" w:lineRule="auto" w:before="85"/>
        <w:ind w:left="653" w:right="1029"/>
        <w:jc w:val="left"/>
      </w:pPr>
      <w:r>
        <w:rPr>
          <w:rFonts w:ascii="宋体" w:hAnsi="宋体" w:cs="宋体" w:eastAsia="宋体" w:hint="default"/>
        </w:rPr>
        <w:t>3.</w:t>
      </w:r>
      <w:r>
        <w:rPr>
          <w:rFonts w:ascii="宋体" w:hAnsi="宋体" w:cs="宋体" w:eastAsia="宋体" w:hint="default"/>
          <w:spacing w:val="-1"/>
        </w:rPr>
        <w:t> </w:t>
      </w:r>
      <w:r>
        <w:rPr/>
        <w:t>被购买方于购买日可辨认资产、负债</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242"/>
        <w:gridCol w:w="1926"/>
        <w:gridCol w:w="1991"/>
        <w:gridCol w:w="1955"/>
        <w:gridCol w:w="1747"/>
      </w:tblGrid>
      <w:tr>
        <w:trPr>
          <w:trHeight w:val="478" w:hRule="exact"/>
        </w:trPr>
        <w:tc>
          <w:tcPr>
            <w:tcW w:w="22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万圣伟业</w:t>
            </w:r>
          </w:p>
        </w:tc>
        <w:tc>
          <w:tcPr>
            <w:tcW w:w="370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微创时代</w:t>
            </w:r>
          </w:p>
        </w:tc>
      </w:tr>
      <w:tr>
        <w:trPr>
          <w:trHeight w:val="634" w:hRule="exact"/>
        </w:trPr>
        <w:tc>
          <w:tcPr>
            <w:tcW w:w="2242" w:type="dxa"/>
            <w:vMerge/>
            <w:tcBorders>
              <w:left w:val="nil" w:sz="6" w:space="0" w:color="auto"/>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97" w:right="597" w:firstLine="91"/>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30" w:right="629" w:firstLine="91"/>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11" w:right="611" w:firstLine="91"/>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508" w:right="511" w:firstLine="91"/>
              <w:jc w:val="left"/>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47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26"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73,687,002.88</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73,687,002.88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80,592,442.11</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80,592,442.11</w:t>
            </w: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246,368,597.37</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246,368,597.37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213,476,184.82</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213,476,184.82</w:t>
            </w:r>
          </w:p>
        </w:tc>
      </w:tr>
      <w:tr>
        <w:trPr>
          <w:trHeight w:val="47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104,560,454.35</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104,560,454.35</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2,575,766.85</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2,575,766.85</w:t>
            </w: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552,897.96</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552,897.96</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476,220.26</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476,220.26</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42"/>
        <w:gridCol w:w="1926"/>
        <w:gridCol w:w="1991"/>
        <w:gridCol w:w="1955"/>
        <w:gridCol w:w="1747"/>
      </w:tblGrid>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3,225,375.51</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2,830,439.86</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577,615.58</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577,615.58</w:t>
            </w:r>
          </w:p>
        </w:tc>
      </w:tr>
      <w:tr>
        <w:trPr>
          <w:trHeight w:val="47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133,018,666.67</w:t>
            </w:r>
          </w:p>
        </w:tc>
        <w:tc>
          <w:tcPr>
            <w:tcW w:w="1991"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53,384,038.63</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72,038.63</w:t>
            </w: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92"/>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212,400.27</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212,400.27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853,764.16</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853,764.16</w:t>
            </w: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26"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40,214.49</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40,214.49</w:t>
            </w:r>
          </w:p>
        </w:tc>
      </w:tr>
      <w:tr>
        <w:trPr>
          <w:trHeight w:val="47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92"/>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1926"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70,000.00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70,000.00</w:t>
            </w: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26"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26"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199,030,179.04</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199,030,179.04</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189,162,284.91</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189,162,284.91</w:t>
            </w: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14,901,957.65</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14,901,957.65</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5,614,517.13</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5,614,517.13</w:t>
            </w: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347,693,258.32</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214,279,656.00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157,269,444.86</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103,957,444.86</w:t>
            </w:r>
          </w:p>
        </w:tc>
      </w:tr>
      <w:tr>
        <w:trPr>
          <w:trHeight w:val="479"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26" w:type="dxa"/>
            <w:tcBorders>
              <w:top w:val="single" w:sz="4" w:space="0" w:color="000000"/>
              <w:left w:val="single" w:sz="4" w:space="0" w:color="000000"/>
              <w:bottom w:val="single" w:sz="4" w:space="0" w:color="000000"/>
              <w:right w:val="single" w:sz="4" w:space="0" w:color="000000"/>
            </w:tcBorders>
          </w:tcPr>
          <w:p>
            <w:pPr/>
          </w:p>
        </w:tc>
        <w:tc>
          <w:tcPr>
            <w:tcW w:w="1991"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347,693,258.32</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214,279,656.00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157,269,444.86</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103,957,444.86</w:t>
            </w:r>
          </w:p>
        </w:tc>
      </w:tr>
    </w:tbl>
    <w:p>
      <w:pPr>
        <w:pStyle w:val="BodyText"/>
        <w:spacing w:line="408" w:lineRule="auto" w:before="63"/>
        <w:ind w:left="654" w:right="1017"/>
        <w:jc w:val="left"/>
      </w:pPr>
      <w:r>
        <w:rPr>
          <w:rFonts w:ascii="宋体" w:hAnsi="宋体" w:cs="宋体" w:eastAsia="宋体" w:hint="default"/>
        </w:rPr>
        <w:t>(2) </w:t>
      </w:r>
      <w:r>
        <w:rPr/>
        <w:t>可辨认资产、负债公允价值的确定方法 </w:t>
      </w:r>
      <w:r>
        <w:rPr>
          <w:spacing w:val="-3"/>
        </w:rPr>
        <w:t>按照资产基础法，以被评估单位评估基准日的资产负债表为基础，合理评估企业表内及表外各项资产、</w:t>
      </w:r>
    </w:p>
    <w:p>
      <w:pPr>
        <w:pStyle w:val="BodyText"/>
        <w:spacing w:line="408" w:lineRule="auto" w:before="46"/>
        <w:ind w:left="234" w:right="1130"/>
        <w:jc w:val="both"/>
      </w:pPr>
      <w:r>
        <w:rPr>
          <w:spacing w:val="-1"/>
        </w:rPr>
        <w:t>负债价值，确定评估对象价值的评估方法。它是以重置各项生产要素为假设前提，根据委托评估的分项资</w:t>
      </w:r>
      <w:r>
        <w:rPr>
          <w:spacing w:val="-83"/>
        </w:rPr>
        <w:t> </w:t>
      </w:r>
      <w:r>
        <w:rPr>
          <w:spacing w:val="-83"/>
        </w:rPr>
      </w:r>
      <w:r>
        <w:rPr>
          <w:spacing w:val="-1"/>
        </w:rPr>
        <w:t>产的具体情况选用适宜的方法分别评定估算各分项资产的价值并累加求和，再扣减相关负债评估值，得出</w:t>
      </w:r>
      <w:r>
        <w:rPr>
          <w:spacing w:val="-81"/>
        </w:rPr>
        <w:t> </w:t>
      </w:r>
      <w:r>
        <w:rPr>
          <w:spacing w:val="-81"/>
        </w:rPr>
      </w:r>
      <w:r>
        <w:rPr/>
        <w:t>股东全部权益的评估价值。</w:t>
      </w:r>
    </w:p>
    <w:p>
      <w:pPr>
        <w:pStyle w:val="BodyText"/>
        <w:spacing w:line="444" w:lineRule="auto" w:before="46"/>
        <w:ind w:left="654" w:right="7498"/>
        <w:jc w:val="left"/>
      </w:pPr>
      <w:bookmarkStart w:name="(二) 其他原因的合并范围变动" w:id="238"/>
      <w:bookmarkEnd w:id="238"/>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其他原因的合并范围变动 </w:t>
      </w:r>
      <w:r>
        <w:rPr>
          <w:rFonts w:ascii="宋体" w:hAnsi="宋体" w:cs="宋体" w:eastAsia="宋体" w:hint="default"/>
        </w:rPr>
        <w:t>1.</w:t>
      </w:r>
      <w:r>
        <w:rPr>
          <w:rFonts w:ascii="宋体" w:hAnsi="宋体" w:cs="宋体" w:eastAsia="宋体" w:hint="default"/>
          <w:spacing w:val="-1"/>
        </w:rPr>
        <w:t> </w:t>
      </w:r>
      <w:r>
        <w:rPr/>
        <w:t>合并范围增加</w:t>
      </w:r>
    </w:p>
    <w:tbl>
      <w:tblPr>
        <w:tblW w:w="0" w:type="auto"/>
        <w:jc w:val="left"/>
        <w:tblInd w:w="770" w:type="dxa"/>
        <w:tblLayout w:type="fixed"/>
        <w:tblCellMar>
          <w:top w:w="0" w:type="dxa"/>
          <w:left w:w="0" w:type="dxa"/>
          <w:bottom w:w="0" w:type="dxa"/>
          <w:right w:w="0" w:type="dxa"/>
        </w:tblCellMar>
        <w:tblLook w:val="01E0"/>
      </w:tblPr>
      <w:tblGrid>
        <w:gridCol w:w="1228"/>
        <w:gridCol w:w="1217"/>
        <w:gridCol w:w="1724"/>
        <w:gridCol w:w="1050"/>
        <w:gridCol w:w="1049"/>
        <w:gridCol w:w="1023"/>
        <w:gridCol w:w="1253"/>
      </w:tblGrid>
      <w:tr>
        <w:trPr>
          <w:trHeight w:val="634"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49" w:right="158" w:hanging="90"/>
              <w:jc w:val="left"/>
              <w:rPr>
                <w:rFonts w:ascii="宋体" w:hAnsi="宋体" w:cs="宋体" w:eastAsia="宋体" w:hint="default"/>
                <w:sz w:val="18"/>
                <w:szCs w:val="18"/>
              </w:rPr>
            </w:pPr>
            <w:r>
              <w:rPr>
                <w:rFonts w:ascii="宋体" w:hAnsi="宋体" w:cs="宋体" w:eastAsia="宋体" w:hint="default"/>
                <w:sz w:val="18"/>
                <w:szCs w:val="18"/>
              </w:rPr>
              <w:t>注册资本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48" w:right="67" w:hanging="179"/>
              <w:jc w:val="left"/>
              <w:rPr>
                <w:rFonts w:ascii="宋体" w:hAnsi="宋体" w:cs="宋体" w:eastAsia="宋体" w:hint="default"/>
                <w:sz w:val="18"/>
                <w:szCs w:val="18"/>
              </w:rPr>
            </w:pPr>
            <w:r>
              <w:rPr>
                <w:rFonts w:ascii="宋体" w:hAnsi="宋体" w:cs="宋体" w:eastAsia="宋体" w:hint="default"/>
                <w:sz w:val="18"/>
                <w:szCs w:val="18"/>
              </w:rPr>
              <w:t>认缴出资额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35" w:right="57" w:hanging="181"/>
              <w:jc w:val="left"/>
              <w:rPr>
                <w:rFonts w:ascii="宋体" w:hAnsi="宋体" w:cs="宋体" w:eastAsia="宋体" w:hint="default"/>
                <w:sz w:val="18"/>
                <w:szCs w:val="18"/>
              </w:rPr>
            </w:pPr>
            <w:r>
              <w:rPr>
                <w:rFonts w:ascii="宋体" w:hAnsi="宋体" w:cs="宋体" w:eastAsia="宋体" w:hint="default"/>
                <w:sz w:val="18"/>
                <w:szCs w:val="18"/>
              </w:rPr>
              <w:t>实际出资额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
              <w:ind w:left="486" w:right="84" w:hanging="405"/>
              <w:jc w:val="left"/>
              <w:rPr>
                <w:rFonts w:ascii="宋体" w:hAnsi="宋体" w:cs="宋体" w:eastAsia="宋体" w:hint="default"/>
                <w:sz w:val="18"/>
                <w:szCs w:val="18"/>
              </w:rPr>
            </w:pPr>
            <w:r>
              <w:rPr>
                <w:rFonts w:ascii="宋体" w:hAnsi="宋体" w:cs="宋体" w:eastAsia="宋体" w:hint="default"/>
                <w:sz w:val="18"/>
                <w:szCs w:val="18"/>
              </w:rPr>
              <w:t>认缴出资比例 </w:t>
            </w:r>
            <w:r>
              <w:rPr>
                <w:rFonts w:ascii="宋体" w:hAnsi="宋体" w:cs="宋体" w:eastAsia="宋体" w:hint="default"/>
                <w:sz w:val="18"/>
                <w:szCs w:val="18"/>
              </w:rPr>
              <w:t>(%)</w:t>
            </w:r>
          </w:p>
        </w:tc>
      </w:tr>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1" w:right="0"/>
              <w:jc w:val="left"/>
              <w:rPr>
                <w:rFonts w:ascii="宋体" w:hAnsi="宋体" w:cs="宋体" w:eastAsia="宋体" w:hint="default"/>
                <w:sz w:val="18"/>
                <w:szCs w:val="18"/>
              </w:rPr>
            </w:pPr>
            <w:r>
              <w:rPr>
                <w:rFonts w:ascii="宋体" w:hAnsi="宋体" w:cs="宋体" w:eastAsia="宋体" w:hint="default"/>
                <w:sz w:val="18"/>
                <w:szCs w:val="18"/>
              </w:rPr>
              <w:t>成都利欧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9" w:right="0"/>
              <w:jc w:val="left"/>
              <w:rPr>
                <w:rFonts w:ascii="宋体" w:hAnsi="宋体" w:cs="宋体" w:eastAsia="宋体" w:hint="default"/>
                <w:sz w:val="18"/>
                <w:szCs w:val="18"/>
              </w:rPr>
            </w:pPr>
            <w:r>
              <w:rPr>
                <w:rFonts w:ascii="宋体"/>
                <w:sz w:val="18"/>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93"/>
              <w:jc w:val="right"/>
              <w:rPr>
                <w:rFonts w:ascii="宋体" w:hAnsi="宋体" w:cs="宋体" w:eastAsia="宋体" w:hint="default"/>
                <w:sz w:val="18"/>
                <w:szCs w:val="18"/>
              </w:rPr>
            </w:pPr>
            <w:r>
              <w:rPr>
                <w:rFonts w:ascii="宋体"/>
                <w:sz w:val="18"/>
              </w:rPr>
              <w:t>51.00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24.00</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5"/>
              <w:jc w:val="center"/>
              <w:rPr>
                <w:rFonts w:ascii="宋体" w:hAnsi="宋体" w:cs="宋体" w:eastAsia="宋体" w:hint="default"/>
                <w:sz w:val="18"/>
                <w:szCs w:val="18"/>
              </w:rPr>
            </w:pPr>
            <w:r>
              <w:rPr>
                <w:rFonts w:ascii="宋体"/>
                <w:sz w:val="18"/>
              </w:rPr>
              <w:t>51.00</w:t>
            </w:r>
          </w:p>
        </w:tc>
      </w:tr>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1" w:right="0"/>
              <w:jc w:val="left"/>
              <w:rPr>
                <w:rFonts w:ascii="宋体" w:hAnsi="宋体" w:cs="宋体" w:eastAsia="宋体" w:hint="default"/>
                <w:sz w:val="18"/>
                <w:szCs w:val="18"/>
              </w:rPr>
            </w:pPr>
            <w:r>
              <w:rPr>
                <w:rFonts w:ascii="宋体" w:hAnsi="宋体" w:cs="宋体" w:eastAsia="宋体" w:hint="default"/>
                <w:sz w:val="18"/>
                <w:szCs w:val="18"/>
              </w:rPr>
              <w:t>陕西利欧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9" w:right="0"/>
              <w:jc w:val="left"/>
              <w:rPr>
                <w:rFonts w:ascii="宋体" w:hAnsi="宋体" w:cs="宋体" w:eastAsia="宋体" w:hint="default"/>
                <w:sz w:val="18"/>
                <w:szCs w:val="18"/>
              </w:rPr>
            </w:pPr>
            <w:r>
              <w:rPr>
                <w:rFonts w:ascii="宋体"/>
                <w:sz w:val="18"/>
              </w:rPr>
              <w:t>500.00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47"/>
              <w:jc w:val="right"/>
              <w:rPr>
                <w:rFonts w:ascii="宋体" w:hAnsi="宋体" w:cs="宋体" w:eastAsia="宋体" w:hint="default"/>
                <w:sz w:val="18"/>
                <w:szCs w:val="18"/>
              </w:rPr>
            </w:pPr>
            <w:r>
              <w:rPr>
                <w:rFonts w:ascii="宋体"/>
                <w:sz w:val="18"/>
              </w:rPr>
              <w:t>205.00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26.00</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5"/>
              <w:jc w:val="center"/>
              <w:rPr>
                <w:rFonts w:ascii="宋体" w:hAnsi="宋体" w:cs="宋体" w:eastAsia="宋体" w:hint="default"/>
                <w:sz w:val="18"/>
                <w:szCs w:val="18"/>
              </w:rPr>
            </w:pPr>
            <w:r>
              <w:rPr>
                <w:rFonts w:ascii="宋体" w:hAnsi="宋体" w:cs="宋体" w:eastAsia="宋体" w:hint="default"/>
                <w:sz w:val="18"/>
                <w:szCs w:val="18"/>
              </w:rPr>
              <w:t>41.00[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1" w:right="0"/>
              <w:jc w:val="left"/>
              <w:rPr>
                <w:rFonts w:ascii="宋体" w:hAnsi="宋体" w:cs="宋体" w:eastAsia="宋体" w:hint="default"/>
                <w:sz w:val="18"/>
                <w:szCs w:val="18"/>
              </w:rPr>
            </w:pPr>
            <w:r>
              <w:rPr>
                <w:rFonts w:ascii="宋体" w:hAnsi="宋体" w:cs="宋体" w:eastAsia="宋体" w:hint="default"/>
                <w:sz w:val="18"/>
                <w:szCs w:val="18"/>
              </w:rPr>
              <w:t>深圳利欧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95" w:right="0"/>
              <w:jc w:val="left"/>
              <w:rPr>
                <w:rFonts w:ascii="宋体" w:hAnsi="宋体" w:cs="宋体" w:eastAsia="宋体" w:hint="default"/>
                <w:sz w:val="18"/>
                <w:szCs w:val="18"/>
              </w:rPr>
            </w:pPr>
            <w:r>
              <w:rPr>
                <w:rFonts w:ascii="宋体"/>
                <w:sz w:val="18"/>
              </w:rPr>
              <w:t>50.00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93"/>
              <w:jc w:val="right"/>
              <w:rPr>
                <w:rFonts w:ascii="宋体" w:hAnsi="宋体" w:cs="宋体" w:eastAsia="宋体" w:hint="default"/>
                <w:sz w:val="18"/>
                <w:szCs w:val="18"/>
              </w:rPr>
            </w:pPr>
            <w:r>
              <w:rPr>
                <w:rFonts w:ascii="宋体"/>
                <w:sz w:val="18"/>
              </w:rPr>
              <w:t>20.50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5"/>
              <w:jc w:val="center"/>
              <w:rPr>
                <w:rFonts w:ascii="宋体" w:hAnsi="宋体" w:cs="宋体" w:eastAsia="宋体" w:hint="default"/>
                <w:sz w:val="18"/>
                <w:szCs w:val="18"/>
              </w:rPr>
            </w:pPr>
            <w:r>
              <w:rPr>
                <w:rFonts w:ascii="宋体" w:hAnsi="宋体" w:cs="宋体" w:eastAsia="宋体" w:hint="default"/>
                <w:sz w:val="18"/>
                <w:szCs w:val="18"/>
              </w:rPr>
              <w:t>41.00[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1" w:right="0"/>
              <w:jc w:val="left"/>
              <w:rPr>
                <w:rFonts w:ascii="宋体" w:hAnsi="宋体" w:cs="宋体" w:eastAsia="宋体" w:hint="default"/>
                <w:sz w:val="18"/>
                <w:szCs w:val="18"/>
              </w:rPr>
            </w:pPr>
            <w:r>
              <w:rPr>
                <w:rFonts w:ascii="宋体" w:hAnsi="宋体" w:cs="宋体" w:eastAsia="宋体" w:hint="default"/>
                <w:sz w:val="18"/>
                <w:szCs w:val="18"/>
              </w:rPr>
              <w:t>天津利欧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95" w:right="0"/>
              <w:jc w:val="left"/>
              <w:rPr>
                <w:rFonts w:ascii="宋体" w:hAnsi="宋体" w:cs="宋体" w:eastAsia="宋体" w:hint="default"/>
                <w:sz w:val="18"/>
                <w:szCs w:val="18"/>
              </w:rPr>
            </w:pPr>
            <w:r>
              <w:rPr>
                <w:rFonts w:ascii="宋体"/>
                <w:sz w:val="18"/>
              </w:rPr>
              <w:t>50.00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93"/>
              <w:jc w:val="right"/>
              <w:rPr>
                <w:rFonts w:ascii="宋体" w:hAnsi="宋体" w:cs="宋体" w:eastAsia="宋体" w:hint="default"/>
                <w:sz w:val="18"/>
                <w:szCs w:val="18"/>
              </w:rPr>
            </w:pPr>
            <w:r>
              <w:rPr>
                <w:rFonts w:ascii="宋体"/>
                <w:sz w:val="18"/>
              </w:rPr>
              <w:t>20.50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5"/>
              <w:jc w:val="center"/>
              <w:rPr>
                <w:rFonts w:ascii="宋体" w:hAnsi="宋体" w:cs="宋体" w:eastAsia="宋体" w:hint="default"/>
                <w:sz w:val="18"/>
                <w:szCs w:val="18"/>
              </w:rPr>
            </w:pPr>
            <w:r>
              <w:rPr>
                <w:rFonts w:ascii="宋体"/>
                <w:sz w:val="18"/>
              </w:rPr>
              <w:t>51.00</w:t>
            </w:r>
          </w:p>
        </w:tc>
      </w:tr>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1" w:right="0"/>
              <w:jc w:val="left"/>
              <w:rPr>
                <w:rFonts w:ascii="宋体" w:hAnsi="宋体" w:cs="宋体" w:eastAsia="宋体" w:hint="default"/>
                <w:sz w:val="18"/>
                <w:szCs w:val="18"/>
              </w:rPr>
            </w:pPr>
            <w:r>
              <w:rPr>
                <w:rFonts w:ascii="宋体" w:hAnsi="宋体" w:cs="宋体" w:eastAsia="宋体" w:hint="default"/>
                <w:sz w:val="18"/>
                <w:szCs w:val="18"/>
              </w:rPr>
              <w:t>安徽利欧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9" w:right="0"/>
              <w:jc w:val="left"/>
              <w:rPr>
                <w:rFonts w:ascii="宋体" w:hAnsi="宋体" w:cs="宋体" w:eastAsia="宋体" w:hint="default"/>
                <w:sz w:val="18"/>
                <w:szCs w:val="18"/>
              </w:rPr>
            </w:pPr>
            <w:r>
              <w:rPr>
                <w:rFonts w:ascii="宋体"/>
                <w:sz w:val="18"/>
              </w:rPr>
              <w:t>500.00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47"/>
              <w:jc w:val="right"/>
              <w:rPr>
                <w:rFonts w:ascii="宋体" w:hAnsi="宋体" w:cs="宋体" w:eastAsia="宋体" w:hint="default"/>
                <w:sz w:val="18"/>
                <w:szCs w:val="18"/>
              </w:rPr>
            </w:pPr>
            <w:r>
              <w:rPr>
                <w:rFonts w:ascii="宋体"/>
                <w:sz w:val="18"/>
              </w:rPr>
              <w:t>205.00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5"/>
              <w:jc w:val="center"/>
              <w:rPr>
                <w:rFonts w:ascii="宋体" w:hAnsi="宋体" w:cs="宋体" w:eastAsia="宋体" w:hint="default"/>
                <w:sz w:val="18"/>
                <w:szCs w:val="18"/>
              </w:rPr>
            </w:pPr>
            <w:r>
              <w:rPr>
                <w:rFonts w:ascii="宋体"/>
                <w:sz w:val="18"/>
              </w:rPr>
              <w:t>51.00</w:t>
            </w:r>
          </w:p>
        </w:tc>
      </w:tr>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1" w:right="0"/>
              <w:jc w:val="left"/>
              <w:rPr>
                <w:rFonts w:ascii="宋体" w:hAnsi="宋体" w:cs="宋体" w:eastAsia="宋体" w:hint="default"/>
                <w:sz w:val="18"/>
                <w:szCs w:val="18"/>
              </w:rPr>
            </w:pPr>
            <w:r>
              <w:rPr>
                <w:rFonts w:ascii="宋体" w:hAnsi="宋体" w:cs="宋体" w:eastAsia="宋体" w:hint="default"/>
                <w:sz w:val="18"/>
                <w:szCs w:val="18"/>
              </w:rPr>
              <w:t>北京利欧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9" w:right="0"/>
              <w:jc w:val="left"/>
              <w:rPr>
                <w:rFonts w:ascii="宋体" w:hAnsi="宋体" w:cs="宋体" w:eastAsia="宋体" w:hint="default"/>
                <w:sz w:val="18"/>
                <w:szCs w:val="18"/>
              </w:rPr>
            </w:pPr>
            <w:r>
              <w:rPr>
                <w:rFonts w:ascii="宋体"/>
                <w:sz w:val="18"/>
              </w:rPr>
              <w:t>500.00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7"/>
              <w:jc w:val="right"/>
              <w:rPr>
                <w:rFonts w:ascii="宋体" w:hAnsi="宋体" w:cs="宋体" w:eastAsia="宋体" w:hint="default"/>
                <w:sz w:val="18"/>
                <w:szCs w:val="18"/>
              </w:rPr>
            </w:pPr>
            <w:r>
              <w:rPr>
                <w:rFonts w:ascii="宋体"/>
                <w:sz w:val="18"/>
              </w:rPr>
              <w:t>205.00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5"/>
              <w:jc w:val="center"/>
              <w:rPr>
                <w:rFonts w:ascii="宋体" w:hAnsi="宋体" w:cs="宋体" w:eastAsia="宋体" w:hint="default"/>
                <w:sz w:val="18"/>
                <w:szCs w:val="18"/>
              </w:rPr>
            </w:pPr>
            <w:r>
              <w:rPr>
                <w:rFonts w:ascii="宋体"/>
                <w:sz w:val="18"/>
              </w:rPr>
              <w:t>51.00</w:t>
            </w:r>
          </w:p>
        </w:tc>
      </w:tr>
      <w:tr>
        <w:trPr>
          <w:trHeight w:val="559"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1" w:right="0"/>
              <w:jc w:val="left"/>
              <w:rPr>
                <w:rFonts w:ascii="宋体" w:hAnsi="宋体" w:cs="宋体" w:eastAsia="宋体" w:hint="default"/>
                <w:sz w:val="18"/>
                <w:szCs w:val="18"/>
              </w:rPr>
            </w:pPr>
            <w:r>
              <w:rPr>
                <w:rFonts w:ascii="宋体" w:hAnsi="宋体" w:cs="宋体" w:eastAsia="宋体" w:hint="default"/>
                <w:sz w:val="18"/>
                <w:szCs w:val="18"/>
              </w:rPr>
              <w:t>利欧数字</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sz w:val="18"/>
              </w:rPr>
              <w:t>1,000.00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5"/>
              <w:jc w:val="right"/>
              <w:rPr>
                <w:rFonts w:ascii="宋体" w:hAnsi="宋体" w:cs="宋体" w:eastAsia="宋体" w:hint="default"/>
                <w:sz w:val="18"/>
                <w:szCs w:val="18"/>
              </w:rPr>
            </w:pPr>
            <w:r>
              <w:rPr>
                <w:rFonts w:ascii="宋体"/>
                <w:sz w:val="18"/>
              </w:rPr>
              <w:t>1,000.00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84"/>
              <w:jc w:val="center"/>
              <w:rPr>
                <w:rFonts w:ascii="宋体" w:hAnsi="宋体" w:cs="宋体" w:eastAsia="宋体" w:hint="default"/>
                <w:sz w:val="18"/>
                <w:szCs w:val="18"/>
              </w:rPr>
            </w:pPr>
            <w:r>
              <w:rPr>
                <w:rFonts w:ascii="宋体"/>
                <w:sz w:val="18"/>
              </w:rPr>
              <w:t>1,000.00</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2"/>
              <w:jc w:val="center"/>
              <w:rPr>
                <w:rFonts w:ascii="宋体" w:hAnsi="宋体" w:cs="宋体" w:eastAsia="宋体" w:hint="default"/>
                <w:sz w:val="18"/>
                <w:szCs w:val="18"/>
              </w:rPr>
            </w:pPr>
            <w:r>
              <w:rPr>
                <w:rFonts w:ascii="宋体"/>
                <w:sz w:val="18"/>
              </w:rPr>
              <w:t>100.00</w:t>
            </w:r>
          </w:p>
        </w:tc>
      </w:tr>
    </w:tbl>
    <w:p>
      <w:pPr>
        <w:spacing w:after="0" w:line="240" w:lineRule="auto"/>
        <w:jc w:val="center"/>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770" w:type="dxa"/>
        <w:tblLayout w:type="fixed"/>
        <w:tblCellMar>
          <w:top w:w="0" w:type="dxa"/>
          <w:left w:w="0" w:type="dxa"/>
          <w:bottom w:w="0" w:type="dxa"/>
          <w:right w:w="0" w:type="dxa"/>
        </w:tblCellMar>
        <w:tblLook w:val="01E0"/>
      </w:tblPr>
      <w:tblGrid>
        <w:gridCol w:w="1228"/>
        <w:gridCol w:w="1217"/>
        <w:gridCol w:w="1724"/>
        <w:gridCol w:w="1050"/>
        <w:gridCol w:w="1049"/>
        <w:gridCol w:w="1023"/>
        <w:gridCol w:w="1253"/>
      </w:tblGrid>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1" w:right="0"/>
              <w:jc w:val="left"/>
              <w:rPr>
                <w:rFonts w:ascii="宋体" w:hAnsi="宋体" w:cs="宋体" w:eastAsia="宋体" w:hint="default"/>
                <w:sz w:val="18"/>
                <w:szCs w:val="18"/>
              </w:rPr>
            </w:pPr>
            <w:r>
              <w:rPr>
                <w:rFonts w:ascii="宋体" w:hAnsi="宋体" w:cs="宋体" w:eastAsia="宋体" w:hint="default"/>
                <w:sz w:val="18"/>
                <w:szCs w:val="18"/>
              </w:rPr>
              <w:t>利柯网络</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10.00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10.00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sz w:val="18"/>
              </w:rPr>
              <w:t>100.00</w:t>
            </w:r>
          </w:p>
        </w:tc>
      </w:tr>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1" w:right="0"/>
              <w:jc w:val="left"/>
              <w:rPr>
                <w:rFonts w:ascii="宋体" w:hAnsi="宋体" w:cs="宋体" w:eastAsia="宋体" w:hint="default"/>
                <w:sz w:val="18"/>
                <w:szCs w:val="18"/>
              </w:rPr>
            </w:pPr>
            <w:r>
              <w:rPr>
                <w:rFonts w:ascii="宋体" w:hAnsi="宋体" w:cs="宋体" w:eastAsia="宋体" w:hint="default"/>
                <w:sz w:val="18"/>
                <w:szCs w:val="18"/>
              </w:rPr>
              <w:t>同安贸易</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3,000.00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3,000.00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3,000.00</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sz w:val="18"/>
              </w:rPr>
              <w:t>100.00</w:t>
            </w:r>
          </w:p>
        </w:tc>
      </w:tr>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1" w:right="0"/>
              <w:jc w:val="left"/>
              <w:rPr>
                <w:rFonts w:ascii="宋体" w:hAnsi="宋体" w:cs="宋体" w:eastAsia="宋体" w:hint="default"/>
                <w:sz w:val="18"/>
                <w:szCs w:val="18"/>
              </w:rPr>
            </w:pPr>
            <w:r>
              <w:rPr>
                <w:rFonts w:ascii="宋体" w:hAnsi="宋体" w:cs="宋体" w:eastAsia="宋体" w:hint="default"/>
                <w:sz w:val="18"/>
                <w:szCs w:val="18"/>
              </w:rPr>
              <w:t>晟廷科技</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3,500.00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3,500.00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3,500.00</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sz w:val="18"/>
              </w:rPr>
              <w:t>100.00</w:t>
            </w:r>
          </w:p>
        </w:tc>
      </w:tr>
      <w:tr>
        <w:trPr>
          <w:trHeight w:val="558" w:hRule="exact"/>
        </w:trPr>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1" w:right="0"/>
              <w:jc w:val="left"/>
              <w:rPr>
                <w:rFonts w:ascii="宋体" w:hAnsi="宋体" w:cs="宋体" w:eastAsia="宋体" w:hint="default"/>
                <w:sz w:val="18"/>
                <w:szCs w:val="18"/>
              </w:rPr>
            </w:pPr>
            <w:r>
              <w:rPr>
                <w:rFonts w:ascii="宋体" w:hAnsi="宋体" w:cs="宋体" w:eastAsia="宋体" w:hint="default"/>
                <w:sz w:val="18"/>
                <w:szCs w:val="18"/>
              </w:rPr>
              <w:t>利欧泵业</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69,369.00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sz w:val="18"/>
              </w:rPr>
              <w:t>69,369.00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sz w:val="18"/>
              </w:rPr>
              <w:t>100.00</w:t>
            </w:r>
          </w:p>
        </w:tc>
      </w:tr>
    </w:tbl>
    <w:p>
      <w:pPr>
        <w:spacing w:line="240" w:lineRule="auto" w:before="6"/>
        <w:rPr>
          <w:rFonts w:ascii="宋体" w:hAnsi="宋体" w:cs="宋体" w:eastAsia="宋体" w:hint="default"/>
          <w:sz w:val="6"/>
          <w:szCs w:val="6"/>
        </w:rPr>
      </w:pPr>
    </w:p>
    <w:p>
      <w:pPr>
        <w:spacing w:line="477" w:lineRule="auto" w:before="44"/>
        <w:ind w:left="233" w:right="112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7"/>
          <w:sz w:val="18"/>
          <w:szCs w:val="18"/>
        </w:rPr>
        <w:t> </w:t>
      </w:r>
      <w:r>
        <w:rPr>
          <w:rFonts w:ascii="宋体" w:hAnsi="宋体" w:cs="宋体" w:eastAsia="宋体" w:hint="default"/>
          <w:sz w:val="18"/>
          <w:szCs w:val="18"/>
        </w:rPr>
        <w:t>1]</w:t>
      </w:r>
      <w:r>
        <w:rPr>
          <w:rFonts w:ascii="宋体" w:hAnsi="宋体" w:cs="宋体" w:eastAsia="宋体" w:hint="default"/>
          <w:sz w:val="18"/>
          <w:szCs w:val="18"/>
        </w:rPr>
        <w:t>：利欧科技持有陕西利欧环境科技有限公司</w:t>
      </w:r>
      <w:r>
        <w:rPr>
          <w:rFonts w:ascii="宋体" w:hAnsi="宋体" w:cs="宋体" w:eastAsia="宋体" w:hint="default"/>
          <w:sz w:val="18"/>
          <w:szCs w:val="18"/>
        </w:rPr>
        <w:t>(</w:t>
      </w:r>
      <w:r>
        <w:rPr>
          <w:rFonts w:ascii="宋体" w:hAnsi="宋体" w:cs="宋体" w:eastAsia="宋体" w:hint="default"/>
          <w:sz w:val="18"/>
          <w:szCs w:val="18"/>
        </w:rPr>
        <w:t>以下简称陕西利欧</w:t>
      </w:r>
      <w:r>
        <w:rPr>
          <w:rFonts w:ascii="宋体" w:hAnsi="宋体" w:cs="宋体" w:eastAsia="宋体" w:hint="default"/>
          <w:sz w:val="18"/>
          <w:szCs w:val="18"/>
        </w:rPr>
        <w:t>)41%</w:t>
      </w:r>
      <w:r>
        <w:rPr>
          <w:rFonts w:ascii="宋体" w:hAnsi="宋体" w:cs="宋体" w:eastAsia="宋体" w:hint="default"/>
          <w:sz w:val="18"/>
          <w:szCs w:val="18"/>
        </w:rPr>
        <w:t>的股权，根据陕西利欧董事会决议和章程规 定，陕西利欧董事会设成员</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5"/>
          <w:sz w:val="18"/>
          <w:szCs w:val="18"/>
        </w:rPr>
        <w:t> </w:t>
      </w:r>
      <w:r>
        <w:rPr>
          <w:rFonts w:ascii="宋体" w:hAnsi="宋体" w:cs="宋体" w:eastAsia="宋体" w:hint="default"/>
          <w:sz w:val="18"/>
          <w:szCs w:val="18"/>
        </w:rPr>
        <w:t>名，利欧科技派出</w:t>
      </w:r>
      <w:r>
        <w:rPr>
          <w:rFonts w:ascii="宋体" w:hAnsi="宋体" w:cs="宋体" w:eastAsia="宋体" w:hint="default"/>
          <w:spacing w:val="-35"/>
          <w:sz w:val="18"/>
          <w:szCs w:val="18"/>
        </w:rPr>
        <w:t> </w:t>
      </w:r>
      <w:r>
        <w:rPr>
          <w:rFonts w:ascii="宋体" w:hAnsi="宋体" w:cs="宋体" w:eastAsia="宋体" w:hint="default"/>
          <w:sz w:val="18"/>
          <w:szCs w:val="18"/>
        </w:rPr>
        <w:t>2</w:t>
      </w:r>
      <w:r>
        <w:rPr>
          <w:rFonts w:ascii="宋体" w:hAnsi="宋体" w:cs="宋体" w:eastAsia="宋体" w:hint="default"/>
          <w:spacing w:val="-35"/>
          <w:sz w:val="18"/>
          <w:szCs w:val="18"/>
        </w:rPr>
        <w:t> </w:t>
      </w:r>
      <w:r>
        <w:rPr>
          <w:rFonts w:ascii="宋体" w:hAnsi="宋体" w:cs="宋体" w:eastAsia="宋体" w:hint="default"/>
          <w:sz w:val="18"/>
          <w:szCs w:val="18"/>
        </w:rPr>
        <w:t>名董事会成员，占陕西利欧董事会决议表决权的</w:t>
      </w:r>
      <w:r>
        <w:rPr>
          <w:rFonts w:ascii="宋体" w:hAnsi="宋体" w:cs="宋体" w:eastAsia="宋体" w:hint="default"/>
          <w:spacing w:val="-35"/>
          <w:sz w:val="18"/>
          <w:szCs w:val="18"/>
        </w:rPr>
        <w:t> </w:t>
      </w:r>
      <w:r>
        <w:rPr>
          <w:rFonts w:ascii="宋体" w:hAnsi="宋体" w:cs="宋体" w:eastAsia="宋体" w:hint="default"/>
          <w:sz w:val="18"/>
          <w:szCs w:val="18"/>
        </w:rPr>
        <w:t>66.67%</w:t>
      </w:r>
      <w:r>
        <w:rPr>
          <w:rFonts w:ascii="宋体" w:hAnsi="宋体" w:cs="宋体" w:eastAsia="宋体" w:hint="default"/>
          <w:sz w:val="18"/>
          <w:szCs w:val="18"/>
        </w:rPr>
        <w:t>，利欧科技拥有 对其的实质控制权，故将其纳入合并财务报表范围。</w:t>
      </w:r>
    </w:p>
    <w:p>
      <w:pPr>
        <w:spacing w:line="477" w:lineRule="auto" w:before="92"/>
        <w:ind w:left="233" w:right="112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7"/>
          <w:sz w:val="18"/>
          <w:szCs w:val="18"/>
        </w:rPr>
        <w:t> </w:t>
      </w:r>
      <w:r>
        <w:rPr>
          <w:rFonts w:ascii="宋体" w:hAnsi="宋体" w:cs="宋体" w:eastAsia="宋体" w:hint="default"/>
          <w:sz w:val="18"/>
          <w:szCs w:val="18"/>
        </w:rPr>
        <w:t>2]</w:t>
      </w:r>
      <w:r>
        <w:rPr>
          <w:rFonts w:ascii="宋体" w:hAnsi="宋体" w:cs="宋体" w:eastAsia="宋体" w:hint="default"/>
          <w:sz w:val="18"/>
          <w:szCs w:val="18"/>
        </w:rPr>
        <w:t>：利欧科技持有深圳利欧环境科技有限公司</w:t>
      </w:r>
      <w:r>
        <w:rPr>
          <w:rFonts w:ascii="宋体" w:hAnsi="宋体" w:cs="宋体" w:eastAsia="宋体" w:hint="default"/>
          <w:sz w:val="18"/>
          <w:szCs w:val="18"/>
        </w:rPr>
        <w:t>(</w:t>
      </w:r>
      <w:r>
        <w:rPr>
          <w:rFonts w:ascii="宋体" w:hAnsi="宋体" w:cs="宋体" w:eastAsia="宋体" w:hint="default"/>
          <w:sz w:val="18"/>
          <w:szCs w:val="18"/>
        </w:rPr>
        <w:t>以下简称深圳利欧</w:t>
      </w:r>
      <w:r>
        <w:rPr>
          <w:rFonts w:ascii="宋体" w:hAnsi="宋体" w:cs="宋体" w:eastAsia="宋体" w:hint="default"/>
          <w:sz w:val="18"/>
          <w:szCs w:val="18"/>
        </w:rPr>
        <w:t>)41%</w:t>
      </w:r>
      <w:r>
        <w:rPr>
          <w:rFonts w:ascii="宋体" w:hAnsi="宋体" w:cs="宋体" w:eastAsia="宋体" w:hint="default"/>
          <w:sz w:val="18"/>
          <w:szCs w:val="18"/>
        </w:rPr>
        <w:t>的股权，根据深圳利欧董事会决议和章程规 定，深圳利欧董事会设成员</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5"/>
          <w:sz w:val="18"/>
          <w:szCs w:val="18"/>
        </w:rPr>
        <w:t> </w:t>
      </w:r>
      <w:r>
        <w:rPr>
          <w:rFonts w:ascii="宋体" w:hAnsi="宋体" w:cs="宋体" w:eastAsia="宋体" w:hint="default"/>
          <w:sz w:val="18"/>
          <w:szCs w:val="18"/>
        </w:rPr>
        <w:t>名，利欧科技派出</w:t>
      </w:r>
      <w:r>
        <w:rPr>
          <w:rFonts w:ascii="宋体" w:hAnsi="宋体" w:cs="宋体" w:eastAsia="宋体" w:hint="default"/>
          <w:spacing w:val="-35"/>
          <w:sz w:val="18"/>
          <w:szCs w:val="18"/>
        </w:rPr>
        <w:t> </w:t>
      </w:r>
      <w:r>
        <w:rPr>
          <w:rFonts w:ascii="宋体" w:hAnsi="宋体" w:cs="宋体" w:eastAsia="宋体" w:hint="default"/>
          <w:sz w:val="18"/>
          <w:szCs w:val="18"/>
        </w:rPr>
        <w:t>2</w:t>
      </w:r>
      <w:r>
        <w:rPr>
          <w:rFonts w:ascii="宋体" w:hAnsi="宋体" w:cs="宋体" w:eastAsia="宋体" w:hint="default"/>
          <w:spacing w:val="-35"/>
          <w:sz w:val="18"/>
          <w:szCs w:val="18"/>
        </w:rPr>
        <w:t> </w:t>
      </w:r>
      <w:r>
        <w:rPr>
          <w:rFonts w:ascii="宋体" w:hAnsi="宋体" w:cs="宋体" w:eastAsia="宋体" w:hint="default"/>
          <w:sz w:val="18"/>
          <w:szCs w:val="18"/>
        </w:rPr>
        <w:t>名董事会成员，占深圳利欧董事会决议表决权的</w:t>
      </w:r>
      <w:r>
        <w:rPr>
          <w:rFonts w:ascii="宋体" w:hAnsi="宋体" w:cs="宋体" w:eastAsia="宋体" w:hint="default"/>
          <w:spacing w:val="-35"/>
          <w:sz w:val="18"/>
          <w:szCs w:val="18"/>
        </w:rPr>
        <w:t> </w:t>
      </w:r>
      <w:r>
        <w:rPr>
          <w:rFonts w:ascii="宋体" w:hAnsi="宋体" w:cs="宋体" w:eastAsia="宋体" w:hint="default"/>
          <w:sz w:val="18"/>
          <w:szCs w:val="18"/>
        </w:rPr>
        <w:t>66.67%</w:t>
      </w:r>
      <w:r>
        <w:rPr>
          <w:rFonts w:ascii="宋体" w:hAnsi="宋体" w:cs="宋体" w:eastAsia="宋体" w:hint="default"/>
          <w:sz w:val="18"/>
          <w:szCs w:val="18"/>
        </w:rPr>
        <w:t>，利欧科技拥有 对其的实质控制权，故将其纳入合并财务报表范围。</w:t>
      </w:r>
    </w:p>
    <w:p>
      <w:pPr>
        <w:spacing w:before="94"/>
        <w:ind w:left="65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日，利欧科技对该等公司均尚未认缴出资。</w:t>
      </w:r>
    </w:p>
    <w:p>
      <w:pPr>
        <w:spacing w:line="240" w:lineRule="auto" w:before="12"/>
        <w:rPr>
          <w:rFonts w:ascii="宋体" w:hAnsi="宋体" w:cs="宋体" w:eastAsia="宋体" w:hint="default"/>
          <w:sz w:val="20"/>
          <w:szCs w:val="20"/>
        </w:rPr>
      </w:pPr>
    </w:p>
    <w:p>
      <w:pPr>
        <w:spacing w:before="0"/>
        <w:ind w:left="65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日，公司尚未认缴出资。</w:t>
      </w:r>
    </w:p>
    <w:p>
      <w:pPr>
        <w:spacing w:line="240" w:lineRule="auto" w:before="10"/>
        <w:rPr>
          <w:rFonts w:ascii="宋体" w:hAnsi="宋体" w:cs="宋体" w:eastAsia="宋体" w:hint="default"/>
          <w:sz w:val="20"/>
          <w:szCs w:val="20"/>
        </w:rPr>
      </w:pPr>
    </w:p>
    <w:p>
      <w:pPr>
        <w:spacing w:before="0"/>
        <w:ind w:left="653"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日，公司尚未认缴出资。</w:t>
      </w:r>
    </w:p>
    <w:p>
      <w:pPr>
        <w:spacing w:line="240" w:lineRule="auto" w:before="11"/>
        <w:rPr>
          <w:rFonts w:ascii="宋体" w:hAnsi="宋体" w:cs="宋体" w:eastAsia="宋体" w:hint="default"/>
          <w:sz w:val="18"/>
          <w:szCs w:val="18"/>
        </w:rPr>
      </w:pPr>
    </w:p>
    <w:p>
      <w:pPr>
        <w:pStyle w:val="BodyText"/>
        <w:spacing w:line="240" w:lineRule="auto"/>
        <w:ind w:left="653" w:right="1029"/>
        <w:jc w:val="left"/>
      </w:pPr>
      <w:r>
        <w:rPr>
          <w:rFonts w:ascii="宋体" w:hAnsi="宋体" w:cs="宋体" w:eastAsia="宋体" w:hint="default"/>
        </w:rPr>
        <w:t>2.</w:t>
      </w:r>
      <w:r>
        <w:rPr>
          <w:rFonts w:ascii="宋体" w:hAnsi="宋体" w:cs="宋体" w:eastAsia="宋体" w:hint="default"/>
          <w:spacing w:val="-1"/>
        </w:rPr>
        <w:t> </w:t>
      </w:r>
      <w:r>
        <w:rPr/>
        <w:t>合并范围减少</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100"/>
        <w:gridCol w:w="1466"/>
        <w:gridCol w:w="1844"/>
        <w:gridCol w:w="1618"/>
        <w:gridCol w:w="1527"/>
      </w:tblGrid>
      <w:tr>
        <w:trPr>
          <w:trHeight w:val="634"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股权处置方式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股权处置时点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87" w:right="222" w:hanging="270"/>
              <w:jc w:val="left"/>
              <w:rPr>
                <w:rFonts w:ascii="宋体" w:hAnsi="宋体" w:cs="宋体" w:eastAsia="宋体" w:hint="default"/>
                <w:sz w:val="18"/>
                <w:szCs w:val="18"/>
              </w:rPr>
            </w:pPr>
            <w:r>
              <w:rPr>
                <w:rFonts w:ascii="宋体" w:hAnsi="宋体" w:cs="宋体" w:eastAsia="宋体" w:hint="default"/>
                <w:sz w:val="18"/>
                <w:szCs w:val="18"/>
              </w:rPr>
              <w:t>期初至处置日 净利润</w:t>
            </w:r>
          </w:p>
        </w:tc>
      </w:tr>
      <w:tr>
        <w:trPr>
          <w:trHeight w:val="714"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4"/>
              <w:jc w:val="left"/>
              <w:rPr>
                <w:rFonts w:ascii="宋体" w:hAnsi="宋体" w:cs="宋体" w:eastAsia="宋体" w:hint="default"/>
                <w:sz w:val="18"/>
                <w:szCs w:val="18"/>
              </w:rPr>
            </w:pPr>
            <w:r>
              <w:rPr>
                <w:rFonts w:ascii="宋体" w:hAnsi="宋体" w:cs="宋体" w:eastAsia="宋体" w:hint="default"/>
                <w:spacing w:val="6"/>
                <w:sz w:val="18"/>
                <w:szCs w:val="18"/>
              </w:rPr>
              <w:t>上海利泵流体科技发展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清算注销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103,001.01</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0.00</w:t>
            </w:r>
          </w:p>
        </w:tc>
      </w:tr>
      <w:tr>
        <w:trPr>
          <w:trHeight w:val="714"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70"/>
              <w:jc w:val="left"/>
              <w:rPr>
                <w:rFonts w:ascii="宋体" w:hAnsi="宋体" w:cs="宋体" w:eastAsia="宋体" w:hint="default"/>
                <w:sz w:val="18"/>
                <w:szCs w:val="18"/>
              </w:rPr>
            </w:pPr>
            <w:r>
              <w:rPr>
                <w:rFonts w:ascii="宋体" w:hAnsi="宋体" w:cs="宋体" w:eastAsia="宋体" w:hint="default"/>
                <w:spacing w:val="27"/>
                <w:sz w:val="18"/>
                <w:szCs w:val="18"/>
              </w:rPr>
              <w:t>利普诺持之水泵系统</w:t>
            </w:r>
            <w:r>
              <w:rPr>
                <w:rFonts w:ascii="宋体" w:hAnsi="宋体" w:cs="宋体" w:eastAsia="宋体" w:hint="default"/>
                <w:spacing w:val="-86"/>
                <w:sz w:val="18"/>
                <w:szCs w:val="18"/>
              </w:rPr>
              <w:t> </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7"/>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-409,406.02</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-113,083.87</w:t>
            </w:r>
          </w:p>
        </w:tc>
      </w:tr>
      <w:tr>
        <w:trPr>
          <w:trHeight w:val="714"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4"/>
              <w:jc w:val="left"/>
              <w:rPr>
                <w:rFonts w:ascii="宋体" w:hAnsi="宋体" w:cs="宋体" w:eastAsia="宋体" w:hint="default"/>
                <w:sz w:val="18"/>
                <w:szCs w:val="18"/>
              </w:rPr>
            </w:pPr>
            <w:r>
              <w:rPr>
                <w:rFonts w:ascii="宋体" w:hAnsi="宋体" w:cs="宋体" w:eastAsia="宋体" w:hint="default"/>
                <w:spacing w:val="6"/>
                <w:sz w:val="18"/>
                <w:szCs w:val="18"/>
              </w:rPr>
              <w:t>温岭利欧园林机械有限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清算注销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0.00</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115,985.62</w:t>
            </w:r>
          </w:p>
        </w:tc>
      </w:tr>
      <w:tr>
        <w:trPr>
          <w:trHeight w:val="714"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1"/>
              <w:jc w:val="left"/>
              <w:rPr>
                <w:rFonts w:ascii="宋体" w:hAnsi="宋体" w:cs="宋体" w:eastAsia="宋体" w:hint="default"/>
                <w:sz w:val="18"/>
                <w:szCs w:val="18"/>
              </w:rPr>
            </w:pPr>
            <w:r>
              <w:rPr>
                <w:rFonts w:ascii="宋体"/>
                <w:sz w:val="18"/>
              </w:rPr>
              <w:t>CrystalWater</w:t>
            </w:r>
            <w:r>
              <w:rPr>
                <w:rFonts w:ascii="宋体"/>
                <w:spacing w:val="-21"/>
                <w:sz w:val="18"/>
              </w:rPr>
              <w:t> </w:t>
            </w:r>
            <w:r>
              <w:rPr>
                <w:rFonts w:ascii="宋体"/>
                <w:sz w:val="18"/>
              </w:rPr>
              <w:t>Products</w:t>
            </w:r>
            <w:r>
              <w:rPr>
                <w:rFonts w:ascii="宋体"/>
                <w:sz w:val="18"/>
              </w:rPr>
              <w:t> Inc.</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清算注销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0.00</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-638,415.99</w:t>
            </w:r>
          </w:p>
        </w:tc>
      </w:tr>
      <w:tr>
        <w:trPr>
          <w:trHeight w:val="558"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LEO ITALIA S.R.L</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清算注销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0.00</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1,651,106.63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408" w:lineRule="auto" w:before="35"/>
        <w:ind w:left="653" w:right="7813" w:firstLine="0"/>
        <w:jc w:val="left"/>
        <w:rPr>
          <w:rFonts w:ascii="宋体" w:hAnsi="宋体" w:cs="宋体" w:eastAsia="宋体" w:hint="default"/>
          <w:sz w:val="21"/>
          <w:szCs w:val="21"/>
        </w:rPr>
      </w:pPr>
      <w:bookmarkStart w:name="九、在其他主体中的权益" w:id="239"/>
      <w:bookmarkEnd w:id="239"/>
      <w:r>
        <w:rPr/>
      </w:r>
      <w:r>
        <w:rPr>
          <w:rFonts w:ascii="黑体" w:hAnsi="黑体" w:cs="黑体" w:eastAsia="黑体" w:hint="default"/>
          <w:b/>
          <w:bCs/>
          <w:sz w:val="21"/>
          <w:szCs w:val="21"/>
        </w:rPr>
        <w:t>九、在其他主体中的权益</w:t>
      </w:r>
      <w:r>
        <w:rPr>
          <w:rFonts w:ascii="黑体" w:hAnsi="黑体" w:cs="黑体" w:eastAsia="黑体" w:hint="default"/>
          <w:b/>
          <w:bCs/>
          <w:w w:val="99"/>
          <w:sz w:val="21"/>
          <w:szCs w:val="21"/>
        </w:rPr>
        <w:t> </w:t>
      </w:r>
      <w:bookmarkStart w:name="(一)在重要子公司中的权益" w:id="240"/>
      <w:bookmarkEnd w:id="240"/>
      <w:r>
        <w:rPr>
          <w:rFonts w:ascii="黑体" w:hAnsi="黑体" w:cs="黑体" w:eastAsia="黑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在重要子公司中的权益 </w:t>
      </w:r>
      <w:bookmarkStart w:name="1.重要子公司的构成" w:id="241"/>
      <w:bookmarkEnd w:id="241"/>
      <w:r>
        <w:rPr>
          <w:rFonts w:ascii="宋体" w:hAnsi="宋体" w:cs="宋体" w:eastAsia="宋体" w:hint="default"/>
          <w:sz w:val="21"/>
          <w:szCs w:val="21"/>
        </w:rPr>
      </w:r>
      <w:r>
        <w:rPr>
          <w:rFonts w:ascii="宋体" w:hAnsi="宋体" w:cs="宋体" w:eastAsia="宋体" w:hint="default"/>
          <w:sz w:val="21"/>
          <w:szCs w:val="21"/>
        </w:rPr>
        <w:t>1.</w:t>
      </w:r>
      <w:r>
        <w:rPr>
          <w:rFonts w:ascii="宋体" w:hAnsi="宋体" w:cs="宋体" w:eastAsia="宋体" w:hint="default"/>
          <w:sz w:val="21"/>
          <w:szCs w:val="21"/>
        </w:rPr>
        <w:t>重要子公司的构成</w:t>
      </w:r>
    </w:p>
    <w:tbl>
      <w:tblPr>
        <w:tblW w:w="0" w:type="auto"/>
        <w:jc w:val="left"/>
        <w:tblInd w:w="126" w:type="dxa"/>
        <w:tblLayout w:type="fixed"/>
        <w:tblCellMar>
          <w:top w:w="0" w:type="dxa"/>
          <w:left w:w="0" w:type="dxa"/>
          <w:bottom w:w="0" w:type="dxa"/>
          <w:right w:w="0" w:type="dxa"/>
        </w:tblCellMar>
        <w:tblLook w:val="01E0"/>
      </w:tblPr>
      <w:tblGrid>
        <w:gridCol w:w="2111"/>
        <w:gridCol w:w="1168"/>
        <w:gridCol w:w="1022"/>
        <w:gridCol w:w="1723"/>
        <w:gridCol w:w="1467"/>
        <w:gridCol w:w="2365"/>
      </w:tblGrid>
      <w:tr>
        <w:trPr>
          <w:trHeight w:val="479"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8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18"/>
                <w:szCs w:val="18"/>
              </w:rPr>
            </w:pPr>
            <w:r>
              <w:rPr>
                <w:rFonts w:ascii="宋体" w:hAnsi="宋体" w:cs="宋体" w:eastAsia="宋体" w:hint="default"/>
                <w:sz w:val="18"/>
                <w:szCs w:val="18"/>
              </w:rPr>
              <w:t>主要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9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center"/>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center"/>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126"/>
        <w:gridCol w:w="1168"/>
        <w:gridCol w:w="1022"/>
        <w:gridCol w:w="1723"/>
        <w:gridCol w:w="883"/>
        <w:gridCol w:w="584"/>
        <w:gridCol w:w="2365"/>
      </w:tblGrid>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经营地</w:t>
            </w:r>
          </w:p>
        </w:tc>
        <w:tc>
          <w:tcPr>
            <w:tcW w:w="1022"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7"/>
              <w:jc w:val="right"/>
              <w:rPr>
                <w:rFonts w:ascii="宋体" w:hAnsi="宋体" w:cs="宋体" w:eastAsia="宋体" w:hint="default"/>
                <w:sz w:val="18"/>
                <w:szCs w:val="18"/>
              </w:rPr>
            </w:pPr>
            <w:r>
              <w:rPr>
                <w:rFonts w:ascii="宋体" w:hAnsi="宋体" w:cs="宋体" w:eastAsia="宋体" w:hint="default"/>
                <w:sz w:val="18"/>
                <w:szCs w:val="18"/>
              </w:rPr>
              <w:t>直接</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365"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8"/>
              <w:jc w:val="right"/>
              <w:rPr>
                <w:rFonts w:ascii="宋体" w:hAnsi="宋体" w:cs="宋体" w:eastAsia="宋体" w:hint="default"/>
                <w:sz w:val="18"/>
                <w:szCs w:val="18"/>
              </w:rPr>
            </w:pPr>
            <w:r>
              <w:rPr>
                <w:rFonts w:ascii="宋体"/>
                <w:sz w:val="18"/>
              </w:rPr>
              <w:t>70.00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湖南利欧</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湘潭市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湘潭市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湖南天鹅</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湘潭市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湘潭市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9"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大连市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大连市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8"/>
              <w:jc w:val="right"/>
              <w:rPr>
                <w:rFonts w:ascii="宋体" w:hAnsi="宋体" w:cs="宋体" w:eastAsia="宋体" w:hint="default"/>
                <w:sz w:val="18"/>
                <w:szCs w:val="18"/>
              </w:rPr>
            </w:pPr>
            <w:r>
              <w:rPr>
                <w:rFonts w:ascii="宋体"/>
                <w:sz w:val="18"/>
              </w:rPr>
              <w:t>85.00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9"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8"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万圣伟业</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其他互联网服务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79"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微创时代</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其他互联网服务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8"/>
              <w:jc w:val="right"/>
              <w:rPr>
                <w:rFonts w:ascii="宋体" w:hAnsi="宋体" w:cs="宋体" w:eastAsia="宋体" w:hint="default"/>
                <w:sz w:val="18"/>
                <w:szCs w:val="18"/>
              </w:rPr>
            </w:pPr>
            <w:r>
              <w:rPr>
                <w:rFonts w:ascii="宋体"/>
                <w:sz w:val="18"/>
              </w:rPr>
              <w:t>100.00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240" w:lineRule="auto" w:before="63"/>
        <w:ind w:left="654" w:right="1029"/>
        <w:jc w:val="left"/>
      </w:pPr>
      <w:bookmarkStart w:name="2.重要的非全资子公司" w:id="242"/>
      <w:bookmarkEnd w:id="242"/>
      <w:r>
        <w:rPr/>
      </w:r>
      <w:r>
        <w:rPr>
          <w:rFonts w:ascii="宋体" w:hAnsi="宋体" w:cs="宋体" w:eastAsia="宋体" w:hint="default"/>
        </w:rPr>
        <w:t>2.</w:t>
      </w:r>
      <w:r>
        <w:rPr/>
        <w:t>重要的非全资子公司</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105"/>
        <w:gridCol w:w="1172"/>
        <w:gridCol w:w="2507"/>
        <w:gridCol w:w="1714"/>
        <w:gridCol w:w="2371"/>
      </w:tblGrid>
      <w:tr>
        <w:trPr>
          <w:trHeight w:val="63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3" w:right="217"/>
              <w:jc w:val="left"/>
              <w:rPr>
                <w:rFonts w:ascii="宋体" w:hAnsi="宋体" w:cs="宋体" w:eastAsia="宋体" w:hint="default"/>
                <w:sz w:val="18"/>
                <w:szCs w:val="18"/>
              </w:rPr>
            </w:pPr>
            <w:r>
              <w:rPr>
                <w:rFonts w:ascii="宋体" w:hAnsi="宋体" w:cs="宋体" w:eastAsia="宋体" w:hint="default"/>
                <w:sz w:val="18"/>
                <w:szCs w:val="18"/>
              </w:rPr>
              <w:t>少数股东 持股比例</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09" w:right="707"/>
              <w:jc w:val="left"/>
              <w:rPr>
                <w:rFonts w:ascii="宋体" w:hAnsi="宋体" w:cs="宋体" w:eastAsia="宋体" w:hint="default"/>
                <w:sz w:val="18"/>
                <w:szCs w:val="18"/>
              </w:rPr>
            </w:pPr>
            <w:r>
              <w:rPr>
                <w:rFonts w:ascii="宋体" w:hAnsi="宋体" w:cs="宋体" w:eastAsia="宋体" w:hint="default"/>
                <w:sz w:val="18"/>
                <w:szCs w:val="18"/>
              </w:rPr>
              <w:t>本期归属于少 数股东的损益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3" w:right="219"/>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22" w:right="642" w:hanging="180"/>
              <w:jc w:val="left"/>
              <w:rPr>
                <w:rFonts w:ascii="宋体" w:hAnsi="宋体" w:cs="宋体" w:eastAsia="宋体" w:hint="default"/>
                <w:sz w:val="18"/>
                <w:szCs w:val="18"/>
              </w:rPr>
            </w:pPr>
            <w:r>
              <w:rPr>
                <w:rFonts w:ascii="宋体" w:hAnsi="宋体" w:cs="宋体" w:eastAsia="宋体" w:hint="default"/>
                <w:sz w:val="18"/>
                <w:szCs w:val="18"/>
              </w:rPr>
              <w:t>期末少数股东 权益余额</w:t>
            </w:r>
          </w:p>
        </w:tc>
      </w:tr>
      <w:tr>
        <w:trPr>
          <w:trHeight w:val="479"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30%</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8,381,840.65</w:t>
            </w:r>
          </w:p>
        </w:tc>
        <w:tc>
          <w:tcPr>
            <w:tcW w:w="1714" w:type="dxa"/>
            <w:tcBorders>
              <w:top w:val="single" w:sz="4" w:space="0" w:color="000000"/>
              <w:left w:val="single" w:sz="4" w:space="0" w:color="000000"/>
              <w:bottom w:val="single" w:sz="4" w:space="0" w:color="000000"/>
              <w:right w:val="single" w:sz="4" w:space="0" w:color="000000"/>
            </w:tcBorders>
          </w:tcPr>
          <w:p>
            <w:pP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45,401,448.98</w:t>
            </w:r>
          </w:p>
        </w:tc>
      </w:tr>
      <w:tr>
        <w:trPr>
          <w:trHeight w:val="478"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15%</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9,454,983.00</w:t>
            </w:r>
          </w:p>
        </w:tc>
        <w:tc>
          <w:tcPr>
            <w:tcW w:w="1714" w:type="dxa"/>
            <w:tcBorders>
              <w:top w:val="single" w:sz="4" w:space="0" w:color="000000"/>
              <w:left w:val="single" w:sz="4" w:space="0" w:color="000000"/>
              <w:bottom w:val="single" w:sz="4" w:space="0" w:color="000000"/>
              <w:right w:val="single" w:sz="4" w:space="0" w:color="000000"/>
            </w:tcBorders>
          </w:tcPr>
          <w:p>
            <w:pP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19,426,888.90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408" w:lineRule="auto" w:before="35"/>
        <w:ind w:left="654" w:right="6972"/>
        <w:jc w:val="left"/>
      </w:pPr>
      <w:bookmarkStart w:name="3.重要非全资子公司的主要财务信息" w:id="243"/>
      <w:bookmarkEnd w:id="243"/>
      <w:r>
        <w:rPr/>
      </w:r>
      <w:r>
        <w:rPr>
          <w:rFonts w:ascii="宋体" w:hAnsi="宋体" w:cs="宋体" w:eastAsia="宋体" w:hint="default"/>
        </w:rPr>
        <w:t>3.</w:t>
      </w:r>
      <w:r>
        <w:rPr/>
        <w:t>重要非全资子公司的主要财务信息 </w:t>
      </w:r>
      <w:r>
        <w:rPr>
          <w:rFonts w:ascii="宋体" w:hAnsi="宋体" w:cs="宋体" w:eastAsia="宋体" w:hint="default"/>
        </w:rPr>
        <w:t>(1)</w:t>
      </w:r>
      <w:r>
        <w:rPr/>
        <w:t>资产和负债情况</w:t>
      </w:r>
    </w:p>
    <w:tbl>
      <w:tblPr>
        <w:tblW w:w="0" w:type="auto"/>
        <w:jc w:val="left"/>
        <w:tblInd w:w="130" w:type="dxa"/>
        <w:tblLayout w:type="fixed"/>
        <w:tblCellMar>
          <w:top w:w="0" w:type="dxa"/>
          <w:left w:w="0" w:type="dxa"/>
          <w:bottom w:w="0" w:type="dxa"/>
          <w:right w:w="0" w:type="dxa"/>
        </w:tblCellMar>
        <w:tblLook w:val="01E0"/>
      </w:tblPr>
      <w:tblGrid>
        <w:gridCol w:w="1151"/>
        <w:gridCol w:w="1486"/>
        <w:gridCol w:w="1377"/>
        <w:gridCol w:w="1471"/>
        <w:gridCol w:w="1438"/>
        <w:gridCol w:w="1358"/>
        <w:gridCol w:w="1538"/>
      </w:tblGrid>
      <w:tr>
        <w:trPr>
          <w:trHeight w:val="478" w:hRule="exact"/>
        </w:trPr>
        <w:tc>
          <w:tcPr>
            <w:tcW w:w="1151" w:type="dxa"/>
            <w:vMerge w:val="restart"/>
            <w:tcBorders>
              <w:top w:val="single" w:sz="4" w:space="0" w:color="000000"/>
              <w:left w:val="nil" w:sz="6" w:space="0" w:color="auto"/>
              <w:right w:val="single" w:sz="4" w:space="0" w:color="000000"/>
            </w:tcBorders>
          </w:tcPr>
          <w:p>
            <w:pPr>
              <w:pStyle w:val="TableParagraph"/>
              <w:spacing w:line="316" w:lineRule="auto" w:before="154"/>
              <w:ind w:left="401" w:right="2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8667"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9" w:hRule="exact"/>
        </w:trPr>
        <w:tc>
          <w:tcPr>
            <w:tcW w:w="1151"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7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6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5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403"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78" w:hRule="exact"/>
        </w:trPr>
        <w:tc>
          <w:tcPr>
            <w:tcW w:w="1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5"/>
              <w:jc w:val="right"/>
              <w:rPr>
                <w:rFonts w:ascii="宋体" w:hAnsi="宋体" w:cs="宋体" w:eastAsia="宋体" w:hint="default"/>
                <w:sz w:val="15"/>
                <w:szCs w:val="15"/>
              </w:rPr>
            </w:pPr>
            <w:r>
              <w:rPr>
                <w:rFonts w:ascii="宋体"/>
                <w:spacing w:val="-1"/>
                <w:sz w:val="15"/>
              </w:rPr>
              <w:t>102,967,822.94</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6"/>
              <w:jc w:val="right"/>
              <w:rPr>
                <w:rFonts w:ascii="宋体" w:hAnsi="宋体" w:cs="宋体" w:eastAsia="宋体" w:hint="default"/>
                <w:sz w:val="15"/>
                <w:szCs w:val="15"/>
              </w:rPr>
            </w:pPr>
            <w:r>
              <w:rPr>
                <w:rFonts w:ascii="宋体"/>
                <w:spacing w:val="-1"/>
                <w:sz w:val="15"/>
              </w:rPr>
              <w:t>126,380,995.76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5"/>
              <w:jc w:val="right"/>
              <w:rPr>
                <w:rFonts w:ascii="宋体" w:hAnsi="宋体" w:cs="宋体" w:eastAsia="宋体" w:hint="default"/>
                <w:sz w:val="15"/>
                <w:szCs w:val="15"/>
              </w:rPr>
            </w:pPr>
            <w:r>
              <w:rPr>
                <w:rFonts w:ascii="宋体"/>
                <w:spacing w:val="-1"/>
                <w:sz w:val="15"/>
              </w:rPr>
              <w:t>229,348,818.70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2"/>
              <w:jc w:val="right"/>
              <w:rPr>
                <w:rFonts w:ascii="宋体" w:hAnsi="宋体" w:cs="宋体" w:eastAsia="宋体" w:hint="default"/>
                <w:sz w:val="15"/>
                <w:szCs w:val="15"/>
              </w:rPr>
            </w:pPr>
            <w:r>
              <w:rPr>
                <w:rFonts w:ascii="宋体"/>
                <w:spacing w:val="-1"/>
                <w:sz w:val="15"/>
              </w:rPr>
              <w:t>68,158,393.66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0"/>
              <w:jc w:val="right"/>
              <w:rPr>
                <w:rFonts w:ascii="宋体" w:hAnsi="宋体" w:cs="宋体" w:eastAsia="宋体" w:hint="default"/>
                <w:sz w:val="15"/>
                <w:szCs w:val="15"/>
              </w:rPr>
            </w:pPr>
            <w:r>
              <w:rPr>
                <w:rFonts w:ascii="宋体"/>
                <w:spacing w:val="-1"/>
                <w:sz w:val="15"/>
              </w:rPr>
              <w:t>9,852,261.77</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6"/>
              <w:jc w:val="right"/>
              <w:rPr>
                <w:rFonts w:ascii="宋体" w:hAnsi="宋体" w:cs="宋体" w:eastAsia="宋体" w:hint="default"/>
                <w:sz w:val="15"/>
                <w:szCs w:val="15"/>
              </w:rPr>
            </w:pPr>
            <w:r>
              <w:rPr>
                <w:rFonts w:ascii="宋体"/>
                <w:spacing w:val="-1"/>
                <w:sz w:val="15"/>
              </w:rPr>
              <w:t>78,010,655.43</w:t>
            </w:r>
          </w:p>
        </w:tc>
      </w:tr>
      <w:tr>
        <w:trPr>
          <w:trHeight w:val="479" w:hRule="exact"/>
        </w:trPr>
        <w:tc>
          <w:tcPr>
            <w:tcW w:w="1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5"/>
              <w:jc w:val="right"/>
              <w:rPr>
                <w:rFonts w:ascii="宋体" w:hAnsi="宋体" w:cs="宋体" w:eastAsia="宋体" w:hint="default"/>
                <w:sz w:val="15"/>
                <w:szCs w:val="15"/>
              </w:rPr>
            </w:pPr>
            <w:r>
              <w:rPr>
                <w:rFonts w:ascii="宋体"/>
                <w:spacing w:val="-1"/>
                <w:sz w:val="15"/>
              </w:rPr>
              <w:t>1,129,064,778.47</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6"/>
              <w:jc w:val="right"/>
              <w:rPr>
                <w:rFonts w:ascii="宋体" w:hAnsi="宋体" w:cs="宋体" w:eastAsia="宋体" w:hint="default"/>
                <w:sz w:val="15"/>
                <w:szCs w:val="15"/>
              </w:rPr>
            </w:pPr>
            <w:r>
              <w:rPr>
                <w:rFonts w:ascii="宋体"/>
                <w:spacing w:val="-1"/>
                <w:sz w:val="15"/>
              </w:rPr>
              <w:t>18,287,874.96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5"/>
              <w:jc w:val="right"/>
              <w:rPr>
                <w:rFonts w:ascii="宋体" w:hAnsi="宋体" w:cs="宋体" w:eastAsia="宋体" w:hint="default"/>
                <w:sz w:val="15"/>
                <w:szCs w:val="15"/>
              </w:rPr>
            </w:pPr>
            <w:r>
              <w:rPr>
                <w:rFonts w:ascii="宋体"/>
                <w:spacing w:val="-1"/>
                <w:sz w:val="15"/>
              </w:rPr>
              <w:t>1,147,352,653.43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5"/>
              <w:jc w:val="right"/>
              <w:rPr>
                <w:rFonts w:ascii="宋体" w:hAnsi="宋体" w:cs="宋体" w:eastAsia="宋体" w:hint="default"/>
                <w:sz w:val="15"/>
                <w:szCs w:val="15"/>
              </w:rPr>
            </w:pPr>
            <w:r>
              <w:rPr>
                <w:rFonts w:ascii="宋体"/>
                <w:spacing w:val="-1"/>
                <w:sz w:val="15"/>
              </w:rPr>
              <w:t>865,079,547.09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7"/>
              <w:jc w:val="right"/>
              <w:rPr>
                <w:rFonts w:ascii="宋体" w:hAnsi="宋体" w:cs="宋体" w:eastAsia="宋体" w:hint="default"/>
                <w:sz w:val="15"/>
                <w:szCs w:val="15"/>
              </w:rPr>
            </w:pPr>
            <w:r>
              <w:rPr>
                <w:rFonts w:ascii="宋体"/>
                <w:spacing w:val="-1"/>
                <w:sz w:val="15"/>
              </w:rPr>
              <w:t>152,760,513.64</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6"/>
              <w:jc w:val="right"/>
              <w:rPr>
                <w:rFonts w:ascii="宋体" w:hAnsi="宋体" w:cs="宋体" w:eastAsia="宋体" w:hint="default"/>
                <w:sz w:val="15"/>
                <w:szCs w:val="15"/>
              </w:rPr>
            </w:pPr>
            <w:r>
              <w:rPr>
                <w:rFonts w:ascii="宋体"/>
                <w:spacing w:val="-1"/>
                <w:sz w:val="15"/>
              </w:rPr>
              <w:t>1,017,840,060.73</w:t>
            </w:r>
          </w:p>
        </w:tc>
      </w:tr>
    </w:tbl>
    <w:p>
      <w:pPr>
        <w:pStyle w:val="BodyText"/>
        <w:spacing w:line="240" w:lineRule="auto" w:before="46"/>
        <w:ind w:left="654" w:right="1029"/>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127"/>
        <w:gridCol w:w="1378"/>
        <w:gridCol w:w="1422"/>
        <w:gridCol w:w="1471"/>
        <w:gridCol w:w="1470"/>
        <w:gridCol w:w="1414"/>
        <w:gridCol w:w="1502"/>
      </w:tblGrid>
      <w:tr>
        <w:trPr>
          <w:trHeight w:val="478" w:hRule="exact"/>
        </w:trPr>
        <w:tc>
          <w:tcPr>
            <w:tcW w:w="1127"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91" w:right="279"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8658"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1127" w:type="dxa"/>
            <w:vMerge/>
            <w:tcBorders>
              <w:left w:val="nil" w:sz="6" w:space="0" w:color="auto"/>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385"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79" w:hRule="exact"/>
        </w:trPr>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109,376,062.87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宋体" w:hAnsi="宋体" w:cs="宋体" w:eastAsia="宋体" w:hint="default"/>
                <w:sz w:val="15"/>
                <w:szCs w:val="15"/>
              </w:rPr>
            </w:pPr>
            <w:r>
              <w:rPr>
                <w:rFonts w:ascii="宋体"/>
                <w:spacing w:val="-1"/>
                <w:sz w:val="15"/>
              </w:rPr>
              <w:t>83,509,517.88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08" w:right="0"/>
              <w:jc w:val="left"/>
              <w:rPr>
                <w:rFonts w:ascii="宋体" w:hAnsi="宋体" w:cs="宋体" w:eastAsia="宋体" w:hint="default"/>
                <w:sz w:val="15"/>
                <w:szCs w:val="15"/>
              </w:rPr>
            </w:pPr>
            <w:r>
              <w:rPr>
                <w:rFonts w:ascii="宋体"/>
                <w:sz w:val="15"/>
              </w:rPr>
              <w:t>192,885,580.75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1" w:right="0"/>
              <w:jc w:val="left"/>
              <w:rPr>
                <w:rFonts w:ascii="宋体" w:hAnsi="宋体" w:cs="宋体" w:eastAsia="宋体" w:hint="default"/>
                <w:sz w:val="15"/>
                <w:szCs w:val="15"/>
              </w:rPr>
            </w:pPr>
            <w:r>
              <w:rPr>
                <w:rFonts w:ascii="宋体"/>
                <w:sz w:val="15"/>
              </w:rPr>
              <w:t>63,668,017.34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5"/>
                <w:szCs w:val="15"/>
              </w:rPr>
            </w:pPr>
            <w:r>
              <w:rPr>
                <w:rFonts w:ascii="宋体"/>
                <w:spacing w:val="-1"/>
                <w:sz w:val="15"/>
              </w:rPr>
              <w:t>5,818,868.97</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7"/>
              <w:jc w:val="right"/>
              <w:rPr>
                <w:rFonts w:ascii="宋体" w:hAnsi="宋体" w:cs="宋体" w:eastAsia="宋体" w:hint="default"/>
                <w:sz w:val="15"/>
                <w:szCs w:val="15"/>
              </w:rPr>
            </w:pPr>
            <w:r>
              <w:rPr>
                <w:rFonts w:ascii="宋体"/>
                <w:spacing w:val="-1"/>
                <w:sz w:val="15"/>
              </w:rPr>
              <w:t>69,486,886.31</w:t>
            </w:r>
          </w:p>
        </w:tc>
      </w:tr>
      <w:tr>
        <w:trPr>
          <w:trHeight w:val="478" w:hRule="exact"/>
        </w:trPr>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159,822,422.86</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37,666,697.03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08" w:right="0"/>
              <w:jc w:val="left"/>
              <w:rPr>
                <w:rFonts w:ascii="宋体" w:hAnsi="宋体" w:cs="宋体" w:eastAsia="宋体" w:hint="default"/>
                <w:sz w:val="15"/>
                <w:szCs w:val="15"/>
              </w:rPr>
            </w:pPr>
            <w:r>
              <w:rPr>
                <w:rFonts w:ascii="宋体"/>
                <w:sz w:val="15"/>
              </w:rPr>
              <w:t>197,489,119.89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2" w:right="0"/>
              <w:jc w:val="left"/>
              <w:rPr>
                <w:rFonts w:ascii="宋体" w:hAnsi="宋体" w:cs="宋体" w:eastAsia="宋体" w:hint="default"/>
                <w:sz w:val="15"/>
                <w:szCs w:val="15"/>
              </w:rPr>
            </w:pPr>
            <w:r>
              <w:rPr>
                <w:rFonts w:ascii="宋体"/>
                <w:sz w:val="15"/>
              </w:rPr>
              <w:t>85,805,072.90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743,161.65</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86,548,234.55</w:t>
            </w:r>
          </w:p>
        </w:tc>
      </w:tr>
      <w:tr>
        <w:trPr>
          <w:trHeight w:val="479" w:hRule="exact"/>
        </w:trPr>
        <w:tc>
          <w:tcPr>
            <w:tcW w:w="1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830,111,135.68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宋体" w:hAnsi="宋体" w:cs="宋体" w:eastAsia="宋体" w:hint="default"/>
                <w:sz w:val="15"/>
                <w:szCs w:val="15"/>
              </w:rPr>
            </w:pPr>
            <w:r>
              <w:rPr>
                <w:rFonts w:ascii="宋体"/>
                <w:spacing w:val="-1"/>
                <w:sz w:val="15"/>
              </w:rPr>
              <w:t>10,817,914.74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08" w:right="0"/>
              <w:jc w:val="left"/>
              <w:rPr>
                <w:rFonts w:ascii="宋体" w:hAnsi="宋体" w:cs="宋体" w:eastAsia="宋体" w:hint="default"/>
                <w:sz w:val="15"/>
                <w:szCs w:val="15"/>
              </w:rPr>
            </w:pPr>
            <w:r>
              <w:rPr>
                <w:rFonts w:ascii="宋体"/>
                <w:sz w:val="15"/>
              </w:rPr>
              <w:t>840,929,050.42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07" w:right="0"/>
              <w:jc w:val="left"/>
              <w:rPr>
                <w:rFonts w:ascii="宋体" w:hAnsi="宋体" w:cs="宋体" w:eastAsia="宋体" w:hint="default"/>
                <w:sz w:val="15"/>
                <w:szCs w:val="15"/>
              </w:rPr>
            </w:pPr>
            <w:r>
              <w:rPr>
                <w:rFonts w:ascii="宋体"/>
                <w:sz w:val="15"/>
              </w:rPr>
              <w:t>623,149,677.75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151,300,000.00</w:t>
            </w:r>
          </w:p>
        </w:tc>
        <w:tc>
          <w:tcPr>
            <w:tcW w:w="1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6"/>
              <w:jc w:val="right"/>
              <w:rPr>
                <w:rFonts w:ascii="宋体" w:hAnsi="宋体" w:cs="宋体" w:eastAsia="宋体" w:hint="default"/>
                <w:sz w:val="15"/>
                <w:szCs w:val="15"/>
              </w:rPr>
            </w:pPr>
            <w:r>
              <w:rPr>
                <w:rFonts w:ascii="宋体"/>
                <w:spacing w:val="-1"/>
                <w:sz w:val="15"/>
              </w:rPr>
              <w:t>774,449,677.75</w:t>
            </w:r>
          </w:p>
        </w:tc>
      </w:tr>
    </w:tbl>
    <w:p>
      <w:pPr>
        <w:spacing w:after="0" w:line="240" w:lineRule="auto"/>
        <w:jc w:val="right"/>
        <w:rPr>
          <w:rFonts w:ascii="宋体" w:hAnsi="宋体" w:cs="宋体" w:eastAsia="宋体" w:hint="default"/>
          <w:sz w:val="15"/>
          <w:szCs w:val="15"/>
        </w:rPr>
        <w:sectPr>
          <w:pgSz w:w="11910" w:h="16840"/>
          <w:pgMar w:header="877" w:footer="979" w:top="1100" w:bottom="116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654" w:right="1029"/>
        <w:jc w:val="left"/>
      </w:pPr>
      <w:r>
        <w:rPr>
          <w:rFonts w:ascii="宋体" w:hAnsi="宋体" w:cs="宋体" w:eastAsia="宋体" w:hint="default"/>
        </w:rPr>
        <w:t>(2)</w:t>
      </w:r>
      <w:r>
        <w:rPr/>
        <w:t>损益和现金流量情况</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760"/>
        <w:gridCol w:w="1955"/>
        <w:gridCol w:w="1720"/>
        <w:gridCol w:w="2007"/>
        <w:gridCol w:w="2377"/>
      </w:tblGrid>
      <w:tr>
        <w:trPr>
          <w:trHeight w:val="478" w:hRule="exact"/>
        </w:trPr>
        <w:tc>
          <w:tcPr>
            <w:tcW w:w="1760"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617" w:right="595"/>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805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90" w:hRule="exact"/>
        </w:trPr>
        <w:tc>
          <w:tcPr>
            <w:tcW w:w="1760" w:type="dxa"/>
            <w:vMerge/>
            <w:tcBorders>
              <w:left w:val="nil" w:sz="6" w:space="0" w:color="auto"/>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461"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78"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179,408,578.50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27,939,468.83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27,939,468.83</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42,223,420.11</w:t>
            </w:r>
          </w:p>
        </w:tc>
      </w:tr>
      <w:tr>
        <w:trPr>
          <w:trHeight w:val="479"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1,910,158,858.50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63,033,220.03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63,033,220.03</w:t>
            </w:r>
          </w:p>
        </w:tc>
        <w:tc>
          <w:tcPr>
            <w:tcW w:w="2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-142,302,982.75</w:t>
            </w:r>
          </w:p>
        </w:tc>
      </w:tr>
    </w:tbl>
    <w:p>
      <w:pPr>
        <w:pStyle w:val="BodyText"/>
        <w:spacing w:line="240" w:lineRule="auto" w:before="63"/>
        <w:ind w:left="654" w:right="1029"/>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2"/>
        <w:rPr>
          <w:rFonts w:ascii="宋体" w:hAnsi="宋体" w:cs="宋体" w:eastAsia="宋体" w:hint="default"/>
          <w:sz w:val="9"/>
          <w:szCs w:val="9"/>
        </w:rPr>
      </w:pPr>
    </w:p>
    <w:tbl>
      <w:tblPr>
        <w:tblW w:w="0" w:type="auto"/>
        <w:jc w:val="left"/>
        <w:tblInd w:w="130" w:type="dxa"/>
        <w:tblLayout w:type="fixed"/>
        <w:tblCellMar>
          <w:top w:w="0" w:type="dxa"/>
          <w:left w:w="0" w:type="dxa"/>
          <w:bottom w:w="0" w:type="dxa"/>
          <w:right w:w="0" w:type="dxa"/>
        </w:tblCellMar>
        <w:tblLook w:val="01E0"/>
      </w:tblPr>
      <w:tblGrid>
        <w:gridCol w:w="1751"/>
        <w:gridCol w:w="1967"/>
        <w:gridCol w:w="1718"/>
        <w:gridCol w:w="2019"/>
        <w:gridCol w:w="2364"/>
      </w:tblGrid>
      <w:tr>
        <w:trPr>
          <w:trHeight w:val="478" w:hRule="exact"/>
        </w:trPr>
        <w:tc>
          <w:tcPr>
            <w:tcW w:w="1751"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12" w:right="593"/>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806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63" w:hRule="exact"/>
        </w:trPr>
        <w:tc>
          <w:tcPr>
            <w:tcW w:w="1751" w:type="dxa"/>
            <w:vMerge/>
            <w:tcBorders>
              <w:left w:val="nil" w:sz="6" w:space="0" w:color="auto"/>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6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456"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78" w:hRule="exact"/>
        </w:trPr>
        <w:tc>
          <w:tcPr>
            <w:tcW w:w="1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94" w:right="0"/>
              <w:jc w:val="left"/>
              <w:rPr>
                <w:rFonts w:ascii="宋体" w:hAnsi="宋体" w:cs="宋体" w:eastAsia="宋体" w:hint="default"/>
                <w:sz w:val="18"/>
                <w:szCs w:val="18"/>
              </w:rPr>
            </w:pPr>
            <w:r>
              <w:rPr>
                <w:rFonts w:ascii="宋体"/>
                <w:sz w:val="18"/>
              </w:rPr>
              <w:t>164,356,242.85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15,447,650.75</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15,447,650.75</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14,626,497.48</w:t>
            </w:r>
          </w:p>
        </w:tc>
      </w:tr>
      <w:tr>
        <w:trPr>
          <w:trHeight w:val="479" w:hRule="exact"/>
        </w:trPr>
        <w:tc>
          <w:tcPr>
            <w:tcW w:w="1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94" w:right="0"/>
              <w:jc w:val="left"/>
              <w:rPr>
                <w:rFonts w:ascii="宋体" w:hAnsi="宋体" w:cs="宋体" w:eastAsia="宋体" w:hint="default"/>
                <w:sz w:val="18"/>
                <w:szCs w:val="18"/>
              </w:rPr>
            </w:pPr>
            <w:r>
              <w:rPr>
                <w:rFonts w:ascii="宋体"/>
                <w:sz w:val="18"/>
              </w:rPr>
              <w:t>127,500,091.68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82,464,759.80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82,464,759.80</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-18,241,167.43</w:t>
            </w:r>
          </w:p>
        </w:tc>
      </w:tr>
      <w:tr>
        <w:trPr>
          <w:trHeight w:val="478" w:hRule="exact"/>
        </w:trPr>
        <w:tc>
          <w:tcPr>
            <w:tcW w:w="17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94" w:right="0"/>
              <w:jc w:val="left"/>
              <w:rPr>
                <w:rFonts w:ascii="宋体" w:hAnsi="宋体" w:cs="宋体" w:eastAsia="宋体" w:hint="default"/>
                <w:sz w:val="18"/>
                <w:szCs w:val="18"/>
              </w:rPr>
            </w:pPr>
            <w:r>
              <w:rPr>
                <w:rFonts w:ascii="宋体"/>
                <w:sz w:val="18"/>
              </w:rPr>
              <w:t>956,565,942.03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43,037,698.33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43,037,698.33</w:t>
            </w:r>
          </w:p>
        </w:tc>
        <w:tc>
          <w:tcPr>
            <w:tcW w:w="2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4,508,150.29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408" w:lineRule="auto" w:before="35"/>
        <w:ind w:left="654" w:right="6972"/>
        <w:jc w:val="left"/>
      </w:pPr>
      <w:bookmarkStart w:name="(二)在合营企业或联营企业中的权益" w:id="244"/>
      <w:bookmarkEnd w:id="244"/>
      <w:r>
        <w:rPr/>
      </w:r>
      <w:r>
        <w:rPr>
          <w:rFonts w:ascii="宋体" w:hAnsi="宋体" w:cs="宋体" w:eastAsia="宋体" w:hint="default"/>
        </w:rPr>
        <w:t>(</w:t>
      </w:r>
      <w:r>
        <w:rPr/>
        <w:t>二</w:t>
      </w:r>
      <w:r>
        <w:rPr>
          <w:rFonts w:ascii="宋体" w:hAnsi="宋体" w:cs="宋体" w:eastAsia="宋体" w:hint="default"/>
        </w:rPr>
        <w:t>)</w:t>
      </w:r>
      <w:r>
        <w:rPr/>
        <w:t>在合营企业或联营企业中的权益 </w:t>
      </w:r>
      <w:bookmarkStart w:name="1.重要的联营企业" w:id="245"/>
      <w:bookmarkEnd w:id="245"/>
      <w:r>
        <w:rPr/>
      </w:r>
      <w:r>
        <w:rPr>
          <w:rFonts w:ascii="宋体" w:hAnsi="宋体" w:cs="宋体" w:eastAsia="宋体" w:hint="default"/>
        </w:rPr>
        <w:t>1.</w:t>
      </w:r>
      <w:r>
        <w:rPr/>
        <w:t>重要的联营企业</w:t>
      </w:r>
    </w:p>
    <w:tbl>
      <w:tblPr>
        <w:tblW w:w="0" w:type="auto"/>
        <w:jc w:val="left"/>
        <w:tblInd w:w="106" w:type="dxa"/>
        <w:tblLayout w:type="fixed"/>
        <w:tblCellMar>
          <w:top w:w="0" w:type="dxa"/>
          <w:left w:w="0" w:type="dxa"/>
          <w:bottom w:w="0" w:type="dxa"/>
          <w:right w:w="0" w:type="dxa"/>
        </w:tblCellMar>
        <w:tblLook w:val="01E0"/>
      </w:tblPr>
      <w:tblGrid>
        <w:gridCol w:w="1779"/>
        <w:gridCol w:w="1094"/>
        <w:gridCol w:w="1094"/>
        <w:gridCol w:w="1478"/>
        <w:gridCol w:w="936"/>
        <w:gridCol w:w="814"/>
        <w:gridCol w:w="2675"/>
      </w:tblGrid>
      <w:tr>
        <w:trPr>
          <w:trHeight w:val="478" w:hRule="exact"/>
        </w:trPr>
        <w:tc>
          <w:tcPr>
            <w:tcW w:w="1779"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1094" w:type="dxa"/>
            <w:vMerge w:val="restart"/>
            <w:tcBorders>
              <w:top w:val="single" w:sz="4" w:space="0" w:color="000000"/>
              <w:left w:val="single" w:sz="4" w:space="0" w:color="000000"/>
              <w:right w:val="single" w:sz="4" w:space="0" w:color="000000"/>
            </w:tcBorders>
          </w:tcPr>
          <w:p>
            <w:pPr>
              <w:pStyle w:val="TableParagraph"/>
              <w:spacing w:line="316" w:lineRule="auto" w:before="155"/>
              <w:ind w:left="268" w:right="275" w:firstLine="90"/>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7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7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675" w:type="dxa"/>
            <w:vMerge w:val="restart"/>
            <w:tcBorders>
              <w:top w:val="single" w:sz="4" w:space="0" w:color="000000"/>
              <w:left w:val="single" w:sz="4" w:space="0" w:color="000000"/>
              <w:right w:val="nil" w:sz="6" w:space="0" w:color="auto"/>
            </w:tcBorders>
          </w:tcPr>
          <w:p>
            <w:pPr>
              <w:pStyle w:val="TableParagraph"/>
              <w:spacing w:line="316" w:lineRule="auto" w:before="155"/>
              <w:ind w:left="518" w:right="439" w:hanging="90"/>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79" w:hRule="exact"/>
        </w:trPr>
        <w:tc>
          <w:tcPr>
            <w:tcW w:w="1779" w:type="dxa"/>
            <w:vMerge/>
            <w:tcBorders>
              <w:left w:val="nil" w:sz="6" w:space="0" w:color="auto"/>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675" w:type="dxa"/>
            <w:vMerge/>
            <w:tcBorders>
              <w:left w:val="single" w:sz="4" w:space="0" w:color="000000"/>
              <w:bottom w:val="single" w:sz="4" w:space="0" w:color="000000"/>
              <w:right w:val="nil" w:sz="6" w:space="0" w:color="auto"/>
            </w:tcBorders>
          </w:tcPr>
          <w:p>
            <w:pPr/>
          </w:p>
        </w:tc>
      </w:tr>
      <w:tr>
        <w:trPr>
          <w:trHeight w:val="75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4"/>
              <w:ind w:left="61" w:right="450"/>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温岭市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小额贷款</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30.00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5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4"/>
              <w:ind w:left="61" w:right="450"/>
              <w:jc w:val="left"/>
              <w:rPr>
                <w:rFonts w:ascii="宋体" w:hAnsi="宋体" w:cs="宋体" w:eastAsia="宋体" w:hint="default"/>
                <w:sz w:val="18"/>
                <w:szCs w:val="18"/>
              </w:rPr>
            </w:pPr>
            <w:r>
              <w:rPr>
                <w:rFonts w:ascii="宋体" w:hAnsi="宋体" w:cs="宋体" w:eastAsia="宋体" w:hint="default"/>
                <w:sz w:val="18"/>
                <w:szCs w:val="18"/>
              </w:rPr>
              <w:t>温岭市信合担保 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温岭市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40.00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4"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35"/>
              <w:ind w:left="61" w:right="12"/>
              <w:jc w:val="left"/>
              <w:rPr>
                <w:rFonts w:ascii="宋体" w:hAnsi="宋体" w:cs="宋体" w:eastAsia="宋体" w:hint="default"/>
                <w:sz w:val="18"/>
                <w:szCs w:val="18"/>
              </w:rPr>
            </w:pPr>
            <w:r>
              <w:rPr>
                <w:rFonts w:ascii="宋体" w:hAnsi="宋体" w:cs="宋体" w:eastAsia="宋体" w:hint="default"/>
                <w:spacing w:val="8"/>
                <w:sz w:val="18"/>
                <w:szCs w:val="18"/>
              </w:rPr>
              <w:t>浙江利斯特智慧管网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台州市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台州市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464" w:right="102" w:hanging="360"/>
              <w:jc w:val="left"/>
              <w:rPr>
                <w:rFonts w:ascii="宋体" w:hAnsi="宋体" w:cs="宋体" w:eastAsia="宋体" w:hint="default"/>
                <w:sz w:val="18"/>
                <w:szCs w:val="18"/>
              </w:rPr>
            </w:pPr>
            <w:r>
              <w:rPr>
                <w:rFonts w:ascii="宋体" w:hAnsi="宋体" w:cs="宋体" w:eastAsia="宋体" w:hint="default"/>
                <w:sz w:val="18"/>
                <w:szCs w:val="18"/>
              </w:rPr>
              <w:t>软件与信息技术 服务业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35.00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5" w:hRule="exact"/>
        </w:trPr>
        <w:tc>
          <w:tcPr>
            <w:tcW w:w="177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35"/>
              <w:ind w:left="61" w:right="12"/>
              <w:jc w:val="left"/>
              <w:rPr>
                <w:rFonts w:ascii="宋体" w:hAnsi="宋体" w:cs="宋体" w:eastAsia="宋体" w:hint="default"/>
                <w:sz w:val="18"/>
                <w:szCs w:val="18"/>
              </w:rPr>
            </w:pPr>
            <w:r>
              <w:rPr>
                <w:rFonts w:ascii="宋体" w:hAnsi="宋体" w:cs="宋体" w:eastAsia="宋体" w:hint="default"/>
                <w:spacing w:val="8"/>
                <w:sz w:val="18"/>
                <w:szCs w:val="18"/>
              </w:rPr>
              <w:t>杭州碧橙网络技术有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其他互联网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27.00</w:t>
            </w:r>
          </w:p>
        </w:tc>
        <w:tc>
          <w:tcPr>
            <w:tcW w:w="814" w:type="dxa"/>
            <w:tcBorders>
              <w:top w:val="single" w:sz="4" w:space="0" w:color="000000"/>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6"/>
        <w:ind w:left="654" w:right="1029"/>
        <w:jc w:val="left"/>
      </w:pPr>
      <w:bookmarkStart w:name="2.重要联营企业的主要财务信息" w:id="246"/>
      <w:bookmarkEnd w:id="246"/>
      <w:r>
        <w:rPr/>
      </w:r>
      <w:r>
        <w:rPr>
          <w:rFonts w:ascii="宋体" w:hAnsi="宋体" w:cs="宋体" w:eastAsia="宋体" w:hint="default"/>
        </w:rPr>
        <w:t>2.</w:t>
      </w:r>
      <w:r>
        <w:rPr/>
        <w:t>重要联营企业的主要财务信息</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089"/>
        <w:gridCol w:w="1743"/>
        <w:gridCol w:w="1697"/>
        <w:gridCol w:w="1732"/>
        <w:gridCol w:w="1601"/>
      </w:tblGrid>
      <w:tr>
        <w:trPr>
          <w:trHeight w:val="478" w:hRule="exact"/>
        </w:trPr>
        <w:tc>
          <w:tcPr>
            <w:tcW w:w="30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30"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33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76"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上年数</w:t>
            </w:r>
          </w:p>
        </w:tc>
      </w:tr>
      <w:tr>
        <w:trPr>
          <w:trHeight w:val="754" w:hRule="exact"/>
        </w:trPr>
        <w:tc>
          <w:tcPr>
            <w:tcW w:w="3089" w:type="dxa"/>
            <w:vMerge/>
            <w:tcBorders>
              <w:left w:val="nil" w:sz="6" w:space="0" w:color="auto"/>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326" w:right="219" w:hanging="75"/>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19" w:right="287" w:firstLine="90"/>
              <w:jc w:val="left"/>
              <w:rPr>
                <w:rFonts w:ascii="宋体" w:hAnsi="宋体" w:cs="宋体" w:eastAsia="宋体" w:hint="default"/>
                <w:sz w:val="18"/>
                <w:szCs w:val="18"/>
              </w:rPr>
            </w:pPr>
            <w:r>
              <w:rPr>
                <w:rFonts w:ascii="宋体" w:hAnsi="宋体" w:cs="宋体" w:eastAsia="宋体" w:hint="default"/>
                <w:sz w:val="18"/>
                <w:szCs w:val="18"/>
              </w:rPr>
              <w:t>温岭市信合 担保有限公司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16" w:right="34" w:hanging="450"/>
              <w:jc w:val="left"/>
              <w:rPr>
                <w:rFonts w:ascii="宋体" w:hAnsi="宋体" w:cs="宋体" w:eastAsia="宋体" w:hint="default"/>
                <w:sz w:val="18"/>
                <w:szCs w:val="18"/>
              </w:rPr>
            </w:pPr>
            <w:r>
              <w:rPr>
                <w:rFonts w:ascii="宋体" w:hAnsi="宋体" w:cs="宋体" w:eastAsia="宋体" w:hint="default"/>
                <w:sz w:val="18"/>
                <w:szCs w:val="18"/>
              </w:rPr>
              <w:t>温岭市利欧小额贷款 有限公司</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271" w:right="242" w:firstLine="90"/>
              <w:jc w:val="left"/>
              <w:rPr>
                <w:rFonts w:ascii="宋体" w:hAnsi="宋体" w:cs="宋体" w:eastAsia="宋体" w:hint="default"/>
                <w:sz w:val="18"/>
                <w:szCs w:val="18"/>
              </w:rPr>
            </w:pPr>
            <w:r>
              <w:rPr>
                <w:rFonts w:ascii="宋体" w:hAnsi="宋体" w:cs="宋体" w:eastAsia="宋体" w:hint="default"/>
                <w:sz w:val="18"/>
                <w:szCs w:val="18"/>
              </w:rPr>
              <w:t>温岭市信合 担保有限公司</w:t>
            </w: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宋体" w:hAnsi="宋体" w:cs="宋体" w:eastAsia="宋体" w:hint="default"/>
                <w:sz w:val="18"/>
                <w:szCs w:val="18"/>
              </w:rPr>
            </w:pPr>
            <w:r>
              <w:rPr>
                <w:rFonts w:ascii="宋体"/>
                <w:sz w:val="18"/>
              </w:rPr>
              <w:t>152,605,654.10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59,191,783.41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260,157,731.37</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61,689,926.72</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4,526,301.94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4,706,801.92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4,644,273.87</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663,221.69</w:t>
            </w: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157,131,956.04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63,898,585.33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264,802,005.24</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62,353,148.41</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089"/>
        <w:gridCol w:w="1743"/>
        <w:gridCol w:w="1697"/>
        <w:gridCol w:w="1732"/>
        <w:gridCol w:w="1601"/>
      </w:tblGrid>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6,239,033.03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6,289,769.63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13,105,287.81</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7,028,724.83</w:t>
            </w: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2,977,855.41</w:t>
            </w: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2,977,855.41</w:t>
            </w: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9,216,888.44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6,289,769.63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16,083,143.22</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7,028,724.83</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147,915,067.60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57,608,815.70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248,718,862.02</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55,324,423.58</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44,374,520.28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23,043,526.28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74,615,658.61</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22,129,769.43</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商  誉</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44,374,520.28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23,043,526.28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74,615,658.61</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22,129,769.43</w:t>
            </w:r>
          </w:p>
        </w:tc>
      </w:tr>
      <w:tr>
        <w:trPr>
          <w:trHeight w:val="634"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61"/>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 的公允价值</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10,558,431.93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5,643.50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47,296,398.69</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429,407.61</w:t>
            </w: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-803,794.42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2,284,392.12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22,996,862.20</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301,838.63</w:t>
            </w: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-803,794.42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2,284,392.12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22,996,862.20</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301,838.63</w:t>
            </w:r>
          </w:p>
        </w:tc>
      </w:tr>
      <w:tr>
        <w:trPr>
          <w:trHeight w:val="55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17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9,000,000.00</w:t>
            </w:r>
          </w:p>
        </w:tc>
        <w:tc>
          <w:tcPr>
            <w:tcW w:w="1601"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23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233"/>
        <w:gridCol w:w="3268"/>
        <w:gridCol w:w="3369"/>
      </w:tblGrid>
      <w:tr>
        <w:trPr>
          <w:trHeight w:val="478" w:hRule="exact"/>
        </w:trPr>
        <w:tc>
          <w:tcPr>
            <w:tcW w:w="323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66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r>
      <w:tr>
        <w:trPr>
          <w:trHeight w:val="634" w:hRule="exact"/>
        </w:trPr>
        <w:tc>
          <w:tcPr>
            <w:tcW w:w="3233" w:type="dxa"/>
            <w:vMerge/>
            <w:tcBorders>
              <w:left w:val="nil" w:sz="6" w:space="0" w:color="auto"/>
              <w:bottom w:val="single" w:sz="4" w:space="0" w:color="000000"/>
              <w:right w:val="single" w:sz="4" w:space="0" w:color="000000"/>
            </w:tcBorders>
          </w:tcPr>
          <w:p>
            <w:pP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10" w:right="906" w:firstLine="90"/>
              <w:jc w:val="left"/>
              <w:rPr>
                <w:rFonts w:ascii="宋体" w:hAnsi="宋体" w:cs="宋体" w:eastAsia="宋体" w:hint="default"/>
                <w:sz w:val="18"/>
                <w:szCs w:val="18"/>
              </w:rPr>
            </w:pPr>
            <w:r>
              <w:rPr>
                <w:rFonts w:ascii="宋体" w:hAnsi="宋体" w:cs="宋体" w:eastAsia="宋体" w:hint="default"/>
                <w:sz w:val="18"/>
                <w:szCs w:val="18"/>
              </w:rPr>
              <w:t>浙江利斯特智慧 管网股份有限公司</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139" w:right="1142"/>
              <w:jc w:val="center"/>
              <w:rPr>
                <w:rFonts w:ascii="宋体" w:hAnsi="宋体" w:cs="宋体" w:eastAsia="宋体" w:hint="default"/>
                <w:sz w:val="18"/>
                <w:szCs w:val="18"/>
              </w:rPr>
            </w:pPr>
            <w:r>
              <w:rPr>
                <w:rFonts w:ascii="宋体" w:hAnsi="宋体" w:cs="宋体" w:eastAsia="宋体" w:hint="default"/>
                <w:sz w:val="18"/>
                <w:szCs w:val="18"/>
              </w:rPr>
              <w:t>杭州碧橙网络 技术有限公司</w:t>
            </w:r>
          </w:p>
        </w:tc>
      </w:tr>
      <w:tr>
        <w:trPr>
          <w:trHeight w:val="47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3,674,650.91</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53,500,942.32</w:t>
            </w: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463,046.54</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606,473.89</w:t>
            </w: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4,137,697.45</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54,107,416.21</w:t>
            </w:r>
          </w:p>
        </w:tc>
      </w:tr>
      <w:tr>
        <w:trPr>
          <w:trHeight w:val="47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184,771.00</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12,557,449.95</w:t>
            </w: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535.29</w:t>
            </w: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184,771.00</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12,557,985.24</w:t>
            </w:r>
          </w:p>
        </w:tc>
      </w:tr>
      <w:tr>
        <w:trPr>
          <w:trHeight w:val="47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233"/>
        <w:gridCol w:w="3268"/>
        <w:gridCol w:w="3369"/>
      </w:tblGrid>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3,952,926.45</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41,549,430.97</w:t>
            </w:r>
          </w:p>
        </w:tc>
      </w:tr>
      <w:tr>
        <w:trPr>
          <w:trHeight w:val="47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1,383,524.26</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11,218,346.36</w:t>
            </w: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商  誉</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30,821,997.71</w:t>
            </w:r>
          </w:p>
        </w:tc>
      </w:tr>
      <w:tr>
        <w:trPr>
          <w:trHeight w:val="47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1,383,524.26</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42,040,344.07</w:t>
            </w:r>
          </w:p>
        </w:tc>
      </w:tr>
      <w:tr>
        <w:trPr>
          <w:trHeight w:val="635"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1"/>
              <w:ind w:left="122" w:right="22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 公允价值</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119,053,094.21</w:t>
            </w: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-1,047,073.55</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hAnsi="宋体" w:cs="宋体" w:eastAsia="宋体" w:hint="default"/>
                <w:sz w:val="18"/>
                <w:szCs w:val="18"/>
              </w:rPr>
              <w:t>11,176,140.29[</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7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-1,047,073.55</w:t>
            </w:r>
          </w:p>
        </w:tc>
        <w:tc>
          <w:tcPr>
            <w:tcW w:w="3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hAnsi="宋体" w:cs="宋体" w:eastAsia="宋体" w:hint="default"/>
                <w:sz w:val="18"/>
                <w:szCs w:val="18"/>
              </w:rPr>
              <w:t>11,176,140.29[</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7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3268" w:type="dxa"/>
            <w:tcBorders>
              <w:top w:val="single" w:sz="4" w:space="0" w:color="000000"/>
              <w:left w:val="single" w:sz="4" w:space="0" w:color="000000"/>
              <w:bottom w:val="single" w:sz="4" w:space="0" w:color="000000"/>
              <w:right w:val="single" w:sz="4" w:space="0" w:color="000000"/>
            </w:tcBorders>
          </w:tcPr>
          <w:p>
            <w:pPr/>
          </w:p>
        </w:tc>
        <w:tc>
          <w:tcPr>
            <w:tcW w:w="3369"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：其中</w:t>
      </w:r>
      <w:r>
        <w:rPr>
          <w:rFonts w:ascii="宋体" w:hAnsi="宋体" w:cs="宋体" w:eastAsia="宋体" w:hint="default"/>
          <w:spacing w:val="-36"/>
          <w:sz w:val="18"/>
          <w:szCs w:val="18"/>
        </w:rPr>
        <w:t> </w:t>
      </w:r>
      <w:r>
        <w:rPr>
          <w:rFonts w:ascii="宋体" w:hAnsi="宋体" w:cs="宋体" w:eastAsia="宋体" w:hint="default"/>
          <w:sz w:val="18"/>
          <w:szCs w:val="18"/>
        </w:rPr>
        <w:t>2015</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1-6</w:t>
      </w:r>
      <w:r>
        <w:rPr>
          <w:rFonts w:ascii="宋体" w:hAnsi="宋体" w:cs="宋体" w:eastAsia="宋体" w:hint="default"/>
          <w:spacing w:val="-36"/>
          <w:sz w:val="18"/>
          <w:szCs w:val="18"/>
        </w:rPr>
        <w:t> </w:t>
      </w:r>
      <w:r>
        <w:rPr>
          <w:rFonts w:ascii="宋体" w:hAnsi="宋体" w:cs="宋体" w:eastAsia="宋体" w:hint="default"/>
          <w:sz w:val="18"/>
          <w:szCs w:val="18"/>
        </w:rPr>
        <w:t>月实现的归属于母公司净利润和综合收益总额均为</w:t>
      </w:r>
      <w:r>
        <w:rPr>
          <w:rFonts w:ascii="宋体" w:hAnsi="宋体" w:cs="宋体" w:eastAsia="宋体" w:hint="default"/>
          <w:spacing w:val="-36"/>
          <w:sz w:val="18"/>
          <w:szCs w:val="18"/>
        </w:rPr>
        <w:t> </w:t>
      </w:r>
      <w:r>
        <w:rPr>
          <w:rFonts w:ascii="宋体" w:hAnsi="宋体" w:cs="宋体" w:eastAsia="宋体" w:hint="default"/>
          <w:sz w:val="18"/>
          <w:szCs w:val="18"/>
        </w:rPr>
        <w:t>3,619,310.41</w:t>
      </w:r>
      <w:r>
        <w:rPr>
          <w:rFonts w:ascii="宋体" w:hAnsi="宋体" w:cs="宋体" w:eastAsia="宋体" w:hint="default"/>
          <w:spacing w:val="-36"/>
          <w:sz w:val="18"/>
          <w:szCs w:val="18"/>
        </w:rPr>
        <w:t> </w:t>
      </w:r>
      <w:r>
        <w:rPr>
          <w:rFonts w:ascii="宋体" w:hAnsi="宋体" w:cs="宋体" w:eastAsia="宋体" w:hint="default"/>
          <w:sz w:val="18"/>
          <w:szCs w:val="18"/>
        </w:rPr>
        <w:t>元，</w:t>
      </w:r>
      <w:r>
        <w:rPr>
          <w:rFonts w:ascii="宋体" w:hAnsi="宋体" w:cs="宋体" w:eastAsia="宋体" w:hint="default"/>
          <w:sz w:val="18"/>
          <w:szCs w:val="18"/>
        </w:rPr>
        <w:t>2015</w:t>
      </w:r>
      <w:r>
        <w:rPr>
          <w:rFonts w:ascii="宋体" w:hAnsi="宋体" w:cs="宋体" w:eastAsia="宋体" w:hint="default"/>
          <w:spacing w:val="-36"/>
          <w:sz w:val="18"/>
          <w:szCs w:val="18"/>
        </w:rPr>
        <w:t> </w:t>
      </w:r>
      <w:r>
        <w:rPr>
          <w:rFonts w:ascii="宋体" w:hAnsi="宋体" w:cs="宋体" w:eastAsia="宋体" w:hint="default"/>
          <w:sz w:val="18"/>
          <w:szCs w:val="18"/>
        </w:rPr>
        <w:t>年度</w:t>
      </w:r>
      <w:r>
        <w:rPr>
          <w:rFonts w:ascii="宋体" w:hAnsi="宋体" w:cs="宋体" w:eastAsia="宋体" w:hint="default"/>
          <w:spacing w:val="-36"/>
          <w:sz w:val="18"/>
          <w:szCs w:val="18"/>
        </w:rPr>
        <w:t> </w:t>
      </w:r>
      <w:r>
        <w:rPr>
          <w:rFonts w:ascii="宋体" w:hAnsi="宋体" w:cs="宋体" w:eastAsia="宋体" w:hint="default"/>
          <w:sz w:val="18"/>
          <w:szCs w:val="18"/>
        </w:rPr>
        <w:t>7-12</w:t>
      </w:r>
      <w:r>
        <w:rPr>
          <w:rFonts w:ascii="宋体" w:hAnsi="宋体" w:cs="宋体" w:eastAsia="宋体" w:hint="default"/>
          <w:spacing w:val="-36"/>
          <w:sz w:val="18"/>
          <w:szCs w:val="18"/>
        </w:rPr>
        <w:t> </w:t>
      </w:r>
      <w:r>
        <w:rPr>
          <w:rFonts w:ascii="宋体" w:hAnsi="宋体" w:cs="宋体" w:eastAsia="宋体" w:hint="default"/>
          <w:sz w:val="18"/>
          <w:szCs w:val="18"/>
        </w:rPr>
        <w:t>月实现</w:t>
      </w:r>
    </w:p>
    <w:p>
      <w:pPr>
        <w:spacing w:line="240" w:lineRule="auto" w:before="9"/>
        <w:rPr>
          <w:rFonts w:ascii="宋体" w:hAnsi="宋体" w:cs="宋体" w:eastAsia="宋体" w:hint="default"/>
          <w:sz w:val="17"/>
          <w:szCs w:val="17"/>
        </w:rPr>
      </w:pPr>
    </w:p>
    <w:p>
      <w:pPr>
        <w:spacing w:before="0"/>
        <w:ind w:left="233" w:right="1029" w:firstLine="0"/>
        <w:jc w:val="left"/>
        <w:rPr>
          <w:rFonts w:ascii="宋体" w:hAnsi="宋体" w:cs="宋体" w:eastAsia="宋体" w:hint="default"/>
          <w:sz w:val="18"/>
          <w:szCs w:val="18"/>
        </w:rPr>
      </w:pPr>
      <w:r>
        <w:rPr>
          <w:rFonts w:ascii="宋体" w:hAnsi="宋体" w:cs="宋体" w:eastAsia="宋体" w:hint="default"/>
          <w:sz w:val="18"/>
          <w:szCs w:val="18"/>
        </w:rPr>
        <w:t>的归属于母公司净利润和综合收益总额均为</w:t>
      </w:r>
      <w:r>
        <w:rPr>
          <w:rFonts w:ascii="宋体" w:hAnsi="宋体" w:cs="宋体" w:eastAsia="宋体" w:hint="default"/>
          <w:spacing w:val="-44"/>
          <w:sz w:val="18"/>
          <w:szCs w:val="18"/>
        </w:rPr>
        <w:t> </w:t>
      </w:r>
      <w:r>
        <w:rPr>
          <w:rFonts w:ascii="宋体" w:hAnsi="宋体" w:cs="宋体" w:eastAsia="宋体" w:hint="default"/>
          <w:sz w:val="18"/>
          <w:szCs w:val="18"/>
        </w:rPr>
        <w:t>7,556,829.88</w:t>
      </w:r>
      <w:r>
        <w:rPr>
          <w:rFonts w:ascii="宋体" w:hAnsi="宋体" w:cs="宋体" w:eastAsia="宋体" w:hint="default"/>
          <w:spacing w:val="-44"/>
          <w:sz w:val="18"/>
          <w:szCs w:val="18"/>
        </w:rPr>
        <w:t> </w:t>
      </w:r>
      <w:r>
        <w:rPr>
          <w:rFonts w:ascii="宋体" w:hAnsi="宋体" w:cs="宋体" w:eastAsia="宋体" w:hint="default"/>
          <w:sz w:val="18"/>
          <w:szCs w:val="18"/>
        </w:rPr>
        <w:t>元。杭州碧橙网络技术有限公司于</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日办妥工商变</w:t>
      </w:r>
    </w:p>
    <w:p>
      <w:pPr>
        <w:spacing w:line="240" w:lineRule="auto" w:before="11"/>
        <w:rPr>
          <w:rFonts w:ascii="宋体" w:hAnsi="宋体" w:cs="宋体" w:eastAsia="宋体" w:hint="default"/>
          <w:sz w:val="17"/>
          <w:szCs w:val="17"/>
        </w:rPr>
      </w:pPr>
    </w:p>
    <w:p>
      <w:pPr>
        <w:spacing w:before="0"/>
        <w:ind w:left="233" w:right="1029" w:firstLine="0"/>
        <w:jc w:val="left"/>
        <w:rPr>
          <w:rFonts w:ascii="宋体" w:hAnsi="宋体" w:cs="宋体" w:eastAsia="宋体" w:hint="default"/>
          <w:sz w:val="18"/>
          <w:szCs w:val="18"/>
        </w:rPr>
      </w:pPr>
      <w:r>
        <w:rPr>
          <w:rFonts w:ascii="宋体" w:hAnsi="宋体" w:cs="宋体" w:eastAsia="宋体" w:hint="default"/>
          <w:sz w:val="18"/>
          <w:szCs w:val="18"/>
        </w:rPr>
        <w:t>更登记手续。公司自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月起按</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z w:val="18"/>
          <w:szCs w:val="18"/>
        </w:rPr>
        <w:t>的持股比例确认对其投资收益</w:t>
      </w:r>
      <w:r>
        <w:rPr>
          <w:rFonts w:ascii="宋体" w:hAnsi="宋体" w:cs="宋体" w:eastAsia="宋体" w:hint="default"/>
          <w:spacing w:val="-46"/>
          <w:sz w:val="18"/>
          <w:szCs w:val="18"/>
        </w:rPr>
        <w:t> </w:t>
      </w:r>
      <w:r>
        <w:rPr>
          <w:rFonts w:ascii="宋体" w:hAnsi="宋体" w:cs="宋体" w:eastAsia="宋体" w:hint="default"/>
          <w:sz w:val="18"/>
          <w:szCs w:val="18"/>
        </w:rPr>
        <w:t>2,040,344.07</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Heading3"/>
        <w:spacing w:line="240" w:lineRule="auto" w:before="0"/>
        <w:ind w:left="653" w:right="1029"/>
        <w:jc w:val="left"/>
        <w:rPr>
          <w:rFonts w:ascii="黑体" w:hAnsi="黑体" w:cs="黑体" w:eastAsia="黑体" w:hint="default"/>
          <w:b w:val="0"/>
          <w:bCs w:val="0"/>
        </w:rPr>
      </w:pPr>
      <w:bookmarkStart w:name="十、与金融工具相关的风险" w:id="247"/>
      <w:bookmarkEnd w:id="247"/>
      <w:r>
        <w:rPr>
          <w:b w:val="0"/>
          <w:bCs w:val="0"/>
        </w:rPr>
      </w:r>
      <w:r>
        <w:rPr>
          <w:rFonts w:ascii="黑体" w:hAnsi="黑体" w:cs="黑体" w:eastAsia="黑体" w:hint="default"/>
        </w:rPr>
        <w:t>十、与金融工具相关的风险</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408" w:lineRule="auto"/>
        <w:ind w:left="233" w:right="1131"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410" w:lineRule="auto" w:before="85"/>
        <w:ind w:left="233" w:right="1131" w:firstLine="420"/>
        <w:jc w:val="both"/>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444" w:lineRule="auto" w:before="83"/>
        <w:ind w:left="654" w:right="2772"/>
        <w:jc w:val="left"/>
      </w:pPr>
      <w:r>
        <w:rPr>
          <w:rFonts w:ascii="宋体" w:hAnsi="宋体" w:cs="宋体" w:eastAsia="宋体" w:hint="default"/>
        </w:rPr>
        <w:t>(</w:t>
      </w:r>
      <w:r>
        <w:rPr/>
        <w:t>一</w:t>
      </w:r>
      <w:r>
        <w:rPr>
          <w:rFonts w:ascii="宋体" w:hAnsi="宋体" w:cs="宋体" w:eastAsia="宋体" w:hint="default"/>
        </w:rPr>
        <w:t>) </w:t>
      </w:r>
      <w:r>
        <w:rPr/>
        <w:t>信用风险 信用风险，是指金融工具的一方不能履行义务，造成另一方发生财务损失的风险。</w:t>
      </w:r>
    </w:p>
    <w:p>
      <w:pPr>
        <w:pStyle w:val="BodyText"/>
        <w:spacing w:line="240" w:lineRule="auto" w:before="55"/>
        <w:ind w:left="653" w:right="0"/>
        <w:jc w:val="left"/>
      </w:pPr>
      <w:r>
        <w:rPr>
          <w:spacing w:val="-3"/>
        </w:rPr>
        <w:t>本公司的信用风险主要来自银行存款和应收款项。为控制上述相关风险，本公司分别采取了以下措施。</w:t>
      </w:r>
    </w:p>
    <w:p>
      <w:pPr>
        <w:spacing w:after="0" w:line="240" w:lineRule="auto"/>
        <w:jc w:val="left"/>
        <w:sectPr>
          <w:pgSz w:w="11910" w:h="16840"/>
          <w:pgMar w:header="877" w:footer="979" w:top="1100" w:bottom="1160" w:left="900" w:right="0"/>
        </w:sectPr>
      </w:pPr>
    </w:p>
    <w:p>
      <w:pPr>
        <w:spacing w:line="240" w:lineRule="auto" w:before="9"/>
        <w:rPr>
          <w:rFonts w:ascii="宋体" w:hAnsi="宋体" w:cs="宋体" w:eastAsia="宋体" w:hint="default"/>
          <w:sz w:val="26"/>
          <w:szCs w:val="26"/>
        </w:rPr>
      </w:pPr>
    </w:p>
    <w:p>
      <w:pPr>
        <w:pStyle w:val="BodyText"/>
        <w:spacing w:line="444" w:lineRule="auto" w:before="35"/>
        <w:ind w:left="653" w:right="3613"/>
        <w:jc w:val="left"/>
      </w:pPr>
      <w:r>
        <w:rPr>
          <w:rFonts w:ascii="宋体" w:hAnsi="宋体" w:cs="宋体" w:eastAsia="宋体" w:hint="default"/>
        </w:rPr>
        <w:t>1.</w:t>
      </w:r>
      <w:r>
        <w:rPr>
          <w:rFonts w:ascii="宋体" w:hAnsi="宋体" w:cs="宋体" w:eastAsia="宋体" w:hint="default"/>
          <w:spacing w:val="1"/>
        </w:rPr>
        <w:t> </w:t>
      </w:r>
      <w:r>
        <w:rPr/>
        <w:t>银行存款 本公司将银行存款存放于信用评级较高的金融机构，故其信用风险较低。 </w:t>
      </w:r>
      <w:r>
        <w:rPr>
          <w:rFonts w:ascii="宋体" w:hAnsi="宋体" w:cs="宋体" w:eastAsia="宋体" w:hint="default"/>
        </w:rPr>
        <w:t>2.</w:t>
      </w:r>
      <w:r>
        <w:rPr>
          <w:rFonts w:ascii="宋体" w:hAnsi="宋体" w:cs="宋体" w:eastAsia="宋体" w:hint="default"/>
          <w:spacing w:val="1"/>
        </w:rPr>
        <w:t> </w:t>
      </w:r>
      <w:r>
        <w:rPr/>
        <w:t>应收款项</w:t>
      </w:r>
    </w:p>
    <w:p>
      <w:pPr>
        <w:pStyle w:val="BodyText"/>
        <w:spacing w:line="410" w:lineRule="auto" w:before="53"/>
        <w:ind w:left="233" w:right="1029" w:firstLine="420"/>
        <w:jc w:val="left"/>
      </w:pPr>
      <w:r>
        <w:rPr>
          <w:spacing w:val="-1"/>
        </w:rPr>
        <w:t>本公司定期对采用信用方式交易的客户进行信用评估。根据信用评估结果，本公司选择与经认可的且</w:t>
      </w:r>
      <w:r>
        <w:rPr/>
        <w:t> 信用良好的客户进行交易，并对其应收款项余额进行监控，以确保本公司不会面临重大坏账风险。</w:t>
      </w:r>
    </w:p>
    <w:p>
      <w:pPr>
        <w:pStyle w:val="BodyText"/>
        <w:spacing w:line="408" w:lineRule="auto" w:before="82"/>
        <w:ind w:left="233" w:right="1123" w:firstLine="420"/>
        <w:jc w:val="left"/>
        <w:rPr>
          <w:rFonts w:ascii="宋体" w:hAnsi="宋体" w:cs="宋体" w:eastAsia="宋体" w:hint="default"/>
        </w:rPr>
      </w:pPr>
      <w:r>
        <w:rPr>
          <w:spacing w:val="-1"/>
        </w:rPr>
        <w:t>由于本公司仅与经认可的且信用良好的第三方进行交易，所以无需担保物。信用风险集中按照客户进</w:t>
      </w:r>
      <w:r>
        <w:rPr/>
        <w:t> 行管理。截至</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49"/>
        </w:rPr>
        <w:t> </w:t>
      </w:r>
      <w:r>
        <w:rPr/>
        <w:t>日，本公司具有特定信用风险集中，本公司应收账款的</w:t>
      </w:r>
      <w:r>
        <w:rPr>
          <w:spacing w:val="-49"/>
        </w:rPr>
        <w:t> </w:t>
      </w:r>
      <w:r>
        <w:rPr>
          <w:rFonts w:ascii="宋体" w:hAnsi="宋体" w:cs="宋体" w:eastAsia="宋体" w:hint="default"/>
        </w:rPr>
        <w:t>17.92%(2014</w:t>
      </w:r>
      <w:r>
        <w:rPr>
          <w:rFonts w:ascii="宋体" w:hAnsi="宋体" w:cs="宋体" w:eastAsia="宋体" w:hint="default"/>
          <w:spacing w:val="-51"/>
        </w:rPr>
        <w:t> </w:t>
      </w:r>
      <w:r>
        <w:rPr/>
        <w:t>年</w:t>
      </w:r>
      <w:r>
        <w:rPr>
          <w:spacing w:val="-50"/>
        </w:rPr>
        <w:t> </w:t>
      </w:r>
      <w:r>
        <w:rPr>
          <w:rFonts w:ascii="宋体" w:hAnsi="宋体" w:cs="宋体" w:eastAsia="宋体" w:hint="default"/>
        </w:rPr>
        <w:t>12</w:t>
      </w:r>
    </w:p>
    <w:p>
      <w:pPr>
        <w:pStyle w:val="BodyText"/>
        <w:spacing w:line="240" w:lineRule="auto" w:before="47"/>
        <w:ind w:left="233" w:right="1029"/>
        <w:jc w:val="left"/>
      </w:pPr>
      <w:r>
        <w:rPr/>
        <w:t>月</w:t>
      </w:r>
      <w:r>
        <w:rPr>
          <w:spacing w:val="-56"/>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30.47%)</w:t>
      </w:r>
      <w:r>
        <w:rPr/>
        <w:t>源于余额前五名客户。本公司对应收账款余额未持有任何担保物或其他信用增级。</w:t>
      </w:r>
    </w:p>
    <w:p>
      <w:pPr>
        <w:spacing w:line="240" w:lineRule="auto" w:before="10"/>
        <w:rPr>
          <w:rFonts w:ascii="宋体" w:hAnsi="宋体" w:cs="宋体" w:eastAsia="宋体" w:hint="default"/>
          <w:sz w:val="17"/>
          <w:szCs w:val="17"/>
        </w:rPr>
      </w:pPr>
    </w:p>
    <w:p>
      <w:pPr>
        <w:pStyle w:val="BodyText"/>
        <w:spacing w:line="410" w:lineRule="auto"/>
        <w:ind w:left="234" w:right="1029" w:firstLine="420"/>
        <w:jc w:val="left"/>
      </w:pPr>
      <w:r>
        <w:rPr>
          <w:rFonts w:ascii="宋体" w:hAnsi="宋体" w:cs="宋体" w:eastAsia="宋体" w:hint="default"/>
        </w:rPr>
        <w:t>(1)</w:t>
      </w:r>
      <w:r>
        <w:rPr>
          <w:rFonts w:ascii="宋体" w:hAnsi="宋体" w:cs="宋体" w:eastAsia="宋体" w:hint="default"/>
          <w:spacing w:val="28"/>
        </w:rPr>
        <w:t> </w:t>
      </w:r>
      <w:r>
        <w:rPr>
          <w:spacing w:val="3"/>
        </w:rPr>
        <w:t>本公司的应收款项中未逾期且未减值的金额，以及虽已逾期但未减值的金额和逾期账龄分析如</w:t>
      </w:r>
      <w:r>
        <w:rPr/>
        <w:t> 下：</w:t>
      </w:r>
    </w:p>
    <w:tbl>
      <w:tblPr>
        <w:tblW w:w="0" w:type="auto"/>
        <w:jc w:val="left"/>
        <w:tblInd w:w="106" w:type="dxa"/>
        <w:tblLayout w:type="fixed"/>
        <w:tblCellMar>
          <w:top w:w="0" w:type="dxa"/>
          <w:left w:w="0" w:type="dxa"/>
          <w:bottom w:w="0" w:type="dxa"/>
          <w:right w:w="0" w:type="dxa"/>
        </w:tblCellMar>
        <w:tblLook w:val="01E0"/>
      </w:tblPr>
      <w:tblGrid>
        <w:gridCol w:w="1434"/>
        <w:gridCol w:w="1666"/>
        <w:gridCol w:w="1419"/>
        <w:gridCol w:w="1274"/>
        <w:gridCol w:w="1324"/>
        <w:gridCol w:w="1421"/>
      </w:tblGrid>
      <w:tr>
        <w:trPr>
          <w:trHeight w:val="402"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0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402"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nil" w:sz="6" w:space="0" w:color="auto"/>
            </w:tcBorders>
          </w:tcPr>
          <w:p>
            <w:pP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76,516,288.16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7" w:right="0"/>
              <w:jc w:val="center"/>
              <w:rPr>
                <w:rFonts w:ascii="宋体" w:hAnsi="宋体" w:cs="宋体" w:eastAsia="宋体" w:hint="default"/>
                <w:sz w:val="18"/>
                <w:szCs w:val="18"/>
              </w:rPr>
            </w:pPr>
            <w:r>
              <w:rPr>
                <w:rFonts w:ascii="宋体"/>
                <w:sz w:val="18"/>
              </w:rPr>
              <w:t>76,516,288.16</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3,474,617.14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17" w:right="0"/>
              <w:jc w:val="center"/>
              <w:rPr>
                <w:rFonts w:ascii="宋体" w:hAnsi="宋体" w:cs="宋体" w:eastAsia="宋体" w:hint="default"/>
                <w:sz w:val="18"/>
                <w:szCs w:val="18"/>
              </w:rPr>
            </w:pPr>
            <w:r>
              <w:rPr>
                <w:rFonts w:ascii="宋体"/>
                <w:sz w:val="18"/>
              </w:rPr>
              <w:t>3,474,617.14</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79,990,905.30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7" w:right="0"/>
              <w:jc w:val="center"/>
              <w:rPr>
                <w:rFonts w:ascii="宋体" w:hAnsi="宋体" w:cs="宋体" w:eastAsia="宋体" w:hint="default"/>
                <w:sz w:val="18"/>
                <w:szCs w:val="18"/>
              </w:rPr>
            </w:pPr>
            <w:r>
              <w:rPr>
                <w:rFonts w:ascii="宋体"/>
                <w:sz w:val="18"/>
              </w:rPr>
              <w:t>79,990,905.30</w:t>
            </w:r>
          </w:p>
        </w:tc>
      </w:tr>
    </w:tbl>
    <w:p>
      <w:pPr>
        <w:spacing w:line="240" w:lineRule="auto" w:before="13"/>
        <w:rPr>
          <w:rFonts w:ascii="宋体" w:hAnsi="宋体" w:cs="宋体" w:eastAsia="宋体" w:hint="default"/>
          <w:sz w:val="7"/>
          <w:szCs w:val="7"/>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434"/>
        <w:gridCol w:w="1666"/>
        <w:gridCol w:w="1419"/>
        <w:gridCol w:w="1274"/>
        <w:gridCol w:w="1324"/>
        <w:gridCol w:w="1421"/>
      </w:tblGrid>
      <w:tr>
        <w:trPr>
          <w:trHeight w:val="402"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0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402"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nil" w:sz="6" w:space="0" w:color="auto"/>
            </w:tcBorders>
          </w:tcPr>
          <w:p>
            <w:pP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45,769,566.02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7" w:right="0"/>
              <w:jc w:val="center"/>
              <w:rPr>
                <w:rFonts w:ascii="宋体" w:hAnsi="宋体" w:cs="宋体" w:eastAsia="宋体" w:hint="default"/>
                <w:sz w:val="18"/>
                <w:szCs w:val="18"/>
              </w:rPr>
            </w:pPr>
            <w:r>
              <w:rPr>
                <w:rFonts w:ascii="宋体"/>
                <w:sz w:val="18"/>
              </w:rPr>
              <w:t>45,769,566.02</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11,279,801.36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7" w:right="0"/>
              <w:jc w:val="center"/>
              <w:rPr>
                <w:rFonts w:ascii="宋体" w:hAnsi="宋体" w:cs="宋体" w:eastAsia="宋体" w:hint="default"/>
                <w:sz w:val="18"/>
                <w:szCs w:val="18"/>
              </w:rPr>
            </w:pPr>
            <w:r>
              <w:rPr>
                <w:rFonts w:ascii="宋体"/>
                <w:sz w:val="18"/>
              </w:rPr>
              <w:t>11,279,801.36</w:t>
            </w:r>
          </w:p>
        </w:tc>
      </w:tr>
      <w:tr>
        <w:trPr>
          <w:trHeight w:val="55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57,049,367.38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7" w:right="0"/>
              <w:jc w:val="center"/>
              <w:rPr>
                <w:rFonts w:ascii="宋体" w:hAnsi="宋体" w:cs="宋体" w:eastAsia="宋体" w:hint="default"/>
                <w:sz w:val="18"/>
                <w:szCs w:val="18"/>
              </w:rPr>
            </w:pPr>
            <w:r>
              <w:rPr>
                <w:rFonts w:ascii="宋体"/>
                <w:sz w:val="18"/>
              </w:rPr>
              <w:t>57,049,367.38</w:t>
            </w:r>
          </w:p>
        </w:tc>
      </w:tr>
    </w:tbl>
    <w:p>
      <w:pPr>
        <w:spacing w:line="240" w:lineRule="auto" w:before="3"/>
        <w:rPr>
          <w:rFonts w:ascii="宋体" w:hAnsi="宋体" w:cs="宋体" w:eastAsia="宋体" w:hint="default"/>
          <w:sz w:val="5"/>
          <w:szCs w:val="5"/>
        </w:rPr>
      </w:pPr>
    </w:p>
    <w:p>
      <w:pPr>
        <w:pStyle w:val="BodyText"/>
        <w:spacing w:line="444" w:lineRule="auto" w:before="35"/>
        <w:ind w:left="653" w:right="1724"/>
        <w:jc w:val="left"/>
      </w:pPr>
      <w:r>
        <w:rPr>
          <w:rFonts w:ascii="宋体" w:hAnsi="宋体" w:cs="宋体" w:eastAsia="宋体" w:hint="default"/>
        </w:rPr>
        <w:t>(2)</w:t>
      </w:r>
      <w:r>
        <w:rPr>
          <w:rFonts w:ascii="宋体" w:hAnsi="宋体" w:cs="宋体" w:eastAsia="宋体" w:hint="default"/>
          <w:spacing w:val="-1"/>
        </w:rPr>
        <w:t> </w:t>
      </w:r>
      <w:r>
        <w:rPr/>
        <w:t>单项计提减值的应收款项情况见本财务报表附注合并财务报表项目注释之应收款项说明。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流动风险</w:t>
      </w:r>
    </w:p>
    <w:p>
      <w:pPr>
        <w:pStyle w:val="BodyText"/>
        <w:spacing w:line="410" w:lineRule="auto" w:before="53"/>
        <w:ind w:left="234" w:right="1110" w:firstLine="420"/>
        <w:jc w:val="both"/>
      </w:pPr>
      <w:r>
        <w:rPr/>
        <w:t>流动风险，是指本公司在履行以交付现金或其他金融资产的方式结算的义务时发生资金短缺的风险。 </w:t>
      </w: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spacing w:after="0" w:line="410" w:lineRule="auto"/>
        <w:jc w:val="both"/>
        <w:sectPr>
          <w:pgSz w:w="11910" w:h="16840"/>
          <w:pgMar w:header="877" w:footer="979" w:top="1100" w:bottom="1160" w:left="900" w:right="0"/>
        </w:sectPr>
      </w:pPr>
    </w:p>
    <w:p>
      <w:pPr>
        <w:spacing w:line="240" w:lineRule="auto" w:before="8"/>
        <w:rPr>
          <w:rFonts w:ascii="宋体" w:hAnsi="宋体" w:cs="宋体" w:eastAsia="宋体" w:hint="default"/>
          <w:sz w:val="26"/>
          <w:szCs w:val="26"/>
        </w:rPr>
      </w:pPr>
    </w:p>
    <w:p>
      <w:pPr>
        <w:pStyle w:val="BodyText"/>
        <w:spacing w:line="410" w:lineRule="auto" w:before="35"/>
        <w:ind w:left="234" w:right="1131" w:firstLine="420"/>
        <w:jc w:val="both"/>
      </w:pPr>
      <w:r>
        <w:rPr>
          <w:spacing w:val="-1"/>
        </w:rPr>
        <w:t>为控制该项风险，本公司综合运用票据结算、银行借款等多种融资手段，并采取长、短期融资方式适</w:t>
      </w:r>
      <w:r>
        <w:rPr/>
        <w:t> </w:t>
      </w:r>
      <w:r>
        <w:rPr>
          <w:spacing w:val="-1"/>
        </w:rPr>
        <w:t>当结合，优化融资结构的方法，保持融资持续性与灵活性之间的平衡。本公司已从多家商业银行取得银行</w:t>
      </w:r>
      <w:r>
        <w:rPr>
          <w:spacing w:val="-83"/>
        </w:rPr>
        <w:t> </w:t>
      </w:r>
      <w:r>
        <w:rPr>
          <w:spacing w:val="-83"/>
        </w:rPr>
      </w:r>
      <w:r>
        <w:rPr/>
        <w:t>授信额度以满足营运资金需求和资本开支。</w:t>
      </w:r>
    </w:p>
    <w:p>
      <w:pPr>
        <w:pStyle w:val="BodyText"/>
        <w:spacing w:line="240" w:lineRule="auto" w:before="84"/>
        <w:ind w:left="654" w:right="1029"/>
        <w:jc w:val="left"/>
      </w:pPr>
      <w:r>
        <w:rPr/>
        <w:t>金融负债按剩余到期日分类</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257"/>
        <w:gridCol w:w="1526"/>
        <w:gridCol w:w="1554"/>
        <w:gridCol w:w="1538"/>
        <w:gridCol w:w="1401"/>
        <w:gridCol w:w="1267"/>
      </w:tblGrid>
      <w:tr>
        <w:trPr>
          <w:trHeight w:val="558" w:hRule="exact"/>
        </w:trPr>
        <w:tc>
          <w:tcPr>
            <w:tcW w:w="12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28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54" w:hRule="exact"/>
        </w:trPr>
        <w:tc>
          <w:tcPr>
            <w:tcW w:w="1257" w:type="dxa"/>
            <w:vMerge/>
            <w:tcBorders>
              <w:left w:val="nil" w:sz="6" w:space="0" w:color="auto"/>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91" w:right="321" w:hanging="270"/>
              <w:jc w:val="left"/>
              <w:rPr>
                <w:rFonts w:ascii="宋体" w:hAnsi="宋体" w:cs="宋体" w:eastAsia="宋体" w:hint="default"/>
                <w:sz w:val="18"/>
                <w:szCs w:val="18"/>
              </w:rPr>
            </w:pPr>
            <w:r>
              <w:rPr>
                <w:rFonts w:ascii="宋体" w:hAnsi="宋体" w:cs="宋体" w:eastAsia="宋体" w:hint="default"/>
                <w:sz w:val="18"/>
                <w:szCs w:val="18"/>
              </w:rPr>
              <w:t>未折现合同 金额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415,707,177.51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458,262,363.02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126,991,250.47</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18"/>
                <w:szCs w:val="18"/>
              </w:rPr>
            </w:pPr>
            <w:r>
              <w:rPr>
                <w:rFonts w:ascii="宋体"/>
                <w:sz w:val="18"/>
              </w:rPr>
              <w:t>307,556,775.41</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5"/>
              <w:jc w:val="center"/>
              <w:rPr>
                <w:rFonts w:ascii="宋体" w:hAnsi="宋体" w:cs="宋体" w:eastAsia="宋体" w:hint="default"/>
                <w:sz w:val="18"/>
                <w:szCs w:val="18"/>
              </w:rPr>
            </w:pPr>
            <w:r>
              <w:rPr>
                <w:rFonts w:ascii="宋体"/>
                <w:sz w:val="18"/>
              </w:rPr>
              <w:t>23,714,337.14</w:t>
            </w: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129,640,622.52</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129,640,622.52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129,640,622.52</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1,139,339,476.54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1,139,339,476.54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1,139,339,476.54</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784,103.32</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784,103.32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784,103.32</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297,037,187.57</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297,037,187.57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297,037,187.57</w:t>
            </w:r>
          </w:p>
        </w:tc>
        <w:tc>
          <w:tcPr>
            <w:tcW w:w="140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1,982,508,567.46</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2,025,063,752.97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1,693,792,640.42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 w:right="0"/>
              <w:jc w:val="center"/>
              <w:rPr>
                <w:rFonts w:ascii="宋体" w:hAnsi="宋体" w:cs="宋体" w:eastAsia="宋体" w:hint="default"/>
                <w:sz w:val="18"/>
                <w:szCs w:val="18"/>
              </w:rPr>
            </w:pPr>
            <w:r>
              <w:rPr>
                <w:rFonts w:ascii="宋体"/>
                <w:sz w:val="18"/>
              </w:rPr>
              <w:t>307,556,775.41</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35"/>
              <w:jc w:val="center"/>
              <w:rPr>
                <w:rFonts w:ascii="宋体" w:hAnsi="宋体" w:cs="宋体" w:eastAsia="宋体" w:hint="default"/>
                <w:sz w:val="18"/>
                <w:szCs w:val="18"/>
              </w:rPr>
            </w:pPr>
            <w:r>
              <w:rPr>
                <w:rFonts w:ascii="宋体"/>
                <w:sz w:val="18"/>
              </w:rPr>
              <w:t>23,714,337.14</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704"/>
        <w:gridCol w:w="1583"/>
        <w:gridCol w:w="1512"/>
        <w:gridCol w:w="1553"/>
        <w:gridCol w:w="1359"/>
        <w:gridCol w:w="918"/>
      </w:tblGrid>
      <w:tr>
        <w:trPr>
          <w:trHeight w:val="558" w:hRule="exact"/>
        </w:trPr>
        <w:tc>
          <w:tcPr>
            <w:tcW w:w="170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692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54" w:hRule="exact"/>
        </w:trPr>
        <w:tc>
          <w:tcPr>
            <w:tcW w:w="1704" w:type="dxa"/>
            <w:vMerge/>
            <w:tcBorders>
              <w:left w:val="nil" w:sz="6" w:space="0" w:color="auto"/>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71" w:right="299" w:hanging="271"/>
              <w:jc w:val="left"/>
              <w:rPr>
                <w:rFonts w:ascii="宋体" w:hAnsi="宋体" w:cs="宋体" w:eastAsia="宋体" w:hint="default"/>
                <w:sz w:val="18"/>
                <w:szCs w:val="18"/>
              </w:rPr>
            </w:pPr>
            <w:r>
              <w:rPr>
                <w:rFonts w:ascii="宋体" w:hAnsi="宋体" w:cs="宋体" w:eastAsia="宋体" w:hint="default"/>
                <w:sz w:val="18"/>
                <w:szCs w:val="18"/>
              </w:rPr>
              <w:t>未折现合同 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1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558"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2" w:right="96"/>
              <w:jc w:val="both"/>
              <w:rPr>
                <w:rFonts w:ascii="宋体" w:hAnsi="宋体" w:cs="宋体" w:eastAsia="宋体" w:hint="default"/>
                <w:sz w:val="18"/>
                <w:szCs w:val="18"/>
              </w:rPr>
            </w:pPr>
            <w:r>
              <w:rPr>
                <w:rFonts w:ascii="宋体" w:hAnsi="宋体" w:cs="宋体" w:eastAsia="宋体" w:hint="default"/>
                <w:spacing w:val="4"/>
                <w:sz w:val="18"/>
                <w:szCs w:val="18"/>
              </w:rPr>
              <w:t>以公允价值计量且 其变动计入当期损 </w:t>
            </w:r>
            <w:r>
              <w:rPr>
                <w:rFonts w:ascii="宋体" w:hAnsi="宋体" w:cs="宋体" w:eastAsia="宋体" w:hint="default"/>
                <w:sz w:val="18"/>
                <w:szCs w:val="18"/>
              </w:rPr>
              <w:t>益的金融负债</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59"/>
              <w:jc w:val="right"/>
              <w:rPr>
                <w:rFonts w:ascii="宋体" w:hAnsi="宋体" w:cs="宋体" w:eastAsia="宋体" w:hint="default"/>
                <w:sz w:val="18"/>
                <w:szCs w:val="18"/>
              </w:rPr>
            </w:pPr>
            <w:r>
              <w:rPr>
                <w:rFonts w:ascii="宋体"/>
                <w:sz w:val="18"/>
              </w:rPr>
              <w:t>2,333,342.50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58"/>
              <w:jc w:val="right"/>
              <w:rPr>
                <w:rFonts w:ascii="宋体" w:hAnsi="宋体" w:cs="宋体" w:eastAsia="宋体" w:hint="default"/>
                <w:sz w:val="18"/>
                <w:szCs w:val="18"/>
              </w:rPr>
            </w:pPr>
            <w:r>
              <w:rPr>
                <w:rFonts w:ascii="宋体"/>
                <w:sz w:val="18"/>
              </w:rPr>
              <w:t>2,333,342.50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59"/>
              <w:jc w:val="right"/>
              <w:rPr>
                <w:rFonts w:ascii="宋体" w:hAnsi="宋体" w:cs="宋体" w:eastAsia="宋体" w:hint="default"/>
                <w:sz w:val="18"/>
                <w:szCs w:val="18"/>
              </w:rPr>
            </w:pPr>
            <w:r>
              <w:rPr>
                <w:rFonts w:ascii="宋体"/>
                <w:sz w:val="18"/>
              </w:rPr>
              <w:t>2,333,342.50</w:t>
            </w:r>
          </w:p>
        </w:tc>
        <w:tc>
          <w:tcPr>
            <w:tcW w:w="135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539,116,792.07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572,226,387.60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430,692,202.93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9"/>
              <w:jc w:val="center"/>
              <w:rPr>
                <w:rFonts w:ascii="宋体" w:hAnsi="宋体" w:cs="宋体" w:eastAsia="宋体" w:hint="default"/>
                <w:sz w:val="18"/>
                <w:szCs w:val="18"/>
              </w:rPr>
            </w:pPr>
            <w:r>
              <w:rPr>
                <w:rFonts w:ascii="宋体"/>
                <w:sz w:val="18"/>
              </w:rPr>
              <w:t>141,534,184.67</w:t>
            </w:r>
          </w:p>
        </w:tc>
        <w:tc>
          <w:tcPr>
            <w:tcW w:w="9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58,349,154.00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58,349,154.00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58,349,154.00</w:t>
            </w:r>
          </w:p>
        </w:tc>
        <w:tc>
          <w:tcPr>
            <w:tcW w:w="135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828,566,738.78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828,566,738.78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828,566,738.78</w:t>
            </w:r>
          </w:p>
        </w:tc>
        <w:tc>
          <w:tcPr>
            <w:tcW w:w="135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9"/>
              <w:jc w:val="right"/>
              <w:rPr>
                <w:rFonts w:ascii="宋体" w:hAnsi="宋体" w:cs="宋体" w:eastAsia="宋体" w:hint="default"/>
                <w:sz w:val="18"/>
                <w:szCs w:val="18"/>
              </w:rPr>
            </w:pPr>
            <w:r>
              <w:rPr>
                <w:rFonts w:ascii="宋体"/>
                <w:sz w:val="18"/>
              </w:rPr>
              <w:t>830,369.24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8"/>
              <w:jc w:val="right"/>
              <w:rPr>
                <w:rFonts w:ascii="宋体" w:hAnsi="宋体" w:cs="宋体" w:eastAsia="宋体" w:hint="default"/>
                <w:sz w:val="18"/>
                <w:szCs w:val="18"/>
              </w:rPr>
            </w:pPr>
            <w:r>
              <w:rPr>
                <w:rFonts w:ascii="宋体"/>
                <w:sz w:val="18"/>
              </w:rPr>
              <w:t>830,369.24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9"/>
              <w:jc w:val="right"/>
              <w:rPr>
                <w:rFonts w:ascii="宋体" w:hAnsi="宋体" w:cs="宋体" w:eastAsia="宋体" w:hint="default"/>
                <w:sz w:val="18"/>
                <w:szCs w:val="18"/>
              </w:rPr>
            </w:pPr>
            <w:r>
              <w:rPr>
                <w:rFonts w:ascii="宋体"/>
                <w:sz w:val="18"/>
              </w:rPr>
              <w:t>830,369.24</w:t>
            </w:r>
          </w:p>
        </w:tc>
        <w:tc>
          <w:tcPr>
            <w:tcW w:w="135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249,306,947.05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249,306,947.05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249,306,947.05</w:t>
            </w:r>
          </w:p>
        </w:tc>
        <w:tc>
          <w:tcPr>
            <w:tcW w:w="1359"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704"/>
        <w:gridCol w:w="1583"/>
        <w:gridCol w:w="1512"/>
        <w:gridCol w:w="1553"/>
        <w:gridCol w:w="1359"/>
        <w:gridCol w:w="918"/>
      </w:tblGrid>
      <w:tr>
        <w:trPr>
          <w:trHeight w:val="1026"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1,678,503,343.64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1,711,612,939.1</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9"/>
              <w:jc w:val="right"/>
              <w:rPr>
                <w:rFonts w:ascii="宋体" w:hAnsi="宋体" w:cs="宋体" w:eastAsia="宋体" w:hint="default"/>
                <w:sz w:val="18"/>
                <w:szCs w:val="18"/>
              </w:rPr>
            </w:pPr>
            <w:r>
              <w:rPr>
                <w:rFonts w:ascii="宋体"/>
                <w:sz w:val="18"/>
              </w:rPr>
              <w:t>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 w:right="0"/>
              <w:jc w:val="left"/>
              <w:rPr>
                <w:rFonts w:ascii="宋体" w:hAnsi="宋体" w:cs="宋体" w:eastAsia="宋体" w:hint="default"/>
                <w:sz w:val="18"/>
                <w:szCs w:val="18"/>
              </w:rPr>
            </w:pPr>
            <w:r>
              <w:rPr>
                <w:rFonts w:ascii="宋体"/>
                <w:sz w:val="18"/>
              </w:rPr>
              <w:t>1,570,078,754.50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 w:right="0"/>
              <w:jc w:val="left"/>
              <w:rPr>
                <w:rFonts w:ascii="宋体" w:hAnsi="宋体" w:cs="宋体" w:eastAsia="宋体" w:hint="default"/>
                <w:sz w:val="18"/>
                <w:szCs w:val="18"/>
              </w:rPr>
            </w:pPr>
            <w:r>
              <w:rPr>
                <w:rFonts w:ascii="宋体"/>
                <w:sz w:val="18"/>
              </w:rPr>
              <w:t>141,534,184.67</w:t>
            </w:r>
          </w:p>
        </w:tc>
        <w:tc>
          <w:tcPr>
            <w:tcW w:w="918" w:type="dxa"/>
            <w:tcBorders>
              <w:top w:val="single" w:sz="4" w:space="0" w:color="000000"/>
              <w:left w:val="single" w:sz="4" w:space="0" w:color="000000"/>
              <w:bottom w:val="single" w:sz="4" w:space="0" w:color="000000"/>
              <w:right w:val="nil" w:sz="6" w:space="0" w:color="auto"/>
            </w:tcBorders>
          </w:tcPr>
          <w:p>
            <w:pPr/>
          </w:p>
        </w:tc>
      </w:tr>
    </w:tbl>
    <w:p>
      <w:pPr>
        <w:pStyle w:val="BodyText"/>
        <w:spacing w:line="444" w:lineRule="auto" w:before="63"/>
        <w:ind w:left="654" w:right="1029"/>
        <w:jc w:val="left"/>
      </w:pPr>
      <w:bookmarkStart w:name="(三) 市场风险" w:id="248"/>
      <w:bookmarkEnd w:id="248"/>
      <w:r>
        <w:rPr/>
      </w:r>
      <w:r>
        <w:rPr>
          <w:rFonts w:ascii="宋体" w:hAnsi="宋体" w:cs="宋体" w:eastAsia="宋体" w:hint="default"/>
        </w:rPr>
        <w:t>(</w:t>
      </w:r>
      <w:r>
        <w:rPr/>
        <w:t>三</w:t>
      </w:r>
      <w:r>
        <w:rPr>
          <w:rFonts w:ascii="宋体" w:hAnsi="宋体" w:cs="宋体" w:eastAsia="宋体" w:hint="default"/>
        </w:rPr>
        <w:t>) </w:t>
      </w:r>
      <w:r>
        <w:rPr/>
        <w:t>市场风险 </w:t>
      </w:r>
      <w:r>
        <w:rPr>
          <w:spacing w:val="-1"/>
        </w:rPr>
        <w:t>市场风险，是指金融工具的公允价值或未来现金流量因市场价格变动而发生波动的风险。市场风险主</w:t>
      </w:r>
    </w:p>
    <w:p>
      <w:pPr>
        <w:pStyle w:val="BodyText"/>
        <w:spacing w:line="444" w:lineRule="auto" w:before="16"/>
        <w:ind w:left="654" w:right="8022" w:hanging="420"/>
        <w:jc w:val="left"/>
      </w:pPr>
      <w:r>
        <w:rPr/>
        <w:t>要包括利率风险和外汇风险。 </w:t>
      </w:r>
      <w:r>
        <w:rPr>
          <w:rFonts w:ascii="宋体" w:hAnsi="宋体" w:cs="宋体" w:eastAsia="宋体" w:hint="default"/>
        </w:rPr>
        <w:t>1.</w:t>
      </w:r>
      <w:r>
        <w:rPr>
          <w:rFonts w:ascii="宋体" w:hAnsi="宋体" w:cs="宋体" w:eastAsia="宋体" w:hint="default"/>
          <w:spacing w:val="1"/>
        </w:rPr>
        <w:t> </w:t>
      </w:r>
      <w:r>
        <w:rPr/>
        <w:t>利率风险</w:t>
      </w:r>
    </w:p>
    <w:p>
      <w:pPr>
        <w:pStyle w:val="BodyText"/>
        <w:spacing w:line="410" w:lineRule="auto" w:before="53"/>
        <w:ind w:left="234" w:right="1029" w:firstLine="420"/>
        <w:jc w:val="left"/>
      </w:pPr>
      <w:r>
        <w:rPr>
          <w:spacing w:val="-1"/>
        </w:rPr>
        <w:t>利率风险，是指金融工具的公允价值或未来现金流量因市场利率变动而发生波动的风险。本公司面临</w:t>
      </w:r>
      <w:r>
        <w:rPr/>
        <w:t> 的市场利率变动的风险主要与本公司以浮动利率计息的借款有关。</w:t>
      </w:r>
    </w:p>
    <w:p>
      <w:pPr>
        <w:pStyle w:val="BodyText"/>
        <w:spacing w:line="240" w:lineRule="auto" w:before="83"/>
        <w:ind w:left="653" w:right="1029"/>
        <w:jc w:val="left"/>
      </w:pPr>
      <w:r>
        <w:rPr/>
        <w:t>截至</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spacing w:val="-4"/>
        </w:rPr>
        <w:t>日，本公司以浮动利率计息的银行借款人民币</w:t>
      </w:r>
      <w:r>
        <w:rPr>
          <w:spacing w:val="-52"/>
        </w:rPr>
        <w:t> </w:t>
      </w:r>
      <w:r>
        <w:rPr>
          <w:rFonts w:ascii="宋体" w:hAnsi="宋体" w:cs="宋体" w:eastAsia="宋体" w:hint="default"/>
        </w:rPr>
        <w:t>379,707,177.51</w:t>
      </w:r>
      <w:r>
        <w:rPr>
          <w:rFonts w:ascii="宋体" w:hAnsi="宋体" w:cs="宋体" w:eastAsia="宋体" w:hint="default"/>
          <w:spacing w:val="-52"/>
        </w:rPr>
        <w:t> </w:t>
      </w:r>
      <w:r>
        <w:rPr/>
        <w:t>元</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p>
    <w:p>
      <w:pPr>
        <w:spacing w:line="240" w:lineRule="auto" w:before="10"/>
        <w:rPr>
          <w:rFonts w:ascii="宋体" w:hAnsi="宋体" w:cs="宋体" w:eastAsia="宋体" w:hint="default"/>
          <w:sz w:val="14"/>
          <w:szCs w:val="14"/>
        </w:rPr>
      </w:pPr>
    </w:p>
    <w:p>
      <w:pPr>
        <w:pStyle w:val="BodyText"/>
        <w:spacing w:line="410" w:lineRule="auto"/>
        <w:ind w:left="233" w:right="1124"/>
        <w:jc w:val="left"/>
      </w:pPr>
      <w:r>
        <w:rPr>
          <w:rFonts w:ascii="宋体" w:hAnsi="宋体" w:cs="宋体" w:eastAsia="宋体" w:hint="default"/>
        </w:rPr>
        <w:t>31</w:t>
      </w:r>
      <w:r>
        <w:rPr>
          <w:rFonts w:ascii="宋体" w:hAnsi="宋体" w:cs="宋体" w:eastAsia="宋体" w:hint="default"/>
          <w:spacing w:val="-48"/>
        </w:rPr>
        <w:t> </w:t>
      </w:r>
      <w:r>
        <w:rPr/>
        <w:t>日：人民币</w:t>
      </w:r>
      <w:r>
        <w:rPr>
          <w:spacing w:val="-48"/>
        </w:rPr>
        <w:t> </w:t>
      </w:r>
      <w:r>
        <w:rPr>
          <w:rFonts w:ascii="宋体" w:hAnsi="宋体" w:cs="宋体" w:eastAsia="宋体" w:hint="default"/>
        </w:rPr>
        <w:t>150,930,000.00</w:t>
      </w:r>
      <w:r>
        <w:rPr>
          <w:rFonts w:ascii="宋体" w:hAnsi="宋体" w:cs="宋体" w:eastAsia="宋体" w:hint="default"/>
          <w:spacing w:val="-49"/>
        </w:rPr>
        <w:t> </w:t>
      </w:r>
      <w:r>
        <w:rPr/>
        <w:t>元</w:t>
      </w:r>
      <w:r>
        <w:rPr>
          <w:rFonts w:ascii="宋体" w:hAnsi="宋体" w:cs="宋体" w:eastAsia="宋体" w:hint="default"/>
        </w:rPr>
        <w:t>)</w:t>
      </w:r>
      <w:r>
        <w:rPr/>
        <w:t>，在其他变量不变的假设下，假定利率变动</w:t>
      </w:r>
      <w:r>
        <w:rPr>
          <w:spacing w:val="-48"/>
        </w:rPr>
        <w:t> </w:t>
      </w:r>
      <w:r>
        <w:rPr>
          <w:rFonts w:ascii="宋体" w:hAnsi="宋体" w:cs="宋体" w:eastAsia="宋体" w:hint="default"/>
        </w:rPr>
        <w:t>50</w:t>
      </w:r>
      <w:r>
        <w:rPr>
          <w:rFonts w:ascii="宋体" w:hAnsi="宋体" w:cs="宋体" w:eastAsia="宋体" w:hint="default"/>
          <w:spacing w:val="-48"/>
        </w:rPr>
        <w:t> </w:t>
      </w:r>
      <w:r>
        <w:rPr/>
        <w:t>个基准点，不会对本公 司的利润总额和股东权益产生重大的影响。</w:t>
      </w:r>
    </w:p>
    <w:p>
      <w:pPr>
        <w:pStyle w:val="BodyText"/>
        <w:spacing w:line="441" w:lineRule="auto" w:before="83"/>
        <w:ind w:left="653" w:right="1029"/>
        <w:jc w:val="left"/>
      </w:pPr>
      <w:r>
        <w:rPr>
          <w:rFonts w:ascii="宋体" w:hAnsi="宋体" w:cs="宋体" w:eastAsia="宋体" w:hint="default"/>
        </w:rPr>
        <w:t>2.</w:t>
      </w:r>
      <w:r>
        <w:rPr>
          <w:rFonts w:ascii="宋体" w:hAnsi="宋体" w:cs="宋体" w:eastAsia="宋体" w:hint="default"/>
          <w:spacing w:val="1"/>
        </w:rPr>
        <w:t> </w:t>
      </w:r>
      <w:r>
        <w:rPr/>
        <w:t>外汇风险 </w:t>
      </w:r>
      <w:r>
        <w:rPr>
          <w:spacing w:val="-1"/>
        </w:rPr>
        <w:t>外汇风险，是指金融工具的公允价值或未来现金流量因外汇汇率变动而发生波动的风险。本公司面临</w:t>
      </w:r>
    </w:p>
    <w:p>
      <w:pPr>
        <w:pStyle w:val="BodyText"/>
        <w:spacing w:line="410" w:lineRule="auto" w:before="16"/>
        <w:ind w:left="233" w:right="1029"/>
        <w:jc w:val="left"/>
      </w:pPr>
      <w:r>
        <w:rPr>
          <w:spacing w:val="-1"/>
        </w:rPr>
        <w:t>的汇率变动的风险主要与本公司外币货币性资产和负债有关。对于外币资产和负债，如果出现短期的失衡</w:t>
      </w:r>
      <w:r>
        <w:rPr>
          <w:spacing w:val="-81"/>
        </w:rPr>
        <w:t> </w:t>
      </w:r>
      <w:r>
        <w:rPr>
          <w:spacing w:val="-81"/>
        </w:rPr>
      </w:r>
      <w:r>
        <w:rPr/>
        <w:t>情况，本公司会在必要时按市场汇率买卖外币，以确保将净风险敞口维持在可接受的水平。</w:t>
      </w:r>
    </w:p>
    <w:p>
      <w:pPr>
        <w:pStyle w:val="BodyText"/>
        <w:spacing w:line="410" w:lineRule="auto" w:before="83"/>
        <w:ind w:left="233" w:right="1029" w:firstLine="420"/>
        <w:jc w:val="left"/>
      </w:pPr>
      <w:r>
        <w:rPr>
          <w:spacing w:val="3"/>
        </w:rPr>
        <w:t>本公司期末外币货币性资产和负债情况见本财务报表附注合并财务报表项目注释其他之外币货币性</w:t>
      </w:r>
      <w:r>
        <w:rPr/>
        <w:t> 项目说明。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3"/>
        <w:spacing w:line="240" w:lineRule="auto" w:before="0"/>
        <w:ind w:left="653" w:right="1029"/>
        <w:jc w:val="left"/>
        <w:rPr>
          <w:rFonts w:ascii="黑体" w:hAnsi="黑体" w:cs="黑体" w:eastAsia="黑体" w:hint="default"/>
          <w:b w:val="0"/>
          <w:bCs w:val="0"/>
        </w:rPr>
      </w:pPr>
      <w:bookmarkStart w:name="十一、公允价值的披露" w:id="249"/>
      <w:bookmarkEnd w:id="249"/>
      <w:r>
        <w:rPr>
          <w:b w:val="0"/>
          <w:bCs w:val="0"/>
        </w:rPr>
      </w:r>
      <w:r>
        <w:rPr>
          <w:rFonts w:ascii="黑体" w:hAnsi="黑体" w:cs="黑体" w:eastAsia="黑体" w:hint="default"/>
        </w:rPr>
        <w:t>十一、公允价值的披露</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240" w:lineRule="auto"/>
        <w:ind w:left="653" w:right="1029"/>
        <w:jc w:val="left"/>
      </w:pPr>
      <w:bookmarkStart w:name="(一)以公允价值计量的资产和负债的期末公允价值明细情况" w:id="250"/>
      <w:bookmarkEnd w:id="250"/>
      <w:r>
        <w:rPr/>
      </w:r>
      <w:r>
        <w:rPr>
          <w:rFonts w:ascii="宋体" w:hAnsi="宋体" w:cs="宋体" w:eastAsia="宋体" w:hint="default"/>
        </w:rPr>
        <w:t>(</w:t>
      </w:r>
      <w:r>
        <w:rPr/>
        <w:t>一</w:t>
      </w:r>
      <w:r>
        <w:rPr>
          <w:rFonts w:ascii="宋体" w:hAnsi="宋体" w:cs="宋体" w:eastAsia="宋体" w:hint="default"/>
        </w:rPr>
        <w:t>)</w:t>
      </w:r>
      <w:r>
        <w:rPr/>
        <w:t>以公允价值计量的资产和负债的期末公允价值明细情况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435"/>
        <w:gridCol w:w="1611"/>
        <w:gridCol w:w="1609"/>
        <w:gridCol w:w="1611"/>
        <w:gridCol w:w="1604"/>
      </w:tblGrid>
      <w:tr>
        <w:trPr>
          <w:trHeight w:val="479" w:hRule="exact"/>
        </w:trPr>
        <w:tc>
          <w:tcPr>
            <w:tcW w:w="343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43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634" w:hRule="exact"/>
        </w:trPr>
        <w:tc>
          <w:tcPr>
            <w:tcW w:w="3435" w:type="dxa"/>
            <w:vMerge/>
            <w:tcBorders>
              <w:left w:val="nil" w:sz="6" w:space="0" w:color="auto"/>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3" w:right="256" w:hanging="181"/>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2" w:right="254" w:hanging="180"/>
              <w:jc w:val="left"/>
              <w:rPr>
                <w:rFonts w:ascii="宋体" w:hAnsi="宋体" w:cs="宋体" w:eastAsia="宋体" w:hint="default"/>
                <w:sz w:val="18"/>
                <w:szCs w:val="18"/>
              </w:rPr>
            </w:pPr>
            <w:r>
              <w:rPr>
                <w:rFonts w:ascii="宋体" w:hAnsi="宋体" w:cs="宋体" w:eastAsia="宋体" w:hint="default"/>
                <w:sz w:val="18"/>
                <w:szCs w:val="18"/>
              </w:rPr>
              <w:t>第二层次公允 价值计量</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2" w:right="256" w:hanging="180"/>
              <w:jc w:val="left"/>
              <w:rPr>
                <w:rFonts w:ascii="宋体" w:hAnsi="宋体" w:cs="宋体" w:eastAsia="宋体" w:hint="default"/>
                <w:sz w:val="18"/>
                <w:szCs w:val="18"/>
              </w:rPr>
            </w:pPr>
            <w:r>
              <w:rPr>
                <w:rFonts w:ascii="宋体" w:hAnsi="宋体" w:cs="宋体" w:eastAsia="宋体" w:hint="default"/>
                <w:sz w:val="18"/>
                <w:szCs w:val="18"/>
              </w:rPr>
              <w:t>第三层次公允 价值计量</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10,930,847.50</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10,930,847.50</w:t>
            </w:r>
          </w:p>
        </w:tc>
      </w:tr>
      <w:tr>
        <w:trPr>
          <w:trHeight w:val="47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10,930,847.50</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10,930,847.50</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10,930,847.50</w:t>
            </w:r>
          </w:p>
        </w:tc>
        <w:tc>
          <w:tcPr>
            <w:tcW w:w="1611"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10,930,847.50</w:t>
            </w:r>
          </w:p>
        </w:tc>
      </w:tr>
    </w:tbl>
    <w:p>
      <w:pPr>
        <w:pStyle w:val="BodyText"/>
        <w:spacing w:line="444" w:lineRule="auto" w:before="63"/>
        <w:ind w:left="654" w:right="1092"/>
        <w:jc w:val="left"/>
      </w:pPr>
      <w:bookmarkStart w:name="(二) 持续和非持续第二层次公允价值计量项目，采用的估值技术和重要参数的定性及定" w:id="251"/>
      <w:bookmarkEnd w:id="251"/>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持续和非持续第二层次公允价值计量项目，采用的估值技术和重要参数的定性及定量信息 公司按照在计量日活跃市场中类似资产或负债的报价；非活跃市场中相同或类似资产或负债的报价；</w:t>
      </w:r>
    </w:p>
    <w:p>
      <w:pPr>
        <w:pStyle w:val="BodyText"/>
        <w:spacing w:line="240" w:lineRule="auto" w:before="14"/>
        <w:ind w:left="234" w:right="1029"/>
        <w:jc w:val="left"/>
      </w:pPr>
      <w:r>
        <w:rPr/>
        <w:t>除报价以外的其他可观察输入值，如在正常报价间隔期间可观察的利率和收益率曲线等；市场验证的输入</w:t>
      </w:r>
    </w:p>
    <w:p>
      <w:pPr>
        <w:spacing w:after="0" w:line="240" w:lineRule="auto"/>
        <w:jc w:val="left"/>
        <w:sectPr>
          <w:pgSz w:w="11910" w:h="16840"/>
          <w:pgMar w:header="877" w:footer="979" w:top="1100" w:bottom="116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274" w:right="1198"/>
        <w:jc w:val="left"/>
      </w:pPr>
      <w:r>
        <w:rPr/>
        <w:t>值等确认公允价值变动。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before="0"/>
        <w:ind w:left="694" w:right="1198"/>
        <w:jc w:val="left"/>
        <w:rPr>
          <w:rFonts w:ascii="黑体" w:hAnsi="黑体" w:cs="黑体" w:eastAsia="黑体" w:hint="default"/>
          <w:b w:val="0"/>
          <w:bCs w:val="0"/>
        </w:rPr>
      </w:pPr>
      <w:bookmarkStart w:name="十二、关联方及关联交易" w:id="252"/>
      <w:bookmarkEnd w:id="252"/>
      <w:r>
        <w:rPr>
          <w:b w:val="0"/>
          <w:bCs w:val="0"/>
        </w:rPr>
      </w:r>
      <w:r>
        <w:rPr>
          <w:rFonts w:ascii="黑体" w:hAnsi="黑体" w:cs="黑体" w:eastAsia="黑体" w:hint="default"/>
        </w:rPr>
        <w:t>十二、关联方及关联交易</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240" w:lineRule="auto"/>
        <w:ind w:left="694" w:right="1198"/>
        <w:jc w:val="left"/>
      </w:pPr>
      <w:r>
        <w:rPr>
          <w:rFonts w:ascii="宋体" w:hAnsi="宋体" w:cs="宋体" w:eastAsia="宋体" w:hint="default"/>
        </w:rPr>
        <w:t>(</w:t>
      </w:r>
      <w:r>
        <w:rPr/>
        <w:t>一</w:t>
      </w:r>
      <w:r>
        <w:rPr>
          <w:rFonts w:ascii="宋体" w:hAnsi="宋体" w:cs="宋体" w:eastAsia="宋体" w:hint="default"/>
        </w:rPr>
        <w:t>)</w:t>
      </w:r>
      <w:r>
        <w:rPr/>
        <w:t>关联方情况</w:t>
      </w:r>
    </w:p>
    <w:p>
      <w:pPr>
        <w:spacing w:line="240" w:lineRule="auto" w:before="9"/>
        <w:rPr>
          <w:rFonts w:ascii="宋体" w:hAnsi="宋体" w:cs="宋体" w:eastAsia="宋体" w:hint="default"/>
          <w:sz w:val="17"/>
          <w:szCs w:val="17"/>
        </w:rPr>
      </w:pPr>
    </w:p>
    <w:p>
      <w:pPr>
        <w:pStyle w:val="BodyText"/>
        <w:spacing w:line="240" w:lineRule="auto"/>
        <w:ind w:left="694" w:right="1024"/>
        <w:jc w:val="left"/>
      </w:pPr>
      <w:r>
        <w:rPr>
          <w:rFonts w:ascii="宋体" w:hAnsi="宋体" w:cs="宋体" w:eastAsia="宋体" w:hint="default"/>
        </w:rPr>
        <w:t>1.</w:t>
      </w:r>
      <w:r>
        <w:rPr/>
        <w:t>截至</w:t>
      </w:r>
      <w:r>
        <w:rPr>
          <w:spacing w:val="-18"/>
        </w:rPr>
        <w:t> </w:t>
      </w:r>
      <w:r>
        <w:rPr>
          <w:rFonts w:ascii="宋体" w:hAnsi="宋体" w:cs="宋体" w:eastAsia="宋体" w:hint="default"/>
        </w:rPr>
        <w:t>2015</w:t>
      </w:r>
      <w:r>
        <w:rPr>
          <w:rFonts w:ascii="宋体" w:hAnsi="宋体" w:cs="宋体" w:eastAsia="宋体" w:hint="default"/>
          <w:spacing w:val="-19"/>
        </w:rPr>
        <w:t> </w:t>
      </w:r>
      <w:r>
        <w:rPr/>
        <w:t>年</w:t>
      </w:r>
      <w:r>
        <w:rPr>
          <w:spacing w:val="-18"/>
        </w:rPr>
        <w:t> </w:t>
      </w:r>
      <w:r>
        <w:rPr>
          <w:rFonts w:ascii="宋体" w:hAnsi="宋体" w:cs="宋体" w:eastAsia="宋体" w:hint="default"/>
        </w:rPr>
        <w:t>12</w:t>
      </w:r>
      <w:r>
        <w:rPr>
          <w:rFonts w:ascii="宋体" w:hAnsi="宋体" w:cs="宋体" w:eastAsia="宋体" w:hint="default"/>
          <w:spacing w:val="-17"/>
        </w:rPr>
        <w:t> </w:t>
      </w:r>
      <w:r>
        <w:rPr/>
        <w:t>月</w:t>
      </w:r>
      <w:r>
        <w:rPr>
          <w:spacing w:val="-18"/>
        </w:rPr>
        <w:t> </w:t>
      </w:r>
      <w:r>
        <w:rPr>
          <w:rFonts w:ascii="宋体" w:hAnsi="宋体" w:cs="宋体" w:eastAsia="宋体" w:hint="default"/>
        </w:rPr>
        <w:t>31</w:t>
      </w:r>
      <w:r>
        <w:rPr>
          <w:rFonts w:ascii="宋体" w:hAnsi="宋体" w:cs="宋体" w:eastAsia="宋体" w:hint="default"/>
          <w:spacing w:val="-18"/>
        </w:rPr>
        <w:t> </w:t>
      </w:r>
      <w:r>
        <w:rPr/>
        <w:t>日，自然人股东王相荣持有公司股份</w:t>
      </w:r>
      <w:r>
        <w:rPr>
          <w:spacing w:val="-17"/>
        </w:rPr>
        <w:t> </w:t>
      </w:r>
      <w:r>
        <w:rPr>
          <w:rFonts w:ascii="宋体" w:hAnsi="宋体" w:cs="宋体" w:eastAsia="宋体" w:hint="default"/>
        </w:rPr>
        <w:t>241,846,593</w:t>
      </w:r>
      <w:r>
        <w:rPr>
          <w:rFonts w:ascii="宋体" w:hAnsi="宋体" w:cs="宋体" w:eastAsia="宋体" w:hint="default"/>
          <w:spacing w:val="-16"/>
        </w:rPr>
        <w:t> </w:t>
      </w:r>
      <w:r>
        <w:rPr/>
        <w:t>股，占公司股份总额的</w:t>
      </w:r>
    </w:p>
    <w:p>
      <w:pPr>
        <w:spacing w:line="240" w:lineRule="auto" w:before="11"/>
        <w:rPr>
          <w:rFonts w:ascii="宋体" w:hAnsi="宋体" w:cs="宋体" w:eastAsia="宋体" w:hint="default"/>
          <w:sz w:val="14"/>
          <w:szCs w:val="14"/>
        </w:rPr>
      </w:pPr>
    </w:p>
    <w:p>
      <w:pPr>
        <w:pStyle w:val="BodyText"/>
        <w:spacing w:line="240" w:lineRule="auto"/>
        <w:ind w:left="273" w:right="1198"/>
        <w:jc w:val="left"/>
      </w:pPr>
      <w:r>
        <w:rPr>
          <w:rFonts w:ascii="宋体" w:hAnsi="宋体" w:cs="宋体" w:eastAsia="宋体" w:hint="default"/>
        </w:rPr>
        <w:t>16.02%</w:t>
      </w:r>
      <w:r>
        <w:rPr/>
        <w:t>，为公司实际控制人。</w:t>
      </w:r>
    </w:p>
    <w:p>
      <w:pPr>
        <w:spacing w:line="240" w:lineRule="auto" w:before="12"/>
        <w:rPr>
          <w:rFonts w:ascii="宋体" w:hAnsi="宋体" w:cs="宋体" w:eastAsia="宋体" w:hint="default"/>
          <w:sz w:val="17"/>
          <w:szCs w:val="17"/>
        </w:rPr>
      </w:pPr>
    </w:p>
    <w:p>
      <w:pPr>
        <w:pStyle w:val="BodyText"/>
        <w:spacing w:line="240" w:lineRule="auto"/>
        <w:ind w:left="693" w:right="1198"/>
        <w:jc w:val="left"/>
      </w:pPr>
      <w:r>
        <w:rPr>
          <w:rFonts w:ascii="宋体" w:hAnsi="宋体" w:cs="宋体" w:eastAsia="宋体" w:hint="default"/>
        </w:rPr>
        <w:t>2.</w:t>
      </w:r>
      <w:r>
        <w:rPr/>
        <w:t>本公司的子公司情况详见本财务报表附注在其他主体中的权益之说明。</w:t>
      </w:r>
    </w:p>
    <w:p>
      <w:pPr>
        <w:spacing w:line="240" w:lineRule="auto" w:before="10"/>
        <w:rPr>
          <w:rFonts w:ascii="宋体" w:hAnsi="宋体" w:cs="宋体" w:eastAsia="宋体" w:hint="default"/>
          <w:sz w:val="17"/>
          <w:szCs w:val="17"/>
        </w:rPr>
      </w:pPr>
    </w:p>
    <w:p>
      <w:pPr>
        <w:pStyle w:val="BodyText"/>
        <w:spacing w:line="444" w:lineRule="auto"/>
        <w:ind w:left="693" w:right="4033"/>
        <w:jc w:val="left"/>
      </w:pPr>
      <w:r>
        <w:rPr>
          <w:rFonts w:ascii="宋体" w:hAnsi="宋体" w:cs="宋体" w:eastAsia="宋体" w:hint="default"/>
        </w:rPr>
        <w:t>3.</w:t>
      </w:r>
      <w:r>
        <w:rPr/>
        <w:t>本公司的联营企业情况 本公司的联营企业详见本财务报表附注在其他主体中的权益之说明。 </w:t>
      </w:r>
      <w:r>
        <w:rPr>
          <w:rFonts w:ascii="宋体" w:hAnsi="宋体" w:cs="宋体" w:eastAsia="宋体" w:hint="default"/>
        </w:rPr>
        <w:t>4.</w:t>
      </w:r>
      <w:r>
        <w:rPr>
          <w:rFonts w:ascii="宋体" w:hAnsi="宋体" w:cs="宋体" w:eastAsia="宋体" w:hint="default"/>
          <w:spacing w:val="-1"/>
        </w:rPr>
        <w:t> </w:t>
      </w:r>
      <w:r>
        <w:rPr/>
        <w:t>本公司其他关联方情况</w:t>
      </w:r>
    </w:p>
    <w:tbl>
      <w:tblPr>
        <w:tblW w:w="0" w:type="auto"/>
        <w:jc w:val="left"/>
        <w:tblInd w:w="170" w:type="dxa"/>
        <w:tblLayout w:type="fixed"/>
        <w:tblCellMar>
          <w:top w:w="0" w:type="dxa"/>
          <w:left w:w="0" w:type="dxa"/>
          <w:bottom w:w="0" w:type="dxa"/>
          <w:right w:w="0" w:type="dxa"/>
        </w:tblCellMar>
        <w:tblLook w:val="01E0"/>
      </w:tblPr>
      <w:tblGrid>
        <w:gridCol w:w="3486"/>
        <w:gridCol w:w="5012"/>
      </w:tblGrid>
      <w:tr>
        <w:trPr>
          <w:trHeight w:val="558" w:hRule="exact"/>
        </w:trPr>
        <w:tc>
          <w:tcPr>
            <w:tcW w:w="3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93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5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558" w:hRule="exact"/>
        </w:trPr>
        <w:tc>
          <w:tcPr>
            <w:tcW w:w="3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5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3"/>
              <w:jc w:val="center"/>
              <w:rPr>
                <w:rFonts w:ascii="宋体" w:hAnsi="宋体" w:cs="宋体" w:eastAsia="宋体" w:hint="default"/>
                <w:sz w:val="18"/>
                <w:szCs w:val="18"/>
              </w:rPr>
            </w:pPr>
            <w:r>
              <w:rPr>
                <w:rFonts w:ascii="宋体" w:hAnsi="宋体" w:cs="宋体" w:eastAsia="宋体" w:hint="default"/>
                <w:sz w:val="18"/>
                <w:szCs w:val="18"/>
              </w:rPr>
              <w:t>原持有公司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558" w:hRule="exact"/>
        </w:trPr>
        <w:tc>
          <w:tcPr>
            <w:tcW w:w="3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5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center"/>
              <w:rPr>
                <w:rFonts w:ascii="宋体" w:hAnsi="宋体" w:cs="宋体" w:eastAsia="宋体" w:hint="default"/>
                <w:sz w:val="18"/>
                <w:szCs w:val="18"/>
              </w:rPr>
            </w:pPr>
            <w:r>
              <w:rPr>
                <w:rFonts w:ascii="宋体" w:hAnsi="宋体" w:cs="宋体" w:eastAsia="宋体" w:hint="default"/>
                <w:sz w:val="18"/>
                <w:szCs w:val="18"/>
              </w:rPr>
              <w:t>原持有公司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以上表决权股份的股东之控股子公司</w:t>
            </w:r>
          </w:p>
        </w:tc>
      </w:tr>
      <w:tr>
        <w:trPr>
          <w:trHeight w:val="558" w:hRule="exact"/>
        </w:trPr>
        <w:tc>
          <w:tcPr>
            <w:tcW w:w="3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新疆昌源水务准东供水有限公司</w:t>
            </w:r>
          </w:p>
        </w:tc>
        <w:tc>
          <w:tcPr>
            <w:tcW w:w="5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center"/>
              <w:rPr>
                <w:rFonts w:ascii="宋体" w:hAnsi="宋体" w:cs="宋体" w:eastAsia="宋体" w:hint="default"/>
                <w:sz w:val="18"/>
                <w:szCs w:val="18"/>
              </w:rPr>
            </w:pPr>
            <w:r>
              <w:rPr>
                <w:rFonts w:ascii="宋体" w:hAnsi="宋体" w:cs="宋体" w:eastAsia="宋体" w:hint="default"/>
                <w:sz w:val="18"/>
                <w:szCs w:val="18"/>
              </w:rPr>
              <w:t>原持有公司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以上表决权股份的股东之控股子公司</w:t>
            </w:r>
          </w:p>
        </w:tc>
      </w:tr>
      <w:tr>
        <w:trPr>
          <w:trHeight w:val="558" w:hRule="exact"/>
        </w:trPr>
        <w:tc>
          <w:tcPr>
            <w:tcW w:w="3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5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同一关键管理人员</w:t>
            </w:r>
          </w:p>
        </w:tc>
      </w:tr>
      <w:tr>
        <w:trPr>
          <w:trHeight w:val="558" w:hRule="exact"/>
        </w:trPr>
        <w:tc>
          <w:tcPr>
            <w:tcW w:w="3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王洪仁、应云琴</w:t>
            </w:r>
          </w:p>
        </w:tc>
        <w:tc>
          <w:tcPr>
            <w:tcW w:w="5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58" w:hRule="exact"/>
        </w:trPr>
        <w:tc>
          <w:tcPr>
            <w:tcW w:w="3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5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
              <w:jc w:val="center"/>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9"/>
        <w:rPr>
          <w:rFonts w:ascii="宋体" w:hAnsi="宋体" w:cs="宋体" w:eastAsia="宋体" w:hint="default"/>
          <w:sz w:val="5"/>
          <w:szCs w:val="5"/>
        </w:rPr>
      </w:pPr>
    </w:p>
    <w:p>
      <w:pPr>
        <w:spacing w:before="44"/>
        <w:ind w:left="694" w:right="10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宋体" w:hAnsi="宋体" w:cs="宋体" w:eastAsia="宋体" w:hint="default"/>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9</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w:t>
      </w:r>
      <w:r>
        <w:rPr>
          <w:rFonts w:ascii="宋体" w:hAnsi="宋体" w:cs="宋体" w:eastAsia="宋体" w:hint="default"/>
          <w:spacing w:val="-41"/>
          <w:sz w:val="18"/>
          <w:szCs w:val="18"/>
        </w:rPr>
        <w:t> </w:t>
      </w:r>
      <w:r>
        <w:rPr>
          <w:rFonts w:ascii="宋体" w:hAnsi="宋体" w:cs="宋体" w:eastAsia="宋体" w:hint="default"/>
          <w:sz w:val="18"/>
          <w:szCs w:val="18"/>
        </w:rPr>
        <w:t>日，经减持后，中国水务投资有限公司持有本公司股份比例小于</w:t>
      </w:r>
      <w:r>
        <w:rPr>
          <w:rFonts w:ascii="宋体" w:hAnsi="宋体" w:cs="宋体" w:eastAsia="宋体" w:hint="default"/>
          <w:spacing w:val="-40"/>
          <w:sz w:val="18"/>
          <w:szCs w:val="18"/>
        </w:rPr>
        <w:t> </w:t>
      </w:r>
      <w:r>
        <w:rPr>
          <w:rFonts w:ascii="宋体" w:hAnsi="宋体" w:cs="宋体" w:eastAsia="宋体" w:hint="default"/>
          <w:sz w:val="18"/>
          <w:szCs w:val="18"/>
        </w:rPr>
        <w:t>5%</w:t>
      </w:r>
      <w:r>
        <w:rPr>
          <w:rFonts w:ascii="宋体" w:hAnsi="宋体" w:cs="宋体" w:eastAsia="宋体" w:hint="default"/>
          <w:sz w:val="18"/>
          <w:szCs w:val="18"/>
        </w:rPr>
        <w:t>，故本财务报表附注披</w:t>
      </w:r>
    </w:p>
    <w:p>
      <w:pPr>
        <w:spacing w:line="240" w:lineRule="auto" w:before="11"/>
        <w:rPr>
          <w:rFonts w:ascii="宋体" w:hAnsi="宋体" w:cs="宋体" w:eastAsia="宋体" w:hint="default"/>
          <w:sz w:val="17"/>
          <w:szCs w:val="17"/>
        </w:rPr>
      </w:pPr>
    </w:p>
    <w:p>
      <w:pPr>
        <w:spacing w:line="504" w:lineRule="auto" w:before="0"/>
        <w:ind w:left="693" w:right="3826" w:hanging="420"/>
        <w:jc w:val="left"/>
        <w:rPr>
          <w:rFonts w:ascii="宋体" w:hAnsi="宋体" w:cs="宋体" w:eastAsia="宋体" w:hint="default"/>
          <w:sz w:val="21"/>
          <w:szCs w:val="21"/>
        </w:rPr>
      </w:pPr>
      <w:r>
        <w:rPr>
          <w:rFonts w:ascii="宋体" w:hAnsi="宋体" w:cs="宋体" w:eastAsia="宋体" w:hint="default"/>
          <w:sz w:val="18"/>
          <w:szCs w:val="18"/>
        </w:rPr>
        <w:t>露的中国水务投资有限公司及其控股子公司的关联交易为</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月相应的发生额。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王洪仁系公司原关键管理人员；王洪仁与应云琴系配偶关系。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关联交易情况</w:t>
      </w:r>
    </w:p>
    <w:p>
      <w:pPr>
        <w:pStyle w:val="BodyText"/>
        <w:spacing w:line="240" w:lineRule="auto" w:before="3"/>
        <w:ind w:left="694" w:right="1198"/>
        <w:jc w:val="left"/>
      </w:pPr>
      <w:r>
        <w:rPr>
          <w:rFonts w:ascii="宋体" w:hAnsi="宋体" w:cs="宋体" w:eastAsia="宋体" w:hint="default"/>
        </w:rPr>
        <w:t>1.</w:t>
      </w:r>
      <w:r>
        <w:rPr>
          <w:rFonts w:ascii="宋体" w:hAnsi="宋体" w:cs="宋体" w:eastAsia="宋体" w:hint="default"/>
          <w:spacing w:val="-1"/>
        </w:rPr>
        <w:t> </w:t>
      </w:r>
      <w:r>
        <w:rPr/>
        <w:t>出售商品和提供劳务的关联交易</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027"/>
        <w:gridCol w:w="1330"/>
        <w:gridCol w:w="2155"/>
        <w:gridCol w:w="2044"/>
      </w:tblGrid>
      <w:tr>
        <w:trPr>
          <w:trHeight w:val="340" w:hRule="exact"/>
        </w:trPr>
        <w:tc>
          <w:tcPr>
            <w:tcW w:w="3027"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30" w:type="dxa"/>
            <w:vMerge w:val="restart"/>
            <w:tcBorders>
              <w:top w:val="single" w:sz="4" w:space="0" w:color="000000"/>
              <w:left w:val="single" w:sz="4" w:space="0" w:color="000000"/>
              <w:right w:val="single" w:sz="4" w:space="0" w:color="000000"/>
            </w:tcBorders>
          </w:tcPr>
          <w:p>
            <w:pPr>
              <w:pStyle w:val="TableParagraph"/>
              <w:spacing w:line="360" w:lineRule="auto" w:before="51"/>
              <w:ind w:left="482" w:right="297"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414" w:hRule="exact"/>
        </w:trPr>
        <w:tc>
          <w:tcPr>
            <w:tcW w:w="3027" w:type="dxa"/>
            <w:vMerge/>
            <w:tcBorders>
              <w:left w:val="nil" w:sz="6" w:space="0" w:color="auto"/>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03"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749" w:right="0"/>
              <w:jc w:val="left"/>
              <w:rPr>
                <w:rFonts w:ascii="宋体" w:hAnsi="宋体" w:cs="宋体" w:eastAsia="宋体" w:hint="default"/>
                <w:sz w:val="18"/>
                <w:szCs w:val="18"/>
              </w:rPr>
            </w:pPr>
            <w:r>
              <w:rPr>
                <w:rFonts w:ascii="宋体" w:hAnsi="宋体" w:cs="宋体" w:eastAsia="宋体" w:hint="default"/>
                <w:sz w:val="18"/>
                <w:szCs w:val="18"/>
              </w:rPr>
              <w:t>金  额</w:t>
            </w:r>
          </w:p>
        </w:tc>
      </w:tr>
      <w:tr>
        <w:trPr>
          <w:trHeight w:val="558" w:hRule="exact"/>
        </w:trPr>
        <w:tc>
          <w:tcPr>
            <w:tcW w:w="3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新疆昌源水务准东供水有限公司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55" w:right="0"/>
              <w:jc w:val="left"/>
              <w:rPr>
                <w:rFonts w:ascii="宋体" w:hAnsi="宋体" w:cs="宋体" w:eastAsia="宋体" w:hint="default"/>
                <w:sz w:val="18"/>
                <w:szCs w:val="18"/>
              </w:rPr>
            </w:pPr>
            <w:r>
              <w:rPr>
                <w:rFonts w:ascii="宋体"/>
                <w:sz w:val="18"/>
              </w:rPr>
              <w:t>34,188.03</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83"/>
              <w:jc w:val="right"/>
              <w:rPr>
                <w:rFonts w:ascii="宋体" w:hAnsi="宋体" w:cs="宋体" w:eastAsia="宋体" w:hint="default"/>
                <w:sz w:val="18"/>
                <w:szCs w:val="18"/>
              </w:rPr>
            </w:pPr>
            <w:r>
              <w:rPr>
                <w:rFonts w:ascii="宋体"/>
                <w:sz w:val="18"/>
              </w:rPr>
              <w:t>105,042.74</w:t>
            </w:r>
          </w:p>
        </w:tc>
      </w:tr>
      <w:tr>
        <w:trPr>
          <w:trHeight w:val="559" w:hRule="exact"/>
        </w:trPr>
        <w:tc>
          <w:tcPr>
            <w:tcW w:w="3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泵及配件</w:t>
            </w:r>
          </w:p>
        </w:tc>
        <w:tc>
          <w:tcPr>
            <w:tcW w:w="2155"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3"/>
              <w:jc w:val="right"/>
              <w:rPr>
                <w:rFonts w:ascii="宋体" w:hAnsi="宋体" w:cs="宋体" w:eastAsia="宋体" w:hint="default"/>
                <w:sz w:val="18"/>
                <w:szCs w:val="18"/>
              </w:rPr>
            </w:pPr>
            <w:r>
              <w:rPr>
                <w:rFonts w:ascii="宋体"/>
                <w:sz w:val="18"/>
              </w:rPr>
              <w:t>2,818,811.15</w:t>
            </w:r>
          </w:p>
        </w:tc>
      </w:tr>
    </w:tbl>
    <w:p>
      <w:pPr>
        <w:spacing w:line="240" w:lineRule="auto" w:before="3"/>
        <w:rPr>
          <w:rFonts w:ascii="宋体" w:hAnsi="宋体" w:cs="宋体" w:eastAsia="宋体" w:hint="default"/>
          <w:sz w:val="5"/>
          <w:szCs w:val="5"/>
        </w:rPr>
      </w:pPr>
    </w:p>
    <w:p>
      <w:pPr>
        <w:pStyle w:val="BodyText"/>
        <w:spacing w:line="240" w:lineRule="auto" w:before="35"/>
        <w:ind w:left="694" w:right="1198"/>
        <w:jc w:val="left"/>
      </w:pPr>
      <w:r>
        <w:rPr>
          <w:rFonts w:ascii="宋体" w:hAnsi="宋体" w:cs="宋体" w:eastAsia="宋体" w:hint="default"/>
        </w:rPr>
        <w:t>2.</w:t>
      </w:r>
      <w:r>
        <w:rPr/>
        <w:t>关联担保情况</w:t>
      </w:r>
    </w:p>
    <w:p>
      <w:pPr>
        <w:spacing w:after="0" w:line="240" w:lineRule="auto"/>
        <w:jc w:val="left"/>
        <w:sectPr>
          <w:pgSz w:w="11910" w:h="16840"/>
          <w:pgMar w:header="877" w:footer="979" w:top="1100" w:bottom="1160" w:left="860" w:right="0"/>
        </w:sectPr>
      </w:pPr>
    </w:p>
    <w:p>
      <w:pPr>
        <w:spacing w:line="240" w:lineRule="auto" w:before="9"/>
        <w:rPr>
          <w:rFonts w:ascii="宋体" w:hAnsi="宋体" w:cs="宋体" w:eastAsia="宋体" w:hint="default"/>
          <w:sz w:val="26"/>
          <w:szCs w:val="26"/>
        </w:rPr>
      </w:pPr>
    </w:p>
    <w:p>
      <w:pPr>
        <w:pStyle w:val="BodyText"/>
        <w:spacing w:line="240" w:lineRule="auto" w:before="35"/>
        <w:ind w:left="654" w:right="1029"/>
        <w:jc w:val="left"/>
      </w:pPr>
      <w:r>
        <w:rPr/>
        <w:t>本公司及子公司作为被担保方</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236"/>
        <w:gridCol w:w="1594"/>
        <w:gridCol w:w="1427"/>
        <w:gridCol w:w="1403"/>
        <w:gridCol w:w="1211"/>
      </w:tblGrid>
      <w:tr>
        <w:trPr>
          <w:trHeight w:val="755"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525" w:right="426" w:hanging="90"/>
              <w:jc w:val="left"/>
              <w:rPr>
                <w:rFonts w:ascii="宋体" w:hAnsi="宋体" w:cs="宋体" w:eastAsia="宋体" w:hint="default"/>
                <w:sz w:val="18"/>
                <w:szCs w:val="18"/>
              </w:rPr>
            </w:pPr>
            <w:r>
              <w:rPr>
                <w:rFonts w:ascii="宋体" w:hAnsi="宋体" w:cs="宋体" w:eastAsia="宋体" w:hint="default"/>
                <w:sz w:val="18"/>
                <w:szCs w:val="18"/>
              </w:rPr>
              <w:t>担保金额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433" w:right="442" w:firstLine="103"/>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429" w:right="421" w:firstLine="88"/>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1211"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71"/>
              <w:ind w:left="243" w:right="60"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754"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王洪仁、应云琴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95" w:right="0"/>
              <w:jc w:val="left"/>
              <w:rPr>
                <w:rFonts w:ascii="宋体" w:hAnsi="宋体" w:cs="宋体" w:eastAsia="宋体" w:hint="default"/>
                <w:sz w:val="18"/>
                <w:szCs w:val="18"/>
              </w:rPr>
            </w:pPr>
            <w:r>
              <w:rPr>
                <w:rFonts w:ascii="宋体"/>
                <w:sz w:val="18"/>
              </w:rPr>
              <w:t>1,935.45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7" w:right="0"/>
              <w:jc w:val="left"/>
              <w:rPr>
                <w:rFonts w:ascii="宋体" w:hAnsi="宋体" w:cs="宋体" w:eastAsia="宋体" w:hint="default"/>
                <w:sz w:val="18"/>
                <w:szCs w:val="18"/>
              </w:rPr>
            </w:pPr>
            <w:r>
              <w:rPr>
                <w:rFonts w:ascii="宋体"/>
                <w:sz w:val="18"/>
              </w:rPr>
              <w:t>2015.07.03-</w:t>
            </w:r>
          </w:p>
          <w:p>
            <w:pPr>
              <w:pStyle w:val="TableParagraph"/>
              <w:spacing w:line="240" w:lineRule="auto" w:before="117"/>
              <w:ind w:left="213" w:right="0"/>
              <w:jc w:val="left"/>
              <w:rPr>
                <w:rFonts w:ascii="宋体" w:hAnsi="宋体" w:cs="宋体" w:eastAsia="宋体" w:hint="default"/>
                <w:sz w:val="18"/>
                <w:szCs w:val="18"/>
              </w:rPr>
            </w:pPr>
            <w:r>
              <w:rPr>
                <w:rFonts w:ascii="宋体"/>
                <w:sz w:val="18"/>
              </w:rPr>
              <w:t>2015.12.07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sz w:val="18"/>
              </w:rPr>
              <w:t>2016.01.01-</w:t>
            </w:r>
          </w:p>
          <w:p>
            <w:pPr>
              <w:pStyle w:val="TableParagraph"/>
              <w:spacing w:line="240" w:lineRule="auto" w:before="117"/>
              <w:ind w:left="201" w:right="0"/>
              <w:jc w:val="left"/>
              <w:rPr>
                <w:rFonts w:ascii="宋体" w:hAnsi="宋体" w:cs="宋体" w:eastAsia="宋体" w:hint="default"/>
                <w:sz w:val="18"/>
                <w:szCs w:val="18"/>
              </w:rPr>
            </w:pPr>
            <w:r>
              <w:rPr>
                <w:rFonts w:ascii="宋体"/>
                <w:sz w:val="18"/>
              </w:rPr>
              <w:t>2016.06.07</w:t>
            </w:r>
          </w:p>
        </w:tc>
        <w:tc>
          <w:tcPr>
            <w:tcW w:w="1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bookmarkStart w:name="3.关键管理人员报酬" w:id="253"/>
      <w:bookmarkEnd w:id="253"/>
      <w:r>
        <w:rPr/>
      </w:r>
      <w:r>
        <w:rPr>
          <w:rFonts w:ascii="宋体" w:hAnsi="宋体" w:cs="宋体" w:eastAsia="宋体" w:hint="default"/>
          <w:sz w:val="18"/>
          <w:szCs w:val="18"/>
        </w:rPr>
        <w:t>3.</w:t>
      </w:r>
      <w:r>
        <w:rPr>
          <w:rFonts w:ascii="宋体" w:hAnsi="宋体" w:cs="宋体" w:eastAsia="宋体" w:hint="default"/>
          <w:sz w:val="18"/>
          <w:szCs w:val="18"/>
        </w:rPr>
        <w:t>关键管理人员报酬</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437"/>
        <w:gridCol w:w="2218"/>
        <w:gridCol w:w="2215"/>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上年数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sz w:val="18"/>
              </w:rPr>
              <w:t>286.34</w:t>
            </w:r>
          </w:p>
        </w:tc>
        <w:tc>
          <w:tcPr>
            <w:tcW w:w="22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宋体" w:hAnsi="宋体" w:cs="宋体" w:eastAsia="宋体" w:hint="default"/>
                <w:sz w:val="18"/>
                <w:szCs w:val="18"/>
              </w:rPr>
            </w:pPr>
            <w:r>
              <w:rPr>
                <w:rFonts w:ascii="宋体"/>
                <w:sz w:val="18"/>
              </w:rPr>
              <w:t>271.68</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4.</w:t>
      </w:r>
      <w:r>
        <w:rPr>
          <w:rFonts w:ascii="宋体" w:hAnsi="宋体" w:cs="宋体" w:eastAsia="宋体" w:hint="default"/>
          <w:spacing w:val="-1"/>
        </w:rPr>
        <w:t> </w:t>
      </w:r>
      <w:r>
        <w:rPr/>
        <w:t>其他关联交易</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向控股股东借款事项</w:t>
      </w:r>
    </w:p>
    <w:p>
      <w:pPr>
        <w:spacing w:line="240" w:lineRule="auto" w:before="9"/>
        <w:rPr>
          <w:rFonts w:ascii="宋体" w:hAnsi="宋体" w:cs="宋体" w:eastAsia="宋体" w:hint="default"/>
          <w:sz w:val="17"/>
          <w:szCs w:val="17"/>
        </w:rPr>
      </w:pPr>
    </w:p>
    <w:p>
      <w:pPr>
        <w:pStyle w:val="BodyText"/>
        <w:spacing w:line="408" w:lineRule="auto"/>
        <w:ind w:left="233" w:right="1131" w:firstLine="420"/>
        <w:jc w:val="both"/>
      </w:pPr>
      <w:r>
        <w:rPr>
          <w:rFonts w:ascii="宋体" w:hAnsi="宋体" w:cs="宋体" w:eastAsia="宋体" w:hint="default"/>
        </w:rPr>
        <w:t>2015</w:t>
      </w:r>
      <w:r>
        <w:rPr>
          <w:rFonts w:ascii="宋体" w:hAnsi="宋体" w:cs="宋体" w:eastAsia="宋体" w:hint="default"/>
          <w:spacing w:val="-46"/>
        </w:rPr>
        <w:t> </w:t>
      </w:r>
      <w:r>
        <w:rPr/>
        <w:t>年</w:t>
      </w:r>
      <w:r>
        <w:rPr>
          <w:spacing w:val="-49"/>
        </w:rPr>
        <w:t> </w:t>
      </w:r>
      <w:r>
        <w:rPr>
          <w:rFonts w:ascii="宋体" w:hAnsi="宋体" w:cs="宋体" w:eastAsia="宋体" w:hint="default"/>
        </w:rPr>
        <w:t>6</w:t>
      </w:r>
      <w:r>
        <w:rPr>
          <w:rFonts w:ascii="宋体" w:hAnsi="宋体" w:cs="宋体" w:eastAsia="宋体" w:hint="default"/>
          <w:spacing w:val="-47"/>
        </w:rPr>
        <w:t> </w:t>
      </w:r>
      <w:r>
        <w:rPr/>
        <w:t>月</w:t>
      </w:r>
      <w:r>
        <w:rPr>
          <w:spacing w:val="-49"/>
        </w:rPr>
        <w:t> </w:t>
      </w:r>
      <w:r>
        <w:rPr>
          <w:rFonts w:ascii="宋体" w:hAnsi="宋体" w:cs="宋体" w:eastAsia="宋体" w:hint="default"/>
        </w:rPr>
        <w:t>18</w:t>
      </w:r>
      <w:r>
        <w:rPr>
          <w:rFonts w:ascii="宋体" w:hAnsi="宋体" w:cs="宋体" w:eastAsia="宋体" w:hint="default"/>
          <w:spacing w:val="-47"/>
        </w:rPr>
        <w:t> </w:t>
      </w:r>
      <w:r>
        <w:rPr/>
        <w:t>日，根据公司第四届董事会第十一次会议审议通过的《关于向控股股东借款暨关联交 </w:t>
      </w:r>
      <w:r>
        <w:rPr>
          <w:spacing w:val="-1"/>
        </w:rPr>
        <w:t>易的议案》，公司与实际控制人王相荣签订了《关于王相荣与利欧集团股份有限公司之借款协议》，王相</w:t>
      </w:r>
      <w:r>
        <w:rPr>
          <w:spacing w:val="-83"/>
        </w:rPr>
        <w:t> </w:t>
      </w:r>
      <w:r>
        <w:rPr>
          <w:spacing w:val="-83"/>
        </w:rPr>
      </w:r>
      <w:r>
        <w:rPr/>
        <w:t>荣拟为公司提供不超过人民币</w:t>
      </w:r>
      <w:r>
        <w:rPr>
          <w:spacing w:val="-65"/>
        </w:rPr>
        <w:t> </w:t>
      </w:r>
      <w:r>
        <w:rPr>
          <w:rFonts w:ascii="宋体" w:hAnsi="宋体" w:cs="宋体" w:eastAsia="宋体" w:hint="default"/>
        </w:rPr>
        <w:t>6</w:t>
      </w:r>
      <w:r>
        <w:rPr>
          <w:rFonts w:ascii="宋体" w:hAnsi="宋体" w:cs="宋体" w:eastAsia="宋体" w:hint="default"/>
          <w:spacing w:val="-65"/>
        </w:rPr>
        <w:t> </w:t>
      </w:r>
      <w:r>
        <w:rPr/>
        <w:t>亿元的借款，免收利息，借款期限为三年，用于补充公司的流动资金。截 至本财务报表对外批准报出日，本公司尚未向王相荣借入款项。</w:t>
      </w:r>
    </w:p>
    <w:p>
      <w:pPr>
        <w:pStyle w:val="BodyText"/>
        <w:spacing w:line="441" w:lineRule="auto" w:before="87"/>
        <w:ind w:left="653" w:right="1029"/>
        <w:jc w:val="left"/>
      </w:pPr>
      <w:r>
        <w:rPr>
          <w:rFonts w:ascii="宋体" w:hAnsi="宋体" w:cs="宋体" w:eastAsia="宋体" w:hint="default"/>
        </w:rPr>
        <w:t>(2) </w:t>
      </w:r>
      <w:r>
        <w:rPr/>
        <w:t>支付郑晓东股权收购款事项 </w:t>
      </w:r>
      <w:r>
        <w:rPr>
          <w:spacing w:val="-1"/>
        </w:rPr>
        <w:t>根据本公司与自然人郑晓东、段永玲、郭海签订的股权转让合同的相关约定，公司本期向郑晓东支付</w:t>
      </w:r>
    </w:p>
    <w:p>
      <w:pPr>
        <w:pStyle w:val="BodyText"/>
        <w:spacing w:line="410" w:lineRule="auto" w:before="16"/>
        <w:ind w:left="233" w:right="1125"/>
        <w:jc w:val="left"/>
      </w:pPr>
      <w:r>
        <w:rPr/>
        <w:t>股权转让款</w:t>
      </w:r>
      <w:r>
        <w:rPr>
          <w:spacing w:val="-50"/>
        </w:rPr>
        <w:t> </w:t>
      </w:r>
      <w:r>
        <w:rPr>
          <w:rFonts w:ascii="宋体" w:hAnsi="宋体" w:cs="宋体" w:eastAsia="宋体" w:hint="default"/>
        </w:rPr>
        <w:t>3,849.92</w:t>
      </w:r>
      <w:r>
        <w:rPr>
          <w:rFonts w:ascii="宋体" w:hAnsi="宋体" w:cs="宋体" w:eastAsia="宋体" w:hint="default"/>
          <w:spacing w:val="-50"/>
        </w:rPr>
        <w:t> </w:t>
      </w:r>
      <w:r>
        <w:rPr/>
        <w:t>万元。截止</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日，本公司已累计向郑晓东支付股权转让款</w:t>
      </w:r>
      <w:r>
        <w:rPr>
          <w:spacing w:val="-50"/>
        </w:rPr>
        <w:t> </w:t>
      </w:r>
      <w:r>
        <w:rPr>
          <w:rFonts w:ascii="宋体" w:hAnsi="宋体" w:cs="宋体" w:eastAsia="宋体" w:hint="default"/>
        </w:rPr>
        <w:t>11,581.42 </w:t>
      </w:r>
      <w:r>
        <w:rPr/>
        <w:t>万元。</w:t>
      </w:r>
    </w:p>
    <w:p>
      <w:pPr>
        <w:pStyle w:val="BodyText"/>
        <w:spacing w:line="240" w:lineRule="auto" w:before="83"/>
        <w:ind w:left="653" w:right="1029"/>
        <w:jc w:val="left"/>
      </w:pPr>
      <w:r>
        <w:rPr>
          <w:rFonts w:ascii="宋体" w:hAnsi="宋体" w:cs="宋体" w:eastAsia="宋体" w:hint="default"/>
        </w:rPr>
        <w:t>(3)</w:t>
      </w:r>
      <w:r>
        <w:rPr/>
        <w:t>温岭市利欧小额贷款有限公司减资事项</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2015</w:t>
      </w:r>
      <w:r>
        <w:rPr>
          <w:rFonts w:ascii="宋体" w:hAnsi="宋体" w:cs="宋体" w:eastAsia="宋体" w:hint="default"/>
          <w:spacing w:val="-46"/>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9"/>
        </w:rPr>
        <w:t> </w:t>
      </w:r>
      <w:r>
        <w:rPr>
          <w:rFonts w:ascii="宋体" w:hAnsi="宋体" w:cs="宋体" w:eastAsia="宋体" w:hint="default"/>
        </w:rPr>
        <w:t>30</w:t>
      </w:r>
      <w:r>
        <w:rPr>
          <w:rFonts w:ascii="宋体" w:hAnsi="宋体" w:cs="宋体" w:eastAsia="宋体" w:hint="default"/>
          <w:spacing w:val="-47"/>
        </w:rPr>
        <w:t> </w:t>
      </w:r>
      <w:r>
        <w:rPr/>
        <w:t>日，根据公司第四届董事会第八次会议审议通过的《关于参股公司温岭市利欧小额贷</w:t>
      </w:r>
    </w:p>
    <w:p>
      <w:pPr>
        <w:spacing w:line="240" w:lineRule="auto" w:before="10"/>
        <w:rPr>
          <w:rFonts w:ascii="宋体" w:hAnsi="宋体" w:cs="宋体" w:eastAsia="宋体" w:hint="default"/>
          <w:sz w:val="14"/>
          <w:szCs w:val="14"/>
        </w:rPr>
      </w:pPr>
    </w:p>
    <w:p>
      <w:pPr>
        <w:pStyle w:val="BodyText"/>
        <w:spacing w:line="240" w:lineRule="auto"/>
        <w:ind w:left="233" w:right="0"/>
        <w:jc w:val="left"/>
      </w:pPr>
      <w:r>
        <w:rPr/>
        <w:t>款有限公司减少注册资本暨关联交易的议案》，温岭市利欧小额贷款有限公司减少注册资本</w:t>
      </w:r>
      <w:r>
        <w:rPr>
          <w:spacing w:val="-64"/>
        </w:rPr>
        <w:t> </w:t>
      </w:r>
      <w:r>
        <w:rPr>
          <w:rFonts w:ascii="宋体" w:hAnsi="宋体" w:cs="宋体" w:eastAsia="宋体" w:hint="default"/>
        </w:rPr>
        <w:t>10,000</w:t>
      </w:r>
      <w:r>
        <w:rPr>
          <w:rFonts w:ascii="宋体" w:hAnsi="宋体" w:cs="宋体" w:eastAsia="宋体" w:hint="default"/>
          <w:spacing w:val="-64"/>
        </w:rPr>
        <w:t> </w:t>
      </w:r>
      <w:r>
        <w:rPr/>
        <w:t>万元。</w:t>
      </w:r>
    </w:p>
    <w:p>
      <w:pPr>
        <w:spacing w:line="240" w:lineRule="auto" w:before="11"/>
        <w:rPr>
          <w:rFonts w:ascii="宋体" w:hAnsi="宋体" w:cs="宋体" w:eastAsia="宋体" w:hint="default"/>
          <w:sz w:val="14"/>
          <w:szCs w:val="14"/>
        </w:rPr>
      </w:pPr>
    </w:p>
    <w:p>
      <w:pPr>
        <w:pStyle w:val="BodyText"/>
        <w:spacing w:line="444" w:lineRule="auto"/>
        <w:ind w:left="654" w:right="1262" w:hanging="420"/>
        <w:jc w:val="left"/>
      </w:pPr>
      <w:r>
        <w:rPr/>
        <w:t>公司按</w:t>
      </w:r>
      <w:r>
        <w:rPr>
          <w:spacing w:val="-53"/>
        </w:rPr>
        <w:t> </w:t>
      </w:r>
      <w:r>
        <w:rPr>
          <w:rFonts w:ascii="宋体" w:hAnsi="宋体" w:cs="宋体" w:eastAsia="宋体" w:hint="default"/>
        </w:rPr>
        <w:t>30%</w:t>
      </w:r>
      <w:r>
        <w:rPr/>
        <w:t>持股比例相应减少股权出资</w:t>
      </w:r>
      <w:r>
        <w:rPr>
          <w:spacing w:val="-54"/>
        </w:rPr>
        <w:t> </w:t>
      </w:r>
      <w:r>
        <w:rPr>
          <w:rFonts w:ascii="宋体" w:hAnsi="宋体" w:cs="宋体" w:eastAsia="宋体" w:hint="default"/>
        </w:rPr>
        <w:t>3,000</w:t>
      </w:r>
      <w:r>
        <w:rPr>
          <w:rFonts w:ascii="宋体" w:hAnsi="宋体" w:cs="宋体" w:eastAsia="宋体" w:hint="default"/>
          <w:spacing w:val="-53"/>
        </w:rPr>
        <w:t> </w:t>
      </w:r>
      <w:r>
        <w:rPr/>
        <w:t>万元。截止</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日，公司已收回上述减资款。 </w:t>
      </w:r>
      <w:r>
        <w:rPr>
          <w:rFonts w:ascii="宋体" w:hAnsi="宋体" w:cs="宋体" w:eastAsia="宋体" w:hint="default"/>
        </w:rPr>
        <w:t>(</w:t>
      </w:r>
      <w:r>
        <w:rPr/>
        <w:t>三</w:t>
      </w:r>
      <w:r>
        <w:rPr>
          <w:rFonts w:ascii="宋体" w:hAnsi="宋体" w:cs="宋体" w:eastAsia="宋体" w:hint="default"/>
        </w:rPr>
        <w:t>)</w:t>
      </w:r>
      <w:r>
        <w:rPr/>
        <w:t>关联方应收应付款项</w:t>
      </w:r>
    </w:p>
    <w:p>
      <w:pPr>
        <w:pStyle w:val="BodyText"/>
        <w:spacing w:line="240" w:lineRule="auto" w:before="54"/>
        <w:ind w:left="654" w:right="1029"/>
        <w:jc w:val="left"/>
      </w:pPr>
      <w:r>
        <w:rPr>
          <w:rFonts w:ascii="宋体" w:hAnsi="宋体" w:cs="宋体" w:eastAsia="宋体" w:hint="default"/>
        </w:rPr>
        <w:t>1</w:t>
      </w:r>
      <w:r>
        <w:rPr/>
        <w:t>．应收关联方款项</w:t>
      </w:r>
    </w:p>
    <w:p>
      <w:pPr>
        <w:spacing w:line="240" w:lineRule="auto" w:before="13"/>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233"/>
        <w:gridCol w:w="2646"/>
        <w:gridCol w:w="1078"/>
        <w:gridCol w:w="1032"/>
        <w:gridCol w:w="1362"/>
        <w:gridCol w:w="1180"/>
      </w:tblGrid>
      <w:tr>
        <w:trPr>
          <w:trHeight w:val="478" w:hRule="exact"/>
        </w:trPr>
        <w:tc>
          <w:tcPr>
            <w:tcW w:w="1233"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4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1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6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5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7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1233" w:type="dxa"/>
            <w:vMerge/>
            <w:tcBorders>
              <w:left w:val="nil" w:sz="6" w:space="0" w:color="auto"/>
              <w:bottom w:val="single" w:sz="4" w:space="0" w:color="000000"/>
              <w:right w:val="single" w:sz="4" w:space="0" w:color="000000"/>
            </w:tcBorders>
          </w:tcPr>
          <w:p>
            <w:pPr/>
          </w:p>
        </w:tc>
        <w:tc>
          <w:tcPr>
            <w:tcW w:w="2646" w:type="dxa"/>
            <w:vMerge/>
            <w:tcBorders>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2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1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新疆昌源水务准东供水有限公司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397,200.15</w:t>
            </w:r>
          </w:p>
        </w:tc>
        <w:tc>
          <w:tcPr>
            <w:tcW w:w="1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87,715.05</w:t>
            </w:r>
          </w:p>
        </w:tc>
      </w:tr>
      <w:tr>
        <w:trPr>
          <w:trHeight w:val="559" w:hRule="exact"/>
        </w:trPr>
        <w:tc>
          <w:tcPr>
            <w:tcW w:w="1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1,833,601.00</w:t>
            </w:r>
          </w:p>
        </w:tc>
        <w:tc>
          <w:tcPr>
            <w:tcW w:w="1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124,304.30</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30" w:type="dxa"/>
        <w:tblLayout w:type="fixed"/>
        <w:tblCellMar>
          <w:top w:w="0" w:type="dxa"/>
          <w:left w:w="0" w:type="dxa"/>
          <w:bottom w:w="0" w:type="dxa"/>
          <w:right w:w="0" w:type="dxa"/>
        </w:tblCellMar>
        <w:tblLook w:val="01E0"/>
      </w:tblPr>
      <w:tblGrid>
        <w:gridCol w:w="1233"/>
        <w:gridCol w:w="2646"/>
        <w:gridCol w:w="1078"/>
        <w:gridCol w:w="1032"/>
        <w:gridCol w:w="1362"/>
        <w:gridCol w:w="1180"/>
      </w:tblGrid>
      <w:tr>
        <w:trPr>
          <w:trHeight w:val="558" w:hRule="exact"/>
        </w:trPr>
        <w:tc>
          <w:tcPr>
            <w:tcW w:w="1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80"/>
              <w:jc w:val="center"/>
              <w:rPr>
                <w:rFonts w:ascii="宋体" w:hAnsi="宋体" w:cs="宋体" w:eastAsia="宋体" w:hint="default"/>
                <w:sz w:val="18"/>
                <w:szCs w:val="18"/>
              </w:rPr>
            </w:pPr>
            <w:r>
              <w:rPr>
                <w:rFonts w:ascii="宋体" w:hAnsi="宋体" w:cs="宋体" w:eastAsia="宋体" w:hint="default"/>
                <w:sz w:val="18"/>
                <w:szCs w:val="18"/>
              </w:rPr>
              <w:t>小  计</w:t>
            </w:r>
          </w:p>
        </w:tc>
        <w:tc>
          <w:tcPr>
            <w:tcW w:w="264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2,230,801.15</w:t>
            </w:r>
          </w:p>
        </w:tc>
        <w:tc>
          <w:tcPr>
            <w:tcW w:w="1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6" w:right="0"/>
              <w:jc w:val="center"/>
              <w:rPr>
                <w:rFonts w:ascii="宋体" w:hAnsi="宋体" w:cs="宋体" w:eastAsia="宋体" w:hint="default"/>
                <w:sz w:val="18"/>
                <w:szCs w:val="18"/>
              </w:rPr>
            </w:pPr>
            <w:r>
              <w:rPr>
                <w:rFonts w:ascii="宋体"/>
                <w:sz w:val="18"/>
              </w:rPr>
              <w:t>212,019.35</w:t>
            </w:r>
          </w:p>
        </w:tc>
      </w:tr>
      <w:tr>
        <w:trPr>
          <w:trHeight w:val="754" w:hRule="exact"/>
        </w:trPr>
        <w:tc>
          <w:tcPr>
            <w:tcW w:w="1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731"/>
              <w:jc w:val="left"/>
              <w:rPr>
                <w:rFonts w:ascii="宋体" w:hAnsi="宋体" w:cs="宋体" w:eastAsia="宋体" w:hint="default"/>
                <w:sz w:val="18"/>
                <w:szCs w:val="18"/>
              </w:rPr>
            </w:pPr>
            <w:r>
              <w:rPr>
                <w:rFonts w:ascii="宋体" w:hAnsi="宋体" w:cs="宋体" w:eastAsia="宋体" w:hint="default"/>
                <w:sz w:val="18"/>
                <w:szCs w:val="18"/>
              </w:rPr>
              <w:t>新疆昌源水务准东供水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265,000.00</w:t>
            </w:r>
          </w:p>
        </w:tc>
        <w:tc>
          <w:tcPr>
            <w:tcW w:w="1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6" w:right="0"/>
              <w:jc w:val="center"/>
              <w:rPr>
                <w:rFonts w:ascii="宋体" w:hAnsi="宋体" w:cs="宋体" w:eastAsia="宋体" w:hint="default"/>
                <w:sz w:val="18"/>
                <w:szCs w:val="18"/>
              </w:rPr>
            </w:pPr>
            <w:r>
              <w:rPr>
                <w:rFonts w:ascii="宋体"/>
                <w:sz w:val="18"/>
              </w:rPr>
              <w:t>79,500.00</w:t>
            </w:r>
          </w:p>
        </w:tc>
      </w:tr>
      <w:tr>
        <w:trPr>
          <w:trHeight w:val="560" w:hRule="exact"/>
        </w:trPr>
        <w:tc>
          <w:tcPr>
            <w:tcW w:w="1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right="80"/>
              <w:jc w:val="center"/>
              <w:rPr>
                <w:rFonts w:ascii="宋体" w:hAnsi="宋体" w:cs="宋体" w:eastAsia="宋体" w:hint="default"/>
                <w:sz w:val="18"/>
                <w:szCs w:val="18"/>
              </w:rPr>
            </w:pPr>
            <w:r>
              <w:rPr>
                <w:rFonts w:ascii="宋体" w:hAnsi="宋体" w:cs="宋体" w:eastAsia="宋体" w:hint="default"/>
                <w:sz w:val="18"/>
                <w:szCs w:val="18"/>
              </w:rPr>
              <w:t>小  计</w:t>
            </w:r>
          </w:p>
        </w:tc>
        <w:tc>
          <w:tcPr>
            <w:tcW w:w="264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265,000.00</w:t>
            </w:r>
          </w:p>
        </w:tc>
        <w:tc>
          <w:tcPr>
            <w:tcW w:w="1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146" w:right="0"/>
              <w:jc w:val="center"/>
              <w:rPr>
                <w:rFonts w:ascii="宋体" w:hAnsi="宋体" w:cs="宋体" w:eastAsia="宋体" w:hint="default"/>
                <w:sz w:val="18"/>
                <w:szCs w:val="18"/>
              </w:rPr>
            </w:pPr>
            <w:r>
              <w:rPr>
                <w:rFonts w:ascii="宋体"/>
                <w:sz w:val="18"/>
              </w:rPr>
              <w:t>79,500.00</w:t>
            </w:r>
          </w:p>
        </w:tc>
      </w:tr>
    </w:tbl>
    <w:p>
      <w:pPr>
        <w:spacing w:line="240" w:lineRule="auto" w:before="6"/>
        <w:rPr>
          <w:rFonts w:ascii="宋体" w:hAnsi="宋体" w:cs="宋体" w:eastAsia="宋体" w:hint="default"/>
          <w:sz w:val="6"/>
          <w:szCs w:val="6"/>
        </w:rPr>
      </w:pPr>
    </w:p>
    <w:p>
      <w:pPr>
        <w:spacing w:line="477" w:lineRule="auto" w:before="44"/>
        <w:ind w:left="233" w:right="10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9</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30</w:t>
      </w:r>
      <w:r>
        <w:rPr>
          <w:rFonts w:ascii="宋体" w:hAnsi="宋体" w:cs="宋体" w:eastAsia="宋体" w:hint="default"/>
          <w:spacing w:val="-42"/>
          <w:sz w:val="18"/>
          <w:szCs w:val="18"/>
        </w:rPr>
        <w:t> </w:t>
      </w:r>
      <w:r>
        <w:rPr>
          <w:rFonts w:ascii="宋体" w:hAnsi="宋体" w:cs="宋体" w:eastAsia="宋体" w:hint="default"/>
          <w:sz w:val="18"/>
          <w:szCs w:val="18"/>
        </w:rPr>
        <w:t>日，中国水务投资有限公司持有本公司股份比例小于</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故截至</w:t>
      </w:r>
      <w:r>
        <w:rPr>
          <w:rFonts w:ascii="宋体" w:hAnsi="宋体" w:cs="宋体" w:eastAsia="宋体" w:hint="default"/>
          <w:spacing w:val="-42"/>
          <w:sz w:val="18"/>
          <w:szCs w:val="18"/>
        </w:rPr>
        <w:t> </w:t>
      </w:r>
      <w:r>
        <w:rPr>
          <w:rFonts w:ascii="宋体" w:hAnsi="宋体" w:cs="宋体" w:eastAsia="宋体" w:hint="default"/>
          <w:sz w:val="18"/>
          <w:szCs w:val="18"/>
        </w:rPr>
        <w:t>2015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日，中 国水务投资有限公司及其控股子公司不再属于本公司关联方，期末本公司与其往来余额不再披露。</w:t>
      </w:r>
    </w:p>
    <w:p>
      <w:pPr>
        <w:pStyle w:val="BodyText"/>
        <w:spacing w:line="240" w:lineRule="auto" w:before="68"/>
        <w:ind w:left="653" w:right="1029"/>
        <w:jc w:val="left"/>
      </w:pPr>
      <w:r>
        <w:rPr>
          <w:rFonts w:ascii="宋体" w:hAnsi="宋体" w:cs="宋体" w:eastAsia="宋体" w:hint="default"/>
        </w:rPr>
        <w:t>2</w:t>
      </w:r>
      <w:r>
        <w:rPr/>
        <w:t>．应付关联方款项</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260"/>
        <w:gridCol w:w="2914"/>
        <w:gridCol w:w="2354"/>
        <w:gridCol w:w="2026"/>
      </w:tblGrid>
      <w:tr>
        <w:trPr>
          <w:trHeight w:val="55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166,600.00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1"/>
              <w:jc w:val="right"/>
              <w:rPr>
                <w:rFonts w:ascii="宋体" w:hAnsi="宋体" w:cs="宋体" w:eastAsia="宋体" w:hint="default"/>
                <w:sz w:val="18"/>
                <w:szCs w:val="18"/>
              </w:rPr>
            </w:pPr>
            <w:r>
              <w:rPr>
                <w:rFonts w:ascii="宋体"/>
                <w:sz w:val="18"/>
              </w:rPr>
              <w:t>166,600.00</w:t>
            </w:r>
          </w:p>
        </w:tc>
      </w:tr>
      <w:tr>
        <w:trPr>
          <w:trHeight w:val="55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914" w:type="dxa"/>
            <w:tcBorders>
              <w:top w:val="single" w:sz="4" w:space="0" w:color="000000"/>
              <w:left w:val="single" w:sz="4" w:space="0" w:color="000000"/>
              <w:bottom w:val="single" w:sz="4" w:space="0" w:color="000000"/>
              <w:right w:val="single" w:sz="4" w:space="0" w:color="000000"/>
            </w:tcBorders>
          </w:tcPr>
          <w:p>
            <w:pP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166,600.00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1"/>
              <w:jc w:val="right"/>
              <w:rPr>
                <w:rFonts w:ascii="宋体" w:hAnsi="宋体" w:cs="宋体" w:eastAsia="宋体" w:hint="default"/>
                <w:sz w:val="18"/>
                <w:szCs w:val="18"/>
              </w:rPr>
            </w:pPr>
            <w:r>
              <w:rPr>
                <w:rFonts w:ascii="宋体"/>
                <w:sz w:val="18"/>
              </w:rPr>
              <w:t>166,600.00</w:t>
            </w:r>
          </w:p>
        </w:tc>
      </w:tr>
      <w:tr>
        <w:trPr>
          <w:trHeight w:val="55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89,831,576.00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3"/>
              <w:jc w:val="right"/>
              <w:rPr>
                <w:rFonts w:ascii="宋体" w:hAnsi="宋体" w:cs="宋体" w:eastAsia="宋体" w:hint="default"/>
                <w:sz w:val="18"/>
                <w:szCs w:val="18"/>
              </w:rPr>
            </w:pPr>
            <w:r>
              <w:rPr>
                <w:rFonts w:ascii="宋体"/>
                <w:sz w:val="18"/>
              </w:rPr>
              <w:t>128,330,823.00</w:t>
            </w:r>
          </w:p>
        </w:tc>
      </w:tr>
      <w:tr>
        <w:trPr>
          <w:trHeight w:val="55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914" w:type="dxa"/>
            <w:tcBorders>
              <w:top w:val="single" w:sz="4" w:space="0" w:color="000000"/>
              <w:left w:val="single" w:sz="4" w:space="0" w:color="000000"/>
              <w:bottom w:val="single" w:sz="4" w:space="0" w:color="000000"/>
              <w:right w:val="single" w:sz="4" w:space="0" w:color="000000"/>
            </w:tcBorders>
          </w:tcPr>
          <w:p>
            <w:pP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6"/>
              <w:jc w:val="right"/>
              <w:rPr>
                <w:rFonts w:ascii="宋体" w:hAnsi="宋体" w:cs="宋体" w:eastAsia="宋体" w:hint="default"/>
                <w:sz w:val="18"/>
                <w:szCs w:val="18"/>
              </w:rPr>
            </w:pPr>
            <w:r>
              <w:rPr>
                <w:rFonts w:ascii="宋体"/>
                <w:sz w:val="18"/>
              </w:rPr>
              <w:t>89,831,576.00</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43"/>
              <w:jc w:val="right"/>
              <w:rPr>
                <w:rFonts w:ascii="宋体" w:hAnsi="宋体" w:cs="宋体" w:eastAsia="宋体" w:hint="default"/>
                <w:sz w:val="18"/>
                <w:szCs w:val="18"/>
              </w:rPr>
            </w:pPr>
            <w:r>
              <w:rPr>
                <w:rFonts w:ascii="宋体"/>
                <w:sz w:val="18"/>
              </w:rPr>
              <w:t>128,330,823.00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3"/>
        <w:spacing w:line="240" w:lineRule="auto" w:before="35"/>
        <w:ind w:left="654" w:right="1029"/>
        <w:jc w:val="left"/>
        <w:rPr>
          <w:rFonts w:ascii="黑体" w:hAnsi="黑体" w:cs="黑体" w:eastAsia="黑体" w:hint="default"/>
          <w:b w:val="0"/>
          <w:bCs w:val="0"/>
        </w:rPr>
      </w:pPr>
      <w:bookmarkStart w:name="十三、承诺及或有事项" w:id="254"/>
      <w:bookmarkEnd w:id="254"/>
      <w:r>
        <w:rPr>
          <w:b w:val="0"/>
          <w:bCs w:val="0"/>
        </w:rPr>
      </w:r>
      <w:r>
        <w:rPr>
          <w:rFonts w:ascii="黑体" w:hAnsi="黑体" w:cs="黑体" w:eastAsia="黑体" w:hint="default"/>
        </w:rPr>
        <w:t>十三、承诺及或有事项</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spacing w:line="240" w:lineRule="auto"/>
        <w:ind w:left="653" w:right="1029"/>
        <w:jc w:val="left"/>
      </w:pPr>
      <w:bookmarkStart w:name="重要承诺事项" w:id="255"/>
      <w:bookmarkEnd w:id="255"/>
      <w:r>
        <w:rPr/>
      </w:r>
      <w:r>
        <w:rPr/>
        <w:t>重要承诺事项</w:t>
      </w:r>
    </w:p>
    <w:p>
      <w:pPr>
        <w:spacing w:line="240" w:lineRule="auto" w:before="12"/>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1</w:t>
      </w:r>
      <w:r>
        <w:rPr/>
        <w:t>．截至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2"/>
        </w:rPr>
        <w:t> </w:t>
      </w:r>
      <w:r>
        <w:rPr/>
        <w:t>月</w:t>
      </w:r>
      <w:r>
        <w:rPr>
          <w:spacing w:val="-43"/>
        </w:rPr>
        <w:t> </w:t>
      </w:r>
      <w:r>
        <w:rPr>
          <w:rFonts w:ascii="宋体" w:hAnsi="宋体" w:cs="宋体" w:eastAsia="宋体" w:hint="default"/>
        </w:rPr>
        <w:t>31</w:t>
      </w:r>
      <w:r>
        <w:rPr>
          <w:rFonts w:ascii="宋体" w:hAnsi="宋体" w:cs="宋体" w:eastAsia="宋体" w:hint="default"/>
          <w:spacing w:val="-42"/>
        </w:rPr>
        <w:t> </w:t>
      </w:r>
      <w:r>
        <w:rPr/>
        <w:t>日，公司未履行完毕的远期结售汇合约共计</w:t>
      </w:r>
      <w:r>
        <w:rPr>
          <w:spacing w:val="-43"/>
        </w:rPr>
        <w:t> </w:t>
      </w:r>
      <w:r>
        <w:rPr>
          <w:rFonts w:ascii="宋体" w:hAnsi="宋体" w:cs="宋体" w:eastAsia="宋体" w:hint="default"/>
        </w:rPr>
        <w:t>6,975.00</w:t>
      </w:r>
      <w:r>
        <w:rPr>
          <w:rFonts w:ascii="宋体" w:hAnsi="宋体" w:cs="宋体" w:eastAsia="宋体" w:hint="default"/>
          <w:spacing w:val="-41"/>
        </w:rPr>
        <w:t> </w:t>
      </w:r>
      <w:r>
        <w:rPr/>
        <w:t>万美元，交割期限为</w:t>
      </w:r>
    </w:p>
    <w:p>
      <w:pPr>
        <w:spacing w:line="240" w:lineRule="auto" w:before="9"/>
        <w:rPr>
          <w:rFonts w:ascii="宋体" w:hAnsi="宋体" w:cs="宋体" w:eastAsia="宋体" w:hint="default"/>
          <w:sz w:val="14"/>
          <w:szCs w:val="14"/>
        </w:rPr>
      </w:pPr>
    </w:p>
    <w:p>
      <w:pPr>
        <w:pStyle w:val="BodyText"/>
        <w:spacing w:line="240" w:lineRule="auto"/>
        <w:ind w:left="233" w:right="0"/>
        <w:jc w:val="both"/>
      </w:pPr>
      <w:r>
        <w:rPr>
          <w:rFonts w:ascii="宋体" w:hAnsi="宋体" w:cs="宋体" w:eastAsia="宋体" w:hint="default"/>
        </w:rPr>
        <w:t>2016</w:t>
      </w:r>
      <w:r>
        <w:rPr>
          <w:rFonts w:ascii="宋体" w:hAnsi="宋体" w:cs="宋体" w:eastAsia="宋体" w:hint="default"/>
          <w:spacing w:val="-52"/>
        </w:rPr>
        <w:t> </w:t>
      </w:r>
      <w:r>
        <w:rPr/>
        <w:t>年</w:t>
      </w:r>
      <w:r>
        <w:rPr>
          <w:spacing w:val="-51"/>
        </w:rPr>
        <w:t> </w:t>
      </w:r>
      <w:r>
        <w:rPr>
          <w:rFonts w:ascii="宋体" w:hAnsi="宋体" w:cs="宋体" w:eastAsia="宋体" w:hint="default"/>
        </w:rPr>
        <w:t>1</w:t>
      </w:r>
      <w:r>
        <w:rPr>
          <w:rFonts w:ascii="宋体" w:hAnsi="宋体" w:cs="宋体" w:eastAsia="宋体" w:hint="default"/>
          <w:spacing w:val="-52"/>
        </w:rPr>
        <w:t> </w:t>
      </w:r>
      <w:r>
        <w:rPr/>
        <w:t>月</w:t>
      </w:r>
      <w:r>
        <w:rPr>
          <w:spacing w:val="-53"/>
        </w:rPr>
        <w:t> </w:t>
      </w:r>
      <w:r>
        <w:rPr>
          <w:rFonts w:ascii="宋体" w:hAnsi="宋体" w:cs="宋体" w:eastAsia="宋体" w:hint="default"/>
        </w:rPr>
        <w:t>4</w:t>
      </w:r>
      <w:r>
        <w:rPr>
          <w:rFonts w:ascii="宋体" w:hAnsi="宋体" w:cs="宋体" w:eastAsia="宋体" w:hint="default"/>
          <w:spacing w:val="-51"/>
        </w:rPr>
        <w:t> </w:t>
      </w:r>
      <w:r>
        <w:rPr/>
        <w:t>日至</w:t>
      </w:r>
      <w:r>
        <w:rPr>
          <w:spacing w:val="-53"/>
        </w:rPr>
        <w:t> </w:t>
      </w:r>
      <w:r>
        <w:rPr>
          <w:rFonts w:ascii="宋体" w:hAnsi="宋体" w:cs="宋体" w:eastAsia="宋体" w:hint="default"/>
        </w:rPr>
        <w:t>2016</w:t>
      </w:r>
      <w:r>
        <w:rPr>
          <w:rFonts w:ascii="宋体" w:hAnsi="宋体" w:cs="宋体" w:eastAsia="宋体" w:hint="default"/>
          <w:spacing w:val="-52"/>
        </w:rPr>
        <w:t> </w:t>
      </w:r>
      <w:r>
        <w:rPr/>
        <w:t>年</w:t>
      </w:r>
      <w:r>
        <w:rPr>
          <w:spacing w:val="-52"/>
        </w:rPr>
        <w:t> </w:t>
      </w:r>
      <w:r>
        <w:rPr>
          <w:rFonts w:ascii="宋体" w:hAnsi="宋体" w:cs="宋体" w:eastAsia="宋体" w:hint="default"/>
        </w:rPr>
        <w:t>8</w:t>
      </w:r>
      <w:r>
        <w:rPr>
          <w:rFonts w:ascii="宋体" w:hAnsi="宋体" w:cs="宋体" w:eastAsia="宋体" w:hint="default"/>
          <w:spacing w:val="-51"/>
        </w:rPr>
        <w:t> </w:t>
      </w:r>
      <w:r>
        <w:rPr/>
        <w:t>月</w:t>
      </w:r>
      <w:r>
        <w:rPr>
          <w:spacing w:val="-53"/>
        </w:rPr>
        <w:t> </w:t>
      </w:r>
      <w:r>
        <w:rPr>
          <w:rFonts w:ascii="宋体" w:hAnsi="宋体" w:cs="宋体" w:eastAsia="宋体" w:hint="default"/>
        </w:rPr>
        <w:t>15</w:t>
      </w:r>
      <w:r>
        <w:rPr>
          <w:rFonts w:ascii="宋体" w:hAnsi="宋体" w:cs="宋体" w:eastAsia="宋体" w:hint="default"/>
          <w:spacing w:val="-51"/>
        </w:rPr>
        <w:t> </w:t>
      </w:r>
      <w:r>
        <w:rPr>
          <w:spacing w:val="-3"/>
        </w:rPr>
        <w:t>日，期末已按相应远期汇率确认以公允价值计量且其变动计入当期损益</w:t>
      </w:r>
    </w:p>
    <w:p>
      <w:pPr>
        <w:spacing w:line="240" w:lineRule="auto" w:before="11"/>
        <w:rPr>
          <w:rFonts w:ascii="宋体" w:hAnsi="宋体" w:cs="宋体" w:eastAsia="宋体" w:hint="default"/>
          <w:sz w:val="14"/>
          <w:szCs w:val="14"/>
        </w:rPr>
      </w:pPr>
    </w:p>
    <w:p>
      <w:pPr>
        <w:pStyle w:val="BodyText"/>
        <w:spacing w:line="240" w:lineRule="auto"/>
        <w:ind w:left="233" w:right="0"/>
        <w:jc w:val="both"/>
      </w:pPr>
      <w:r>
        <w:rPr/>
        <w:t>的金融负债</w:t>
      </w:r>
      <w:r>
        <w:rPr>
          <w:spacing w:val="-53"/>
        </w:rPr>
        <w:t> </w:t>
      </w:r>
      <w:r>
        <w:rPr>
          <w:rFonts w:ascii="宋体" w:hAnsi="宋体" w:cs="宋体" w:eastAsia="宋体" w:hint="default"/>
        </w:rPr>
        <w:t>10,930,847.50</w:t>
      </w:r>
      <w:r>
        <w:rPr>
          <w:rFonts w:ascii="宋体" w:hAnsi="宋体" w:cs="宋体" w:eastAsia="宋体" w:hint="default"/>
          <w:spacing w:val="-53"/>
        </w:rPr>
        <w:t> </w:t>
      </w:r>
      <w:r>
        <w:rPr/>
        <w:t>元。</w:t>
      </w:r>
    </w:p>
    <w:p>
      <w:pPr>
        <w:spacing w:line="240" w:lineRule="auto" w:before="9"/>
        <w:rPr>
          <w:rFonts w:ascii="宋体" w:hAnsi="宋体" w:cs="宋体" w:eastAsia="宋体" w:hint="default"/>
          <w:sz w:val="17"/>
          <w:szCs w:val="17"/>
        </w:rPr>
      </w:pPr>
    </w:p>
    <w:p>
      <w:pPr>
        <w:pStyle w:val="BodyText"/>
        <w:spacing w:line="240" w:lineRule="auto"/>
        <w:ind w:left="654" w:right="1029"/>
        <w:jc w:val="left"/>
        <w:rPr>
          <w:rFonts w:ascii="宋体" w:hAnsi="宋体" w:cs="宋体" w:eastAsia="宋体" w:hint="default"/>
        </w:rPr>
      </w:pPr>
      <w:r>
        <w:rPr>
          <w:rFonts w:ascii="宋体" w:hAnsi="宋体" w:cs="宋体" w:eastAsia="宋体" w:hint="default"/>
          <w:spacing w:val="-7"/>
        </w:rPr>
        <w:t>2</w:t>
      </w:r>
      <w:r>
        <w:rPr>
          <w:spacing w:val="-7"/>
        </w:rPr>
        <w:t>．截至</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日，公司尚有未到期的履约保函人民币</w:t>
      </w:r>
      <w:r>
        <w:rPr>
          <w:spacing w:val="-55"/>
        </w:rPr>
        <w:t> </w:t>
      </w:r>
      <w:r>
        <w:rPr>
          <w:rFonts w:ascii="宋体" w:hAnsi="宋体" w:cs="宋体" w:eastAsia="宋体" w:hint="default"/>
        </w:rPr>
        <w:t>59,183,134.04</w:t>
      </w:r>
      <w:r>
        <w:rPr>
          <w:rFonts w:ascii="宋体" w:hAnsi="宋体" w:cs="宋体" w:eastAsia="宋体" w:hint="default"/>
          <w:spacing w:val="-55"/>
        </w:rPr>
        <w:t> </w:t>
      </w:r>
      <w:r>
        <w:rPr>
          <w:spacing w:val="-7"/>
        </w:rPr>
        <w:t>元，美元</w:t>
      </w:r>
      <w:r>
        <w:rPr>
          <w:spacing w:val="-56"/>
        </w:rPr>
        <w:t> </w:t>
      </w:r>
      <w:r>
        <w:rPr>
          <w:rFonts w:ascii="宋体" w:hAnsi="宋体" w:cs="宋体" w:eastAsia="宋体" w:hint="default"/>
        </w:rPr>
        <w:t>773,473.00</w:t>
      </w:r>
    </w:p>
    <w:p>
      <w:pPr>
        <w:spacing w:line="240" w:lineRule="auto" w:before="11"/>
        <w:rPr>
          <w:rFonts w:ascii="宋体" w:hAnsi="宋体" w:cs="宋体" w:eastAsia="宋体" w:hint="default"/>
          <w:sz w:val="14"/>
          <w:szCs w:val="14"/>
        </w:rPr>
      </w:pPr>
    </w:p>
    <w:p>
      <w:pPr>
        <w:pStyle w:val="BodyText"/>
        <w:spacing w:line="240" w:lineRule="auto"/>
        <w:ind w:left="234" w:right="0"/>
        <w:jc w:val="both"/>
      </w:pPr>
      <w:r>
        <w:rPr/>
        <w:t>元。截至</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日，公司尚有未到期的信用证人民币</w:t>
      </w:r>
      <w:r>
        <w:rPr>
          <w:spacing w:val="-53"/>
        </w:rPr>
        <w:t> </w:t>
      </w:r>
      <w:r>
        <w:rPr>
          <w:rFonts w:ascii="宋体" w:hAnsi="宋体" w:cs="宋体" w:eastAsia="宋体" w:hint="default"/>
        </w:rPr>
        <w:t>223,300.00</w:t>
      </w:r>
      <w:r>
        <w:rPr>
          <w:rFonts w:ascii="宋体" w:hAnsi="宋体" w:cs="宋体" w:eastAsia="宋体" w:hint="default"/>
          <w:spacing w:val="-54"/>
        </w:rPr>
        <w:t> </w:t>
      </w:r>
      <w:r>
        <w:rPr/>
        <w:t>元。</w:t>
      </w:r>
    </w:p>
    <w:p>
      <w:pPr>
        <w:spacing w:line="240" w:lineRule="auto" w:before="12"/>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3.</w:t>
      </w:r>
      <w:r>
        <w:rPr>
          <w:rFonts w:ascii="宋体" w:hAnsi="宋体" w:cs="宋体" w:eastAsia="宋体" w:hint="default"/>
          <w:spacing w:val="-1"/>
        </w:rPr>
        <w:t> </w:t>
      </w:r>
      <w:r>
        <w:rPr/>
        <w:t>房产购置事项</w:t>
      </w:r>
    </w:p>
    <w:p>
      <w:pPr>
        <w:spacing w:line="240" w:lineRule="auto" w:before="9"/>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2015</w:t>
      </w:r>
      <w:r>
        <w:rPr>
          <w:rFonts w:ascii="宋体" w:hAnsi="宋体" w:cs="宋体" w:eastAsia="宋体" w:hint="default"/>
          <w:spacing w:val="-46"/>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24</w:t>
      </w:r>
      <w:r>
        <w:rPr>
          <w:rFonts w:ascii="宋体" w:hAnsi="宋体" w:cs="宋体" w:eastAsia="宋体" w:hint="default"/>
          <w:spacing w:val="-46"/>
        </w:rPr>
        <w:t> </w:t>
      </w:r>
      <w:r>
        <w:rPr>
          <w:spacing w:val="-3"/>
        </w:rPr>
        <w:t>日，利欧数字与上海浙铁绿城房地产开发有限公司</w:t>
      </w:r>
      <w:r>
        <w:rPr>
          <w:rFonts w:ascii="宋体" w:hAnsi="宋体" w:cs="宋体" w:eastAsia="宋体" w:hint="default"/>
          <w:spacing w:val="-3"/>
        </w:rPr>
        <w:t>(</w:t>
      </w:r>
      <w:r>
        <w:rPr>
          <w:spacing w:val="-3"/>
        </w:rPr>
        <w:t>以下简称绿城房地产</w:t>
      </w:r>
      <w:r>
        <w:rPr>
          <w:rFonts w:ascii="宋体" w:hAnsi="宋体" w:cs="宋体" w:eastAsia="宋体" w:hint="default"/>
          <w:spacing w:val="-3"/>
        </w:rPr>
        <w:t>)</w:t>
      </w:r>
      <w:r>
        <w:rPr>
          <w:spacing w:val="-3"/>
        </w:rPr>
        <w:t>签订《协议</w:t>
      </w:r>
    </w:p>
    <w:p>
      <w:pPr>
        <w:spacing w:line="240" w:lineRule="auto" w:before="10"/>
        <w:rPr>
          <w:rFonts w:ascii="宋体" w:hAnsi="宋体" w:cs="宋体" w:eastAsia="宋体" w:hint="default"/>
          <w:sz w:val="14"/>
          <w:szCs w:val="14"/>
        </w:rPr>
      </w:pPr>
    </w:p>
    <w:p>
      <w:pPr>
        <w:pStyle w:val="BodyText"/>
        <w:spacing w:line="408" w:lineRule="auto"/>
        <w:ind w:left="233" w:right="1129"/>
        <w:jc w:val="both"/>
      </w:pPr>
      <w:r>
        <w:rPr/>
        <w:t>书》，利欧数字拟自筹资金以人民币</w:t>
      </w:r>
      <w:r>
        <w:rPr>
          <w:spacing w:val="-59"/>
        </w:rPr>
        <w:t> </w:t>
      </w:r>
      <w:r>
        <w:rPr>
          <w:rFonts w:ascii="宋体" w:hAnsi="宋体" w:cs="宋体" w:eastAsia="宋体" w:hint="default"/>
        </w:rPr>
        <w:t>31,235.24</w:t>
      </w:r>
      <w:r>
        <w:rPr>
          <w:rFonts w:ascii="宋体" w:hAnsi="宋体" w:cs="宋体" w:eastAsia="宋体" w:hint="default"/>
          <w:spacing w:val="-59"/>
        </w:rPr>
        <w:t> </w:t>
      </w:r>
      <w:r>
        <w:rPr/>
        <w:t>万元购买位于上海市普陀区泸定路</w:t>
      </w:r>
      <w:r>
        <w:rPr>
          <w:spacing w:val="-59"/>
        </w:rPr>
        <w:t> </w:t>
      </w:r>
      <w:r>
        <w:rPr>
          <w:rFonts w:ascii="宋体" w:hAnsi="宋体" w:cs="宋体" w:eastAsia="宋体" w:hint="default"/>
        </w:rPr>
        <w:t>276</w:t>
      </w:r>
      <w:r>
        <w:rPr>
          <w:rFonts w:ascii="宋体" w:hAnsi="宋体" w:cs="宋体" w:eastAsia="宋体" w:hint="default"/>
          <w:spacing w:val="-59"/>
        </w:rPr>
        <w:t> </w:t>
      </w:r>
      <w:r>
        <w:rPr/>
        <w:t>弄“浙铁绿城长风 中心”</w:t>
      </w:r>
      <w:r>
        <w:rPr>
          <w:rFonts w:ascii="宋体" w:hAnsi="宋体" w:cs="宋体" w:eastAsia="宋体" w:hint="default"/>
        </w:rPr>
        <w:t>9</w:t>
      </w:r>
      <w:r>
        <w:rPr>
          <w:rFonts w:ascii="宋体" w:hAnsi="宋体" w:cs="宋体" w:eastAsia="宋体" w:hint="default"/>
          <w:spacing w:val="-54"/>
        </w:rPr>
        <w:t> </w:t>
      </w:r>
      <w:r>
        <w:rPr/>
        <w:t>号</w:t>
      </w:r>
      <w:r>
        <w:rPr>
          <w:rFonts w:ascii="宋体" w:hAnsi="宋体" w:cs="宋体" w:eastAsia="宋体" w:hint="default"/>
        </w:rPr>
        <w:t>(2</w:t>
      </w:r>
      <w:r>
        <w:rPr>
          <w:rFonts w:ascii="宋体" w:hAnsi="宋体" w:cs="宋体" w:eastAsia="宋体" w:hint="default"/>
          <w:spacing w:val="-54"/>
        </w:rPr>
        <w:t> </w:t>
      </w:r>
      <w:r>
        <w:rPr>
          <w:spacing w:val="-3"/>
        </w:rPr>
        <w:t>层、</w:t>
      </w:r>
      <w:r>
        <w:rPr>
          <w:rFonts w:ascii="宋体" w:hAnsi="宋体" w:cs="宋体" w:eastAsia="宋体" w:hint="default"/>
          <w:spacing w:val="-3"/>
        </w:rPr>
        <w:t>3</w:t>
      </w:r>
      <w:r>
        <w:rPr>
          <w:rFonts w:ascii="宋体" w:hAnsi="宋体" w:cs="宋体" w:eastAsia="宋体" w:hint="default"/>
          <w:spacing w:val="-54"/>
        </w:rPr>
        <w:t> </w:t>
      </w:r>
      <w:r>
        <w:rPr>
          <w:spacing w:val="-4"/>
        </w:rPr>
        <w:t>层、</w:t>
      </w:r>
      <w:r>
        <w:rPr>
          <w:rFonts w:ascii="宋体" w:hAnsi="宋体" w:cs="宋体" w:eastAsia="宋体" w:hint="default"/>
          <w:spacing w:val="-4"/>
        </w:rPr>
        <w:t>4</w:t>
      </w:r>
      <w:r>
        <w:rPr>
          <w:rFonts w:ascii="宋体" w:hAnsi="宋体" w:cs="宋体" w:eastAsia="宋体" w:hint="default"/>
          <w:spacing w:val="-54"/>
        </w:rPr>
        <w:t> </w:t>
      </w:r>
      <w:r>
        <w:rPr>
          <w:spacing w:val="-3"/>
        </w:rPr>
        <w:t>层、</w:t>
      </w:r>
      <w:r>
        <w:rPr>
          <w:rFonts w:ascii="宋体" w:hAnsi="宋体" w:cs="宋体" w:eastAsia="宋体" w:hint="default"/>
          <w:spacing w:val="-3"/>
        </w:rPr>
        <w:t>5</w:t>
      </w:r>
      <w:r>
        <w:rPr>
          <w:rFonts w:ascii="宋体" w:hAnsi="宋体" w:cs="宋体" w:eastAsia="宋体" w:hint="default"/>
          <w:spacing w:val="-54"/>
        </w:rPr>
        <w:t> </w:t>
      </w:r>
      <w:r>
        <w:rPr>
          <w:spacing w:val="-3"/>
        </w:rPr>
        <w:t>层</w:t>
      </w:r>
      <w:r>
        <w:rPr>
          <w:rFonts w:ascii="宋体" w:hAnsi="宋体" w:cs="宋体" w:eastAsia="宋体" w:hint="default"/>
          <w:spacing w:val="-3"/>
        </w:rPr>
        <w:t>)</w:t>
      </w:r>
      <w:r>
        <w:rPr>
          <w:spacing w:val="-3"/>
        </w:rPr>
        <w:t>、</w:t>
      </w:r>
      <w:r>
        <w:rPr>
          <w:rFonts w:ascii="宋体" w:hAnsi="宋体" w:cs="宋体" w:eastAsia="宋体" w:hint="default"/>
          <w:spacing w:val="-3"/>
        </w:rPr>
        <w:t>10</w:t>
      </w:r>
      <w:r>
        <w:rPr>
          <w:rFonts w:ascii="宋体" w:hAnsi="宋体" w:cs="宋体" w:eastAsia="宋体" w:hint="default"/>
          <w:spacing w:val="-54"/>
        </w:rPr>
        <w:t> </w:t>
      </w:r>
      <w:r>
        <w:rPr/>
        <w:t>号</w:t>
      </w:r>
      <w:r>
        <w:rPr>
          <w:rFonts w:ascii="宋体" w:hAnsi="宋体" w:cs="宋体" w:eastAsia="宋体" w:hint="default"/>
        </w:rPr>
        <w:t>(2</w:t>
      </w:r>
      <w:r>
        <w:rPr>
          <w:rFonts w:ascii="宋体" w:hAnsi="宋体" w:cs="宋体" w:eastAsia="宋体" w:hint="default"/>
          <w:spacing w:val="-54"/>
        </w:rPr>
        <w:t> </w:t>
      </w:r>
      <w:r>
        <w:rPr>
          <w:spacing w:val="-4"/>
        </w:rPr>
        <w:t>层、</w:t>
      </w:r>
      <w:r>
        <w:rPr>
          <w:rFonts w:ascii="宋体" w:hAnsi="宋体" w:cs="宋体" w:eastAsia="宋体" w:hint="default"/>
          <w:spacing w:val="-4"/>
        </w:rPr>
        <w:t>3</w:t>
      </w:r>
      <w:r>
        <w:rPr>
          <w:rFonts w:ascii="宋体" w:hAnsi="宋体" w:cs="宋体" w:eastAsia="宋体" w:hint="default"/>
          <w:spacing w:val="-54"/>
        </w:rPr>
        <w:t> </w:t>
      </w:r>
      <w:r>
        <w:rPr>
          <w:spacing w:val="-3"/>
        </w:rPr>
        <w:t>层、</w:t>
      </w:r>
      <w:r>
        <w:rPr>
          <w:rFonts w:ascii="宋体" w:hAnsi="宋体" w:cs="宋体" w:eastAsia="宋体" w:hint="default"/>
          <w:spacing w:val="-3"/>
        </w:rPr>
        <w:t>4</w:t>
      </w:r>
      <w:r>
        <w:rPr>
          <w:rFonts w:ascii="宋体" w:hAnsi="宋体" w:cs="宋体" w:eastAsia="宋体" w:hint="default"/>
          <w:spacing w:val="-54"/>
        </w:rPr>
        <w:t> </w:t>
      </w:r>
      <w:r>
        <w:rPr>
          <w:spacing w:val="-4"/>
        </w:rPr>
        <w:t>层、</w:t>
      </w:r>
      <w:r>
        <w:rPr>
          <w:rFonts w:ascii="宋体" w:hAnsi="宋体" w:cs="宋体" w:eastAsia="宋体" w:hint="default"/>
          <w:spacing w:val="-4"/>
        </w:rPr>
        <w:t>5</w:t>
      </w:r>
      <w:r>
        <w:rPr>
          <w:rFonts w:ascii="宋体" w:hAnsi="宋体" w:cs="宋体" w:eastAsia="宋体" w:hint="default"/>
          <w:spacing w:val="-54"/>
        </w:rPr>
        <w:t> </w:t>
      </w:r>
      <w:r>
        <w:rPr/>
        <w:t>层</w:t>
      </w:r>
      <w:r>
        <w:rPr>
          <w:rFonts w:ascii="宋体" w:hAnsi="宋体" w:cs="宋体" w:eastAsia="宋体" w:hint="default"/>
        </w:rPr>
        <w:t>)</w:t>
      </w:r>
      <w:r>
        <w:rPr/>
        <w:t>房屋，该房屋总建筑面积为</w:t>
      </w:r>
      <w:r>
        <w:rPr>
          <w:spacing w:val="-54"/>
        </w:rPr>
        <w:t> </w:t>
      </w:r>
      <w:r>
        <w:rPr>
          <w:rFonts w:ascii="宋体" w:hAnsi="宋体" w:cs="宋体" w:eastAsia="宋体" w:hint="default"/>
        </w:rPr>
        <w:t>7,264.01 </w:t>
      </w:r>
      <w:r>
        <w:rPr/>
        <w:t>平米，总价为人民币</w:t>
      </w:r>
      <w:r>
        <w:rPr>
          <w:spacing w:val="-34"/>
        </w:rPr>
        <w:t> </w:t>
      </w:r>
      <w:r>
        <w:rPr>
          <w:rFonts w:ascii="宋体" w:hAnsi="宋体" w:cs="宋体" w:eastAsia="宋体" w:hint="default"/>
        </w:rPr>
        <w:t>312,352,430</w:t>
      </w:r>
      <w:r>
        <w:rPr>
          <w:rFonts w:ascii="宋体" w:hAnsi="宋体" w:cs="宋体" w:eastAsia="宋体" w:hint="default"/>
          <w:spacing w:val="-34"/>
        </w:rPr>
        <w:t> </w:t>
      </w:r>
      <w:r>
        <w:rPr/>
        <w:t>元，均价人民币</w:t>
      </w:r>
      <w:r>
        <w:rPr>
          <w:spacing w:val="-34"/>
        </w:rPr>
        <w:t> </w:t>
      </w:r>
      <w:r>
        <w:rPr>
          <w:rFonts w:ascii="宋体" w:hAnsi="宋体" w:cs="宋体" w:eastAsia="宋体" w:hint="default"/>
        </w:rPr>
        <w:t>43,000</w:t>
      </w:r>
      <w:r>
        <w:rPr>
          <w:rFonts w:ascii="宋体" w:hAnsi="宋体" w:cs="宋体" w:eastAsia="宋体" w:hint="default"/>
          <w:spacing w:val="-34"/>
        </w:rPr>
        <w:t> </w:t>
      </w:r>
      <w:r>
        <w:rPr/>
        <w:t>元</w:t>
      </w:r>
      <w:r>
        <w:rPr>
          <w:rFonts w:ascii="宋体" w:hAnsi="宋体" w:cs="宋体" w:eastAsia="宋体" w:hint="default"/>
        </w:rPr>
        <w:t>/</w:t>
      </w:r>
      <w:r>
        <w:rPr/>
        <w:t>平米</w:t>
      </w:r>
      <w:r>
        <w:rPr>
          <w:rFonts w:ascii="宋体" w:hAnsi="宋体" w:cs="宋体" w:eastAsia="宋体" w:hint="default"/>
        </w:rPr>
        <w:t>(</w:t>
      </w:r>
      <w:r>
        <w:rPr/>
        <w:t>本次交易定价以上海市房地产市场价 格为参考由交易双方协商确定</w:t>
      </w:r>
      <w:r>
        <w:rPr>
          <w:rFonts w:ascii="宋体" w:hAnsi="宋体" w:cs="宋体" w:eastAsia="宋体" w:hint="default"/>
        </w:rPr>
        <w:t>)</w:t>
      </w:r>
      <w:r>
        <w:rPr/>
        <w:t>。</w:t>
      </w:r>
    </w:p>
    <w:p>
      <w:pPr>
        <w:pStyle w:val="BodyText"/>
        <w:spacing w:line="240" w:lineRule="auto" w:before="84"/>
        <w:ind w:left="653" w:right="1029"/>
        <w:jc w:val="left"/>
      </w:pPr>
      <w:r>
        <w:rPr/>
        <w:t>根据相关约定，</w:t>
      </w:r>
      <w:r>
        <w:rPr>
          <w:rFonts w:ascii="宋体" w:hAnsi="宋体" w:cs="宋体" w:eastAsia="宋体" w:hint="default"/>
        </w:rPr>
        <w:t>(1) </w:t>
      </w:r>
      <w:r>
        <w:rPr/>
        <w:t>利欧数字于</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25</w:t>
      </w:r>
      <w:r>
        <w:rPr>
          <w:rFonts w:ascii="宋体" w:hAnsi="宋体" w:cs="宋体" w:eastAsia="宋体" w:hint="default"/>
          <w:spacing w:val="-51"/>
        </w:rPr>
        <w:t> </w:t>
      </w:r>
      <w:r>
        <w:rPr/>
        <w:t>日前支付总房款的</w:t>
      </w:r>
      <w:r>
        <w:rPr>
          <w:spacing w:val="-50"/>
        </w:rPr>
        <w:t> </w:t>
      </w:r>
      <w:r>
        <w:rPr>
          <w:rFonts w:ascii="宋体" w:hAnsi="宋体" w:cs="宋体" w:eastAsia="宋体" w:hint="default"/>
        </w:rPr>
        <w:t>10%</w:t>
      </w:r>
      <w:r>
        <w:rPr/>
        <w:t>，即人民币</w:t>
      </w:r>
      <w:r>
        <w:rPr>
          <w:spacing w:val="-50"/>
        </w:rPr>
        <w:t> </w:t>
      </w:r>
      <w:r>
        <w:rPr>
          <w:rFonts w:ascii="宋体" w:hAnsi="宋体" w:cs="宋体" w:eastAsia="宋体" w:hint="default"/>
        </w:rPr>
        <w:t>31,235,243</w:t>
      </w:r>
      <w:r>
        <w:rPr>
          <w:rFonts w:ascii="宋体" w:hAnsi="宋体" w:cs="宋体" w:eastAsia="宋体" w:hint="default"/>
          <w:spacing w:val="-50"/>
        </w:rPr>
        <w:t> </w:t>
      </w:r>
      <w:r>
        <w:rPr/>
        <w:t>元；</w:t>
      </w:r>
    </w:p>
    <w:p>
      <w:pPr>
        <w:spacing w:line="240" w:lineRule="auto" w:before="10"/>
        <w:rPr>
          <w:rFonts w:ascii="宋体" w:hAnsi="宋体" w:cs="宋体" w:eastAsia="宋体" w:hint="default"/>
          <w:sz w:val="14"/>
          <w:szCs w:val="14"/>
        </w:rPr>
      </w:pPr>
    </w:p>
    <w:p>
      <w:pPr>
        <w:pStyle w:val="BodyText"/>
        <w:spacing w:line="240" w:lineRule="auto"/>
        <w:ind w:left="233" w:right="0"/>
        <w:jc w:val="both"/>
      </w:pPr>
      <w:r>
        <w:rPr/>
        <w:t>于</w:t>
      </w:r>
      <w:r>
        <w:rPr>
          <w:spacing w:val="-52"/>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日前支付总房款的</w:t>
      </w:r>
      <w:r>
        <w:rPr>
          <w:spacing w:val="-52"/>
        </w:rPr>
        <w:t> </w:t>
      </w:r>
      <w:r>
        <w:rPr>
          <w:rFonts w:ascii="宋体" w:hAnsi="宋体" w:cs="宋体" w:eastAsia="宋体" w:hint="default"/>
        </w:rPr>
        <w:t>20%</w:t>
      </w:r>
      <w:r>
        <w:rPr/>
        <w:t>，即人民币</w:t>
      </w:r>
      <w:r>
        <w:rPr>
          <w:spacing w:val="-52"/>
        </w:rPr>
        <w:t> </w:t>
      </w:r>
      <w:r>
        <w:rPr>
          <w:rFonts w:ascii="宋体" w:hAnsi="宋体" w:cs="宋体" w:eastAsia="宋体" w:hint="default"/>
        </w:rPr>
        <w:t>62,470,486</w:t>
      </w:r>
      <w:r>
        <w:rPr>
          <w:rFonts w:ascii="宋体" w:hAnsi="宋体" w:cs="宋体" w:eastAsia="宋体" w:hint="default"/>
          <w:spacing w:val="-51"/>
        </w:rPr>
        <w:t> </w:t>
      </w:r>
      <w:r>
        <w:rPr/>
        <w:t>元；于</w:t>
      </w:r>
      <w:r>
        <w:rPr>
          <w:spacing w:val="-52"/>
        </w:rPr>
        <w:t> </w:t>
      </w:r>
      <w:r>
        <w:rPr>
          <w:rFonts w:ascii="宋体" w:hAnsi="宋体" w:cs="宋体" w:eastAsia="宋体" w:hint="default"/>
        </w:rPr>
        <w:t>2016</w:t>
      </w:r>
      <w:r>
        <w:rPr>
          <w:rFonts w:ascii="宋体" w:hAnsi="宋体" w:cs="宋体" w:eastAsia="宋体" w:hint="default"/>
          <w:spacing w:val="-51"/>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25</w:t>
      </w:r>
      <w:r>
        <w:rPr>
          <w:rFonts w:ascii="宋体" w:hAnsi="宋体" w:cs="宋体" w:eastAsia="宋体" w:hint="default"/>
          <w:spacing w:val="-52"/>
        </w:rPr>
        <w:t> </w:t>
      </w:r>
      <w:r>
        <w:rPr/>
        <w:t>日前支付总房款</w:t>
      </w:r>
    </w:p>
    <w:p>
      <w:pPr>
        <w:spacing w:after="0" w:line="240" w:lineRule="auto"/>
        <w:jc w:val="both"/>
        <w:sectPr>
          <w:pgSz w:w="11910" w:h="16840"/>
          <w:pgMar w:header="877" w:footer="979" w:top="1100" w:bottom="116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234" w:right="0"/>
        <w:jc w:val="both"/>
      </w:pPr>
      <w:r>
        <w:rPr/>
        <w:t>的</w:t>
      </w:r>
      <w:r>
        <w:rPr>
          <w:spacing w:val="-56"/>
        </w:rPr>
        <w:t> </w:t>
      </w:r>
      <w:r>
        <w:rPr>
          <w:rFonts w:ascii="宋体" w:hAnsi="宋体" w:cs="宋体" w:eastAsia="宋体" w:hint="default"/>
          <w:spacing w:val="-4"/>
        </w:rPr>
        <w:t>20%</w:t>
      </w:r>
      <w:r>
        <w:rPr>
          <w:spacing w:val="-4"/>
        </w:rPr>
        <w:t>，即人民币</w:t>
      </w:r>
      <w:r>
        <w:rPr>
          <w:spacing w:val="-56"/>
        </w:rPr>
        <w:t> </w:t>
      </w:r>
      <w:r>
        <w:rPr>
          <w:rFonts w:ascii="宋体" w:hAnsi="宋体" w:cs="宋体" w:eastAsia="宋体" w:hint="default"/>
        </w:rPr>
        <w:t>62,470,486</w:t>
      </w:r>
      <w:r>
        <w:rPr>
          <w:rFonts w:ascii="宋体" w:hAnsi="宋体" w:cs="宋体" w:eastAsia="宋体" w:hint="default"/>
          <w:spacing w:val="-56"/>
        </w:rPr>
        <w:t> </w:t>
      </w:r>
      <w:r>
        <w:rPr>
          <w:spacing w:val="-9"/>
        </w:rPr>
        <w:t>元；于</w:t>
      </w:r>
      <w:r>
        <w:rPr>
          <w:spacing w:val="-56"/>
        </w:rPr>
        <w:t> </w:t>
      </w:r>
      <w:r>
        <w:rPr>
          <w:rFonts w:ascii="宋体" w:hAnsi="宋体" w:cs="宋体" w:eastAsia="宋体" w:hint="default"/>
        </w:rPr>
        <w:t>2016</w:t>
      </w:r>
      <w:r>
        <w:rPr>
          <w:rFonts w:ascii="宋体" w:hAnsi="宋体" w:cs="宋体" w:eastAsia="宋体" w:hint="default"/>
          <w:spacing w:val="-55"/>
        </w:rPr>
        <w:t> </w:t>
      </w:r>
      <w:r>
        <w:rPr/>
        <w:t>年</w:t>
      </w:r>
      <w:r>
        <w:rPr>
          <w:spacing w:val="-57"/>
        </w:rPr>
        <w:t> </w:t>
      </w:r>
      <w:r>
        <w:rPr>
          <w:rFonts w:ascii="宋体" w:hAnsi="宋体" w:cs="宋体" w:eastAsia="宋体" w:hint="default"/>
        </w:rPr>
        <w:t>11</w:t>
      </w:r>
      <w:r>
        <w:rPr>
          <w:rFonts w:ascii="宋体" w:hAnsi="宋体" w:cs="宋体" w:eastAsia="宋体" w:hint="default"/>
          <w:spacing w:val="-56"/>
        </w:rPr>
        <w:t> </w:t>
      </w:r>
      <w:r>
        <w:rPr/>
        <w:t>月</w:t>
      </w:r>
      <w:r>
        <w:rPr>
          <w:spacing w:val="-57"/>
        </w:rPr>
        <w:t> </w:t>
      </w:r>
      <w:r>
        <w:rPr>
          <w:rFonts w:ascii="宋体" w:hAnsi="宋体" w:cs="宋体" w:eastAsia="宋体" w:hint="default"/>
        </w:rPr>
        <w:t>25</w:t>
      </w:r>
      <w:r>
        <w:rPr>
          <w:rFonts w:ascii="宋体" w:hAnsi="宋体" w:cs="宋体" w:eastAsia="宋体" w:hint="default"/>
          <w:spacing w:val="-55"/>
        </w:rPr>
        <w:t> </w:t>
      </w:r>
      <w:r>
        <w:rPr/>
        <w:t>日前支付全部剩余房款，即人民币</w:t>
      </w:r>
      <w:r>
        <w:rPr>
          <w:spacing w:val="-55"/>
        </w:rPr>
        <w:t> </w:t>
      </w:r>
      <w:r>
        <w:rPr>
          <w:rFonts w:ascii="宋体" w:hAnsi="宋体" w:cs="宋体" w:eastAsia="宋体" w:hint="default"/>
        </w:rPr>
        <w:t>156,176,215</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BodyText"/>
        <w:spacing w:line="408" w:lineRule="auto"/>
        <w:ind w:left="233" w:right="1130"/>
        <w:jc w:val="both"/>
      </w:pPr>
      <w:r>
        <w:rPr/>
        <w:t>若绿城房地产提前交付房屋的，绿城房地产应提前</w:t>
      </w:r>
      <w:r>
        <w:rPr>
          <w:spacing w:val="-43"/>
        </w:rPr>
        <w:t> </w:t>
      </w:r>
      <w:r>
        <w:rPr>
          <w:rFonts w:ascii="宋体" w:hAnsi="宋体" w:cs="宋体" w:eastAsia="宋体" w:hint="default"/>
        </w:rPr>
        <w:t>45</w:t>
      </w:r>
      <w:r>
        <w:rPr>
          <w:rFonts w:ascii="宋体" w:hAnsi="宋体" w:cs="宋体" w:eastAsia="宋体" w:hint="default"/>
          <w:spacing w:val="-43"/>
        </w:rPr>
        <w:t> </w:t>
      </w:r>
      <w:r>
        <w:rPr/>
        <w:t>天书面通知本公司，本公司应在接到卖方通知后</w:t>
      </w:r>
      <w:r>
        <w:rPr>
          <w:spacing w:val="-44"/>
        </w:rPr>
        <w:t> </w:t>
      </w:r>
      <w:r>
        <w:rPr>
          <w:rFonts w:ascii="宋体" w:hAnsi="宋体" w:cs="宋体" w:eastAsia="宋体" w:hint="default"/>
        </w:rPr>
        <w:t>30 </w:t>
      </w:r>
      <w:r>
        <w:rPr/>
        <w:t>日内提前付清全额房款。</w:t>
      </w:r>
      <w:r>
        <w:rPr>
          <w:rFonts w:ascii="宋体" w:hAnsi="宋体" w:cs="宋体" w:eastAsia="宋体" w:hint="default"/>
        </w:rPr>
        <w:t>(2) </w:t>
      </w:r>
      <w:r>
        <w:rPr/>
        <w:t>绿城房地产同意随该房屋附赠地下一层投影面积内的 </w:t>
      </w:r>
      <w:r>
        <w:rPr>
          <w:rFonts w:ascii="宋体" w:hAnsi="宋体" w:cs="宋体" w:eastAsia="宋体" w:hint="default"/>
        </w:rPr>
        <w:t>15</w:t>
      </w:r>
      <w:r>
        <w:rPr>
          <w:rFonts w:ascii="宋体" w:hAnsi="宋体" w:cs="宋体" w:eastAsia="宋体" w:hint="default"/>
          <w:spacing w:val="-23"/>
        </w:rPr>
        <w:t> </w:t>
      </w:r>
      <w:r>
        <w:rPr/>
        <w:t>个车位，但利欧数 </w:t>
      </w:r>
      <w:r>
        <w:rPr>
          <w:spacing w:val="-1"/>
        </w:rPr>
        <w:t>字应根据政府相关部门要求承担车位办理产证所涉的契税及交易手续费等。若因政府政策限制，导致不能</w:t>
      </w:r>
      <w:r>
        <w:rPr>
          <w:spacing w:val="-81"/>
        </w:rPr>
        <w:t> </w:t>
      </w:r>
      <w:r>
        <w:rPr>
          <w:spacing w:val="-81"/>
        </w:rPr>
      </w:r>
      <w:r>
        <w:rPr/>
        <w:t>办理全部车位产权的，则无法办理产权部分车位买方享有使用权。</w:t>
      </w:r>
    </w:p>
    <w:p>
      <w:pPr>
        <w:pStyle w:val="BodyText"/>
        <w:spacing w:line="240" w:lineRule="auto" w:before="85"/>
        <w:ind w:left="653" w:right="1029"/>
        <w:jc w:val="left"/>
      </w:pPr>
      <w:r>
        <w:rPr/>
        <w:t>该事项已经公司第四届董事会第十七次会议审议通过。</w:t>
      </w:r>
    </w:p>
    <w:p>
      <w:pPr>
        <w:spacing w:line="240" w:lineRule="auto" w:before="12"/>
        <w:rPr>
          <w:rFonts w:ascii="宋体" w:hAnsi="宋体" w:cs="宋体" w:eastAsia="宋体" w:hint="default"/>
          <w:sz w:val="17"/>
          <w:szCs w:val="17"/>
        </w:rPr>
      </w:pPr>
    </w:p>
    <w:p>
      <w:pPr>
        <w:pStyle w:val="BodyText"/>
        <w:spacing w:line="240" w:lineRule="auto"/>
        <w:ind w:left="653" w:right="1029"/>
        <w:jc w:val="left"/>
      </w:pPr>
      <w:r>
        <w:rPr/>
        <w:t>截至</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日，利欧数字根据上述约定，已累计支付房屋购置款</w:t>
      </w:r>
      <w:r>
        <w:rPr>
          <w:spacing w:val="-53"/>
        </w:rPr>
        <w:t> </w:t>
      </w:r>
      <w:r>
        <w:rPr>
          <w:rFonts w:ascii="宋体" w:hAnsi="宋体" w:cs="宋体" w:eastAsia="宋体" w:hint="default"/>
        </w:rPr>
        <w:t>137,673,231.00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6"/>
        <w:ind w:left="653" w:right="1029"/>
        <w:jc w:val="left"/>
        <w:rPr>
          <w:rFonts w:ascii="黑体" w:hAnsi="黑体" w:cs="黑体" w:eastAsia="黑体" w:hint="default"/>
          <w:b w:val="0"/>
          <w:bCs w:val="0"/>
        </w:rPr>
      </w:pPr>
      <w:bookmarkStart w:name="十四、资产负债表日后事项" w:id="256"/>
      <w:bookmarkEnd w:id="256"/>
      <w:r>
        <w:rPr>
          <w:b w:val="0"/>
          <w:bCs w:val="0"/>
        </w:rPr>
      </w:r>
      <w:r>
        <w:rPr>
          <w:rFonts w:ascii="黑体" w:hAnsi="黑体" w:cs="黑体" w:eastAsia="黑体" w:hint="default"/>
        </w:rPr>
        <w:t>十四、资产负债表日后事项</w:t>
      </w:r>
      <w:r>
        <w:rPr>
          <w:rFonts w:ascii="黑体" w:hAnsi="黑体" w:cs="黑体" w:eastAsia="黑体" w:hint="default"/>
          <w:b w:val="0"/>
          <w:bCs w:val="0"/>
        </w:rPr>
      </w:r>
    </w:p>
    <w:p>
      <w:pPr>
        <w:spacing w:line="240" w:lineRule="auto" w:before="10"/>
        <w:rPr>
          <w:rFonts w:ascii="黑体" w:hAnsi="黑体" w:cs="黑体" w:eastAsia="黑体" w:hint="default"/>
          <w:b/>
          <w:bCs/>
          <w:sz w:val="14"/>
          <w:szCs w:val="14"/>
        </w:rPr>
      </w:pPr>
    </w:p>
    <w:p>
      <w:pPr>
        <w:pStyle w:val="BodyText"/>
        <w:tabs>
          <w:tab w:pos="1599" w:val="left" w:leader="none"/>
        </w:tabs>
        <w:spacing w:line="240" w:lineRule="auto"/>
        <w:ind w:left="653" w:right="1029"/>
        <w:jc w:val="left"/>
      </w:pPr>
      <w:bookmarkStart w:name="(一)  资产负债表日后利润分配情况" w:id="257"/>
      <w:bookmarkEnd w:id="257"/>
      <w:r>
        <w:rPr/>
      </w:r>
      <w:r>
        <w:rPr>
          <w:rFonts w:ascii="宋体" w:hAnsi="宋体" w:cs="宋体" w:eastAsia="宋体" w:hint="default"/>
        </w:rPr>
        <w:t>(</w:t>
      </w:r>
      <w:r>
        <w:rPr/>
        <w:t>一</w:t>
      </w:r>
      <w:r>
        <w:rPr>
          <w:rFonts w:ascii="宋体" w:hAnsi="宋体" w:cs="宋体" w:eastAsia="宋体" w:hint="default"/>
        </w:rPr>
        <w:t>)</w:t>
        <w:tab/>
      </w:r>
      <w:r>
        <w:rPr/>
        <w:t>资产负债表日后利润分配情况</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4942"/>
        <w:gridCol w:w="4928"/>
      </w:tblGrid>
      <w:tr>
        <w:trPr>
          <w:trHeight w:val="55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8"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0"/>
                <w:sz w:val="18"/>
                <w:szCs w:val="18"/>
              </w:rPr>
              <w:t> </w:t>
            </w:r>
            <w:r>
              <w:rPr>
                <w:rFonts w:ascii="宋体" w:hAnsi="宋体" w:cs="宋体" w:eastAsia="宋体" w:hint="default"/>
                <w:sz w:val="18"/>
                <w:szCs w:val="18"/>
              </w:rPr>
              <w:t>2016</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4</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17</w:t>
            </w:r>
            <w:r>
              <w:rPr>
                <w:rFonts w:ascii="宋体" w:hAnsi="宋体" w:cs="宋体" w:eastAsia="宋体" w:hint="default"/>
                <w:spacing w:val="-40"/>
                <w:sz w:val="18"/>
                <w:szCs w:val="18"/>
              </w:rPr>
              <w:t> </w:t>
            </w:r>
            <w:r>
              <w:rPr>
                <w:rFonts w:ascii="宋体" w:hAnsi="宋体" w:cs="宋体" w:eastAsia="宋体" w:hint="default"/>
                <w:sz w:val="18"/>
                <w:szCs w:val="18"/>
              </w:rPr>
              <w:t>日公司第四届董事会第二十二次会议通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过的</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年度利润分配预案，以</w:t>
            </w:r>
            <w:r>
              <w:rPr>
                <w:rFonts w:ascii="宋体" w:hAnsi="宋体" w:cs="宋体" w:eastAsia="宋体" w:hint="default"/>
                <w:spacing w:val="-46"/>
                <w:sz w:val="18"/>
                <w:szCs w:val="18"/>
              </w:rPr>
              <w:t> </w:t>
            </w:r>
            <w:r>
              <w:rPr>
                <w:rFonts w:ascii="宋体" w:hAnsi="宋体" w:cs="宋体" w:eastAsia="宋体" w:hint="default"/>
                <w:sz w:val="18"/>
                <w:szCs w:val="18"/>
              </w:rPr>
              <w:t>1,509,427,649</w:t>
            </w:r>
            <w:r>
              <w:rPr>
                <w:rFonts w:ascii="宋体" w:hAnsi="宋体" w:cs="宋体" w:eastAsia="宋体" w:hint="default"/>
                <w:spacing w:val="-46"/>
                <w:sz w:val="18"/>
                <w:szCs w:val="18"/>
              </w:rPr>
              <w:t> </w:t>
            </w:r>
            <w:r>
              <w:rPr>
                <w:rFonts w:ascii="宋体" w:hAnsi="宋体" w:cs="宋体" w:eastAsia="宋体" w:hint="default"/>
                <w:sz w:val="18"/>
                <w:szCs w:val="18"/>
              </w:rPr>
              <w:t>股为基数，</w:t>
            </w:r>
          </w:p>
          <w:p>
            <w:pPr>
              <w:pStyle w:val="TableParagraph"/>
              <w:spacing w:line="319" w:lineRule="auto" w:before="76"/>
              <w:ind w:left="103" w:right="104"/>
              <w:jc w:val="left"/>
              <w:rPr>
                <w:rFonts w:ascii="宋体" w:hAnsi="宋体" w:cs="宋体" w:eastAsia="宋体" w:hint="default"/>
                <w:sz w:val="18"/>
                <w:szCs w:val="18"/>
              </w:rPr>
            </w:pPr>
            <w:r>
              <w:rPr>
                <w:rFonts w:ascii="宋体" w:hAnsi="宋体" w:cs="宋体" w:eastAsia="宋体" w:hint="default"/>
                <w:sz w:val="18"/>
                <w:szCs w:val="18"/>
              </w:rPr>
              <w:t>向股东每</w:t>
            </w:r>
            <w:r>
              <w:rPr>
                <w:rFonts w:ascii="宋体" w:hAnsi="宋体" w:cs="宋体" w:eastAsia="宋体" w:hint="default"/>
                <w:spacing w:val="-40"/>
                <w:sz w:val="18"/>
                <w:szCs w:val="18"/>
              </w:rPr>
              <w:t> </w:t>
            </w:r>
            <w:r>
              <w:rPr>
                <w:rFonts w:ascii="宋体" w:hAnsi="宋体" w:cs="宋体" w:eastAsia="宋体" w:hint="default"/>
                <w:sz w:val="18"/>
                <w:szCs w:val="18"/>
              </w:rPr>
              <w:t>10</w:t>
            </w:r>
            <w:r>
              <w:rPr>
                <w:rFonts w:ascii="宋体" w:hAnsi="宋体" w:cs="宋体" w:eastAsia="宋体" w:hint="default"/>
                <w:spacing w:val="-40"/>
                <w:sz w:val="18"/>
                <w:szCs w:val="18"/>
              </w:rPr>
              <w:t> </w:t>
            </w:r>
            <w:r>
              <w:rPr>
                <w:rFonts w:ascii="宋体" w:hAnsi="宋体" w:cs="宋体" w:eastAsia="宋体" w:hint="default"/>
                <w:sz w:val="18"/>
                <w:szCs w:val="18"/>
              </w:rPr>
              <w:t>股派发现金股利</w:t>
            </w:r>
            <w:r>
              <w:rPr>
                <w:rFonts w:ascii="宋体" w:hAnsi="宋体" w:cs="宋体" w:eastAsia="宋体" w:hint="default"/>
                <w:spacing w:val="-40"/>
                <w:sz w:val="18"/>
                <w:szCs w:val="18"/>
              </w:rPr>
              <w:t> </w:t>
            </w:r>
            <w:r>
              <w:rPr>
                <w:rFonts w:ascii="宋体" w:hAnsi="宋体" w:cs="宋体" w:eastAsia="宋体" w:hint="default"/>
                <w:sz w:val="18"/>
                <w:szCs w:val="18"/>
              </w:rPr>
              <w:t>0.3</w:t>
            </w:r>
            <w:r>
              <w:rPr>
                <w:rFonts w:ascii="宋体" w:hAnsi="宋体" w:cs="宋体" w:eastAsia="宋体" w:hint="default"/>
                <w:spacing w:val="-40"/>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，送红股</w:t>
            </w:r>
            <w:r>
              <w:rPr>
                <w:rFonts w:ascii="宋体" w:hAnsi="宋体" w:cs="宋体" w:eastAsia="宋体" w:hint="default"/>
                <w:spacing w:val="-40"/>
                <w:sz w:val="18"/>
                <w:szCs w:val="18"/>
              </w:rPr>
              <w:t> </w:t>
            </w:r>
            <w:r>
              <w:rPr>
                <w:rFonts w:ascii="宋体" w:hAnsi="宋体" w:cs="宋体" w:eastAsia="宋体" w:hint="default"/>
                <w:sz w:val="18"/>
                <w:szCs w:val="18"/>
              </w:rPr>
              <w:t>0</w:t>
            </w:r>
            <w:r>
              <w:rPr>
                <w:rFonts w:ascii="宋体" w:hAnsi="宋体" w:cs="宋体" w:eastAsia="宋体" w:hint="default"/>
                <w:spacing w:val="-40"/>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含 税</w:t>
            </w:r>
            <w:r>
              <w:rPr>
                <w:rFonts w:ascii="宋体" w:hAnsi="宋体" w:cs="宋体" w:eastAsia="宋体" w:hint="default"/>
                <w:sz w:val="18"/>
                <w:szCs w:val="18"/>
              </w:rPr>
              <w:t>)</w:t>
            </w:r>
            <w:r>
              <w:rPr>
                <w:rFonts w:ascii="宋体" w:hAnsi="宋体" w:cs="宋体" w:eastAsia="宋体" w:hint="default"/>
                <w:sz w:val="18"/>
                <w:szCs w:val="18"/>
              </w:rPr>
              <w:t>，不以公积金转增股本。</w:t>
            </w:r>
          </w:p>
        </w:tc>
      </w:tr>
    </w:tbl>
    <w:p>
      <w:pPr>
        <w:spacing w:line="240" w:lineRule="auto" w:before="4"/>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其他资产负债表日后事项说明</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第一期员工持股计划股票出售完毕及终止</w:t>
      </w:r>
    </w:p>
    <w:p>
      <w:pPr>
        <w:spacing w:line="240" w:lineRule="auto" w:before="9"/>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2014</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30</w:t>
      </w:r>
      <w:r>
        <w:rPr>
          <w:rFonts w:ascii="宋体" w:hAnsi="宋体" w:cs="宋体" w:eastAsia="宋体" w:hint="default"/>
          <w:spacing w:val="-46"/>
        </w:rPr>
        <w:t> </w:t>
      </w:r>
      <w:r>
        <w:rPr>
          <w:spacing w:val="-3"/>
        </w:rPr>
        <w:t>日，公司依据《中华人民共和国公司法》、《中华人民共和国证券法》、《关于上市</w:t>
      </w:r>
    </w:p>
    <w:p>
      <w:pPr>
        <w:spacing w:line="240" w:lineRule="auto" w:before="10"/>
        <w:rPr>
          <w:rFonts w:ascii="宋体" w:hAnsi="宋体" w:cs="宋体" w:eastAsia="宋体" w:hint="default"/>
          <w:sz w:val="14"/>
          <w:szCs w:val="14"/>
        </w:rPr>
      </w:pPr>
    </w:p>
    <w:p>
      <w:pPr>
        <w:pStyle w:val="BodyText"/>
        <w:spacing w:line="408" w:lineRule="auto"/>
        <w:ind w:left="234" w:right="1132"/>
        <w:jc w:val="both"/>
      </w:pPr>
      <w:r>
        <w:rPr/>
        <w:t>公司实施员工持股计划试点的指导意见》、《中小企业板信息披露业务备忘录第 </w:t>
      </w:r>
      <w:r>
        <w:rPr>
          <w:rFonts w:ascii="宋体" w:hAnsi="宋体" w:cs="宋体" w:eastAsia="宋体" w:hint="default"/>
        </w:rPr>
        <w:t>34</w:t>
      </w:r>
      <w:r>
        <w:rPr>
          <w:rFonts w:ascii="宋体" w:hAnsi="宋体" w:cs="宋体" w:eastAsia="宋体" w:hint="default"/>
          <w:spacing w:val="-24"/>
        </w:rPr>
        <w:t> </w:t>
      </w:r>
      <w:r>
        <w:rPr/>
        <w:t>号：员工持股计划》 </w:t>
      </w:r>
      <w:r>
        <w:rPr>
          <w:spacing w:val="-1"/>
        </w:rPr>
        <w:t>及其他有关法律、法规、规范性文件，以及公司章程的规定拟定了《利欧集团股份有限公司第一期员工持</w:t>
      </w:r>
      <w:r>
        <w:rPr>
          <w:spacing w:val="-86"/>
        </w:rPr>
        <w:t> </w:t>
      </w:r>
      <w:r>
        <w:rPr>
          <w:spacing w:val="-86"/>
        </w:rPr>
      </w:r>
      <w:r>
        <w:rPr/>
        <w:t>股计划（草案）》</w:t>
      </w:r>
      <w:r>
        <w:rPr>
          <w:rFonts w:ascii="宋体" w:hAnsi="宋体" w:cs="宋体" w:eastAsia="宋体" w:hint="default"/>
        </w:rPr>
        <w:t>(</w:t>
      </w:r>
      <w:r>
        <w:rPr/>
        <w:t>以下简称公司第一期员工持股计划</w:t>
      </w:r>
      <w:r>
        <w:rPr>
          <w:rFonts w:ascii="宋体" w:hAnsi="宋体" w:cs="宋体" w:eastAsia="宋体" w:hint="default"/>
        </w:rPr>
        <w:t>)</w:t>
      </w:r>
      <w:r>
        <w:rPr/>
        <w:t>，并经</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30</w:t>
      </w:r>
      <w:r>
        <w:rPr>
          <w:rFonts w:ascii="宋体" w:hAnsi="宋体" w:cs="宋体" w:eastAsia="宋体" w:hint="default"/>
          <w:spacing w:val="-40"/>
        </w:rPr>
        <w:t> </w:t>
      </w:r>
      <w:r>
        <w:rPr/>
        <w:t>日召开第四届董事会第五</w:t>
      </w:r>
    </w:p>
    <w:p>
      <w:pPr>
        <w:pStyle w:val="BodyText"/>
        <w:spacing w:line="408" w:lineRule="auto" w:before="46"/>
        <w:ind w:left="233" w:right="1110"/>
        <w:jc w:val="both"/>
      </w:pPr>
      <w:r>
        <w:rPr/>
        <w:t>次会议和</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1</w:t>
      </w:r>
      <w:r>
        <w:rPr>
          <w:rFonts w:ascii="宋体" w:hAnsi="宋体" w:cs="宋体" w:eastAsia="宋体" w:hint="default"/>
          <w:spacing w:val="-42"/>
        </w:rPr>
        <w:t> </w:t>
      </w:r>
      <w:r>
        <w:rPr/>
        <w:t>月</w:t>
      </w:r>
      <w:r>
        <w:rPr>
          <w:spacing w:val="-43"/>
        </w:rPr>
        <w:t> </w:t>
      </w:r>
      <w:r>
        <w:rPr>
          <w:rFonts w:ascii="宋体" w:hAnsi="宋体" w:cs="宋体" w:eastAsia="宋体" w:hint="default"/>
        </w:rPr>
        <w:t>15</w:t>
      </w:r>
      <w:r>
        <w:rPr>
          <w:rFonts w:ascii="宋体" w:hAnsi="宋体" w:cs="宋体" w:eastAsia="宋体" w:hint="default"/>
          <w:spacing w:val="-42"/>
        </w:rPr>
        <w:t> </w:t>
      </w:r>
      <w:r>
        <w:rPr/>
        <w:t>日召开</w:t>
      </w:r>
      <w:r>
        <w:rPr>
          <w:spacing w:val="-43"/>
        </w:rPr>
        <w:t> </w:t>
      </w:r>
      <w:r>
        <w:rPr>
          <w:rFonts w:ascii="宋体" w:hAnsi="宋体" w:cs="宋体" w:eastAsia="宋体" w:hint="default"/>
        </w:rPr>
        <w:t>2015</w:t>
      </w:r>
      <w:r>
        <w:rPr>
          <w:rFonts w:ascii="宋体" w:hAnsi="宋体" w:cs="宋体" w:eastAsia="宋体" w:hint="default"/>
          <w:spacing w:val="-44"/>
        </w:rPr>
        <w:t> </w:t>
      </w:r>
      <w:r>
        <w:rPr/>
        <w:t>年第一次临时股东大会审议通过。本次员工持股计划系委托广发证 </w:t>
      </w:r>
      <w:r>
        <w:rPr>
          <w:spacing w:val="-1"/>
        </w:rPr>
        <w:t>券资产管理</w:t>
      </w:r>
      <w:r>
        <w:rPr>
          <w:rFonts w:ascii="宋体" w:hAnsi="宋体" w:cs="宋体" w:eastAsia="宋体" w:hint="default"/>
          <w:spacing w:val="-1"/>
        </w:rPr>
        <w:t>(</w:t>
      </w:r>
      <w:r>
        <w:rPr>
          <w:spacing w:val="-1"/>
        </w:rPr>
        <w:t>广东</w:t>
      </w:r>
      <w:r>
        <w:rPr>
          <w:rFonts w:ascii="宋体" w:hAnsi="宋体" w:cs="宋体" w:eastAsia="宋体" w:hint="default"/>
          <w:spacing w:val="-1"/>
        </w:rPr>
        <w:t>)</w:t>
      </w:r>
      <w:r>
        <w:rPr>
          <w:spacing w:val="-1"/>
        </w:rPr>
        <w:t>有限公司管理，并全额认购由广发证券资产管理</w:t>
      </w:r>
      <w:r>
        <w:rPr>
          <w:rFonts w:ascii="宋体" w:hAnsi="宋体" w:cs="宋体" w:eastAsia="宋体" w:hint="default"/>
          <w:spacing w:val="-1"/>
        </w:rPr>
        <w:t>(</w:t>
      </w:r>
      <w:r>
        <w:rPr>
          <w:spacing w:val="-1"/>
        </w:rPr>
        <w:t>广东</w:t>
      </w:r>
      <w:r>
        <w:rPr>
          <w:rFonts w:ascii="宋体" w:hAnsi="宋体" w:cs="宋体" w:eastAsia="宋体" w:hint="default"/>
          <w:spacing w:val="-1"/>
        </w:rPr>
        <w:t>)</w:t>
      </w:r>
      <w:r>
        <w:rPr>
          <w:spacing w:val="-1"/>
        </w:rPr>
        <w:t>有限公司设立的广发资管利欧投</w:t>
      </w:r>
      <w:r>
        <w:rPr>
          <w:spacing w:val="-85"/>
        </w:rPr>
        <w:t> </w:t>
      </w:r>
      <w:r>
        <w:rPr>
          <w:spacing w:val="-85"/>
        </w:rPr>
      </w:r>
      <w:r>
        <w:rPr/>
        <w:t>资</w:t>
      </w:r>
      <w:r>
        <w:rPr>
          <w:spacing w:val="-54"/>
        </w:rPr>
        <w:t> </w:t>
      </w:r>
      <w:r>
        <w:rPr>
          <w:rFonts w:ascii="宋体" w:hAnsi="宋体" w:cs="宋体" w:eastAsia="宋体" w:hint="default"/>
        </w:rPr>
        <w:t>1</w:t>
      </w:r>
      <w:r>
        <w:rPr>
          <w:rFonts w:ascii="宋体" w:hAnsi="宋体" w:cs="宋体" w:eastAsia="宋体" w:hint="default"/>
          <w:spacing w:val="-53"/>
        </w:rPr>
        <w:t> </w:t>
      </w:r>
      <w:r>
        <w:rPr/>
        <w:t>号集合资产管理计划</w:t>
      </w:r>
      <w:r>
        <w:rPr>
          <w:rFonts w:ascii="宋体" w:hAnsi="宋体" w:cs="宋体" w:eastAsia="宋体" w:hint="default"/>
        </w:rPr>
        <w:t>(</w:t>
      </w:r>
      <w:r>
        <w:rPr/>
        <w:t>以下简称利欧投资</w:t>
      </w:r>
      <w:r>
        <w:rPr>
          <w:spacing w:val="-53"/>
        </w:rPr>
        <w:t> </w:t>
      </w:r>
      <w:r>
        <w:rPr>
          <w:rFonts w:ascii="宋体" w:hAnsi="宋体" w:cs="宋体" w:eastAsia="宋体" w:hint="default"/>
        </w:rPr>
        <w:t>1</w:t>
      </w:r>
      <w:r>
        <w:rPr>
          <w:rFonts w:ascii="宋体" w:hAnsi="宋体" w:cs="宋体" w:eastAsia="宋体" w:hint="default"/>
          <w:spacing w:val="-54"/>
        </w:rPr>
        <w:t> </w:t>
      </w:r>
      <w:r>
        <w:rPr/>
        <w:t>号</w:t>
      </w:r>
      <w:r>
        <w:rPr>
          <w:rFonts w:ascii="宋体" w:hAnsi="宋体" w:cs="宋体" w:eastAsia="宋体" w:hint="default"/>
        </w:rPr>
        <w:t>)</w:t>
      </w:r>
      <w:r>
        <w:rPr/>
        <w:t>的次级</w:t>
      </w:r>
      <w:r>
        <w:rPr>
          <w:spacing w:val="-55"/>
        </w:rPr>
        <w:t> </w:t>
      </w:r>
      <w:r>
        <w:rPr>
          <w:rFonts w:ascii="宋体" w:hAnsi="宋体" w:cs="宋体" w:eastAsia="宋体" w:hint="default"/>
        </w:rPr>
        <w:t>B</w:t>
      </w:r>
      <w:r>
        <w:rPr>
          <w:rFonts w:ascii="宋体" w:hAnsi="宋体" w:cs="宋体" w:eastAsia="宋体" w:hint="default"/>
          <w:spacing w:val="-54"/>
        </w:rPr>
        <w:t> </w:t>
      </w:r>
      <w:r>
        <w:rPr/>
        <w:t>份额，利欧投资</w:t>
      </w:r>
      <w:r>
        <w:rPr>
          <w:spacing w:val="-53"/>
        </w:rPr>
        <w:t> </w:t>
      </w:r>
      <w:r>
        <w:rPr>
          <w:rFonts w:ascii="宋体" w:hAnsi="宋体" w:cs="宋体" w:eastAsia="宋体" w:hint="default"/>
        </w:rPr>
        <w:t>1</w:t>
      </w:r>
      <w:r>
        <w:rPr>
          <w:rFonts w:ascii="宋体" w:hAnsi="宋体" w:cs="宋体" w:eastAsia="宋体" w:hint="default"/>
          <w:spacing w:val="-53"/>
        </w:rPr>
        <w:t> </w:t>
      </w:r>
      <w:r>
        <w:rPr/>
        <w:t>号主要通过二级市场购买、 大宗交易等法律法规许可的方式取得并持有利欧股份股票。</w:t>
      </w:r>
    </w:p>
    <w:p>
      <w:pPr>
        <w:pStyle w:val="BodyText"/>
        <w:spacing w:line="408" w:lineRule="auto" w:before="85"/>
        <w:ind w:left="233" w:right="1129" w:firstLine="420"/>
        <w:jc w:val="both"/>
      </w:pPr>
      <w:r>
        <w:rPr/>
        <w:t>利欧投资</w:t>
      </w:r>
      <w:r>
        <w:rPr>
          <w:spacing w:val="-44"/>
        </w:rPr>
        <w:t> </w:t>
      </w:r>
      <w:r>
        <w:rPr>
          <w:rFonts w:ascii="宋体" w:hAnsi="宋体" w:cs="宋体" w:eastAsia="宋体" w:hint="default"/>
        </w:rPr>
        <w:t>1</w:t>
      </w:r>
      <w:r>
        <w:rPr>
          <w:rFonts w:ascii="宋体" w:hAnsi="宋体" w:cs="宋体" w:eastAsia="宋体" w:hint="default"/>
          <w:spacing w:val="-43"/>
        </w:rPr>
        <w:t> </w:t>
      </w:r>
      <w:r>
        <w:rPr/>
        <w:t>号份额上限为</w:t>
      </w:r>
      <w:r>
        <w:rPr>
          <w:spacing w:val="-44"/>
        </w:rPr>
        <w:t> </w:t>
      </w:r>
      <w:r>
        <w:rPr>
          <w:rFonts w:ascii="宋体" w:hAnsi="宋体" w:cs="宋体" w:eastAsia="宋体" w:hint="default"/>
        </w:rPr>
        <w:t>11,250</w:t>
      </w:r>
      <w:r>
        <w:rPr>
          <w:rFonts w:ascii="宋体" w:hAnsi="宋体" w:cs="宋体" w:eastAsia="宋体" w:hint="default"/>
          <w:spacing w:val="-43"/>
        </w:rPr>
        <w:t> </w:t>
      </w:r>
      <w:r>
        <w:rPr/>
        <w:t>万份，按照不超过</w:t>
      </w:r>
      <w:r>
        <w:rPr>
          <w:spacing w:val="-44"/>
        </w:rPr>
        <w:t> </w:t>
      </w:r>
      <w:r>
        <w:rPr>
          <w:rFonts w:ascii="宋体" w:hAnsi="宋体" w:cs="宋体" w:eastAsia="宋体" w:hint="default"/>
        </w:rPr>
        <w:t>2:1</w:t>
      </w:r>
      <w:r>
        <w:rPr>
          <w:rFonts w:ascii="宋体" w:hAnsi="宋体" w:cs="宋体" w:eastAsia="宋体" w:hint="default"/>
          <w:spacing w:val="-43"/>
        </w:rPr>
        <w:t> </w:t>
      </w:r>
      <w:r>
        <w:rPr/>
        <w:t>的比例设立优先级</w:t>
      </w:r>
      <w:r>
        <w:rPr>
          <w:spacing w:val="-44"/>
        </w:rPr>
        <w:t> </w:t>
      </w:r>
      <w:r>
        <w:rPr>
          <w:rFonts w:ascii="宋体" w:hAnsi="宋体" w:cs="宋体" w:eastAsia="宋体" w:hint="default"/>
        </w:rPr>
        <w:t>A</w:t>
      </w:r>
      <w:r>
        <w:rPr>
          <w:rFonts w:ascii="宋体" w:hAnsi="宋体" w:cs="宋体" w:eastAsia="宋体" w:hint="default"/>
          <w:spacing w:val="-43"/>
        </w:rPr>
        <w:t> </w:t>
      </w:r>
      <w:r>
        <w:rPr/>
        <w:t>份额和次级份额，次级 份额又分为次级</w:t>
      </w:r>
      <w:r>
        <w:rPr>
          <w:spacing w:val="-50"/>
        </w:rPr>
        <w:t> </w:t>
      </w:r>
      <w:r>
        <w:rPr>
          <w:rFonts w:ascii="宋体" w:hAnsi="宋体" w:cs="宋体" w:eastAsia="宋体" w:hint="default"/>
        </w:rPr>
        <w:t>B</w:t>
      </w:r>
      <w:r>
        <w:rPr>
          <w:rFonts w:ascii="宋体" w:hAnsi="宋体" w:cs="宋体" w:eastAsia="宋体" w:hint="default"/>
          <w:spacing w:val="-49"/>
        </w:rPr>
        <w:t> </w:t>
      </w:r>
      <w:r>
        <w:rPr/>
        <w:t>份额和次级</w:t>
      </w:r>
      <w:r>
        <w:rPr>
          <w:spacing w:val="-50"/>
        </w:rPr>
        <w:t> </w:t>
      </w:r>
      <w:r>
        <w:rPr>
          <w:rFonts w:ascii="宋体" w:hAnsi="宋体" w:cs="宋体" w:eastAsia="宋体" w:hint="default"/>
        </w:rPr>
        <w:t>C</w:t>
      </w:r>
      <w:r>
        <w:rPr>
          <w:rFonts w:ascii="宋体" w:hAnsi="宋体" w:cs="宋体" w:eastAsia="宋体" w:hint="default"/>
          <w:spacing w:val="-49"/>
        </w:rPr>
        <w:t> </w:t>
      </w:r>
      <w:r>
        <w:rPr/>
        <w:t>份额。公司实际控制人王相荣以</w:t>
      </w:r>
      <w:r>
        <w:rPr>
          <w:spacing w:val="-50"/>
        </w:rPr>
        <w:t> </w:t>
      </w:r>
      <w:r>
        <w:rPr>
          <w:rFonts w:ascii="宋体" w:hAnsi="宋体" w:cs="宋体" w:eastAsia="宋体" w:hint="default"/>
        </w:rPr>
        <w:t>2,500</w:t>
      </w:r>
      <w:r>
        <w:rPr>
          <w:rFonts w:ascii="宋体" w:hAnsi="宋体" w:cs="宋体" w:eastAsia="宋体" w:hint="default"/>
          <w:spacing w:val="-49"/>
        </w:rPr>
        <w:t> </w:t>
      </w:r>
      <w:r>
        <w:rPr/>
        <w:t>万元全额认购利欧投资</w:t>
      </w:r>
      <w:r>
        <w:rPr>
          <w:spacing w:val="-50"/>
        </w:rPr>
        <w:t> </w:t>
      </w:r>
      <w:r>
        <w:rPr>
          <w:rFonts w:ascii="宋体" w:hAnsi="宋体" w:cs="宋体" w:eastAsia="宋体" w:hint="default"/>
        </w:rPr>
        <w:t>1</w:t>
      </w:r>
      <w:r>
        <w:rPr>
          <w:rFonts w:ascii="宋体" w:hAnsi="宋体" w:cs="宋体" w:eastAsia="宋体" w:hint="default"/>
          <w:spacing w:val="-49"/>
        </w:rPr>
        <w:t> </w:t>
      </w:r>
      <w:r>
        <w:rPr/>
        <w:t>号次级</w:t>
      </w:r>
      <w:r>
        <w:rPr>
          <w:spacing w:val="-51"/>
        </w:rPr>
        <w:t> </w:t>
      </w:r>
      <w:r>
        <w:rPr>
          <w:rFonts w:ascii="宋体" w:hAnsi="宋体" w:cs="宋体" w:eastAsia="宋体" w:hint="default"/>
        </w:rPr>
        <w:t>C </w:t>
      </w:r>
      <w:r>
        <w:rPr>
          <w:spacing w:val="-4"/>
        </w:rPr>
        <w:t>份额，与次级</w:t>
      </w:r>
      <w:r>
        <w:rPr>
          <w:spacing w:val="-53"/>
        </w:rPr>
        <w:t> </w:t>
      </w:r>
      <w:r>
        <w:rPr>
          <w:rFonts w:ascii="宋体" w:hAnsi="宋体" w:cs="宋体" w:eastAsia="宋体" w:hint="default"/>
        </w:rPr>
        <w:t>B</w:t>
      </w:r>
      <w:r>
        <w:rPr>
          <w:rFonts w:ascii="宋体" w:hAnsi="宋体" w:cs="宋体" w:eastAsia="宋体" w:hint="default"/>
          <w:spacing w:val="-53"/>
        </w:rPr>
        <w:t> </w:t>
      </w:r>
      <w:r>
        <w:rPr/>
        <w:t>份额投资者认购的</w:t>
      </w:r>
      <w:r>
        <w:rPr>
          <w:spacing w:val="-54"/>
        </w:rPr>
        <w:t> </w:t>
      </w:r>
      <w:r>
        <w:rPr>
          <w:rFonts w:ascii="宋体" w:hAnsi="宋体" w:cs="宋体" w:eastAsia="宋体" w:hint="default"/>
        </w:rPr>
        <w:t>1,250</w:t>
      </w:r>
      <w:r>
        <w:rPr>
          <w:rFonts w:ascii="宋体" w:hAnsi="宋体" w:cs="宋体" w:eastAsia="宋体" w:hint="default"/>
          <w:spacing w:val="-53"/>
        </w:rPr>
        <w:t> </w:t>
      </w:r>
      <w:r>
        <w:rPr/>
        <w:t>万元共同以出资额为限承担对优先级</w:t>
      </w:r>
      <w:r>
        <w:rPr>
          <w:spacing w:val="-53"/>
        </w:rPr>
        <w:t> </w:t>
      </w:r>
      <w:r>
        <w:rPr>
          <w:rFonts w:ascii="宋体" w:hAnsi="宋体" w:cs="宋体" w:eastAsia="宋体" w:hint="default"/>
        </w:rPr>
        <w:t>A</w:t>
      </w:r>
      <w:r>
        <w:rPr>
          <w:rFonts w:ascii="宋体" w:hAnsi="宋体" w:cs="宋体" w:eastAsia="宋体" w:hint="default"/>
          <w:spacing w:val="-53"/>
        </w:rPr>
        <w:t> </w:t>
      </w:r>
      <w:r>
        <w:rPr/>
        <w:t>份额本金及预期年化收益 的担保责任。同时，公司实际控制人王相荣承诺差额补足，提供连带担保责任。</w:t>
      </w:r>
    </w:p>
    <w:p>
      <w:pPr>
        <w:pStyle w:val="BodyText"/>
        <w:spacing w:line="240" w:lineRule="auto" w:before="84"/>
        <w:ind w:left="653" w:right="0"/>
        <w:jc w:val="left"/>
      </w:pPr>
      <w:r>
        <w:rPr/>
        <w:t>截至</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spacing w:val="-2"/>
        </w:rPr>
        <w:t>日</w:t>
      </w:r>
      <w:r>
        <w:rPr>
          <w:spacing w:val="-105"/>
        </w:rPr>
        <w:t>，</w:t>
      </w:r>
      <w:r>
        <w:rPr>
          <w:spacing w:val="-2"/>
        </w:rPr>
        <w:t>公</w:t>
      </w:r>
      <w:r>
        <w:rPr/>
        <w:t>司第一期员工持股计划已通过深圳证券交易所证券交易系统完成股票购买，</w:t>
      </w:r>
    </w:p>
    <w:p>
      <w:pPr>
        <w:spacing w:after="0" w:line="240" w:lineRule="auto"/>
        <w:jc w:val="left"/>
        <w:sectPr>
          <w:pgSz w:w="11910" w:h="16840"/>
          <w:pgMar w:header="877" w:footer="979" w:top="1100" w:bottom="1160" w:left="900" w:right="0"/>
        </w:sectPr>
      </w:pPr>
    </w:p>
    <w:p>
      <w:pPr>
        <w:spacing w:line="240" w:lineRule="auto" w:before="8"/>
        <w:rPr>
          <w:rFonts w:ascii="宋体" w:hAnsi="宋体" w:cs="宋体" w:eastAsia="宋体" w:hint="default"/>
          <w:sz w:val="26"/>
          <w:szCs w:val="26"/>
        </w:rPr>
      </w:pPr>
    </w:p>
    <w:p>
      <w:pPr>
        <w:pStyle w:val="BodyText"/>
        <w:spacing w:line="240" w:lineRule="auto" w:before="35"/>
        <w:ind w:left="154" w:right="0"/>
        <w:jc w:val="both"/>
      </w:pPr>
      <w:r>
        <w:rPr/>
        <w:t>购买均价为</w:t>
      </w:r>
      <w:r>
        <w:rPr>
          <w:spacing w:val="-48"/>
        </w:rPr>
        <w:t> </w:t>
      </w:r>
      <w:r>
        <w:rPr>
          <w:rFonts w:ascii="宋体" w:hAnsi="宋体" w:cs="宋体" w:eastAsia="宋体" w:hint="default"/>
        </w:rPr>
        <w:t>8.52</w:t>
      </w:r>
      <w:r>
        <w:rPr>
          <w:rFonts w:ascii="宋体" w:hAnsi="宋体" w:cs="宋体" w:eastAsia="宋体" w:hint="default"/>
          <w:spacing w:val="-49"/>
        </w:rPr>
        <w:t> </w:t>
      </w:r>
      <w:r>
        <w:rPr/>
        <w:t>元</w:t>
      </w:r>
      <w:r>
        <w:rPr>
          <w:rFonts w:ascii="宋体" w:hAnsi="宋体" w:cs="宋体" w:eastAsia="宋体" w:hint="default"/>
        </w:rPr>
        <w:t>/</w:t>
      </w:r>
      <w:r>
        <w:rPr/>
        <w:t>股，购买数量为</w:t>
      </w:r>
      <w:r>
        <w:rPr>
          <w:spacing w:val="-49"/>
        </w:rPr>
        <w:t> </w:t>
      </w:r>
      <w:r>
        <w:rPr>
          <w:rFonts w:ascii="宋体" w:hAnsi="宋体" w:cs="宋体" w:eastAsia="宋体" w:hint="default"/>
        </w:rPr>
        <w:t>13,054,500</w:t>
      </w:r>
      <w:r>
        <w:rPr>
          <w:rFonts w:ascii="宋体" w:hAnsi="宋体" w:cs="宋体" w:eastAsia="宋体" w:hint="default"/>
          <w:spacing w:val="-48"/>
        </w:rPr>
        <w:t> </w:t>
      </w:r>
      <w:r>
        <w:rPr/>
        <w:t>股</w:t>
      </w:r>
      <w:r>
        <w:rPr>
          <w:rFonts w:ascii="宋体" w:hAnsi="宋体" w:cs="宋体" w:eastAsia="宋体" w:hint="default"/>
        </w:rPr>
        <w:t>,</w:t>
      </w:r>
      <w:r>
        <w:rPr/>
        <w:t>占公司总股本的比例为</w:t>
      </w:r>
      <w:r>
        <w:rPr>
          <w:spacing w:val="-48"/>
        </w:rPr>
        <w:t> </w:t>
      </w:r>
      <w:r>
        <w:rPr>
          <w:rFonts w:ascii="宋体" w:hAnsi="宋体" w:cs="宋体" w:eastAsia="宋体" w:hint="default"/>
        </w:rPr>
        <w:t>1.11%</w:t>
      </w:r>
      <w:r>
        <w:rPr/>
        <w:t>。该持股计划所购买的</w:t>
      </w:r>
    </w:p>
    <w:p>
      <w:pPr>
        <w:spacing w:line="240" w:lineRule="auto" w:before="11"/>
        <w:rPr>
          <w:rFonts w:ascii="宋体" w:hAnsi="宋体" w:cs="宋体" w:eastAsia="宋体" w:hint="default"/>
          <w:sz w:val="14"/>
          <w:szCs w:val="14"/>
        </w:rPr>
      </w:pPr>
    </w:p>
    <w:p>
      <w:pPr>
        <w:pStyle w:val="BodyText"/>
        <w:spacing w:line="240" w:lineRule="auto"/>
        <w:ind w:right="0"/>
        <w:jc w:val="both"/>
      </w:pPr>
      <w:r>
        <w:rPr/>
        <w:t>股份锁定期自</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日起满</w:t>
      </w:r>
      <w:r>
        <w:rPr>
          <w:spacing w:val="-55"/>
        </w:rPr>
        <w:t> </w:t>
      </w:r>
      <w:r>
        <w:rPr>
          <w:rFonts w:ascii="宋体" w:hAnsi="宋体" w:cs="宋体" w:eastAsia="宋体" w:hint="default"/>
        </w:rPr>
        <w:t>12</w:t>
      </w:r>
      <w:r>
        <w:rPr>
          <w:rFonts w:ascii="宋体" w:hAnsi="宋体" w:cs="宋体" w:eastAsia="宋体" w:hint="default"/>
          <w:spacing w:val="-53"/>
        </w:rPr>
        <w:t> </w:t>
      </w:r>
      <w:r>
        <w:rPr/>
        <w:t>个月。</w:t>
      </w:r>
    </w:p>
    <w:p>
      <w:pPr>
        <w:spacing w:line="240" w:lineRule="auto" w:before="9"/>
        <w:rPr>
          <w:rFonts w:ascii="宋体" w:hAnsi="宋体" w:cs="宋体" w:eastAsia="宋体" w:hint="default"/>
          <w:sz w:val="17"/>
          <w:szCs w:val="17"/>
        </w:rPr>
      </w:pPr>
    </w:p>
    <w:p>
      <w:pPr>
        <w:pStyle w:val="BodyText"/>
        <w:spacing w:line="410" w:lineRule="auto"/>
        <w:ind w:right="1127" w:firstLine="420"/>
        <w:jc w:val="left"/>
      </w:pPr>
      <w:r>
        <w:rPr/>
        <w:t>截至</w:t>
      </w:r>
      <w:r>
        <w:rPr>
          <w:spacing w:val="-44"/>
        </w:rPr>
        <w:t> </w:t>
      </w:r>
      <w:r>
        <w:rPr>
          <w:rFonts w:ascii="宋体" w:hAnsi="宋体" w:cs="宋体" w:eastAsia="宋体" w:hint="default"/>
        </w:rPr>
        <w:t>2016</w:t>
      </w:r>
      <w:r>
        <w:rPr>
          <w:rFonts w:ascii="宋体" w:hAnsi="宋体" w:cs="宋体" w:eastAsia="宋体" w:hint="default"/>
          <w:spacing w:val="-45"/>
        </w:rPr>
        <w:t> </w:t>
      </w:r>
      <w:r>
        <w:rPr/>
        <w:t>年</w:t>
      </w:r>
      <w:r>
        <w:rPr>
          <w:spacing w:val="-44"/>
        </w:rPr>
        <w:t> </w:t>
      </w:r>
      <w:r>
        <w:rPr>
          <w:rFonts w:ascii="宋体" w:hAnsi="宋体" w:cs="宋体" w:eastAsia="宋体" w:hint="default"/>
        </w:rPr>
        <w:t>3</w:t>
      </w:r>
      <w:r>
        <w:rPr>
          <w:rFonts w:ascii="宋体" w:hAnsi="宋体" w:cs="宋体" w:eastAsia="宋体" w:hint="default"/>
          <w:spacing w:val="-43"/>
        </w:rPr>
        <w:t> </w:t>
      </w:r>
      <w:r>
        <w:rPr/>
        <w:t>月</w:t>
      </w:r>
      <w:r>
        <w:rPr>
          <w:spacing w:val="-44"/>
        </w:rPr>
        <w:t> </w:t>
      </w:r>
      <w:r>
        <w:rPr>
          <w:rFonts w:ascii="宋体" w:hAnsi="宋体" w:cs="宋体" w:eastAsia="宋体" w:hint="default"/>
        </w:rPr>
        <w:t>16</w:t>
      </w:r>
      <w:r>
        <w:rPr>
          <w:rFonts w:ascii="宋体" w:hAnsi="宋体" w:cs="宋体" w:eastAsia="宋体" w:hint="default"/>
          <w:spacing w:val="-43"/>
        </w:rPr>
        <w:t> </w:t>
      </w:r>
      <w:r>
        <w:rPr/>
        <w:t>日，公司第一期员工持股计划所持公司股票</w:t>
      </w:r>
      <w:r>
        <w:rPr>
          <w:spacing w:val="-44"/>
        </w:rPr>
        <w:t> </w:t>
      </w:r>
      <w:r>
        <w:rPr>
          <w:rFonts w:ascii="宋体" w:hAnsi="宋体" w:cs="宋体" w:eastAsia="宋体" w:hint="default"/>
        </w:rPr>
        <w:t>13,054,500</w:t>
      </w:r>
      <w:r>
        <w:rPr>
          <w:rFonts w:ascii="宋体" w:hAnsi="宋体" w:cs="宋体" w:eastAsia="宋体" w:hint="default"/>
          <w:spacing w:val="-42"/>
        </w:rPr>
        <w:t> </w:t>
      </w:r>
      <w:r>
        <w:rPr/>
        <w:t>股已全部出售，第一期 员工持股计划实施完毕并终止。</w:t>
      </w:r>
    </w:p>
    <w:p>
      <w:pPr>
        <w:pStyle w:val="BodyText"/>
        <w:spacing w:line="240" w:lineRule="auto" w:before="85"/>
        <w:ind w:left="573" w:right="0"/>
        <w:jc w:val="left"/>
      </w:pPr>
      <w:r>
        <w:rPr>
          <w:rFonts w:ascii="宋体" w:hAnsi="宋体" w:cs="宋体" w:eastAsia="宋体" w:hint="default"/>
        </w:rPr>
        <w:t>2.</w:t>
      </w:r>
      <w:r>
        <w:rPr>
          <w:rFonts w:ascii="宋体" w:hAnsi="宋体" w:cs="宋体" w:eastAsia="宋体" w:hint="default"/>
          <w:spacing w:val="-1"/>
        </w:rPr>
        <w:t> </w:t>
      </w:r>
      <w:r>
        <w:rPr/>
        <w:t>第二期员工持股计划</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2016</w:t>
      </w:r>
      <w:r>
        <w:rPr>
          <w:rFonts w:ascii="宋体" w:hAnsi="宋体" w:cs="宋体" w:eastAsia="宋体" w:hint="default"/>
          <w:spacing w:val="-46"/>
        </w:rPr>
        <w:t> </w:t>
      </w:r>
      <w:r>
        <w:rPr/>
        <w:t>年</w:t>
      </w:r>
      <w:r>
        <w:rPr>
          <w:spacing w:val="-49"/>
        </w:rPr>
        <w:t> </w:t>
      </w:r>
      <w:r>
        <w:rPr>
          <w:rFonts w:ascii="宋体" w:hAnsi="宋体" w:cs="宋体" w:eastAsia="宋体" w:hint="default"/>
        </w:rPr>
        <w:t>1</w:t>
      </w:r>
      <w:r>
        <w:rPr>
          <w:rFonts w:ascii="宋体" w:hAnsi="宋体" w:cs="宋体" w:eastAsia="宋体" w:hint="default"/>
          <w:spacing w:val="-47"/>
        </w:rPr>
        <w:t> </w:t>
      </w:r>
      <w:r>
        <w:rPr/>
        <w:t>月</w:t>
      </w:r>
      <w:r>
        <w:rPr>
          <w:spacing w:val="-49"/>
        </w:rPr>
        <w:t> </w:t>
      </w:r>
      <w:r>
        <w:rPr>
          <w:rFonts w:ascii="宋体" w:hAnsi="宋体" w:cs="宋体" w:eastAsia="宋体" w:hint="default"/>
        </w:rPr>
        <w:t>11</w:t>
      </w:r>
      <w:r>
        <w:rPr>
          <w:rFonts w:ascii="宋体" w:hAnsi="宋体" w:cs="宋体" w:eastAsia="宋体" w:hint="default"/>
          <w:spacing w:val="-47"/>
        </w:rPr>
        <w:t> </w:t>
      </w:r>
      <w:r>
        <w:rPr/>
        <w:t>日，公司依据《中华人民共和国公司法》、《中华人民共和国证券法》、《关于上市</w:t>
      </w:r>
    </w:p>
    <w:p>
      <w:pPr>
        <w:spacing w:line="240" w:lineRule="auto" w:before="10"/>
        <w:rPr>
          <w:rFonts w:ascii="宋体" w:hAnsi="宋体" w:cs="宋体" w:eastAsia="宋体" w:hint="default"/>
          <w:sz w:val="14"/>
          <w:szCs w:val="14"/>
        </w:rPr>
      </w:pPr>
    </w:p>
    <w:p>
      <w:pPr>
        <w:pStyle w:val="BodyText"/>
        <w:spacing w:line="408" w:lineRule="auto"/>
        <w:ind w:right="1130"/>
        <w:jc w:val="both"/>
      </w:pPr>
      <w:r>
        <w:rPr/>
        <w:t>公司实施员工持股计划试点的指导意见》、《中小企业板信息披露业务备忘录第</w:t>
      </w:r>
      <w:r>
        <w:rPr>
          <w:spacing w:val="-63"/>
        </w:rPr>
        <w:t> </w:t>
      </w:r>
      <w:r>
        <w:rPr>
          <w:rFonts w:ascii="宋体" w:hAnsi="宋体" w:cs="宋体" w:eastAsia="宋体" w:hint="default"/>
        </w:rPr>
        <w:t>7</w:t>
      </w:r>
      <w:r>
        <w:rPr>
          <w:rFonts w:ascii="宋体" w:hAnsi="宋体" w:cs="宋体" w:eastAsia="宋体" w:hint="default"/>
          <w:spacing w:val="-63"/>
        </w:rPr>
        <w:t> </w:t>
      </w:r>
      <w:r>
        <w:rPr/>
        <w:t>号：员工持股计划》及 </w:t>
      </w:r>
      <w:r>
        <w:rPr>
          <w:spacing w:val="-1"/>
        </w:rPr>
        <w:t>其他有关法律、法规、规范性文件，以及公司章程的规定拟定了《利欧集团股份有限公司第二期员工持股</w:t>
      </w:r>
      <w:r>
        <w:rPr>
          <w:spacing w:val="-85"/>
        </w:rPr>
        <w:t> </w:t>
      </w:r>
      <w:r>
        <w:rPr>
          <w:spacing w:val="-85"/>
        </w:rPr>
      </w:r>
      <w:r>
        <w:rPr/>
        <w:t>计划（草案）》</w:t>
      </w:r>
      <w:r>
        <w:rPr>
          <w:rFonts w:ascii="宋体" w:hAnsi="宋体" w:cs="宋体" w:eastAsia="宋体" w:hint="default"/>
        </w:rPr>
        <w:t>(</w:t>
      </w:r>
      <w:r>
        <w:rPr/>
        <w:t>以下简称公司第二期员工持股计划</w:t>
      </w:r>
      <w:r>
        <w:rPr>
          <w:rFonts w:ascii="宋体" w:hAnsi="宋体" w:cs="宋体" w:eastAsia="宋体" w:hint="default"/>
        </w:rPr>
        <w:t>)</w:t>
      </w:r>
      <w:r>
        <w:rPr/>
        <w:t>，并经</w:t>
      </w:r>
      <w:r>
        <w:rPr>
          <w:spacing w:val="-58"/>
        </w:rPr>
        <w:t> </w:t>
      </w:r>
      <w:r>
        <w:rPr>
          <w:rFonts w:ascii="宋体" w:hAnsi="宋体" w:cs="宋体" w:eastAsia="宋体" w:hint="default"/>
        </w:rPr>
        <w:t>2016</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9"/>
        </w:rPr>
        <w:t> </w:t>
      </w:r>
      <w:r>
        <w:rPr>
          <w:rFonts w:ascii="宋体" w:hAnsi="宋体" w:cs="宋体" w:eastAsia="宋体" w:hint="default"/>
        </w:rPr>
        <w:t>12</w:t>
      </w:r>
      <w:r>
        <w:rPr>
          <w:rFonts w:ascii="宋体" w:hAnsi="宋体" w:cs="宋体" w:eastAsia="宋体" w:hint="default"/>
          <w:spacing w:val="-57"/>
        </w:rPr>
        <w:t> </w:t>
      </w:r>
      <w:r>
        <w:rPr/>
        <w:t>日召开第四届董事会第十次会</w:t>
      </w:r>
    </w:p>
    <w:p>
      <w:pPr>
        <w:pStyle w:val="BodyText"/>
        <w:spacing w:line="240" w:lineRule="auto" w:before="46"/>
        <w:ind w:right="0"/>
        <w:jc w:val="both"/>
      </w:pPr>
      <w:r>
        <w:rPr/>
        <w:t>议和</w:t>
      </w:r>
      <w:r>
        <w:rPr>
          <w:spacing w:val="-44"/>
        </w:rPr>
        <w:t> </w:t>
      </w:r>
      <w:r>
        <w:rPr>
          <w:rFonts w:ascii="宋体" w:hAnsi="宋体" w:cs="宋体" w:eastAsia="宋体" w:hint="default"/>
        </w:rPr>
        <w:t>2016</w:t>
      </w:r>
      <w:r>
        <w:rPr>
          <w:rFonts w:ascii="宋体" w:hAnsi="宋体" w:cs="宋体" w:eastAsia="宋体" w:hint="default"/>
          <w:spacing w:val="-44"/>
        </w:rPr>
        <w:t> </w:t>
      </w:r>
      <w:r>
        <w:rPr/>
        <w:t>年</w:t>
      </w:r>
      <w:r>
        <w:rPr>
          <w:spacing w:val="-44"/>
        </w:rPr>
        <w:t> </w:t>
      </w:r>
      <w:r>
        <w:rPr>
          <w:rFonts w:ascii="宋体" w:hAnsi="宋体" w:cs="宋体" w:eastAsia="宋体" w:hint="default"/>
        </w:rPr>
        <w:t>1</w:t>
      </w:r>
      <w:r>
        <w:rPr>
          <w:rFonts w:ascii="宋体" w:hAnsi="宋体" w:cs="宋体" w:eastAsia="宋体" w:hint="default"/>
          <w:spacing w:val="-43"/>
        </w:rPr>
        <w:t> </w:t>
      </w:r>
      <w:r>
        <w:rPr/>
        <w:t>月</w:t>
      </w:r>
      <w:r>
        <w:rPr>
          <w:spacing w:val="-44"/>
        </w:rPr>
        <w:t> </w:t>
      </w:r>
      <w:r>
        <w:rPr>
          <w:rFonts w:ascii="宋体" w:hAnsi="宋体" w:cs="宋体" w:eastAsia="宋体" w:hint="default"/>
        </w:rPr>
        <w:t>28</w:t>
      </w:r>
      <w:r>
        <w:rPr>
          <w:rFonts w:ascii="宋体" w:hAnsi="宋体" w:cs="宋体" w:eastAsia="宋体" w:hint="default"/>
          <w:spacing w:val="-43"/>
        </w:rPr>
        <w:t> </w:t>
      </w:r>
      <w:r>
        <w:rPr/>
        <w:t>日召开</w:t>
      </w:r>
      <w:r>
        <w:rPr>
          <w:spacing w:val="-44"/>
        </w:rPr>
        <w:t> </w:t>
      </w:r>
      <w:r>
        <w:rPr>
          <w:rFonts w:ascii="宋体" w:hAnsi="宋体" w:cs="宋体" w:eastAsia="宋体" w:hint="default"/>
        </w:rPr>
        <w:t>2016</w:t>
      </w:r>
      <w:r>
        <w:rPr>
          <w:rFonts w:ascii="宋体" w:hAnsi="宋体" w:cs="宋体" w:eastAsia="宋体" w:hint="default"/>
          <w:spacing w:val="-43"/>
        </w:rPr>
        <w:t> </w:t>
      </w:r>
      <w:r>
        <w:rPr/>
        <w:t>年第一次临时股东大会审议通过。本员工持股计划将委托北信瑞丰基金</w:t>
      </w:r>
    </w:p>
    <w:p>
      <w:pPr>
        <w:spacing w:line="240" w:lineRule="auto" w:before="10"/>
        <w:rPr>
          <w:rFonts w:ascii="宋体" w:hAnsi="宋体" w:cs="宋体" w:eastAsia="宋体" w:hint="default"/>
          <w:sz w:val="14"/>
          <w:szCs w:val="14"/>
        </w:rPr>
      </w:pPr>
    </w:p>
    <w:p>
      <w:pPr>
        <w:pStyle w:val="BodyText"/>
        <w:spacing w:line="410" w:lineRule="auto"/>
        <w:ind w:right="1129"/>
        <w:jc w:val="both"/>
      </w:pPr>
      <w:r>
        <w:rPr/>
        <w:t>管理有限公司管理，并全额认购由北信瑞丰基金管理有限公司设立的北信瑞丰基金利欧股份</w:t>
      </w:r>
      <w:r>
        <w:rPr>
          <w:spacing w:val="-62"/>
        </w:rPr>
        <w:t> </w:t>
      </w:r>
      <w:r>
        <w:rPr>
          <w:rFonts w:ascii="宋体" w:hAnsi="宋体" w:cs="宋体" w:eastAsia="宋体" w:hint="default"/>
        </w:rPr>
        <w:t>1</w:t>
      </w:r>
      <w:r>
        <w:rPr>
          <w:rFonts w:ascii="宋体" w:hAnsi="宋体" w:cs="宋体" w:eastAsia="宋体" w:hint="default"/>
          <w:spacing w:val="-63"/>
        </w:rPr>
        <w:t> </w:t>
      </w:r>
      <w:r>
        <w:rPr/>
        <w:t>号资产管理 计划</w:t>
      </w:r>
      <w:r>
        <w:rPr>
          <w:rFonts w:ascii="宋体" w:hAnsi="宋体" w:cs="宋体" w:eastAsia="宋体" w:hint="default"/>
        </w:rPr>
        <w:t>(</w:t>
      </w:r>
      <w:r>
        <w:rPr/>
        <w:t>以下简称利欧股份</w:t>
      </w:r>
      <w:r>
        <w:rPr>
          <w:spacing w:val="-58"/>
        </w:rPr>
        <w:t> </w:t>
      </w:r>
      <w:r>
        <w:rPr>
          <w:rFonts w:ascii="宋体" w:hAnsi="宋体" w:cs="宋体" w:eastAsia="宋体" w:hint="default"/>
        </w:rPr>
        <w:t>1</w:t>
      </w:r>
      <w:r>
        <w:rPr>
          <w:rFonts w:ascii="宋体" w:hAnsi="宋体" w:cs="宋体" w:eastAsia="宋体" w:hint="default"/>
          <w:spacing w:val="-57"/>
        </w:rPr>
        <w:t> </w:t>
      </w:r>
      <w:r>
        <w:rPr/>
        <w:t>号</w:t>
      </w:r>
      <w:r>
        <w:rPr>
          <w:rFonts w:ascii="宋体" w:hAnsi="宋体" w:cs="宋体" w:eastAsia="宋体" w:hint="default"/>
        </w:rPr>
        <w:t>)</w:t>
      </w:r>
      <w:r>
        <w:rPr/>
        <w:t>的次级</w:t>
      </w:r>
      <w:r>
        <w:rPr>
          <w:spacing w:val="-59"/>
        </w:rPr>
        <w:t> </w:t>
      </w:r>
      <w:r>
        <w:rPr>
          <w:rFonts w:ascii="宋体" w:hAnsi="宋体" w:cs="宋体" w:eastAsia="宋体" w:hint="default"/>
        </w:rPr>
        <w:t>B</w:t>
      </w:r>
      <w:r>
        <w:rPr>
          <w:rFonts w:ascii="宋体" w:hAnsi="宋体" w:cs="宋体" w:eastAsia="宋体" w:hint="default"/>
          <w:spacing w:val="-57"/>
        </w:rPr>
        <w:t> </w:t>
      </w:r>
      <w:r>
        <w:rPr/>
        <w:t>份额，利欧股份</w:t>
      </w:r>
      <w:r>
        <w:rPr>
          <w:spacing w:val="-57"/>
        </w:rPr>
        <w:t> </w:t>
      </w:r>
      <w:r>
        <w:rPr>
          <w:rFonts w:ascii="宋体" w:hAnsi="宋体" w:cs="宋体" w:eastAsia="宋体" w:hint="default"/>
        </w:rPr>
        <w:t>1</w:t>
      </w:r>
      <w:r>
        <w:rPr>
          <w:rFonts w:ascii="宋体" w:hAnsi="宋体" w:cs="宋体" w:eastAsia="宋体" w:hint="default"/>
          <w:spacing w:val="-57"/>
        </w:rPr>
        <w:t> </w:t>
      </w:r>
      <w:r>
        <w:rPr/>
        <w:t>号主要通过二级市场购买、大宗交易等法律法规 许可的方式取得并持有利欧股份股票。</w:t>
      </w:r>
    </w:p>
    <w:p>
      <w:pPr>
        <w:pStyle w:val="BodyText"/>
        <w:spacing w:line="408" w:lineRule="auto" w:before="82"/>
        <w:ind w:right="1129" w:firstLine="420"/>
        <w:jc w:val="both"/>
      </w:pPr>
      <w:r>
        <w:rPr/>
        <w:t>利欧股份</w:t>
      </w:r>
      <w:r>
        <w:rPr>
          <w:spacing w:val="-72"/>
        </w:rPr>
        <w:t> </w:t>
      </w:r>
      <w:r>
        <w:rPr>
          <w:rFonts w:ascii="宋体" w:hAnsi="宋体" w:cs="宋体" w:eastAsia="宋体" w:hint="default"/>
        </w:rPr>
        <w:t>1</w:t>
      </w:r>
      <w:r>
        <w:rPr>
          <w:rFonts w:ascii="宋体" w:hAnsi="宋体" w:cs="宋体" w:eastAsia="宋体" w:hint="default"/>
          <w:spacing w:val="-71"/>
        </w:rPr>
        <w:t> </w:t>
      </w:r>
      <w:r>
        <w:rPr/>
        <w:t>号份额上限为</w:t>
      </w:r>
      <w:r>
        <w:rPr>
          <w:spacing w:val="-72"/>
        </w:rPr>
        <w:t> </w:t>
      </w:r>
      <w:r>
        <w:rPr>
          <w:rFonts w:ascii="宋体" w:hAnsi="宋体" w:cs="宋体" w:eastAsia="宋体" w:hint="default"/>
        </w:rPr>
        <w:t>25,000</w:t>
      </w:r>
      <w:r>
        <w:rPr>
          <w:rFonts w:ascii="宋体" w:hAnsi="宋体" w:cs="宋体" w:eastAsia="宋体" w:hint="default"/>
          <w:spacing w:val="-71"/>
        </w:rPr>
        <w:t> </w:t>
      </w:r>
      <w:r>
        <w:rPr>
          <w:spacing w:val="-10"/>
        </w:rPr>
        <w:t>万份，即资产规模不超过</w:t>
      </w:r>
      <w:r>
        <w:rPr>
          <w:spacing w:val="-72"/>
        </w:rPr>
        <w:t> </w:t>
      </w:r>
      <w:r>
        <w:rPr>
          <w:rFonts w:ascii="宋体" w:hAnsi="宋体" w:cs="宋体" w:eastAsia="宋体" w:hint="default"/>
        </w:rPr>
        <w:t>25,000</w:t>
      </w:r>
      <w:r>
        <w:rPr>
          <w:rFonts w:ascii="宋体" w:hAnsi="宋体" w:cs="宋体" w:eastAsia="宋体" w:hint="default"/>
          <w:spacing w:val="-72"/>
        </w:rPr>
        <w:t> </w:t>
      </w:r>
      <w:r>
        <w:rPr>
          <w:spacing w:val="-16"/>
        </w:rPr>
        <w:t>万元。利欧股份</w:t>
      </w:r>
      <w:r>
        <w:rPr>
          <w:spacing w:val="-72"/>
        </w:rPr>
        <w:t> </w:t>
      </w:r>
      <w:r>
        <w:rPr>
          <w:rFonts w:ascii="宋体" w:hAnsi="宋体" w:cs="宋体" w:eastAsia="宋体" w:hint="default"/>
        </w:rPr>
        <w:t>1</w:t>
      </w:r>
      <w:r>
        <w:rPr>
          <w:rFonts w:ascii="宋体" w:hAnsi="宋体" w:cs="宋体" w:eastAsia="宋体" w:hint="default"/>
          <w:spacing w:val="-71"/>
        </w:rPr>
        <w:t> </w:t>
      </w:r>
      <w:r>
        <w:rPr/>
        <w:t>号按照不超过</w:t>
      </w:r>
      <w:r>
        <w:rPr>
          <w:spacing w:val="-72"/>
        </w:rPr>
        <w:t> </w:t>
      </w:r>
      <w:r>
        <w:rPr>
          <w:rFonts w:ascii="宋体" w:hAnsi="宋体" w:cs="宋体" w:eastAsia="宋体" w:hint="default"/>
        </w:rPr>
        <w:t>1.5:1 </w:t>
      </w:r>
      <w:r>
        <w:rPr/>
        <w:t>的比例设立优先级</w:t>
      </w:r>
      <w:r>
        <w:rPr>
          <w:spacing w:val="-57"/>
        </w:rPr>
        <w:t> </w:t>
      </w:r>
      <w:r>
        <w:rPr>
          <w:rFonts w:ascii="宋体" w:hAnsi="宋体" w:cs="宋体" w:eastAsia="宋体" w:hint="default"/>
        </w:rPr>
        <w:t>A</w:t>
      </w:r>
      <w:r>
        <w:rPr>
          <w:rFonts w:ascii="宋体" w:hAnsi="宋体" w:cs="宋体" w:eastAsia="宋体" w:hint="default"/>
          <w:spacing w:val="-57"/>
        </w:rPr>
        <w:t> </w:t>
      </w:r>
      <w:r>
        <w:rPr/>
        <w:t>份额和次级份额，次级份额又分为次级</w:t>
      </w:r>
      <w:r>
        <w:rPr>
          <w:spacing w:val="-57"/>
        </w:rPr>
        <w:t> </w:t>
      </w:r>
      <w:r>
        <w:rPr>
          <w:rFonts w:ascii="宋体" w:hAnsi="宋体" w:cs="宋体" w:eastAsia="宋体" w:hint="default"/>
        </w:rPr>
        <w:t>B</w:t>
      </w:r>
      <w:r>
        <w:rPr>
          <w:rFonts w:ascii="宋体" w:hAnsi="宋体" w:cs="宋体" w:eastAsia="宋体" w:hint="default"/>
          <w:spacing w:val="-57"/>
        </w:rPr>
        <w:t> </w:t>
      </w:r>
      <w:r>
        <w:rPr/>
        <w:t>份额和次级</w:t>
      </w:r>
      <w:r>
        <w:rPr>
          <w:spacing w:val="-58"/>
        </w:rPr>
        <w:t> </w:t>
      </w:r>
      <w:r>
        <w:rPr>
          <w:rFonts w:ascii="宋体" w:hAnsi="宋体" w:cs="宋体" w:eastAsia="宋体" w:hint="default"/>
        </w:rPr>
        <w:t>C</w:t>
      </w:r>
      <w:r>
        <w:rPr>
          <w:rFonts w:ascii="宋体" w:hAnsi="宋体" w:cs="宋体" w:eastAsia="宋体" w:hint="default"/>
          <w:spacing w:val="-57"/>
        </w:rPr>
        <w:t> </w:t>
      </w:r>
      <w:r>
        <w:rPr/>
        <w:t>份额。公司控股股东、实际控 制人王相荣先生以</w:t>
      </w:r>
      <w:r>
        <w:rPr>
          <w:spacing w:val="-53"/>
        </w:rPr>
        <w:t> </w:t>
      </w:r>
      <w:r>
        <w:rPr>
          <w:rFonts w:ascii="宋体" w:hAnsi="宋体" w:cs="宋体" w:eastAsia="宋体" w:hint="default"/>
        </w:rPr>
        <w:t>5,000</w:t>
      </w:r>
      <w:r>
        <w:rPr>
          <w:rFonts w:ascii="宋体" w:hAnsi="宋体" w:cs="宋体" w:eastAsia="宋体" w:hint="default"/>
          <w:spacing w:val="-53"/>
        </w:rPr>
        <w:t> </w:t>
      </w:r>
      <w:r>
        <w:rPr/>
        <w:t>万元全额认购利欧股份</w:t>
      </w:r>
      <w:r>
        <w:rPr>
          <w:spacing w:val="-53"/>
        </w:rPr>
        <w:t> </w:t>
      </w:r>
      <w:r>
        <w:rPr>
          <w:rFonts w:ascii="宋体" w:hAnsi="宋体" w:cs="宋体" w:eastAsia="宋体" w:hint="default"/>
        </w:rPr>
        <w:t>1</w:t>
      </w:r>
      <w:r>
        <w:rPr>
          <w:rFonts w:ascii="宋体" w:hAnsi="宋体" w:cs="宋体" w:eastAsia="宋体" w:hint="default"/>
          <w:spacing w:val="-53"/>
        </w:rPr>
        <w:t> </w:t>
      </w:r>
      <w:r>
        <w:rPr/>
        <w:t>号次级</w:t>
      </w:r>
      <w:r>
        <w:rPr>
          <w:spacing w:val="-55"/>
        </w:rPr>
        <w:t> </w:t>
      </w:r>
      <w:r>
        <w:rPr>
          <w:rFonts w:ascii="宋体" w:hAnsi="宋体" w:cs="宋体" w:eastAsia="宋体" w:hint="default"/>
        </w:rPr>
        <w:t>C</w:t>
      </w:r>
      <w:r>
        <w:rPr>
          <w:rFonts w:ascii="宋体" w:hAnsi="宋体" w:cs="宋体" w:eastAsia="宋体" w:hint="default"/>
          <w:spacing w:val="-53"/>
        </w:rPr>
        <w:t> </w:t>
      </w:r>
      <w:r>
        <w:rPr>
          <w:spacing w:val="-4"/>
        </w:rPr>
        <w:t>份额，与次级</w:t>
      </w:r>
      <w:r>
        <w:rPr>
          <w:spacing w:val="-55"/>
        </w:rPr>
        <w:t> </w:t>
      </w:r>
      <w:r>
        <w:rPr>
          <w:rFonts w:ascii="宋体" w:hAnsi="宋体" w:cs="宋体" w:eastAsia="宋体" w:hint="default"/>
        </w:rPr>
        <w:t>B</w:t>
      </w:r>
      <w:r>
        <w:rPr>
          <w:rFonts w:ascii="宋体" w:hAnsi="宋体" w:cs="宋体" w:eastAsia="宋体" w:hint="default"/>
          <w:spacing w:val="-53"/>
        </w:rPr>
        <w:t> </w:t>
      </w:r>
      <w:r>
        <w:rPr/>
        <w:t>份额委托人认购的</w:t>
      </w:r>
      <w:r>
        <w:rPr>
          <w:spacing w:val="-53"/>
        </w:rPr>
        <w:t> </w:t>
      </w:r>
      <w:r>
        <w:rPr>
          <w:rFonts w:ascii="宋体" w:hAnsi="宋体" w:cs="宋体" w:eastAsia="宋体" w:hint="default"/>
        </w:rPr>
        <w:t>5,000</w:t>
      </w:r>
      <w:r>
        <w:rPr>
          <w:rFonts w:ascii="宋体" w:hAnsi="宋体" w:cs="宋体" w:eastAsia="宋体" w:hint="default"/>
          <w:spacing w:val="-53"/>
        </w:rPr>
        <w:t> </w:t>
      </w:r>
      <w:r>
        <w:rPr/>
        <w:t>万元 共同以出资额为限承担对优先级</w:t>
      </w:r>
      <w:r>
        <w:rPr>
          <w:spacing w:val="-58"/>
        </w:rPr>
        <w:t> </w:t>
      </w:r>
      <w:r>
        <w:rPr>
          <w:rFonts w:ascii="宋体" w:hAnsi="宋体" w:cs="宋体" w:eastAsia="宋体" w:hint="default"/>
        </w:rPr>
        <w:t>A</w:t>
      </w:r>
      <w:r>
        <w:rPr>
          <w:rFonts w:ascii="宋体" w:hAnsi="宋体" w:cs="宋体" w:eastAsia="宋体" w:hint="default"/>
          <w:spacing w:val="-59"/>
        </w:rPr>
        <w:t> </w:t>
      </w:r>
      <w:r>
        <w:rPr/>
        <w:t>份额委托人的本金及预期年化收益的担保责任。如利欧股份</w:t>
      </w:r>
      <w:r>
        <w:rPr>
          <w:spacing w:val="-58"/>
        </w:rPr>
        <w:t> </w:t>
      </w:r>
      <w:r>
        <w:rPr>
          <w:rFonts w:ascii="宋体" w:hAnsi="宋体" w:cs="宋体" w:eastAsia="宋体" w:hint="default"/>
        </w:rPr>
        <w:t>1</w:t>
      </w:r>
      <w:r>
        <w:rPr>
          <w:rFonts w:ascii="宋体" w:hAnsi="宋体" w:cs="宋体" w:eastAsia="宋体" w:hint="default"/>
          <w:spacing w:val="-58"/>
        </w:rPr>
        <w:t> </w:t>
      </w:r>
      <w:r>
        <w:rPr/>
        <w:t>号的次级 份额资产尚未补足对优先级</w:t>
      </w:r>
      <w:r>
        <w:rPr>
          <w:spacing w:val="-33"/>
        </w:rPr>
        <w:t> </w:t>
      </w:r>
      <w:r>
        <w:rPr>
          <w:rFonts w:ascii="宋体" w:hAnsi="宋体" w:cs="宋体" w:eastAsia="宋体" w:hint="default"/>
        </w:rPr>
        <w:t>A</w:t>
      </w:r>
      <w:r>
        <w:rPr>
          <w:rFonts w:ascii="宋体" w:hAnsi="宋体" w:cs="宋体" w:eastAsia="宋体" w:hint="default"/>
          <w:spacing w:val="-33"/>
        </w:rPr>
        <w:t> </w:t>
      </w:r>
      <w:r>
        <w:rPr/>
        <w:t>份额的本金及应获收益，差额部分由次级</w:t>
      </w:r>
      <w:r>
        <w:rPr>
          <w:spacing w:val="-33"/>
        </w:rPr>
        <w:t> </w:t>
      </w:r>
      <w:r>
        <w:rPr>
          <w:rFonts w:ascii="宋体" w:hAnsi="宋体" w:cs="宋体" w:eastAsia="宋体" w:hint="default"/>
        </w:rPr>
        <w:t>C</w:t>
      </w:r>
      <w:r>
        <w:rPr>
          <w:rFonts w:ascii="宋体" w:hAnsi="宋体" w:cs="宋体" w:eastAsia="宋体" w:hint="default"/>
          <w:spacing w:val="-33"/>
        </w:rPr>
        <w:t> </w:t>
      </w:r>
      <w:r>
        <w:rPr/>
        <w:t>份额的委托人</w:t>
      </w:r>
      <w:r>
        <w:rPr>
          <w:rFonts w:ascii="宋体" w:hAnsi="宋体" w:cs="宋体" w:eastAsia="宋体" w:hint="default"/>
        </w:rPr>
        <w:t>(</w:t>
      </w:r>
      <w:r>
        <w:rPr/>
        <w:t>公司实际控制人 王相荣先生</w:t>
      </w:r>
      <w:r>
        <w:rPr>
          <w:rFonts w:ascii="宋体" w:hAnsi="宋体" w:cs="宋体" w:eastAsia="宋体" w:hint="default"/>
        </w:rPr>
        <w:t>)</w:t>
      </w:r>
      <w:r>
        <w:rPr/>
        <w:t>承担。</w:t>
      </w:r>
    </w:p>
    <w:p>
      <w:pPr>
        <w:pStyle w:val="BodyText"/>
        <w:spacing w:line="240" w:lineRule="auto" w:before="85"/>
        <w:ind w:left="574" w:right="0"/>
        <w:jc w:val="left"/>
      </w:pPr>
      <w:r>
        <w:rPr/>
        <w:t>截至</w:t>
      </w:r>
      <w:r>
        <w:rPr>
          <w:spacing w:val="-4"/>
        </w:rPr>
        <w:t> </w:t>
      </w:r>
      <w:r>
        <w:rPr>
          <w:rFonts w:ascii="宋体" w:hAnsi="宋体" w:cs="宋体" w:eastAsia="宋体" w:hint="default"/>
        </w:rPr>
        <w:t>2016</w:t>
      </w:r>
      <w:r>
        <w:rPr>
          <w:rFonts w:ascii="宋体" w:hAnsi="宋体" w:cs="宋体" w:eastAsia="宋体" w:hint="default"/>
          <w:spacing w:val="-6"/>
        </w:rPr>
        <w:t> </w:t>
      </w:r>
      <w:r>
        <w:rPr/>
        <w:t>年</w:t>
      </w:r>
      <w:r>
        <w:rPr>
          <w:spacing w:val="-5"/>
        </w:rPr>
        <w:t> </w:t>
      </w:r>
      <w:r>
        <w:rPr>
          <w:rFonts w:ascii="宋体" w:hAnsi="宋体" w:cs="宋体" w:eastAsia="宋体" w:hint="default"/>
        </w:rPr>
        <w:t>3</w:t>
      </w:r>
      <w:r>
        <w:rPr>
          <w:rFonts w:ascii="宋体" w:hAnsi="宋体" w:cs="宋体" w:eastAsia="宋体" w:hint="default"/>
          <w:spacing w:val="-55"/>
        </w:rPr>
        <w:t> </w:t>
      </w:r>
      <w:r>
        <w:rPr/>
        <w:t>月</w:t>
      </w:r>
      <w:r>
        <w:rPr>
          <w:spacing w:val="-6"/>
        </w:rPr>
        <w:t> </w:t>
      </w:r>
      <w:r>
        <w:rPr>
          <w:rFonts w:ascii="宋体" w:hAnsi="宋体" w:cs="宋体" w:eastAsia="宋体" w:hint="default"/>
        </w:rPr>
        <w:t>30</w:t>
      </w:r>
      <w:r>
        <w:rPr>
          <w:rFonts w:ascii="宋体" w:hAnsi="宋体" w:cs="宋体" w:eastAsia="宋体" w:hint="default"/>
          <w:spacing w:val="-56"/>
        </w:rPr>
        <w:t> </w:t>
      </w:r>
      <w:r>
        <w:rPr/>
        <w:t>日，公司第二期员工持股计划的管理人北信瑞丰基金管理有限公司通过二级市</w:t>
      </w:r>
    </w:p>
    <w:p>
      <w:pPr>
        <w:spacing w:line="240" w:lineRule="auto" w:before="10"/>
        <w:rPr>
          <w:rFonts w:ascii="宋体" w:hAnsi="宋体" w:cs="宋体" w:eastAsia="宋体" w:hint="default"/>
          <w:sz w:val="14"/>
          <w:szCs w:val="14"/>
        </w:rPr>
      </w:pPr>
    </w:p>
    <w:p>
      <w:pPr>
        <w:pStyle w:val="BodyText"/>
        <w:spacing w:line="410" w:lineRule="auto"/>
        <w:ind w:left="154" w:right="1132"/>
        <w:jc w:val="both"/>
      </w:pPr>
      <w:r>
        <w:rPr>
          <w:spacing w:val="9"/>
        </w:rPr>
        <w:t>场购买的方式累计购买公司股票 </w:t>
      </w:r>
      <w:r>
        <w:rPr>
          <w:rFonts w:ascii="宋体" w:hAnsi="宋体" w:cs="宋体" w:eastAsia="宋体" w:hint="default"/>
        </w:rPr>
        <w:t>11,845,328 </w:t>
      </w:r>
      <w:r>
        <w:rPr>
          <w:spacing w:val="8"/>
        </w:rPr>
        <w:t>股，交易均价为 </w:t>
      </w:r>
      <w:r>
        <w:rPr>
          <w:rFonts w:ascii="宋体" w:hAnsi="宋体" w:cs="宋体" w:eastAsia="宋体" w:hint="default"/>
        </w:rPr>
        <w:t>15.79</w:t>
      </w:r>
      <w:r>
        <w:rPr>
          <w:rFonts w:ascii="宋体" w:hAnsi="宋体" w:cs="宋体" w:eastAsia="宋体" w:hint="default"/>
          <w:spacing w:val="53"/>
        </w:rPr>
        <w:t> </w:t>
      </w:r>
      <w:r>
        <w:rPr>
          <w:spacing w:val="9"/>
        </w:rPr>
        <w:t>元</w:t>
      </w:r>
      <w:r>
        <w:rPr>
          <w:rFonts w:ascii="宋体" w:hAnsi="宋体" w:cs="宋体" w:eastAsia="宋体" w:hint="default"/>
          <w:spacing w:val="9"/>
        </w:rPr>
        <w:t>/</w:t>
      </w:r>
      <w:r>
        <w:rPr>
          <w:spacing w:val="9"/>
        </w:rPr>
        <w:t>股，占公司总股本的比例为</w:t>
      </w:r>
      <w:r>
        <w:rPr/>
        <w:t> </w:t>
      </w:r>
      <w:r>
        <w:rPr>
          <w:rFonts w:ascii="宋体" w:hAnsi="宋体" w:cs="宋体" w:eastAsia="宋体" w:hint="default"/>
        </w:rPr>
        <w:t>0.78%</w:t>
      </w:r>
      <w:r>
        <w:rPr/>
        <w:t>。截止本财务报表批准报出日，公司第二期员工持股计划尚未全部购买完毕。</w:t>
      </w:r>
    </w:p>
    <w:p>
      <w:pPr>
        <w:pStyle w:val="BodyText"/>
        <w:spacing w:line="240" w:lineRule="auto" w:before="83"/>
        <w:ind w:left="574" w:right="0"/>
        <w:jc w:val="left"/>
      </w:pPr>
      <w:r>
        <w:rPr>
          <w:rFonts w:ascii="宋体" w:hAnsi="宋体" w:cs="宋体" w:eastAsia="宋体" w:hint="default"/>
        </w:rPr>
        <w:t>3.</w:t>
      </w:r>
      <w:r>
        <w:rPr>
          <w:rFonts w:ascii="宋体" w:hAnsi="宋体" w:cs="宋体" w:eastAsia="宋体" w:hint="default"/>
          <w:spacing w:val="1"/>
        </w:rPr>
        <w:t> </w:t>
      </w:r>
      <w:r>
        <w:rPr/>
        <w:t>对外投资</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(1)</w:t>
      </w:r>
      <w:r>
        <w:rPr>
          <w:rFonts w:ascii="宋体" w:hAnsi="宋体" w:cs="宋体" w:eastAsia="宋体" w:hint="default"/>
          <w:spacing w:val="-1"/>
        </w:rPr>
        <w:t> </w:t>
      </w:r>
      <w:r>
        <w:rPr/>
        <w:t>世纪鲲鹏</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2016</w:t>
      </w:r>
      <w:r>
        <w:rPr>
          <w:rFonts w:ascii="宋体" w:hAnsi="宋体" w:cs="宋体" w:eastAsia="宋体" w:hint="default"/>
          <w:spacing w:val="-47"/>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26</w:t>
      </w:r>
      <w:r>
        <w:rPr>
          <w:rFonts w:ascii="宋体" w:hAnsi="宋体" w:cs="宋体" w:eastAsia="宋体" w:hint="default"/>
          <w:spacing w:val="-48"/>
        </w:rPr>
        <w:t> </w:t>
      </w:r>
      <w:r>
        <w:rPr/>
        <w:t>日，公司与杨宗灵及北京世纪鲲鹏国际传媒广告有限公司</w:t>
      </w:r>
      <w:r>
        <w:rPr>
          <w:rFonts w:ascii="宋体" w:hAnsi="宋体" w:cs="宋体" w:eastAsia="宋体" w:hint="default"/>
        </w:rPr>
        <w:t>(</w:t>
      </w:r>
      <w:r>
        <w:rPr/>
        <w:t>以下简称世纪鲲鹏</w:t>
      </w:r>
      <w:r>
        <w:rPr>
          <w:rFonts w:ascii="宋体" w:hAnsi="宋体" w:cs="宋体" w:eastAsia="宋体" w:hint="default"/>
        </w:rPr>
        <w:t>)</w:t>
      </w:r>
      <w:r>
        <w:rPr/>
        <w:t>签订了</w:t>
      </w:r>
    </w:p>
    <w:p>
      <w:pPr>
        <w:spacing w:line="240" w:lineRule="auto" w:before="10"/>
        <w:rPr>
          <w:rFonts w:ascii="宋体" w:hAnsi="宋体" w:cs="宋体" w:eastAsia="宋体" w:hint="default"/>
          <w:sz w:val="14"/>
          <w:szCs w:val="14"/>
        </w:rPr>
      </w:pPr>
    </w:p>
    <w:p>
      <w:pPr>
        <w:pStyle w:val="BodyText"/>
        <w:spacing w:line="408" w:lineRule="auto"/>
        <w:ind w:right="1130"/>
        <w:jc w:val="both"/>
      </w:pPr>
      <w:r>
        <w:rPr>
          <w:spacing w:val="-1"/>
        </w:rPr>
        <w:t>《关于北京世纪鲲鹏国际传媒广告有限公司之投资意向书》</w:t>
      </w:r>
      <w:r>
        <w:rPr>
          <w:rFonts w:ascii="宋体" w:hAnsi="宋体" w:cs="宋体" w:eastAsia="宋体" w:hint="default"/>
          <w:spacing w:val="-1"/>
        </w:rPr>
        <w:t>(</w:t>
      </w:r>
      <w:r>
        <w:rPr>
          <w:spacing w:val="-1"/>
        </w:rPr>
        <w:t>以下简称投资意向书</w:t>
      </w:r>
      <w:r>
        <w:rPr>
          <w:rFonts w:ascii="宋体" w:hAnsi="宋体" w:cs="宋体" w:eastAsia="宋体" w:hint="default"/>
          <w:spacing w:val="-1"/>
        </w:rPr>
        <w:t>)</w:t>
      </w:r>
      <w:r>
        <w:rPr>
          <w:spacing w:val="-1"/>
        </w:rPr>
        <w:t>，根据投资意向书的约</w:t>
      </w:r>
      <w:r>
        <w:rPr>
          <w:spacing w:val="-82"/>
        </w:rPr>
        <w:t> </w:t>
      </w:r>
      <w:r>
        <w:rPr>
          <w:spacing w:val="-82"/>
        </w:rPr>
      </w:r>
      <w:r>
        <w:rPr/>
        <w:t>定，杨宗灵或其关联方依法向公司转让其持有的世纪鲲鹏合计</w:t>
      </w:r>
      <w:r>
        <w:rPr>
          <w:spacing w:val="-24"/>
        </w:rPr>
        <w:t> </w:t>
      </w:r>
      <w:r>
        <w:rPr>
          <w:rFonts w:ascii="宋体" w:hAnsi="宋体" w:cs="宋体" w:eastAsia="宋体" w:hint="default"/>
        </w:rPr>
        <w:t>10%</w:t>
      </w:r>
      <w:r>
        <w:rPr/>
        <w:t>的股权。股权转让完成后，公司拟向世 纪鲲鹏进行增资 </w:t>
      </w:r>
      <w:r>
        <w:rPr>
          <w:rFonts w:ascii="宋体" w:hAnsi="宋体" w:cs="宋体" w:eastAsia="宋体" w:hint="default"/>
        </w:rPr>
        <w:t>10%</w:t>
      </w:r>
      <w:r>
        <w:rPr/>
        <w:t>的股权。经上述股权转让及增资完成后，公司拟持有世纪鲲鹏的股权比例为</w:t>
      </w:r>
      <w:r>
        <w:rPr>
          <w:spacing w:val="-28"/>
        </w:rPr>
        <w:t> </w:t>
      </w:r>
      <w:r>
        <w:rPr>
          <w:rFonts w:ascii="宋体" w:hAnsi="宋体" w:cs="宋体" w:eastAsia="宋体" w:hint="default"/>
        </w:rPr>
        <w:t>20%</w:t>
      </w:r>
      <w:r>
        <w:rPr/>
        <w:t>。公</w:t>
      </w:r>
      <w:r>
        <w:rPr>
          <w:spacing w:val="-2"/>
        </w:rPr>
        <w:t> </w:t>
      </w:r>
      <w:r>
        <w:rPr/>
        <w:t>司拟向杨宗灵或其关联方支付本次股权转让和增资价款的合计数将不超过 </w:t>
      </w:r>
      <w:r>
        <w:rPr>
          <w:rFonts w:ascii="宋体" w:hAnsi="宋体" w:cs="宋体" w:eastAsia="宋体" w:hint="default"/>
        </w:rPr>
        <w:t>1.35</w:t>
      </w:r>
      <w:r>
        <w:rPr>
          <w:rFonts w:ascii="宋体" w:hAnsi="宋体" w:cs="宋体" w:eastAsia="宋体" w:hint="default"/>
          <w:spacing w:val="-23"/>
        </w:rPr>
        <w:t> </w:t>
      </w:r>
      <w:r>
        <w:rPr/>
        <w:t>亿元人民币。投资意向书</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154" w:right="0"/>
        <w:jc w:val="both"/>
      </w:pPr>
      <w:r>
        <w:rPr/>
        <w:t>签署后，杨宗灵给予公司独家谈判权，即，杨宗灵承诺，在本意向书签署之日起 </w:t>
      </w:r>
      <w:r>
        <w:rPr>
          <w:rFonts w:ascii="宋体" w:hAnsi="宋体" w:cs="宋体" w:eastAsia="宋体" w:hint="default"/>
        </w:rPr>
        <w:t>120</w:t>
      </w:r>
      <w:r>
        <w:rPr>
          <w:rFonts w:ascii="宋体" w:hAnsi="宋体" w:cs="宋体" w:eastAsia="宋体" w:hint="default"/>
          <w:spacing w:val="79"/>
        </w:rPr>
        <w:t> </w:t>
      </w:r>
      <w:r>
        <w:rPr/>
        <w:t>日内不与公司以外</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的其他主体洽谈股权转让或增资事宜。在投资意向书签署后 </w:t>
      </w:r>
      <w:r>
        <w:rPr>
          <w:rFonts w:ascii="宋体" w:hAnsi="宋体" w:cs="宋体" w:eastAsia="宋体" w:hint="default"/>
        </w:rPr>
        <w:t>5 </w:t>
      </w:r>
      <w:r>
        <w:rPr/>
        <w:t>个工作日内，公司向世纪鲲鹏支付</w:t>
      </w:r>
      <w:r>
        <w:rPr>
          <w:spacing w:val="81"/>
        </w:rPr>
        <w:t> </w:t>
      </w:r>
      <w:r>
        <w:rPr>
          <w:rFonts w:ascii="宋体" w:hAnsi="宋体" w:cs="宋体" w:eastAsia="宋体" w:hint="default"/>
        </w:rPr>
        <w:t>3,000</w:t>
      </w:r>
    </w:p>
    <w:p>
      <w:pPr>
        <w:spacing w:line="240" w:lineRule="auto" w:before="10"/>
        <w:rPr>
          <w:rFonts w:ascii="宋体" w:hAnsi="宋体" w:cs="宋体" w:eastAsia="宋体" w:hint="default"/>
          <w:sz w:val="14"/>
          <w:szCs w:val="14"/>
        </w:rPr>
      </w:pPr>
    </w:p>
    <w:p>
      <w:pPr>
        <w:pStyle w:val="BodyText"/>
        <w:spacing w:line="408" w:lineRule="auto"/>
        <w:ind w:right="1131"/>
        <w:jc w:val="both"/>
      </w:pPr>
      <w:r>
        <w:rPr/>
        <w:t>万元的排他费用。若投资意向书签署之日起</w:t>
      </w:r>
      <w:r>
        <w:rPr>
          <w:spacing w:val="36"/>
        </w:rPr>
        <w:t> </w:t>
      </w:r>
      <w:r>
        <w:rPr>
          <w:rFonts w:ascii="宋体" w:hAnsi="宋体" w:cs="宋体" w:eastAsia="宋体" w:hint="default"/>
        </w:rPr>
        <w:t>120</w:t>
      </w:r>
      <w:r>
        <w:rPr>
          <w:rFonts w:ascii="宋体" w:hAnsi="宋体" w:cs="宋体" w:eastAsia="宋体" w:hint="default"/>
          <w:spacing w:val="33"/>
        </w:rPr>
        <w:t> </w:t>
      </w:r>
      <w:r>
        <w:rPr/>
        <w:t>日内杨宗灵未能按照公司的要求完成世纪鲲鹏的内部业</w:t>
      </w:r>
      <w:r>
        <w:rPr>
          <w:spacing w:val="-101"/>
        </w:rPr>
        <w:t> </w:t>
      </w:r>
      <w:r>
        <w:rPr>
          <w:spacing w:val="-101"/>
        </w:rPr>
      </w:r>
      <w:r>
        <w:rPr>
          <w:spacing w:val="-1"/>
        </w:rPr>
        <w:t>务重组或其他原因，导致协议双方未能正式签署《北京世纪鲲鹏国际传媒广告有限公司投资协议》，且协</w:t>
      </w:r>
      <w:r>
        <w:rPr>
          <w:spacing w:val="-86"/>
        </w:rPr>
        <w:t> </w:t>
      </w:r>
      <w:r>
        <w:rPr>
          <w:spacing w:val="-86"/>
        </w:rPr>
      </w:r>
      <w:r>
        <w:rPr/>
        <w:t>议双方未以书面形式批准延长谈判期限，或在上述</w:t>
      </w:r>
      <w:r>
        <w:rPr>
          <w:spacing w:val="-64"/>
        </w:rPr>
        <w:t> </w:t>
      </w:r>
      <w:r>
        <w:rPr>
          <w:rFonts w:ascii="宋体" w:hAnsi="宋体" w:cs="宋体" w:eastAsia="宋体" w:hint="default"/>
        </w:rPr>
        <w:t>120</w:t>
      </w:r>
      <w:r>
        <w:rPr>
          <w:rFonts w:ascii="宋体" w:hAnsi="宋体" w:cs="宋体" w:eastAsia="宋体" w:hint="default"/>
          <w:spacing w:val="-64"/>
        </w:rPr>
        <w:t> </w:t>
      </w:r>
      <w:r>
        <w:rPr/>
        <w:t>日的期限内双方书面批准终止谈判，则世纪鲲鹏应</w:t>
      </w:r>
    </w:p>
    <w:p>
      <w:pPr>
        <w:pStyle w:val="BodyText"/>
        <w:spacing w:line="410" w:lineRule="auto" w:before="46"/>
        <w:ind w:right="1129"/>
        <w:jc w:val="both"/>
      </w:pPr>
      <w:r>
        <w:rPr/>
        <w:t>在上述</w:t>
      </w:r>
      <w:r>
        <w:rPr>
          <w:spacing w:val="-58"/>
        </w:rPr>
        <w:t> </w:t>
      </w:r>
      <w:r>
        <w:rPr>
          <w:rFonts w:ascii="宋体" w:hAnsi="宋体" w:cs="宋体" w:eastAsia="宋体" w:hint="default"/>
        </w:rPr>
        <w:t>120</w:t>
      </w:r>
      <w:r>
        <w:rPr>
          <w:rFonts w:ascii="宋体" w:hAnsi="宋体" w:cs="宋体" w:eastAsia="宋体" w:hint="default"/>
          <w:spacing w:val="-59"/>
        </w:rPr>
        <w:t> </w:t>
      </w:r>
      <w:r>
        <w:rPr/>
        <w:t>日期限到期之日或双方书面批准终止谈判之日（以较早时间为准），将上述</w:t>
      </w:r>
      <w:r>
        <w:rPr>
          <w:spacing w:val="-58"/>
        </w:rPr>
        <w:t> </w:t>
      </w:r>
      <w:r>
        <w:rPr>
          <w:rFonts w:ascii="宋体" w:hAnsi="宋体" w:cs="宋体" w:eastAsia="宋体" w:hint="default"/>
        </w:rPr>
        <w:t>3,000</w:t>
      </w:r>
      <w:r>
        <w:rPr>
          <w:rFonts w:ascii="宋体" w:hAnsi="宋体" w:cs="宋体" w:eastAsia="宋体" w:hint="default"/>
          <w:spacing w:val="-58"/>
        </w:rPr>
        <w:t> </w:t>
      </w:r>
      <w:r>
        <w:rPr/>
        <w:t>万元人民币 的排他费用退回至公司指定银行账户，每延迟</w:t>
      </w:r>
      <w:r>
        <w:rPr>
          <w:spacing w:val="-53"/>
        </w:rPr>
        <w:t> </w:t>
      </w:r>
      <w:r>
        <w:rPr>
          <w:rFonts w:ascii="宋体" w:hAnsi="宋体" w:cs="宋体" w:eastAsia="宋体" w:hint="default"/>
        </w:rPr>
        <w:t>1</w:t>
      </w:r>
      <w:r>
        <w:rPr>
          <w:rFonts w:ascii="宋体" w:hAnsi="宋体" w:cs="宋体" w:eastAsia="宋体" w:hint="default"/>
          <w:spacing w:val="-53"/>
        </w:rPr>
        <w:t> </w:t>
      </w:r>
      <w:r>
        <w:rPr/>
        <w:t>天，按千分之一的日利率支付罚息</w:t>
      </w:r>
      <w:r>
        <w:rPr>
          <w:spacing w:val="-2"/>
        </w:rPr>
        <w:t> </w:t>
      </w:r>
      <w:r>
        <w:rPr/>
        <w:t>。</w:t>
      </w:r>
    </w:p>
    <w:p>
      <w:pPr>
        <w:pStyle w:val="BodyText"/>
        <w:spacing w:line="410" w:lineRule="auto" w:before="82"/>
        <w:ind w:left="154" w:right="1130" w:firstLine="420"/>
        <w:jc w:val="both"/>
      </w:pPr>
      <w:r>
        <w:rPr/>
        <w:t>截至本财务报表批准报出日，公司已向世纪鲲鹏支付排他费用</w:t>
      </w:r>
      <w:r>
        <w:rPr>
          <w:spacing w:val="-63"/>
        </w:rPr>
        <w:t> </w:t>
      </w:r>
      <w:r>
        <w:rPr>
          <w:rFonts w:ascii="宋体" w:hAnsi="宋体" w:cs="宋体" w:eastAsia="宋体" w:hint="default"/>
        </w:rPr>
        <w:t>3,000</w:t>
      </w:r>
      <w:r>
        <w:rPr>
          <w:rFonts w:ascii="宋体" w:hAnsi="宋体" w:cs="宋体" w:eastAsia="宋体" w:hint="default"/>
          <w:spacing w:val="-64"/>
        </w:rPr>
        <w:t> </w:t>
      </w:r>
      <w:r>
        <w:rPr/>
        <w:t>万元，并且正在积极与其商讨相 关投资事宜。</w:t>
      </w:r>
    </w:p>
    <w:p>
      <w:pPr>
        <w:pStyle w:val="BodyText"/>
        <w:spacing w:line="240" w:lineRule="auto" w:before="85"/>
        <w:ind w:left="574" w:right="0"/>
        <w:jc w:val="left"/>
      </w:pPr>
      <w:r>
        <w:rPr>
          <w:rFonts w:ascii="宋体" w:hAnsi="宋体" w:cs="宋体" w:eastAsia="宋体" w:hint="default"/>
        </w:rPr>
        <w:t>(2)</w:t>
      </w:r>
      <w:r>
        <w:rPr>
          <w:rFonts w:ascii="宋体" w:hAnsi="宋体" w:cs="宋体" w:eastAsia="宋体" w:hint="default"/>
          <w:spacing w:val="-1"/>
        </w:rPr>
        <w:t> </w:t>
      </w:r>
      <w:r>
        <w:rPr/>
        <w:t>盛夏星空</w:t>
      </w:r>
    </w:p>
    <w:p>
      <w:pPr>
        <w:spacing w:line="240" w:lineRule="auto" w:before="9"/>
        <w:rPr>
          <w:rFonts w:ascii="宋体" w:hAnsi="宋体" w:cs="宋体" w:eastAsia="宋体" w:hint="default"/>
          <w:sz w:val="17"/>
          <w:szCs w:val="17"/>
        </w:rPr>
      </w:pPr>
    </w:p>
    <w:p>
      <w:pPr>
        <w:pStyle w:val="BodyText"/>
        <w:spacing w:line="408" w:lineRule="auto"/>
        <w:ind w:right="1132" w:firstLine="420"/>
        <w:jc w:val="both"/>
      </w:pPr>
      <w:r>
        <w:rPr>
          <w:rFonts w:ascii="宋体" w:hAnsi="宋体" w:cs="宋体" w:eastAsia="宋体" w:hint="default"/>
        </w:rPr>
        <w:t>2016 </w:t>
      </w:r>
      <w:r>
        <w:rPr/>
        <w:t>年 </w:t>
      </w:r>
      <w:r>
        <w:rPr>
          <w:rFonts w:ascii="宋体" w:hAnsi="宋体" w:cs="宋体" w:eastAsia="宋体" w:hint="default"/>
        </w:rPr>
        <w:t>1 </w:t>
      </w:r>
      <w:r>
        <w:rPr/>
        <w:t>月 </w:t>
      </w:r>
      <w:r>
        <w:rPr>
          <w:rFonts w:ascii="宋体" w:hAnsi="宋体" w:cs="宋体" w:eastAsia="宋体" w:hint="default"/>
        </w:rPr>
        <w:t>28</w:t>
      </w:r>
      <w:r>
        <w:rPr>
          <w:rFonts w:ascii="宋体" w:hAnsi="宋体" w:cs="宋体" w:eastAsia="宋体" w:hint="default"/>
          <w:spacing w:val="-28"/>
        </w:rPr>
        <w:t> </w:t>
      </w:r>
      <w:r>
        <w:rPr/>
        <w:t>日，公司与自然人吴廷飞、霍尔果斯中尊创业投资合伙企业</w:t>
      </w:r>
      <w:r>
        <w:rPr>
          <w:rFonts w:ascii="宋体" w:hAnsi="宋体" w:cs="宋体" w:eastAsia="宋体" w:hint="default"/>
        </w:rPr>
        <w:t>(</w:t>
      </w:r>
      <w:r>
        <w:rPr/>
        <w:t>有限合伙</w:t>
      </w:r>
      <w:r>
        <w:rPr>
          <w:rFonts w:ascii="宋体" w:hAnsi="宋体" w:cs="宋体" w:eastAsia="宋体" w:hint="default"/>
        </w:rPr>
        <w:t>)</w:t>
      </w:r>
      <w:r>
        <w:rPr/>
        <w:t>、上海霆雨 </w:t>
      </w:r>
      <w:r>
        <w:rPr>
          <w:spacing w:val="-1"/>
        </w:rPr>
        <w:t>投资有限公司、北京盛夏星空影视传媒股份有限公司</w:t>
      </w:r>
      <w:r>
        <w:rPr>
          <w:rFonts w:ascii="宋体" w:hAnsi="宋体" w:cs="宋体" w:eastAsia="宋体" w:hint="default"/>
          <w:spacing w:val="-1"/>
        </w:rPr>
        <w:t>(</w:t>
      </w:r>
      <w:r>
        <w:rPr>
          <w:spacing w:val="-1"/>
        </w:rPr>
        <w:t>以下简称盛夏星空</w:t>
      </w:r>
      <w:r>
        <w:rPr>
          <w:rFonts w:ascii="宋体" w:hAnsi="宋体" w:cs="宋体" w:eastAsia="宋体" w:hint="default"/>
          <w:spacing w:val="-1"/>
        </w:rPr>
        <w:t>)</w:t>
      </w:r>
      <w:r>
        <w:rPr>
          <w:spacing w:val="-1"/>
        </w:rPr>
        <w:t>、签署《北京盛夏星空影视传媒</w:t>
      </w:r>
      <w:r>
        <w:rPr>
          <w:spacing w:val="-86"/>
        </w:rPr>
        <w:t> </w:t>
      </w:r>
      <w:r>
        <w:rPr>
          <w:spacing w:val="-86"/>
        </w:rPr>
      </w:r>
      <w:r>
        <w:rPr/>
        <w:t>股份有限公司投资协议》，协议约定公司以自有资金向盛夏星空投资 </w:t>
      </w:r>
      <w:r>
        <w:rPr>
          <w:rFonts w:ascii="宋体" w:hAnsi="宋体" w:cs="宋体" w:eastAsia="宋体" w:hint="default"/>
        </w:rPr>
        <w:t>53,333,333</w:t>
      </w:r>
      <w:r>
        <w:rPr>
          <w:rFonts w:ascii="宋体" w:hAnsi="宋体" w:cs="宋体" w:eastAsia="宋体" w:hint="default"/>
          <w:spacing w:val="-22"/>
        </w:rPr>
        <w:t> </w:t>
      </w:r>
      <w:r>
        <w:rPr/>
        <w:t>元认购盛夏星空新发行</w:t>
      </w:r>
    </w:p>
    <w:p>
      <w:pPr>
        <w:pStyle w:val="BodyText"/>
        <w:spacing w:line="408" w:lineRule="auto" w:before="46"/>
        <w:ind w:right="1109"/>
        <w:jc w:val="both"/>
      </w:pPr>
      <w:r>
        <w:rPr/>
        <w:t>股份</w:t>
      </w:r>
      <w:r>
        <w:rPr>
          <w:spacing w:val="-39"/>
        </w:rPr>
        <w:t> </w:t>
      </w:r>
      <w:r>
        <w:rPr>
          <w:rFonts w:ascii="宋体" w:hAnsi="宋体" w:cs="宋体" w:eastAsia="宋体" w:hint="default"/>
        </w:rPr>
        <w:t>3,888,889</w:t>
      </w:r>
      <w:r>
        <w:rPr>
          <w:rFonts w:ascii="宋体" w:hAnsi="宋体" w:cs="宋体" w:eastAsia="宋体" w:hint="default"/>
          <w:spacing w:val="-38"/>
        </w:rPr>
        <w:t> </w:t>
      </w:r>
      <w:r>
        <w:rPr/>
        <w:t>股。其中</w:t>
      </w:r>
      <w:r>
        <w:rPr>
          <w:spacing w:val="-39"/>
        </w:rPr>
        <w:t> </w:t>
      </w:r>
      <w:r>
        <w:rPr>
          <w:rFonts w:ascii="宋体" w:hAnsi="宋体" w:cs="宋体" w:eastAsia="宋体" w:hint="default"/>
        </w:rPr>
        <w:t>3,888,889</w:t>
      </w:r>
      <w:r>
        <w:rPr>
          <w:rFonts w:ascii="宋体" w:hAnsi="宋体" w:cs="宋体" w:eastAsia="宋体" w:hint="default"/>
          <w:spacing w:val="-39"/>
        </w:rPr>
        <w:t> </w:t>
      </w:r>
      <w:r>
        <w:rPr/>
        <w:t>元计入夏星空实收资本，超过实收资本的部分</w:t>
      </w:r>
      <w:r>
        <w:rPr>
          <w:rFonts w:ascii="宋体" w:hAnsi="宋体" w:cs="宋体" w:eastAsia="宋体" w:hint="default"/>
        </w:rPr>
        <w:t>(</w:t>
      </w:r>
      <w:r>
        <w:rPr/>
        <w:t>即</w:t>
      </w:r>
      <w:r>
        <w:rPr>
          <w:spacing w:val="-39"/>
        </w:rPr>
        <w:t> </w:t>
      </w:r>
      <w:r>
        <w:rPr>
          <w:rFonts w:ascii="宋体" w:hAnsi="宋体" w:cs="宋体" w:eastAsia="宋体" w:hint="default"/>
        </w:rPr>
        <w:t>49,444,444</w:t>
      </w:r>
      <w:r>
        <w:rPr>
          <w:rFonts w:ascii="宋体" w:hAnsi="宋体" w:cs="宋体" w:eastAsia="宋体" w:hint="default"/>
          <w:spacing w:val="-39"/>
        </w:rPr>
        <w:t> </w:t>
      </w:r>
      <w:r>
        <w:rPr/>
        <w:t>元</w:t>
      </w:r>
      <w:r>
        <w:rPr>
          <w:rFonts w:ascii="宋体" w:hAnsi="宋体" w:cs="宋体" w:eastAsia="宋体" w:hint="default"/>
        </w:rPr>
        <w:t>)</w:t>
      </w:r>
      <w:r>
        <w:rPr/>
        <w:t>作 </w:t>
      </w:r>
      <w:r>
        <w:rPr>
          <w:spacing w:val="-1"/>
        </w:rPr>
        <w:t>为出资溢价计入盛夏星空资本公积。上述增资完成后，盛夏星空的注册资本</w:t>
      </w:r>
      <w:r>
        <w:rPr>
          <w:rFonts w:ascii="宋体" w:hAnsi="宋体" w:cs="宋体" w:eastAsia="宋体" w:hint="default"/>
          <w:spacing w:val="-1"/>
        </w:rPr>
        <w:t>(</w:t>
      </w:r>
      <w:r>
        <w:rPr>
          <w:spacing w:val="-1"/>
        </w:rPr>
        <w:t>即股本总额</w:t>
      </w:r>
      <w:r>
        <w:rPr>
          <w:rFonts w:ascii="宋体" w:hAnsi="宋体" w:cs="宋体" w:eastAsia="宋体" w:hint="default"/>
          <w:spacing w:val="-1"/>
        </w:rPr>
        <w:t>)</w:t>
      </w:r>
      <w:r>
        <w:rPr>
          <w:spacing w:val="-1"/>
        </w:rPr>
        <w:t>将变更为人民币</w:t>
      </w:r>
      <w:r>
        <w:rPr>
          <w:spacing w:val="-83"/>
        </w:rPr>
        <w:t> </w:t>
      </w:r>
      <w:r>
        <w:rPr>
          <w:spacing w:val="-83"/>
        </w:rPr>
      </w:r>
      <w:r>
        <w:rPr>
          <w:rFonts w:ascii="宋体" w:hAnsi="宋体" w:cs="宋体" w:eastAsia="宋体" w:hint="default"/>
        </w:rPr>
        <w:t>38,888,889</w:t>
      </w:r>
      <w:r>
        <w:rPr>
          <w:rFonts w:ascii="宋体" w:hAnsi="宋体" w:cs="宋体" w:eastAsia="宋体" w:hint="default"/>
          <w:spacing w:val="-53"/>
        </w:rPr>
        <w:t> </w:t>
      </w:r>
      <w:r>
        <w:rPr/>
        <w:t>元，公司将持有盛夏星空股份</w:t>
      </w:r>
      <w:r>
        <w:rPr>
          <w:spacing w:val="-53"/>
        </w:rPr>
        <w:t> </w:t>
      </w:r>
      <w:r>
        <w:rPr>
          <w:rFonts w:ascii="宋体" w:hAnsi="宋体" w:cs="宋体" w:eastAsia="宋体" w:hint="default"/>
        </w:rPr>
        <w:t>3,888,889</w:t>
      </w:r>
      <w:r>
        <w:rPr>
          <w:rFonts w:ascii="宋体" w:hAnsi="宋体" w:cs="宋体" w:eastAsia="宋体" w:hint="default"/>
          <w:spacing w:val="-53"/>
        </w:rPr>
        <w:t> </w:t>
      </w:r>
      <w:r>
        <w:rPr/>
        <w:t>股股份，占盛夏星空股本总额的</w:t>
      </w:r>
      <w:r>
        <w:rPr>
          <w:spacing w:val="-53"/>
        </w:rPr>
        <w:t> </w:t>
      </w:r>
      <w:r>
        <w:rPr>
          <w:rFonts w:ascii="宋体" w:hAnsi="宋体" w:cs="宋体" w:eastAsia="宋体" w:hint="default"/>
        </w:rPr>
        <w:t>10%</w:t>
      </w:r>
      <w:r>
        <w:rPr/>
        <w:t>。本次投资前，</w:t>
      </w:r>
    </w:p>
    <w:p>
      <w:pPr>
        <w:pStyle w:val="BodyText"/>
        <w:spacing w:line="410" w:lineRule="auto" w:before="46"/>
        <w:ind w:left="154" w:right="1130"/>
        <w:jc w:val="both"/>
      </w:pPr>
      <w:r>
        <w:rPr/>
        <w:t>公司未持有盛夏星空股权。上述投资事项已于</w:t>
      </w:r>
      <w:r>
        <w:rPr>
          <w:spacing w:val="-40"/>
        </w:rPr>
        <w:t> </w:t>
      </w:r>
      <w:r>
        <w:rPr>
          <w:rFonts w:ascii="宋体" w:hAnsi="宋体" w:cs="宋体" w:eastAsia="宋体" w:hint="default"/>
        </w:rPr>
        <w:t>2016</w:t>
      </w:r>
      <w:r>
        <w:rPr>
          <w:rFonts w:ascii="宋体" w:hAnsi="宋体" w:cs="宋体" w:eastAsia="宋体" w:hint="default"/>
          <w:spacing w:val="-40"/>
        </w:rPr>
        <w:t> </w:t>
      </w:r>
      <w:r>
        <w:rPr/>
        <w:t>年</w:t>
      </w:r>
      <w:r>
        <w:rPr>
          <w:spacing w:val="-40"/>
        </w:rPr>
        <w:t> </w:t>
      </w:r>
      <w:r>
        <w:rPr>
          <w:rFonts w:ascii="宋体" w:hAnsi="宋体" w:cs="宋体" w:eastAsia="宋体" w:hint="default"/>
        </w:rPr>
        <w:t>2</w:t>
      </w:r>
      <w:r>
        <w:rPr>
          <w:rFonts w:ascii="宋体" w:hAnsi="宋体" w:cs="宋体" w:eastAsia="宋体" w:hint="default"/>
          <w:spacing w:val="-40"/>
        </w:rPr>
        <w:t> </w:t>
      </w:r>
      <w:r>
        <w:rPr/>
        <w:t>月</w:t>
      </w:r>
      <w:r>
        <w:rPr>
          <w:spacing w:val="-40"/>
        </w:rPr>
        <w:t> </w:t>
      </w:r>
      <w:r>
        <w:rPr>
          <w:rFonts w:ascii="宋体" w:hAnsi="宋体" w:cs="宋体" w:eastAsia="宋体" w:hint="default"/>
        </w:rPr>
        <w:t>15</w:t>
      </w:r>
      <w:r>
        <w:rPr>
          <w:rFonts w:ascii="宋体" w:hAnsi="宋体" w:cs="宋体" w:eastAsia="宋体" w:hint="default"/>
          <w:spacing w:val="-40"/>
        </w:rPr>
        <w:t> </w:t>
      </w:r>
      <w:r>
        <w:rPr/>
        <w:t>日经公司董事长王相荣批准通过</w:t>
      </w:r>
      <w:r>
        <w:rPr>
          <w:rFonts w:ascii="宋体" w:hAnsi="宋体" w:cs="宋体" w:eastAsia="宋体" w:hint="default"/>
        </w:rPr>
        <w:t>(</w:t>
      </w:r>
      <w:r>
        <w:rPr/>
        <w:t>本次交易 在公司董事长决策权限内，无需提交公司董事会、股东大会审议</w:t>
      </w:r>
      <w:r>
        <w:rPr>
          <w:rFonts w:ascii="宋体" w:hAnsi="宋体" w:cs="宋体" w:eastAsia="宋体" w:hint="default"/>
        </w:rPr>
        <w:t>)</w:t>
      </w:r>
      <w:r>
        <w:rPr/>
        <w:t>。</w:t>
      </w:r>
    </w:p>
    <w:p>
      <w:pPr>
        <w:pStyle w:val="BodyText"/>
        <w:spacing w:line="240" w:lineRule="auto" w:before="83"/>
        <w:ind w:left="574" w:right="0"/>
        <w:jc w:val="left"/>
      </w:pPr>
      <w:r>
        <w:rPr/>
        <w:t>截至本财务报表批准报出日，公司已支付上述投资款</w:t>
      </w:r>
      <w:r>
        <w:rPr>
          <w:spacing w:val="-52"/>
        </w:rPr>
        <w:t> </w:t>
      </w:r>
      <w:r>
        <w:rPr>
          <w:rFonts w:ascii="宋体" w:hAnsi="宋体" w:cs="宋体" w:eastAsia="宋体" w:hint="default"/>
        </w:rPr>
        <w:t>53,333,333</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44" w:lineRule="auto" w:before="177"/>
        <w:ind w:left="574" w:right="7193" w:firstLine="2"/>
        <w:jc w:val="left"/>
        <w:rPr>
          <w:rFonts w:ascii="宋体" w:hAnsi="宋体" w:cs="宋体" w:eastAsia="宋体" w:hint="default"/>
          <w:sz w:val="21"/>
          <w:szCs w:val="21"/>
        </w:rPr>
      </w:pPr>
      <w:bookmarkStart w:name="十五、其他重要事项" w:id="258"/>
      <w:bookmarkEnd w:id="258"/>
      <w:r>
        <w:rPr/>
      </w:r>
      <w:r>
        <w:rPr>
          <w:rFonts w:ascii="黑体" w:hAnsi="黑体" w:cs="黑体" w:eastAsia="黑体" w:hint="default"/>
          <w:b/>
          <w:bCs/>
          <w:sz w:val="21"/>
          <w:szCs w:val="21"/>
        </w:rPr>
        <w:t>十五、其他重要事项</w:t>
      </w:r>
      <w:r>
        <w:rPr>
          <w:rFonts w:ascii="黑体" w:hAnsi="黑体" w:cs="黑体" w:eastAsia="黑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分部信息 </w:t>
      </w:r>
      <w:r>
        <w:rPr>
          <w:rFonts w:ascii="宋体" w:hAnsi="宋体" w:cs="宋体" w:eastAsia="宋体" w:hint="default"/>
          <w:sz w:val="21"/>
          <w:szCs w:val="21"/>
        </w:rPr>
        <w:t>1.</w:t>
      </w:r>
      <w:r>
        <w:rPr>
          <w:rFonts w:ascii="宋体" w:hAnsi="宋体" w:cs="宋体" w:eastAsia="宋体" w:hint="default"/>
          <w:sz w:val="21"/>
          <w:szCs w:val="21"/>
        </w:rPr>
        <w:t>报告分部的确定依据与会计政策</w:t>
      </w:r>
    </w:p>
    <w:p>
      <w:pPr>
        <w:pStyle w:val="BodyText"/>
        <w:spacing w:line="410" w:lineRule="auto" w:before="54"/>
        <w:ind w:left="154" w:right="1130" w:firstLine="420"/>
        <w:jc w:val="both"/>
      </w:pPr>
      <w:r>
        <w:rPr>
          <w:spacing w:val="-1"/>
        </w:rPr>
        <w:t>公司以内部组织结构、管理要求、内部报告制度等为依据确定经营分部。公司的经营分部是指同时满</w:t>
      </w:r>
      <w:r>
        <w:rPr/>
        <w:t> 足下列条件的组成部分：</w:t>
      </w:r>
    </w:p>
    <w:p>
      <w:pPr>
        <w:pStyle w:val="BodyText"/>
        <w:spacing w:line="444" w:lineRule="auto" w:before="83"/>
        <w:ind w:left="574" w:right="0"/>
        <w:jc w:val="left"/>
      </w:pPr>
      <w:r>
        <w:rPr>
          <w:rFonts w:ascii="宋体" w:hAnsi="宋体" w:cs="宋体" w:eastAsia="宋体" w:hint="default"/>
        </w:rPr>
        <w:t>(1)</w:t>
      </w:r>
      <w:r>
        <w:rPr/>
        <w:t>该组成部分能够在日常活动中产生收入、发生费用； </w:t>
      </w:r>
      <w:r>
        <w:rPr>
          <w:rFonts w:ascii="宋体" w:hAnsi="宋体" w:cs="宋体" w:eastAsia="宋体" w:hint="default"/>
        </w:rPr>
        <w:t>(2)</w:t>
      </w:r>
      <w:r>
        <w:rPr/>
        <w:t>管理层能够定期评价该组成部分的经营成果，以决定向其配置资源、评价其业绩； </w:t>
      </w:r>
      <w:r>
        <w:rPr>
          <w:rFonts w:ascii="宋体" w:hAnsi="宋体" w:cs="宋体" w:eastAsia="宋体" w:hint="default"/>
        </w:rPr>
        <w:t>(3)</w:t>
      </w:r>
      <w:r>
        <w:rPr/>
        <w:t>能够通过分析取得该组成部分的财务状况、经营成果和现金流量等有关会计信息。 </w:t>
      </w:r>
      <w:r>
        <w:rPr>
          <w:spacing w:val="-1"/>
        </w:rPr>
        <w:t>公司以产品分部为基础确定报告分部，与各分部共同使用的资产、负债按照规模比例在不同的分部之</w:t>
      </w:r>
    </w:p>
    <w:p>
      <w:pPr>
        <w:spacing w:after="0" w:line="444" w:lineRule="auto"/>
        <w:jc w:val="left"/>
        <w:sectPr>
          <w:pgSz w:w="11910" w:h="16840"/>
          <w:pgMar w:header="877" w:footer="979"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5"/>
        <w:ind w:left="534" w:right="5922"/>
        <w:jc w:val="left"/>
      </w:pPr>
      <w:r>
        <w:rPr/>
        <w:t>间分配。</w:t>
      </w:r>
    </w:p>
    <w:p>
      <w:pPr>
        <w:spacing w:line="240" w:lineRule="auto" w:before="10"/>
        <w:rPr>
          <w:rFonts w:ascii="宋体" w:hAnsi="宋体" w:cs="宋体" w:eastAsia="宋体" w:hint="default"/>
          <w:sz w:val="17"/>
          <w:szCs w:val="17"/>
        </w:rPr>
      </w:pPr>
    </w:p>
    <w:p>
      <w:pPr>
        <w:pStyle w:val="BodyText"/>
        <w:spacing w:line="240" w:lineRule="auto"/>
        <w:ind w:left="954" w:right="5922"/>
        <w:jc w:val="left"/>
      </w:pPr>
      <w:r>
        <w:rPr>
          <w:rFonts w:ascii="宋体" w:hAnsi="宋体" w:cs="宋体" w:eastAsia="宋体" w:hint="default"/>
        </w:rPr>
        <w:t>2.</w:t>
      </w:r>
      <w:r>
        <w:rPr>
          <w:rFonts w:ascii="宋体" w:hAnsi="宋体" w:cs="宋体" w:eastAsia="宋体" w:hint="default"/>
          <w:spacing w:val="-1"/>
        </w:rPr>
        <w:t> </w:t>
      </w:r>
      <w:r>
        <w:rPr/>
        <w:t>报告分部的财务信息</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410"/>
        <w:gridCol w:w="2007"/>
        <w:gridCol w:w="1990"/>
        <w:gridCol w:w="2007"/>
        <w:gridCol w:w="1955"/>
      </w:tblGrid>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5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49"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38"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611" w:right="0"/>
              <w:jc w:val="left"/>
              <w:rPr>
                <w:rFonts w:ascii="宋体" w:hAnsi="宋体" w:cs="宋体" w:eastAsia="宋体" w:hint="default"/>
                <w:sz w:val="18"/>
                <w:szCs w:val="18"/>
              </w:rPr>
            </w:pPr>
            <w:r>
              <w:rPr>
                <w:rFonts w:ascii="宋体" w:hAnsi="宋体" w:cs="宋体" w:eastAsia="宋体" w:hint="default"/>
                <w:sz w:val="18"/>
                <w:szCs w:val="18"/>
              </w:rPr>
              <w:t>负债总额</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民用泵</w:t>
            </w:r>
            <w:r>
              <w:rPr>
                <w:rFonts w:ascii="宋体" w:hAnsi="宋体" w:cs="宋体" w:eastAsia="宋体" w:hint="default"/>
                <w:sz w:val="18"/>
                <w:szCs w:val="18"/>
              </w:rPr>
              <w:t>(</w:t>
            </w:r>
            <w:r>
              <w:rPr>
                <w:rFonts w:ascii="宋体" w:hAnsi="宋体" w:cs="宋体" w:eastAsia="宋体" w:hint="default"/>
                <w:sz w:val="18"/>
                <w:szCs w:val="18"/>
              </w:rPr>
              <w:t>微型小型水泵</w:t>
            </w:r>
            <w:r>
              <w:rPr>
                <w:rFonts w:ascii="宋体" w:hAnsi="宋体" w:cs="宋体" w:eastAsia="宋体" w:hint="default"/>
                <w:sz w:val="18"/>
                <w:szCs w:val="18"/>
              </w:rPr>
              <w:t>)</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1,114,919,487.18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794,902,113.20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1,294,959,811.09</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900,865,761.06</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620,802,736.77</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519,406,280.63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813,289,351.56</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235,045,262.19</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145,088,925.24</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122,908,155.09</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172,146,932.62</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119,749,597.87</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104,706,825.51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70,260,646.54</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138,444,496.31</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47,086,227.68</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9,812,201.50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7,683,271.29</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12,973,798.87</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4,412,506.55</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1,925,251,717.20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1,691,862,111.01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1,813,741,390.70</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691,129,230.10</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376,423,403.95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298,031,174.42</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520,800,488.44</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223,861,189.12</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306,339,172.88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139,252,112.63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697,685,868.60</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69,723,319.94</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PC</w:t>
            </w:r>
            <w:r>
              <w:rPr>
                <w:rFonts w:ascii="宋体" w:hAnsi="宋体" w:cs="宋体" w:eastAsia="宋体" w:hint="default"/>
                <w:spacing w:val="-46"/>
                <w:sz w:val="18"/>
                <w:szCs w:val="18"/>
              </w:rPr>
              <w:t> </w:t>
            </w:r>
            <w:r>
              <w:rPr>
                <w:rFonts w:ascii="宋体" w:hAnsi="宋体" w:cs="宋体" w:eastAsia="宋体" w:hint="default"/>
                <w:sz w:val="18"/>
                <w:szCs w:val="18"/>
              </w:rPr>
              <w:t>端流量整合业务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46,326,526.43</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34,605,521.24</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1,067,837,372.87</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53,511,414.32</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移动端流量整合业务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59,363,471.41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38,855,763.44</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1,088,757,718.85</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115,915,699.35</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精准营销业务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54,715,177.19</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46,650,502.24</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766,891,956.64</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146,907,889.02</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6,640,107.85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4,248,955.38</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12,498,388.62</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2,144,254.08</w:t>
            </w: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407,746,623.70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410,980,753.95</w:t>
            </w:r>
          </w:p>
        </w:tc>
        <w:tc>
          <w:tcPr>
            <w:tcW w:w="2007"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4,362,643,129.41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3,357,685,853.16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8,400,027,575.17</w:t>
            </w:r>
          </w:p>
        </w:tc>
        <w:tc>
          <w:tcPr>
            <w:tcW w:w="1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2,610,352,351.28</w:t>
            </w:r>
          </w:p>
        </w:tc>
      </w:tr>
    </w:tbl>
    <w:p>
      <w:pPr>
        <w:spacing w:line="240" w:lineRule="auto" w:before="3"/>
        <w:rPr>
          <w:rFonts w:ascii="宋体" w:hAnsi="宋体" w:cs="宋体" w:eastAsia="宋体" w:hint="default"/>
          <w:sz w:val="5"/>
          <w:szCs w:val="5"/>
        </w:rPr>
      </w:pPr>
    </w:p>
    <w:p>
      <w:pPr>
        <w:pStyle w:val="BodyText"/>
        <w:spacing w:line="444" w:lineRule="auto" w:before="35"/>
        <w:ind w:left="954" w:right="5922"/>
        <w:jc w:val="left"/>
      </w:pPr>
      <w:r>
        <w:rPr>
          <w:rFonts w:ascii="宋体" w:hAnsi="宋体" w:cs="宋体" w:eastAsia="宋体" w:hint="default"/>
        </w:rPr>
        <w:t>(</w:t>
      </w:r>
      <w:r>
        <w:rPr/>
        <w:t>二</w:t>
      </w:r>
      <w:r>
        <w:rPr>
          <w:rFonts w:ascii="宋体" w:hAnsi="宋体" w:cs="宋体" w:eastAsia="宋体" w:hint="default"/>
        </w:rPr>
        <w:t>)</w:t>
      </w:r>
      <w:r>
        <w:rPr/>
        <w:t>其他对投资者决策有影响的重要交易和事项 </w:t>
      </w:r>
      <w:r>
        <w:rPr>
          <w:rFonts w:ascii="宋体" w:hAnsi="宋体" w:cs="宋体" w:eastAsia="宋体" w:hint="default"/>
        </w:rPr>
        <w:t>1.</w:t>
      </w:r>
      <w:r>
        <w:rPr/>
        <w:t>土地收储和搬迁事项</w:t>
      </w:r>
    </w:p>
    <w:p>
      <w:pPr>
        <w:pStyle w:val="BodyText"/>
        <w:spacing w:line="408" w:lineRule="auto" w:before="53"/>
        <w:ind w:left="533" w:right="1130" w:firstLine="420"/>
        <w:jc w:val="both"/>
      </w:pPr>
      <w:r>
        <w:rPr>
          <w:rFonts w:ascii="宋体" w:hAnsi="宋体" w:cs="宋体" w:eastAsia="宋体" w:hint="default"/>
        </w:rPr>
        <w:t>2013</w:t>
      </w:r>
      <w:r>
        <w:rPr>
          <w:rFonts w:ascii="宋体" w:hAnsi="宋体" w:cs="宋体" w:eastAsia="宋体" w:hint="default"/>
          <w:spacing w:val="-32"/>
        </w:rPr>
        <w:t> </w:t>
      </w:r>
      <w:r>
        <w:rPr/>
        <w:t>年</w:t>
      </w:r>
      <w:r>
        <w:rPr>
          <w:spacing w:val="-33"/>
        </w:rPr>
        <w:t> </w:t>
      </w:r>
      <w:r>
        <w:rPr>
          <w:rFonts w:ascii="宋体" w:hAnsi="宋体" w:cs="宋体" w:eastAsia="宋体" w:hint="default"/>
        </w:rPr>
        <w:t>10</w:t>
      </w:r>
      <w:r>
        <w:rPr>
          <w:rFonts w:ascii="宋体" w:hAnsi="宋体" w:cs="宋体" w:eastAsia="宋体" w:hint="default"/>
          <w:spacing w:val="-34"/>
        </w:rPr>
        <w:t> </w:t>
      </w:r>
      <w:r>
        <w:rPr/>
        <w:t>月，根据温岭市委、市政府《温岭市党政联席会议纪要》</w:t>
      </w:r>
      <w:r>
        <w:rPr>
          <w:rFonts w:ascii="宋体" w:hAnsi="宋体" w:cs="宋体" w:eastAsia="宋体" w:hint="default"/>
        </w:rPr>
        <w:t>(</w:t>
      </w:r>
      <w:r>
        <w:rPr/>
        <w:t>温十三届〔</w:t>
      </w:r>
      <w:r>
        <w:rPr>
          <w:rFonts w:ascii="宋体" w:hAnsi="宋体" w:cs="宋体" w:eastAsia="宋体" w:hint="default"/>
        </w:rPr>
        <w:t>2013</w:t>
      </w:r>
      <w:r>
        <w:rPr/>
        <w:t>〕</w:t>
      </w:r>
      <w:r>
        <w:rPr>
          <w:rFonts w:ascii="宋体" w:hAnsi="宋体" w:cs="宋体" w:eastAsia="宋体" w:hint="default"/>
        </w:rPr>
        <w:t>5</w:t>
      </w:r>
      <w:r>
        <w:rPr>
          <w:rFonts w:ascii="宋体" w:hAnsi="宋体" w:cs="宋体" w:eastAsia="宋体" w:hint="default"/>
          <w:spacing w:val="-33"/>
        </w:rPr>
        <w:t> </w:t>
      </w:r>
      <w:r>
        <w:rPr/>
        <w:t>号</w:t>
      </w:r>
      <w:r>
        <w:rPr>
          <w:rFonts w:ascii="宋体" w:hAnsi="宋体" w:cs="宋体" w:eastAsia="宋体" w:hint="default"/>
        </w:rPr>
        <w:t>)</w:t>
      </w:r>
      <w:r>
        <w:rPr/>
        <w:t>、温岭 市人民政府办公室会议纪要</w:t>
      </w:r>
      <w:r>
        <w:rPr>
          <w:rFonts w:ascii="宋体" w:hAnsi="宋体" w:cs="宋体" w:eastAsia="宋体" w:hint="default"/>
        </w:rPr>
        <w:t>(</w:t>
      </w:r>
      <w:r>
        <w:rPr/>
        <w:t>温政办纪〔</w:t>
      </w:r>
      <w:r>
        <w:rPr>
          <w:rFonts w:ascii="宋体" w:hAnsi="宋体" w:cs="宋体" w:eastAsia="宋体" w:hint="default"/>
        </w:rPr>
        <w:t>2013</w:t>
      </w:r>
      <w:r>
        <w:rPr/>
        <w:t>〕</w:t>
      </w:r>
      <w:r>
        <w:rPr>
          <w:rFonts w:ascii="宋体" w:hAnsi="宋体" w:cs="宋体" w:eastAsia="宋体" w:hint="default"/>
        </w:rPr>
        <w:t>161</w:t>
      </w:r>
      <w:r>
        <w:rPr>
          <w:rFonts w:ascii="宋体" w:hAnsi="宋体" w:cs="宋体" w:eastAsia="宋体" w:hint="default"/>
          <w:spacing w:val="-27"/>
        </w:rPr>
        <w:t> </w:t>
      </w:r>
      <w:r>
        <w:rPr/>
        <w:t>号</w:t>
      </w:r>
      <w:r>
        <w:rPr>
          <w:rFonts w:ascii="宋体" w:hAnsi="宋体" w:cs="宋体" w:eastAsia="宋体" w:hint="default"/>
        </w:rPr>
        <w:t>)</w:t>
      </w:r>
      <w:r>
        <w:rPr/>
        <w:t>的相关意见，原则同意对公司位于城西街道一号路 </w:t>
      </w:r>
      <w:r>
        <w:rPr>
          <w:spacing w:val="-1"/>
        </w:rPr>
        <w:t>西侧、芷胜庄村及温峤镇莞渭童村</w:t>
      </w:r>
      <w:r>
        <w:rPr>
          <w:rFonts w:ascii="宋体" w:hAnsi="宋体" w:cs="宋体" w:eastAsia="宋体" w:hint="default"/>
          <w:spacing w:val="-1"/>
        </w:rPr>
        <w:t>(</w:t>
      </w:r>
      <w:r>
        <w:rPr>
          <w:spacing w:val="-1"/>
        </w:rPr>
        <w:t>均属于温岭市城市新区管委会管辖</w:t>
      </w:r>
      <w:r>
        <w:rPr>
          <w:rFonts w:ascii="宋体" w:hAnsi="宋体" w:cs="宋体" w:eastAsia="宋体" w:hint="default"/>
          <w:spacing w:val="-1"/>
        </w:rPr>
        <w:t>)</w:t>
      </w:r>
      <w:r>
        <w:rPr>
          <w:spacing w:val="-1"/>
        </w:rPr>
        <w:t>，以出让方式取得五处宗地的《国</w:t>
      </w:r>
      <w:r>
        <w:rPr>
          <w:spacing w:val="-84"/>
        </w:rPr>
        <w:t> </w:t>
      </w:r>
      <w:r>
        <w:rPr>
          <w:spacing w:val="-84"/>
        </w:rPr>
      </w:r>
      <w:r>
        <w:rPr>
          <w:spacing w:val="-1"/>
        </w:rPr>
        <w:t>有土地使用权证》全部交由温岭市国土资源局收回并予以注销。另外，根据《温岭市国有土地使用权收购</w:t>
      </w:r>
      <w:r>
        <w:rPr>
          <w:spacing w:val="-86"/>
        </w:rPr>
        <w:t> </w:t>
      </w:r>
      <w:r>
        <w:rPr>
          <w:spacing w:val="-86"/>
        </w:rPr>
      </w:r>
      <w:r>
        <w:rPr>
          <w:spacing w:val="-3"/>
        </w:rPr>
        <w:t>合同》</w:t>
      </w:r>
      <w:r>
        <w:rPr>
          <w:rFonts w:ascii="宋体" w:hAnsi="宋体" w:cs="宋体" w:eastAsia="宋体" w:hint="default"/>
          <w:spacing w:val="-3"/>
        </w:rPr>
        <w:t>(</w:t>
      </w:r>
      <w:r>
        <w:rPr>
          <w:spacing w:val="-3"/>
        </w:rPr>
        <w:t>温土储合字第〔</w:t>
      </w:r>
      <w:r>
        <w:rPr>
          <w:rFonts w:ascii="宋体" w:hAnsi="宋体" w:cs="宋体" w:eastAsia="宋体" w:hint="default"/>
          <w:spacing w:val="-3"/>
        </w:rPr>
        <w:t>2013</w:t>
      </w:r>
      <w:r>
        <w:rPr>
          <w:spacing w:val="-3"/>
        </w:rPr>
        <w:t>〕</w:t>
      </w:r>
      <w:r>
        <w:rPr>
          <w:rFonts w:ascii="宋体" w:hAnsi="宋体" w:cs="宋体" w:eastAsia="宋体" w:hint="default"/>
          <w:spacing w:val="-3"/>
        </w:rPr>
        <w:t>7</w:t>
      </w:r>
      <w:r>
        <w:rPr>
          <w:rFonts w:ascii="宋体" w:hAnsi="宋体" w:cs="宋体" w:eastAsia="宋体" w:hint="default"/>
          <w:spacing w:val="-55"/>
        </w:rPr>
        <w:t> </w:t>
      </w:r>
      <w:r>
        <w:rPr/>
        <w:t>号</w:t>
      </w:r>
      <w:r>
        <w:rPr>
          <w:rFonts w:ascii="宋体" w:hAnsi="宋体" w:cs="宋体" w:eastAsia="宋体" w:hint="default"/>
        </w:rPr>
        <w:t>)</w:t>
      </w:r>
      <w:r>
        <w:rPr/>
        <w:t>的相关约定，上述土地收储补偿及奖励款合计</w:t>
      </w:r>
      <w:r>
        <w:rPr>
          <w:spacing w:val="-55"/>
        </w:rPr>
        <w:t> </w:t>
      </w:r>
      <w:r>
        <w:rPr>
          <w:rFonts w:ascii="宋体" w:hAnsi="宋体" w:cs="宋体" w:eastAsia="宋体" w:hint="default"/>
        </w:rPr>
        <w:t>37,124</w:t>
      </w:r>
      <w:r>
        <w:rPr>
          <w:rFonts w:ascii="宋体" w:hAnsi="宋体" w:cs="宋体" w:eastAsia="宋体" w:hint="default"/>
          <w:spacing w:val="-56"/>
        </w:rPr>
        <w:t> </w:t>
      </w:r>
      <w:r>
        <w:rPr>
          <w:spacing w:val="-3"/>
        </w:rPr>
        <w:t>万元，其中土地</w:t>
      </w:r>
      <w:r>
        <w:rPr/>
        <w:t> 收储补偿款</w:t>
      </w:r>
      <w:r>
        <w:rPr>
          <w:spacing w:val="-53"/>
        </w:rPr>
        <w:t> </w:t>
      </w:r>
      <w:r>
        <w:rPr>
          <w:rFonts w:ascii="宋体" w:hAnsi="宋体" w:cs="宋体" w:eastAsia="宋体" w:hint="default"/>
        </w:rPr>
        <w:t>27,500</w:t>
      </w:r>
      <w:r>
        <w:rPr>
          <w:rFonts w:ascii="宋体" w:hAnsi="宋体" w:cs="宋体" w:eastAsia="宋体" w:hint="default"/>
          <w:spacing w:val="-54"/>
        </w:rPr>
        <w:t> </w:t>
      </w:r>
      <w:r>
        <w:rPr/>
        <w:t>万元、搬迁奖励款</w:t>
      </w:r>
      <w:r>
        <w:rPr>
          <w:spacing w:val="-54"/>
        </w:rPr>
        <w:t> </w:t>
      </w:r>
      <w:r>
        <w:rPr>
          <w:rFonts w:ascii="宋体" w:hAnsi="宋体" w:cs="宋体" w:eastAsia="宋体" w:hint="default"/>
        </w:rPr>
        <w:t>9,624</w:t>
      </w:r>
      <w:r>
        <w:rPr>
          <w:rFonts w:ascii="宋体" w:hAnsi="宋体" w:cs="宋体" w:eastAsia="宋体" w:hint="default"/>
          <w:spacing w:val="-53"/>
        </w:rPr>
        <w:t> </w:t>
      </w:r>
      <w:r>
        <w:rPr/>
        <w:t>万元。</w:t>
      </w:r>
    </w:p>
    <w:p>
      <w:pPr>
        <w:pStyle w:val="BodyText"/>
        <w:spacing w:line="240" w:lineRule="auto" w:before="84"/>
        <w:ind w:left="953" w:right="0"/>
        <w:jc w:val="left"/>
      </w:pPr>
      <w:r>
        <w:rPr/>
        <w:t>根据</w:t>
      </w:r>
      <w:r>
        <w:rPr>
          <w:spacing w:val="-58"/>
        </w:rPr>
        <w:t> </w:t>
      </w:r>
      <w:r>
        <w:rPr>
          <w:rFonts w:ascii="宋体" w:hAnsi="宋体" w:cs="宋体" w:eastAsia="宋体" w:hint="default"/>
        </w:rPr>
        <w:t>2014</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58"/>
        </w:rPr>
        <w:t> </w:t>
      </w:r>
      <w:r>
        <w:rPr>
          <w:spacing w:val="-7"/>
        </w:rPr>
        <w:t>月、</w:t>
      </w:r>
      <w:r>
        <w:rPr>
          <w:rFonts w:ascii="宋体" w:hAnsi="宋体" w:cs="宋体" w:eastAsia="宋体" w:hint="default"/>
          <w:spacing w:val="-7"/>
        </w:rPr>
        <w:t>2015</w:t>
      </w:r>
      <w:r>
        <w:rPr>
          <w:rFonts w:ascii="宋体" w:hAnsi="宋体" w:cs="宋体" w:eastAsia="宋体" w:hint="default"/>
          <w:spacing w:val="-60"/>
        </w:rPr>
        <w:t> </w:t>
      </w:r>
      <w:r>
        <w:rPr/>
        <w:t>年</w:t>
      </w:r>
      <w:r>
        <w:rPr>
          <w:spacing w:val="-59"/>
        </w:rPr>
        <w:t> </w:t>
      </w:r>
      <w:r>
        <w:rPr>
          <w:rFonts w:ascii="宋体" w:hAnsi="宋体" w:cs="宋体" w:eastAsia="宋体" w:hint="default"/>
        </w:rPr>
        <w:t>2</w:t>
      </w:r>
      <w:r>
        <w:rPr>
          <w:rFonts w:ascii="宋体" w:hAnsi="宋体" w:cs="宋体" w:eastAsia="宋体" w:hint="default"/>
          <w:spacing w:val="-58"/>
        </w:rPr>
        <w:t> </w:t>
      </w:r>
      <w:r>
        <w:rPr/>
        <w:t>月公司分别收到温岭市城市新区管理委员会下发的《关于利欧集团股份</w:t>
      </w:r>
    </w:p>
    <w:p>
      <w:pPr>
        <w:spacing w:after="0" w:line="240" w:lineRule="auto"/>
        <w:jc w:val="left"/>
        <w:sectPr>
          <w:pgSz w:w="11910" w:h="16840"/>
          <w:pgMar w:header="877" w:footer="979" w:top="1100" w:bottom="1160" w:left="600" w:right="0"/>
        </w:sectPr>
      </w:pPr>
    </w:p>
    <w:p>
      <w:pPr>
        <w:spacing w:line="240" w:lineRule="auto" w:before="8"/>
        <w:rPr>
          <w:rFonts w:ascii="宋体" w:hAnsi="宋体" w:cs="宋体" w:eastAsia="宋体" w:hint="default"/>
          <w:sz w:val="26"/>
          <w:szCs w:val="26"/>
        </w:rPr>
      </w:pPr>
    </w:p>
    <w:p>
      <w:pPr>
        <w:pStyle w:val="BodyText"/>
        <w:spacing w:line="408" w:lineRule="auto" w:before="35"/>
        <w:ind w:left="154" w:right="1130"/>
        <w:jc w:val="both"/>
      </w:pPr>
      <w:r>
        <w:rPr/>
        <w:t>有限公司搬迁奖励的通知》</w:t>
      </w:r>
      <w:r>
        <w:rPr>
          <w:rFonts w:ascii="宋体" w:hAnsi="宋体" w:cs="宋体" w:eastAsia="宋体" w:hint="default"/>
        </w:rPr>
        <w:t>(</w:t>
      </w:r>
      <w:r>
        <w:rPr/>
        <w:t>温新区〔</w:t>
      </w:r>
      <w:r>
        <w:rPr>
          <w:rFonts w:ascii="宋体" w:hAnsi="宋体" w:cs="宋体" w:eastAsia="宋体" w:hint="default"/>
        </w:rPr>
        <w:t>2014</w:t>
      </w:r>
      <w:r>
        <w:rPr/>
        <w:t>〕</w:t>
      </w:r>
      <w:r>
        <w:rPr>
          <w:rFonts w:ascii="宋体" w:hAnsi="宋体" w:cs="宋体" w:eastAsia="宋体" w:hint="default"/>
        </w:rPr>
        <w:t>29 </w:t>
      </w:r>
      <w:r>
        <w:rPr/>
        <w:t>号</w:t>
      </w:r>
      <w:r>
        <w:rPr>
          <w:rFonts w:ascii="宋体" w:hAnsi="宋体" w:cs="宋体" w:eastAsia="宋体" w:hint="default"/>
        </w:rPr>
        <w:t>)</w:t>
      </w:r>
      <w:r>
        <w:rPr/>
        <w:t>、</w:t>
      </w:r>
      <w:r>
        <w:rPr>
          <w:rFonts w:ascii="宋体" w:hAnsi="宋体" w:cs="宋体" w:eastAsia="宋体" w:hint="default"/>
        </w:rPr>
        <w:t>(</w:t>
      </w:r>
      <w:r>
        <w:rPr/>
        <w:t>温新区〔</w:t>
      </w:r>
      <w:r>
        <w:rPr>
          <w:rFonts w:ascii="宋体" w:hAnsi="宋体" w:cs="宋体" w:eastAsia="宋体" w:hint="default"/>
        </w:rPr>
        <w:t>2015</w:t>
      </w:r>
      <w:r>
        <w:rPr/>
        <w:t>〕</w:t>
      </w:r>
      <w:r>
        <w:rPr>
          <w:rFonts w:ascii="宋体" w:hAnsi="宋体" w:cs="宋体" w:eastAsia="宋体" w:hint="default"/>
        </w:rPr>
        <w:t>5 </w:t>
      </w:r>
      <w:r>
        <w:rPr/>
        <w:t>号</w:t>
      </w:r>
      <w:r>
        <w:rPr>
          <w:rFonts w:ascii="宋体" w:hAnsi="宋体" w:cs="宋体" w:eastAsia="宋体" w:hint="default"/>
        </w:rPr>
        <w:t>)</w:t>
      </w:r>
      <w:r>
        <w:rPr>
          <w:rFonts w:ascii="宋体" w:hAnsi="宋体" w:cs="宋体" w:eastAsia="宋体" w:hint="default"/>
          <w:spacing w:val="-29"/>
        </w:rPr>
        <w:t> </w:t>
      </w:r>
      <w:r>
        <w:rPr>
          <w:rFonts w:ascii="宋体" w:hAnsi="宋体" w:cs="宋体" w:eastAsia="宋体" w:hint="default"/>
        </w:rPr>
        <w:t>(</w:t>
      </w:r>
      <w:r>
        <w:rPr/>
        <w:t>以下简称搬迁奖励通知</w:t>
      </w:r>
      <w:r>
        <w:rPr>
          <w:rFonts w:ascii="宋体" w:hAnsi="宋体" w:cs="宋体" w:eastAsia="宋体" w:hint="default"/>
        </w:rPr>
        <w:t>)</w:t>
      </w:r>
      <w:r>
        <w:rPr/>
        <w:t>。 </w:t>
      </w:r>
      <w:r>
        <w:rPr>
          <w:spacing w:val="3"/>
        </w:rPr>
        <w:t>搬迁奖励通知确认，温岭市城市新区管理委员会结合利欧集团股份有限公司上述土地收储及搬迁实际进</w:t>
      </w:r>
      <w:r>
        <w:rPr>
          <w:spacing w:val="-82"/>
        </w:rPr>
        <w:t> </w:t>
      </w:r>
      <w:r>
        <w:rPr>
          <w:spacing w:val="-82"/>
        </w:rPr>
      </w:r>
      <w:r>
        <w:rPr/>
        <w:t>度，经与市财政、市收储公司确认，于</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2"/>
        </w:rPr>
        <w:t> </w:t>
      </w:r>
      <w:r>
        <w:rPr/>
        <w:t>月</w:t>
      </w:r>
      <w:r>
        <w:rPr>
          <w:spacing w:val="-43"/>
        </w:rPr>
        <w:t> </w:t>
      </w:r>
      <w:r>
        <w:rPr>
          <w:rFonts w:ascii="宋体" w:hAnsi="宋体" w:cs="宋体" w:eastAsia="宋体" w:hint="default"/>
        </w:rPr>
        <w:t>29</w:t>
      </w:r>
      <w:r>
        <w:rPr>
          <w:rFonts w:ascii="宋体" w:hAnsi="宋体" w:cs="宋体" w:eastAsia="宋体" w:hint="default"/>
          <w:spacing w:val="-42"/>
        </w:rPr>
        <w:t> </w:t>
      </w:r>
      <w:r>
        <w:rPr/>
        <w:t>日予以确认本公司搬迁奖励</w:t>
      </w:r>
      <w:r>
        <w:rPr>
          <w:spacing w:val="-43"/>
        </w:rPr>
        <w:t> </w:t>
      </w:r>
      <w:r>
        <w:rPr>
          <w:rFonts w:ascii="宋体" w:hAnsi="宋体" w:cs="宋体" w:eastAsia="宋体" w:hint="default"/>
        </w:rPr>
        <w:t>4,812</w:t>
      </w:r>
      <w:r>
        <w:rPr>
          <w:rFonts w:ascii="宋体" w:hAnsi="宋体" w:cs="宋体" w:eastAsia="宋体" w:hint="default"/>
          <w:spacing w:val="-44"/>
        </w:rPr>
        <w:t> </w:t>
      </w:r>
      <w:r>
        <w:rPr/>
        <w:t>万元，剩余搬</w:t>
      </w:r>
    </w:p>
    <w:p>
      <w:pPr>
        <w:pStyle w:val="BodyText"/>
        <w:spacing w:line="240" w:lineRule="auto" w:before="46"/>
        <w:ind w:right="0"/>
        <w:jc w:val="both"/>
      </w:pPr>
      <w:r>
        <w:rPr/>
        <w:t>迁奖励款根据合同要求和项目进度予以确认和支付</w:t>
      </w:r>
      <w:r>
        <w:rPr>
          <w:spacing w:val="-105"/>
        </w:rPr>
        <w:t>；</w:t>
      </w:r>
      <w:r>
        <w:rPr/>
        <w:t>于</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日予以本公司搬迁奖励</w:t>
      </w:r>
      <w:r>
        <w:rPr>
          <w:spacing w:val="-56"/>
        </w:rPr>
        <w:t> </w:t>
      </w:r>
      <w:r>
        <w:rPr>
          <w:rFonts w:ascii="宋体" w:hAnsi="宋体" w:cs="宋体" w:eastAsia="宋体" w:hint="default"/>
        </w:rPr>
        <w:t>2</w:t>
      </w:r>
      <w:r>
        <w:rPr>
          <w:rFonts w:ascii="宋体" w:hAnsi="宋体" w:cs="宋体" w:eastAsia="宋体" w:hint="default"/>
          <w:spacing w:val="1"/>
        </w:rPr>
        <w:t>,</w:t>
      </w:r>
      <w:r>
        <w:rPr>
          <w:rFonts w:ascii="宋体" w:hAnsi="宋体" w:cs="宋体" w:eastAsia="宋体" w:hint="default"/>
        </w:rPr>
        <w:t>406</w:t>
      </w:r>
      <w:r>
        <w:rPr>
          <w:rFonts w:ascii="宋体" w:hAnsi="宋体" w:cs="宋体" w:eastAsia="宋体" w:hint="default"/>
          <w:spacing w:val="-56"/>
        </w:rPr>
        <w:t> </w:t>
      </w:r>
      <w:r>
        <w:rPr/>
        <w:t>万元，</w:t>
      </w:r>
    </w:p>
    <w:p>
      <w:pPr>
        <w:spacing w:line="240" w:lineRule="auto" w:before="10"/>
        <w:rPr>
          <w:rFonts w:ascii="宋体" w:hAnsi="宋体" w:cs="宋体" w:eastAsia="宋体" w:hint="default"/>
          <w:sz w:val="14"/>
          <w:szCs w:val="14"/>
        </w:rPr>
      </w:pPr>
    </w:p>
    <w:p>
      <w:pPr>
        <w:pStyle w:val="BodyText"/>
        <w:spacing w:line="240" w:lineRule="auto"/>
        <w:ind w:right="0"/>
        <w:jc w:val="both"/>
      </w:pPr>
      <w:r>
        <w:rPr/>
        <w:t>剩余搬迁奖励款根据合同要求和项目进度予以确认和支付。截至</w:t>
      </w:r>
      <w:r>
        <w:rPr>
          <w:spacing w:val="-39"/>
        </w:rPr>
        <w:t> </w:t>
      </w:r>
      <w:r>
        <w:rPr>
          <w:rFonts w:ascii="宋体" w:hAnsi="宋体" w:cs="宋体" w:eastAsia="宋体" w:hint="default"/>
        </w:rPr>
        <w:t>2015</w:t>
      </w:r>
      <w:r>
        <w:rPr>
          <w:rFonts w:ascii="宋体" w:hAnsi="宋体" w:cs="宋体" w:eastAsia="宋体" w:hint="default"/>
          <w:spacing w:val="-40"/>
        </w:rPr>
        <w:t> </w:t>
      </w:r>
      <w:r>
        <w:rPr/>
        <w:t>年</w:t>
      </w:r>
      <w:r>
        <w:rPr>
          <w:spacing w:val="-39"/>
        </w:rPr>
        <w:t> </w:t>
      </w:r>
      <w:r>
        <w:rPr>
          <w:rFonts w:ascii="宋体" w:hAnsi="宋体" w:cs="宋体" w:eastAsia="宋体" w:hint="default"/>
        </w:rPr>
        <w:t>12</w:t>
      </w:r>
      <w:r>
        <w:rPr>
          <w:rFonts w:ascii="宋体" w:hAnsi="宋体" w:cs="宋体" w:eastAsia="宋体" w:hint="default"/>
          <w:spacing w:val="-38"/>
        </w:rPr>
        <w:t> </w:t>
      </w:r>
      <w:r>
        <w:rPr/>
        <w:t>月</w:t>
      </w:r>
      <w:r>
        <w:rPr>
          <w:spacing w:val="-39"/>
        </w:rPr>
        <w:t> </w:t>
      </w:r>
      <w:r>
        <w:rPr>
          <w:rFonts w:ascii="宋体" w:hAnsi="宋体" w:cs="宋体" w:eastAsia="宋体" w:hint="default"/>
        </w:rPr>
        <w:t>31</w:t>
      </w:r>
      <w:r>
        <w:rPr>
          <w:rFonts w:ascii="宋体" w:hAnsi="宋体" w:cs="宋体" w:eastAsia="宋体" w:hint="default"/>
          <w:spacing w:val="-40"/>
        </w:rPr>
        <w:t> </w:t>
      </w:r>
      <w:r>
        <w:rPr/>
        <w:t>日，公司已累计收到上</w:t>
      </w:r>
    </w:p>
    <w:p>
      <w:pPr>
        <w:spacing w:line="240" w:lineRule="auto" w:before="10"/>
        <w:rPr>
          <w:rFonts w:ascii="宋体" w:hAnsi="宋体" w:cs="宋体" w:eastAsia="宋体" w:hint="default"/>
          <w:sz w:val="14"/>
          <w:szCs w:val="14"/>
        </w:rPr>
      </w:pPr>
    </w:p>
    <w:p>
      <w:pPr>
        <w:pStyle w:val="BodyText"/>
        <w:spacing w:line="240" w:lineRule="auto"/>
        <w:ind w:right="0"/>
        <w:jc w:val="both"/>
      </w:pPr>
      <w:r>
        <w:rPr/>
        <w:t>述土地收购补偿款</w:t>
      </w:r>
      <w:r>
        <w:rPr>
          <w:spacing w:val="-57"/>
        </w:rPr>
        <w:t> </w:t>
      </w:r>
      <w:r>
        <w:rPr>
          <w:rFonts w:ascii="宋体" w:hAnsi="宋体" w:cs="宋体" w:eastAsia="宋体" w:hint="default"/>
        </w:rPr>
        <w:t>20,625</w:t>
      </w:r>
      <w:r>
        <w:rPr>
          <w:rFonts w:ascii="宋体" w:hAnsi="宋体" w:cs="宋体" w:eastAsia="宋体" w:hint="default"/>
          <w:spacing w:val="-58"/>
        </w:rPr>
        <w:t> </w:t>
      </w:r>
      <w:r>
        <w:rPr/>
        <w:t>元，搬迁奖励款</w:t>
      </w:r>
      <w:r>
        <w:rPr>
          <w:spacing w:val="-57"/>
        </w:rPr>
        <w:t> </w:t>
      </w:r>
      <w:r>
        <w:rPr>
          <w:rFonts w:ascii="宋体" w:hAnsi="宋体" w:cs="宋体" w:eastAsia="宋体" w:hint="default"/>
        </w:rPr>
        <w:t>7,218</w:t>
      </w:r>
      <w:r>
        <w:rPr>
          <w:rFonts w:ascii="宋体" w:hAnsi="宋体" w:cs="宋体" w:eastAsia="宋体" w:hint="default"/>
          <w:spacing w:val="-58"/>
        </w:rPr>
        <w:t> </w:t>
      </w:r>
      <w:r>
        <w:rPr/>
        <w:t>万元，合计</w:t>
      </w:r>
      <w:r>
        <w:rPr>
          <w:spacing w:val="-58"/>
        </w:rPr>
        <w:t> </w:t>
      </w:r>
      <w:r>
        <w:rPr>
          <w:rFonts w:ascii="宋体" w:hAnsi="宋体" w:cs="宋体" w:eastAsia="宋体" w:hint="default"/>
        </w:rPr>
        <w:t>27,843</w:t>
      </w:r>
      <w:r>
        <w:rPr>
          <w:rFonts w:ascii="宋体" w:hAnsi="宋体" w:cs="宋体" w:eastAsia="宋体" w:hint="default"/>
          <w:spacing w:val="-57"/>
        </w:rPr>
        <w:t> </w:t>
      </w:r>
      <w:r>
        <w:rPr/>
        <w:t>万元。公司根据企业会计准则的相关</w:t>
      </w:r>
    </w:p>
    <w:p>
      <w:pPr>
        <w:spacing w:line="240" w:lineRule="auto" w:before="10"/>
        <w:rPr>
          <w:rFonts w:ascii="宋体" w:hAnsi="宋体" w:cs="宋体" w:eastAsia="宋体" w:hint="default"/>
          <w:sz w:val="14"/>
          <w:szCs w:val="14"/>
        </w:rPr>
      </w:pPr>
    </w:p>
    <w:p>
      <w:pPr>
        <w:pStyle w:val="BodyText"/>
        <w:spacing w:line="240" w:lineRule="auto"/>
        <w:ind w:right="0"/>
        <w:jc w:val="both"/>
      </w:pPr>
      <w:r>
        <w:rPr/>
        <w:t>规定，已将上述土地收购补偿费</w:t>
      </w:r>
      <w:r>
        <w:rPr>
          <w:spacing w:val="-33"/>
        </w:rPr>
        <w:t> </w:t>
      </w:r>
      <w:r>
        <w:rPr>
          <w:rFonts w:ascii="宋体" w:hAnsi="宋体" w:cs="宋体" w:eastAsia="宋体" w:hint="default"/>
        </w:rPr>
        <w:t>20,625</w:t>
      </w:r>
      <w:r>
        <w:rPr>
          <w:rFonts w:ascii="宋体" w:hAnsi="宋体" w:cs="宋体" w:eastAsia="宋体" w:hint="default"/>
          <w:spacing w:val="-32"/>
        </w:rPr>
        <w:t> </w:t>
      </w:r>
      <w:r>
        <w:rPr/>
        <w:t>万元作为“专项应付款”处理；将上述资金中的</w:t>
      </w:r>
      <w:r>
        <w:rPr>
          <w:spacing w:val="-32"/>
        </w:rPr>
        <w:t> </w:t>
      </w:r>
      <w:r>
        <w:rPr>
          <w:rFonts w:ascii="宋体" w:hAnsi="宋体" w:cs="宋体" w:eastAsia="宋体" w:hint="default"/>
        </w:rPr>
        <w:t>7,218</w:t>
      </w:r>
      <w:r>
        <w:rPr>
          <w:rFonts w:ascii="宋体" w:hAnsi="宋体" w:cs="宋体" w:eastAsia="宋体" w:hint="default"/>
          <w:spacing w:val="-34"/>
        </w:rPr>
        <w:t> </w:t>
      </w:r>
      <w:r>
        <w:rPr/>
        <w:t>万元（其</w:t>
      </w:r>
    </w:p>
    <w:p>
      <w:pPr>
        <w:spacing w:line="240" w:lineRule="auto" w:before="10"/>
        <w:rPr>
          <w:rFonts w:ascii="宋体" w:hAnsi="宋体" w:cs="宋体" w:eastAsia="宋体" w:hint="default"/>
          <w:sz w:val="14"/>
          <w:szCs w:val="14"/>
        </w:rPr>
      </w:pPr>
    </w:p>
    <w:p>
      <w:pPr>
        <w:pStyle w:val="BodyText"/>
        <w:spacing w:line="410" w:lineRule="auto"/>
        <w:ind w:right="1130"/>
        <w:jc w:val="both"/>
      </w:pPr>
      <w:r>
        <w:rPr/>
        <w:t>中</w:t>
      </w:r>
      <w:r>
        <w:rPr>
          <w:spacing w:val="-50"/>
        </w:rPr>
        <w:t> </w:t>
      </w:r>
      <w:r>
        <w:rPr>
          <w:rFonts w:ascii="宋体" w:hAnsi="宋体" w:cs="宋体" w:eastAsia="宋体" w:hint="default"/>
        </w:rPr>
        <w:t>2014</w:t>
      </w:r>
      <w:r>
        <w:rPr>
          <w:rFonts w:ascii="宋体" w:hAnsi="宋体" w:cs="宋体" w:eastAsia="宋体" w:hint="default"/>
          <w:spacing w:val="-49"/>
        </w:rPr>
        <w:t> </w:t>
      </w:r>
      <w:r>
        <w:rPr/>
        <w:t>年度</w:t>
      </w:r>
      <w:r>
        <w:rPr>
          <w:spacing w:val="-51"/>
        </w:rPr>
        <w:t> </w:t>
      </w:r>
      <w:r>
        <w:rPr>
          <w:rFonts w:ascii="宋体" w:hAnsi="宋体" w:cs="宋体" w:eastAsia="宋体" w:hint="default"/>
        </w:rPr>
        <w:t>4,812</w:t>
      </w:r>
      <w:r>
        <w:rPr>
          <w:rFonts w:ascii="宋体" w:hAnsi="宋体" w:cs="宋体" w:eastAsia="宋体" w:hint="default"/>
          <w:spacing w:val="-49"/>
        </w:rPr>
        <w:t> </w:t>
      </w:r>
      <w:r>
        <w:rPr/>
        <w:t>万元，</w:t>
      </w:r>
      <w:r>
        <w:rPr>
          <w:rFonts w:ascii="宋体" w:hAnsi="宋体" w:cs="宋体" w:eastAsia="宋体" w:hint="default"/>
        </w:rPr>
        <w:t>2015</w:t>
      </w:r>
      <w:r>
        <w:rPr>
          <w:rFonts w:ascii="宋体" w:hAnsi="宋体" w:cs="宋体" w:eastAsia="宋体" w:hint="default"/>
          <w:spacing w:val="-49"/>
        </w:rPr>
        <w:t> </w:t>
      </w:r>
      <w:r>
        <w:rPr/>
        <w:t>年度</w:t>
      </w:r>
      <w:r>
        <w:rPr>
          <w:spacing w:val="-50"/>
        </w:rPr>
        <w:t> </w:t>
      </w:r>
      <w:r>
        <w:rPr>
          <w:rFonts w:ascii="宋体" w:hAnsi="宋体" w:cs="宋体" w:eastAsia="宋体" w:hint="default"/>
        </w:rPr>
        <w:t>2,406</w:t>
      </w:r>
      <w:r>
        <w:rPr>
          <w:rFonts w:ascii="宋体" w:hAnsi="宋体" w:cs="宋体" w:eastAsia="宋体" w:hint="default"/>
          <w:spacing w:val="-49"/>
        </w:rPr>
        <w:t> </w:t>
      </w:r>
      <w:r>
        <w:rPr/>
        <w:t>万元）搬迁奖励款确认为营业外收入——政府补助，计入公司 相应期间损益。</w:t>
      </w:r>
    </w:p>
    <w:p>
      <w:pPr>
        <w:pStyle w:val="BodyText"/>
        <w:spacing w:line="410" w:lineRule="auto" w:before="82"/>
        <w:ind w:right="1125" w:firstLine="420"/>
        <w:jc w:val="left"/>
      </w:pPr>
      <w:r>
        <w:rPr/>
        <w:t>截至</w:t>
      </w:r>
      <w:r>
        <w:rPr>
          <w:spacing w:val="-50"/>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t>日，公司将上述国有土地使用权及其相应的房产账面价值累计</w:t>
      </w:r>
      <w:r>
        <w:rPr>
          <w:spacing w:val="-49"/>
        </w:rPr>
        <w:t> </w:t>
      </w:r>
      <w:r>
        <w:rPr>
          <w:rFonts w:ascii="宋体" w:hAnsi="宋体" w:cs="宋体" w:eastAsia="宋体" w:hint="default"/>
        </w:rPr>
        <w:t>120,906,088.83 </w:t>
      </w:r>
      <w:r>
        <w:rPr/>
        <w:t>元作为搬迁损失计入其他非流动资产科目，待完成搬迁清算后一并处理。</w:t>
      </w:r>
    </w:p>
    <w:p>
      <w:pPr>
        <w:pStyle w:val="BodyText"/>
        <w:spacing w:line="240" w:lineRule="auto" w:before="85"/>
        <w:ind w:left="573" w:right="0"/>
        <w:jc w:val="left"/>
      </w:pPr>
      <w:r>
        <w:rPr>
          <w:rFonts w:ascii="宋体" w:hAnsi="宋体" w:cs="宋体" w:eastAsia="宋体" w:hint="default"/>
        </w:rPr>
        <w:t>2.</w:t>
      </w:r>
      <w:r>
        <w:rPr>
          <w:rFonts w:ascii="宋体" w:hAnsi="宋体" w:cs="宋体" w:eastAsia="宋体" w:hint="default"/>
          <w:spacing w:val="-1"/>
        </w:rPr>
        <w:t> </w:t>
      </w:r>
      <w:r>
        <w:rPr/>
        <w:t>上海漫酷股权收购事项</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2014 </w:t>
      </w:r>
      <w:r>
        <w:rPr/>
        <w:t>年 </w:t>
      </w:r>
      <w:r>
        <w:rPr>
          <w:rFonts w:ascii="宋体" w:hAnsi="宋体" w:cs="宋体" w:eastAsia="宋体" w:hint="default"/>
        </w:rPr>
        <w:t>3</w:t>
      </w:r>
      <w:r>
        <w:rPr>
          <w:rFonts w:ascii="宋体" w:hAnsi="宋体" w:cs="宋体" w:eastAsia="宋体" w:hint="default"/>
          <w:spacing w:val="-23"/>
        </w:rPr>
        <w:t> </w:t>
      </w:r>
      <w:r>
        <w:rPr/>
        <w:t>月，根据本公司与自然人郑晓东、段永玲、郭海签订的《漫酷股权转让合同》，并经公司</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2014</w:t>
      </w:r>
      <w:r>
        <w:rPr>
          <w:rFonts w:ascii="宋体" w:hAnsi="宋体" w:cs="宋体" w:eastAsia="宋体" w:hint="default"/>
          <w:spacing w:val="-43"/>
        </w:rPr>
        <w:t> </w:t>
      </w:r>
      <w:r>
        <w:rPr/>
        <w:t>年第三次临时股东大会审议通过，公司以</w:t>
      </w:r>
      <w:r>
        <w:rPr>
          <w:spacing w:val="-43"/>
        </w:rPr>
        <w:t> </w:t>
      </w:r>
      <w:r>
        <w:rPr>
          <w:rFonts w:ascii="宋体" w:hAnsi="宋体" w:cs="宋体" w:eastAsia="宋体" w:hint="default"/>
        </w:rPr>
        <w:t>34,445</w:t>
      </w:r>
      <w:r>
        <w:rPr>
          <w:rFonts w:ascii="宋体" w:hAnsi="宋体" w:cs="宋体" w:eastAsia="宋体" w:hint="default"/>
          <w:spacing w:val="-43"/>
        </w:rPr>
        <w:t> </w:t>
      </w:r>
      <w:r>
        <w:rPr/>
        <w:t>万元价款收购郑晓东、段永玲、郭海持有的上海漫</w:t>
      </w:r>
    </w:p>
    <w:p>
      <w:pPr>
        <w:spacing w:line="240" w:lineRule="auto" w:before="10"/>
        <w:rPr>
          <w:rFonts w:ascii="宋体" w:hAnsi="宋体" w:cs="宋体" w:eastAsia="宋体" w:hint="default"/>
          <w:sz w:val="14"/>
          <w:szCs w:val="14"/>
        </w:rPr>
      </w:pPr>
    </w:p>
    <w:p>
      <w:pPr>
        <w:pStyle w:val="BodyText"/>
        <w:spacing w:line="240" w:lineRule="auto"/>
        <w:ind w:right="0"/>
        <w:jc w:val="both"/>
      </w:pPr>
      <w:r>
        <w:rPr/>
        <w:t>酷</w:t>
      </w:r>
      <w:r>
        <w:rPr>
          <w:spacing w:val="-49"/>
        </w:rPr>
        <w:t> </w:t>
      </w:r>
      <w:r>
        <w:rPr>
          <w:rFonts w:ascii="宋体" w:hAnsi="宋体" w:cs="宋体" w:eastAsia="宋体" w:hint="default"/>
        </w:rPr>
        <w:t>85%</w:t>
      </w:r>
      <w:r>
        <w:rPr/>
        <w:t>股权。根据股权转让合同的相关约定，本公司已于</w:t>
      </w:r>
      <w:r>
        <w:rPr>
          <w:spacing w:val="-49"/>
        </w:rPr>
        <w:t> </w:t>
      </w:r>
      <w:r>
        <w:rPr>
          <w:rFonts w:ascii="宋体" w:hAnsi="宋体" w:cs="宋体" w:eastAsia="宋体" w:hint="default"/>
        </w:rPr>
        <w:t>2015</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月累计支付股权转让款</w:t>
      </w:r>
      <w:r>
        <w:rPr>
          <w:spacing w:val="-49"/>
        </w:rPr>
        <w:t> </w:t>
      </w:r>
      <w:r>
        <w:rPr>
          <w:rFonts w:ascii="宋体" w:hAnsi="宋体" w:cs="宋体" w:eastAsia="宋体" w:hint="default"/>
        </w:rPr>
        <w:t>19,398.50</w:t>
      </w:r>
      <w:r>
        <w:rPr>
          <w:rFonts w:ascii="宋体" w:hAnsi="宋体" w:cs="宋体" w:eastAsia="宋体" w:hint="default"/>
          <w:spacing w:val="-48"/>
        </w:rPr>
        <w:t> </w:t>
      </w:r>
      <w:r>
        <w:rPr/>
        <w:t>万</w:t>
      </w:r>
    </w:p>
    <w:p>
      <w:pPr>
        <w:spacing w:line="240" w:lineRule="auto" w:before="11"/>
        <w:rPr>
          <w:rFonts w:ascii="宋体" w:hAnsi="宋体" w:cs="宋体" w:eastAsia="宋体" w:hint="default"/>
          <w:sz w:val="14"/>
          <w:szCs w:val="14"/>
        </w:rPr>
      </w:pPr>
    </w:p>
    <w:p>
      <w:pPr>
        <w:pStyle w:val="BodyText"/>
        <w:spacing w:line="441" w:lineRule="auto"/>
        <w:ind w:left="573" w:right="1119" w:hanging="420"/>
        <w:jc w:val="left"/>
      </w:pPr>
      <w:r>
        <w:rPr/>
        <w:t>元。剩余股权转让款</w:t>
      </w:r>
      <w:r>
        <w:rPr>
          <w:spacing w:val="-53"/>
        </w:rPr>
        <w:t> </w:t>
      </w:r>
      <w:r>
        <w:rPr>
          <w:rFonts w:ascii="宋体" w:hAnsi="宋体" w:cs="宋体" w:eastAsia="宋体" w:hint="default"/>
        </w:rPr>
        <w:t>15,046.50</w:t>
      </w:r>
      <w:r>
        <w:rPr>
          <w:rFonts w:ascii="宋体" w:hAnsi="宋体" w:cs="宋体" w:eastAsia="宋体" w:hint="default"/>
          <w:spacing w:val="-53"/>
        </w:rPr>
        <w:t> </w:t>
      </w:r>
      <w:r>
        <w:rPr/>
        <w:t>万元列“其他应付款”，将按股权转让合同约定在未来</w:t>
      </w:r>
      <w:r>
        <w:rPr>
          <w:spacing w:val="-53"/>
        </w:rPr>
        <w:t> </w:t>
      </w:r>
      <w:r>
        <w:rPr>
          <w:rFonts w:ascii="宋体" w:hAnsi="宋体" w:cs="宋体" w:eastAsia="宋体" w:hint="default"/>
        </w:rPr>
        <w:t>3</w:t>
      </w:r>
      <w:r>
        <w:rPr>
          <w:rFonts w:ascii="宋体" w:hAnsi="宋体" w:cs="宋体" w:eastAsia="宋体" w:hint="default"/>
          <w:spacing w:val="-53"/>
        </w:rPr>
        <w:t> </w:t>
      </w:r>
      <w:r>
        <w:rPr/>
        <w:t>年内支付。 上述上海漫酷原股东承诺，于</w:t>
      </w:r>
      <w:r>
        <w:rPr>
          <w:spacing w:val="-58"/>
        </w:rPr>
        <w:t> </w:t>
      </w:r>
      <w:r>
        <w:rPr>
          <w:rFonts w:ascii="宋体" w:hAnsi="宋体" w:cs="宋体" w:eastAsia="宋体" w:hint="default"/>
        </w:rPr>
        <w:t>2014</w:t>
      </w:r>
      <w:r>
        <w:rPr>
          <w:rFonts w:ascii="宋体" w:hAnsi="宋体" w:cs="宋体" w:eastAsia="宋体" w:hint="default"/>
          <w:spacing w:val="-60"/>
        </w:rPr>
        <w:t> </w:t>
      </w:r>
      <w:r>
        <w:rPr/>
        <w:t>年度、</w:t>
      </w:r>
      <w:r>
        <w:rPr>
          <w:rFonts w:ascii="宋体" w:hAnsi="宋体" w:cs="宋体" w:eastAsia="宋体" w:hint="default"/>
        </w:rPr>
        <w:t>2015</w:t>
      </w:r>
      <w:r>
        <w:rPr>
          <w:rFonts w:ascii="宋体" w:hAnsi="宋体" w:cs="宋体" w:eastAsia="宋体" w:hint="default"/>
          <w:spacing w:val="-59"/>
        </w:rPr>
        <w:t> </w:t>
      </w:r>
      <w:r>
        <w:rPr/>
        <w:t>年度、</w:t>
      </w:r>
      <w:r>
        <w:rPr>
          <w:rFonts w:ascii="宋体" w:hAnsi="宋体" w:cs="宋体" w:eastAsia="宋体" w:hint="default"/>
        </w:rPr>
        <w:t>2016</w:t>
      </w:r>
      <w:r>
        <w:rPr>
          <w:rFonts w:ascii="宋体" w:hAnsi="宋体" w:cs="宋体" w:eastAsia="宋体" w:hint="default"/>
          <w:spacing w:val="-59"/>
        </w:rPr>
        <w:t> </w:t>
      </w:r>
      <w:r>
        <w:rPr/>
        <w:t>年度实现的年度审核扣除非经常性损益后</w:t>
      </w:r>
    </w:p>
    <w:p>
      <w:pPr>
        <w:pStyle w:val="BodyText"/>
        <w:spacing w:line="408" w:lineRule="auto" w:before="16"/>
        <w:ind w:right="1130"/>
        <w:jc w:val="both"/>
      </w:pPr>
      <w:r>
        <w:rPr/>
        <w:t>的净利润应分别不少于人民币</w:t>
      </w:r>
      <w:r>
        <w:rPr>
          <w:spacing w:val="-34"/>
        </w:rPr>
        <w:t> </w:t>
      </w:r>
      <w:r>
        <w:rPr>
          <w:rFonts w:ascii="宋体" w:hAnsi="宋体" w:cs="宋体" w:eastAsia="宋体" w:hint="default"/>
        </w:rPr>
        <w:t>4,700</w:t>
      </w:r>
      <w:r>
        <w:rPr>
          <w:rFonts w:ascii="宋体" w:hAnsi="宋体" w:cs="宋体" w:eastAsia="宋体" w:hint="default"/>
          <w:spacing w:val="-33"/>
        </w:rPr>
        <w:t> </w:t>
      </w:r>
      <w:r>
        <w:rPr/>
        <w:t>万元、</w:t>
      </w:r>
      <w:r>
        <w:rPr>
          <w:rFonts w:ascii="宋体" w:hAnsi="宋体" w:cs="宋体" w:eastAsia="宋体" w:hint="default"/>
        </w:rPr>
        <w:t>6,000</w:t>
      </w:r>
      <w:r>
        <w:rPr>
          <w:rFonts w:ascii="宋体" w:hAnsi="宋体" w:cs="宋体" w:eastAsia="宋体" w:hint="default"/>
          <w:spacing w:val="-34"/>
        </w:rPr>
        <w:t> </w:t>
      </w:r>
      <w:r>
        <w:rPr/>
        <w:t>万元、</w:t>
      </w:r>
      <w:r>
        <w:rPr>
          <w:rFonts w:ascii="宋体" w:hAnsi="宋体" w:cs="宋体" w:eastAsia="宋体" w:hint="default"/>
        </w:rPr>
        <w:t>7,300</w:t>
      </w:r>
      <w:r>
        <w:rPr>
          <w:rFonts w:ascii="宋体" w:hAnsi="宋体" w:cs="宋体" w:eastAsia="宋体" w:hint="default"/>
          <w:spacing w:val="-34"/>
        </w:rPr>
        <w:t> </w:t>
      </w:r>
      <w:r>
        <w:rPr/>
        <w:t>万元</w:t>
      </w:r>
      <w:r>
        <w:rPr>
          <w:rFonts w:ascii="宋体" w:hAnsi="宋体" w:cs="宋体" w:eastAsia="宋体" w:hint="default"/>
        </w:rPr>
        <w:t>(</w:t>
      </w:r>
      <w:r>
        <w:rPr/>
        <w:t>以下简称业绩承诺指标</w:t>
      </w:r>
      <w:r>
        <w:rPr>
          <w:rFonts w:ascii="宋体" w:hAnsi="宋体" w:cs="宋体" w:eastAsia="宋体" w:hint="default"/>
        </w:rPr>
        <w:t>)</w:t>
      </w:r>
      <w:r>
        <w:rPr/>
        <w:t>。若在业绩 </w:t>
      </w:r>
      <w:r>
        <w:rPr>
          <w:spacing w:val="-1"/>
        </w:rPr>
        <w:t>承诺期间，上海漫酷未达到上述承诺业绩指标，上海漫酷原股东将以支付现金方式向公司</w:t>
      </w:r>
      <w:r>
        <w:rPr>
          <w:rFonts w:ascii="宋体" w:hAnsi="宋体" w:cs="宋体" w:eastAsia="宋体" w:hint="default"/>
          <w:spacing w:val="-1"/>
        </w:rPr>
        <w:t>(</w:t>
      </w:r>
      <w:r>
        <w:rPr>
          <w:spacing w:val="-1"/>
        </w:rPr>
        <w:t>即受让方</w:t>
      </w:r>
      <w:r>
        <w:rPr>
          <w:rFonts w:ascii="宋体" w:hAnsi="宋体" w:cs="宋体" w:eastAsia="宋体" w:hint="default"/>
          <w:spacing w:val="-1"/>
        </w:rPr>
        <w:t>)</w:t>
      </w:r>
      <w:r>
        <w:rPr>
          <w:spacing w:val="-1"/>
        </w:rPr>
        <w:t>进行</w:t>
      </w:r>
      <w:r>
        <w:rPr>
          <w:spacing w:val="-81"/>
        </w:rPr>
        <w:t> </w:t>
      </w:r>
      <w:r>
        <w:rPr/>
        <w:t>补偿，其中，现金补偿金额</w:t>
      </w:r>
      <w:r>
        <w:rPr>
          <w:rFonts w:ascii="宋体" w:hAnsi="宋体" w:cs="宋体" w:eastAsia="宋体" w:hint="default"/>
        </w:rPr>
        <w:t>=(</w:t>
      </w:r>
      <w:r>
        <w:rPr/>
        <w:t>截止当期末业绩承诺指标总和－截止当期末累计已实现的税后净利润</w:t>
      </w:r>
      <w:r>
        <w:rPr>
          <w:rFonts w:ascii="宋体" w:hAnsi="宋体" w:cs="宋体" w:eastAsia="宋体" w:hint="default"/>
        </w:rPr>
        <w:t>)/(1-</w:t>
      </w:r>
      <w:r>
        <w:rPr>
          <w:rFonts w:ascii="宋体" w:hAnsi="宋体" w:cs="宋体" w:eastAsia="宋体" w:hint="default"/>
          <w:spacing w:val="-27"/>
        </w:rPr>
        <w:t> </w:t>
      </w:r>
      <w:r>
        <w:rPr/>
        <w:t>实施补偿当年受让方所得税税率</w:t>
      </w:r>
      <w:r>
        <w:rPr>
          <w:rFonts w:ascii="宋体" w:hAnsi="宋体" w:cs="宋体" w:eastAsia="宋体" w:hint="default"/>
        </w:rPr>
        <w:t>)</w:t>
      </w:r>
      <w:r>
        <w:rPr/>
        <w:t>×</w:t>
      </w:r>
      <w:r>
        <w:rPr>
          <w:rFonts w:ascii="宋体" w:hAnsi="宋体" w:cs="宋体" w:eastAsia="宋体" w:hint="default"/>
        </w:rPr>
        <w:t>85%</w:t>
      </w:r>
      <w:r>
        <w:rPr/>
        <w:t>－在业绩承诺期间各年度前期已累计补偿数。</w:t>
      </w:r>
    </w:p>
    <w:p>
      <w:pPr>
        <w:pStyle w:val="BodyText"/>
        <w:spacing w:line="240" w:lineRule="auto" w:before="87"/>
        <w:ind w:left="573" w:right="0"/>
        <w:jc w:val="left"/>
      </w:pPr>
      <w:r>
        <w:rPr>
          <w:rFonts w:ascii="宋体" w:hAnsi="宋体" w:cs="宋体" w:eastAsia="宋体" w:hint="default"/>
        </w:rPr>
        <w:t>2015</w:t>
      </w:r>
      <w:r>
        <w:rPr>
          <w:rFonts w:ascii="宋体" w:hAnsi="宋体" w:cs="宋体" w:eastAsia="宋体" w:hint="default"/>
          <w:spacing w:val="-53"/>
        </w:rPr>
        <w:t> </w:t>
      </w:r>
      <w:r>
        <w:rPr/>
        <w:t>年度，上海漫酷实现扣除非经常性损益后的净利润为</w:t>
      </w:r>
      <w:r>
        <w:rPr>
          <w:spacing w:val="-54"/>
        </w:rPr>
        <w:t> </w:t>
      </w:r>
      <w:r>
        <w:rPr>
          <w:rFonts w:ascii="宋体" w:hAnsi="宋体" w:cs="宋体" w:eastAsia="宋体" w:hint="default"/>
        </w:rPr>
        <w:t>6,373.14</w:t>
      </w:r>
      <w:r>
        <w:rPr>
          <w:rFonts w:ascii="宋体" w:hAnsi="宋体" w:cs="宋体" w:eastAsia="宋体" w:hint="default"/>
          <w:spacing w:val="-55"/>
        </w:rPr>
        <w:t> </w:t>
      </w:r>
      <w:r>
        <w:rPr/>
        <w:t>万元</w:t>
      </w:r>
      <w:r>
        <w:rPr>
          <w:rFonts w:ascii="宋体" w:hAnsi="宋体" w:cs="宋体" w:eastAsia="宋体" w:hint="default"/>
        </w:rPr>
        <w:t>(</w:t>
      </w:r>
      <w:r>
        <w:rPr/>
        <w:t>即年报税后净利润</w:t>
      </w:r>
      <w:r>
        <w:rPr>
          <w:rFonts w:ascii="宋体" w:hAnsi="宋体" w:cs="宋体" w:eastAsia="宋体" w:hint="default"/>
        </w:rPr>
        <w:t>)</w:t>
      </w:r>
      <w:r>
        <w:rPr/>
        <w:t>。</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3.</w:t>
      </w:r>
      <w:r>
        <w:rPr>
          <w:rFonts w:ascii="宋体" w:hAnsi="宋体" w:cs="宋体" w:eastAsia="宋体" w:hint="default"/>
          <w:spacing w:val="-1"/>
        </w:rPr>
        <w:t> </w:t>
      </w:r>
      <w:r>
        <w:rPr/>
        <w:t>发行股份及支付现金购买资产并募集配套资金事项</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(1)</w:t>
      </w:r>
      <w:r>
        <w:rPr>
          <w:rFonts w:ascii="宋体" w:hAnsi="宋体" w:cs="宋体" w:eastAsia="宋体" w:hint="default"/>
          <w:spacing w:val="-1"/>
        </w:rPr>
        <w:t> </w:t>
      </w:r>
      <w:r>
        <w:rPr/>
        <w:t>上海氩氪、琥珀传播</w:t>
      </w:r>
    </w:p>
    <w:p>
      <w:pPr>
        <w:spacing w:line="240" w:lineRule="auto" w:before="10"/>
        <w:rPr>
          <w:rFonts w:ascii="宋体" w:hAnsi="宋体" w:cs="宋体" w:eastAsia="宋体" w:hint="default"/>
          <w:sz w:val="17"/>
          <w:szCs w:val="17"/>
        </w:rPr>
      </w:pPr>
    </w:p>
    <w:p>
      <w:pPr>
        <w:pStyle w:val="BodyText"/>
        <w:spacing w:line="410" w:lineRule="auto"/>
        <w:ind w:right="1121" w:firstLine="420"/>
        <w:jc w:val="left"/>
      </w:pPr>
      <w:r>
        <w:rPr>
          <w:rFonts w:ascii="宋体" w:hAnsi="宋体" w:cs="宋体" w:eastAsia="宋体" w:hint="default"/>
        </w:rPr>
        <w:t>2014</w:t>
      </w:r>
      <w:r>
        <w:rPr>
          <w:rFonts w:ascii="宋体" w:hAnsi="宋体" w:cs="宋体" w:eastAsia="宋体" w:hint="default"/>
          <w:spacing w:val="-46"/>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w:t>
      </w:r>
      <w:r>
        <w:rPr>
          <w:spacing w:val="-49"/>
        </w:rPr>
        <w:t> </w:t>
      </w:r>
      <w:r>
        <w:rPr>
          <w:rFonts w:ascii="宋体" w:hAnsi="宋体" w:cs="宋体" w:eastAsia="宋体" w:hint="default"/>
        </w:rPr>
        <w:t>28</w:t>
      </w:r>
      <w:r>
        <w:rPr>
          <w:rFonts w:ascii="宋体" w:hAnsi="宋体" w:cs="宋体" w:eastAsia="宋体" w:hint="default"/>
          <w:spacing w:val="-47"/>
        </w:rPr>
        <w:t> </w:t>
      </w:r>
      <w:r>
        <w:rPr/>
        <w:t>日，公司第三届董事会第三十四次会议审议并通过了《关于筹划发行股份购买资产事 项的议案》，同意公司筹划发行股份购买资产事项。</w:t>
      </w:r>
    </w:p>
    <w:p>
      <w:pPr>
        <w:pStyle w:val="BodyText"/>
        <w:spacing w:line="408" w:lineRule="auto" w:before="83"/>
        <w:ind w:right="1132" w:firstLine="420"/>
        <w:jc w:val="both"/>
      </w:pPr>
      <w:r>
        <w:rPr>
          <w:rFonts w:ascii="宋体" w:hAnsi="宋体" w:cs="宋体" w:eastAsia="宋体" w:hint="default"/>
        </w:rPr>
        <w:t>2014</w:t>
      </w:r>
      <w:r>
        <w:rPr>
          <w:rFonts w:ascii="宋体" w:hAnsi="宋体" w:cs="宋体" w:eastAsia="宋体" w:hint="default"/>
          <w:spacing w:val="-46"/>
        </w:rPr>
        <w:t> </w:t>
      </w:r>
      <w:r>
        <w:rPr/>
        <w:t>年</w:t>
      </w:r>
      <w:r>
        <w:rPr>
          <w:spacing w:val="-47"/>
        </w:rPr>
        <w:t> </w:t>
      </w:r>
      <w:r>
        <w:rPr>
          <w:rFonts w:ascii="宋体" w:hAnsi="宋体" w:cs="宋体" w:eastAsia="宋体" w:hint="default"/>
        </w:rPr>
        <w:t>7</w:t>
      </w:r>
      <w:r>
        <w:rPr>
          <w:rFonts w:ascii="宋体" w:hAnsi="宋体" w:cs="宋体" w:eastAsia="宋体" w:hint="default"/>
          <w:spacing w:val="-47"/>
        </w:rPr>
        <w:t> </w:t>
      </w:r>
      <w:r>
        <w:rPr/>
        <w:t>月</w:t>
      </w:r>
      <w:r>
        <w:rPr>
          <w:spacing w:val="-48"/>
        </w:rPr>
        <w:t> </w:t>
      </w:r>
      <w:r>
        <w:rPr>
          <w:rFonts w:ascii="宋体" w:hAnsi="宋体" w:cs="宋体" w:eastAsia="宋体" w:hint="default"/>
        </w:rPr>
        <w:t>1</w:t>
      </w:r>
      <w:r>
        <w:rPr>
          <w:rFonts w:ascii="宋体" w:hAnsi="宋体" w:cs="宋体" w:eastAsia="宋体" w:hint="default"/>
          <w:spacing w:val="-46"/>
        </w:rPr>
        <w:t> </w:t>
      </w:r>
      <w:r>
        <w:rPr>
          <w:spacing w:val="-3"/>
        </w:rPr>
        <w:t>日，根据本公司分别与自然人詹嘉、李翔、张璐、李劼签订的《关于上海氩氪广告有限</w:t>
      </w:r>
      <w:r>
        <w:rPr/>
        <w:t> </w:t>
      </w:r>
      <w:r>
        <w:rPr>
          <w:spacing w:val="-1"/>
        </w:rPr>
        <w:t>公司之股权转让合同》</w:t>
      </w:r>
      <w:r>
        <w:rPr>
          <w:rFonts w:ascii="宋体" w:hAnsi="宋体" w:cs="宋体" w:eastAsia="宋体" w:hint="default"/>
          <w:spacing w:val="-1"/>
        </w:rPr>
        <w:t>(</w:t>
      </w:r>
      <w:r>
        <w:rPr>
          <w:spacing w:val="-1"/>
        </w:rPr>
        <w:t>以下简称氩氪股权转让合同</w:t>
      </w:r>
      <w:r>
        <w:rPr>
          <w:rFonts w:ascii="宋体" w:hAnsi="宋体" w:cs="宋体" w:eastAsia="宋体" w:hint="default"/>
          <w:spacing w:val="-1"/>
        </w:rPr>
        <w:t>)</w:t>
      </w:r>
      <w:r>
        <w:rPr>
          <w:spacing w:val="-1"/>
        </w:rPr>
        <w:t>以及与刘阳、王英杰、孙唯一、田斌签订的《关于银</w:t>
      </w:r>
      <w:r>
        <w:rPr>
          <w:spacing w:val="-84"/>
        </w:rPr>
        <w:t> </w:t>
      </w:r>
      <w:r>
        <w:rPr>
          <w:spacing w:val="-84"/>
        </w:rPr>
      </w:r>
      <w:r>
        <w:rPr/>
        <w:t>色琥珀文化传播</w:t>
      </w:r>
      <w:r>
        <w:rPr>
          <w:rFonts w:ascii="宋体" w:hAnsi="宋体" w:cs="宋体" w:eastAsia="宋体" w:hint="default"/>
        </w:rPr>
        <w:t>(</w:t>
      </w:r>
      <w:r>
        <w:rPr/>
        <w:t>北京</w:t>
      </w:r>
      <w:r>
        <w:rPr>
          <w:rFonts w:ascii="宋体" w:hAnsi="宋体" w:cs="宋体" w:eastAsia="宋体" w:hint="default"/>
        </w:rPr>
        <w:t>)</w:t>
      </w:r>
      <w:r>
        <w:rPr/>
        <w:t>有限公司之股权转让合同》</w:t>
      </w:r>
      <w:r>
        <w:rPr>
          <w:rFonts w:ascii="宋体" w:hAnsi="宋体" w:cs="宋体" w:eastAsia="宋体" w:hint="default"/>
        </w:rPr>
        <w:t>(</w:t>
      </w:r>
      <w:r>
        <w:rPr/>
        <w:t>以下简称琥珀股权转让合同</w:t>
      </w:r>
      <w:r>
        <w:rPr>
          <w:rFonts w:ascii="宋体" w:hAnsi="宋体" w:cs="宋体" w:eastAsia="宋体" w:hint="default"/>
        </w:rPr>
        <w:t>)</w:t>
      </w:r>
      <w:r>
        <w:rPr/>
        <w:t>，并经</w:t>
      </w:r>
      <w:r>
        <w:rPr>
          <w:spacing w:val="-40"/>
        </w:rPr>
        <w:t> </w:t>
      </w:r>
      <w:r>
        <w:rPr>
          <w:rFonts w:ascii="宋体" w:hAnsi="宋体" w:cs="宋体" w:eastAsia="宋体" w:hint="default"/>
        </w:rPr>
        <w:t>2014</w:t>
      </w:r>
      <w:r>
        <w:rPr>
          <w:rFonts w:ascii="宋体" w:hAnsi="宋体" w:cs="宋体" w:eastAsia="宋体" w:hint="default"/>
          <w:spacing w:val="-41"/>
        </w:rPr>
        <w:t> </w:t>
      </w:r>
      <w:r>
        <w:rPr/>
        <w:t>年</w:t>
      </w:r>
      <w:r>
        <w:rPr>
          <w:spacing w:val="-40"/>
        </w:rPr>
        <w:t> </w:t>
      </w:r>
      <w:r>
        <w:rPr>
          <w:rFonts w:ascii="宋体" w:hAnsi="宋体" w:cs="宋体" w:eastAsia="宋体" w:hint="default"/>
        </w:rPr>
        <w:t>7</w:t>
      </w:r>
      <w:r>
        <w:rPr>
          <w:rFonts w:ascii="宋体" w:hAnsi="宋体" w:cs="宋体" w:eastAsia="宋体" w:hint="default"/>
          <w:spacing w:val="-40"/>
        </w:rPr>
        <w:t> </w:t>
      </w:r>
      <w:r>
        <w:rPr/>
        <w:t>月</w:t>
      </w:r>
      <w:r>
        <w:rPr>
          <w:spacing w:val="-40"/>
        </w:rPr>
        <w:t> </w:t>
      </w:r>
      <w:r>
        <w:rPr>
          <w:rFonts w:ascii="宋体" w:hAnsi="宋体" w:cs="宋体" w:eastAsia="宋体" w:hint="default"/>
        </w:rPr>
        <w:t>1</w:t>
      </w:r>
      <w:r>
        <w:rPr>
          <w:rFonts w:ascii="宋体" w:hAnsi="宋体" w:cs="宋体" w:eastAsia="宋体" w:hint="default"/>
          <w:spacing w:val="-40"/>
        </w:rPr>
        <w:t> </w:t>
      </w:r>
      <w:r>
        <w:rPr/>
        <w:t>日</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10" w:lineRule="auto" w:before="35"/>
        <w:ind w:left="154" w:right="1015"/>
        <w:jc w:val="left"/>
      </w:pPr>
      <w:r>
        <w:rPr/>
        <w:t>公司董事会第四届第二次会议审议通过，公司拟向特定对象詹嘉、李翔、张璐、李劼和琥珀传播的股东刘 </w:t>
      </w:r>
      <w:r>
        <w:rPr>
          <w:spacing w:val="-5"/>
        </w:rPr>
        <w:t>阳、王英杰、孙唯一、田斌以支付现金及发行股份的方式分别购买其持有的上海氩氪、琥珀传播</w:t>
      </w:r>
      <w:r>
        <w:rPr>
          <w:spacing w:val="-28"/>
        </w:rPr>
        <w:t> </w:t>
      </w:r>
      <w:r>
        <w:rPr>
          <w:rFonts w:ascii="宋体" w:hAnsi="宋体" w:cs="宋体" w:eastAsia="宋体" w:hint="default"/>
        </w:rPr>
        <w:t>100%</w:t>
      </w:r>
      <w:r>
        <w:rPr/>
        <w:t>股权；</w:t>
      </w:r>
      <w:r>
        <w:rPr>
          <w:spacing w:val="-101"/>
        </w:rPr>
        <w:t> </w:t>
      </w:r>
      <w:r>
        <w:rPr/>
        <w:t>同时，公司拟向郑晓东、段永玲、郭海</w:t>
      </w:r>
      <w:r>
        <w:rPr>
          <w:spacing w:val="-53"/>
        </w:rPr>
        <w:t> </w:t>
      </w:r>
      <w:r>
        <w:rPr>
          <w:rFonts w:ascii="宋体" w:hAnsi="宋体" w:cs="宋体" w:eastAsia="宋体" w:hint="default"/>
        </w:rPr>
        <w:t>3</w:t>
      </w:r>
      <w:r>
        <w:rPr>
          <w:rFonts w:ascii="宋体" w:hAnsi="宋体" w:cs="宋体" w:eastAsia="宋体" w:hint="default"/>
          <w:spacing w:val="-53"/>
        </w:rPr>
        <w:t> </w:t>
      </w:r>
      <w:r>
        <w:rPr/>
        <w:t>名其他特定投资者定向发行股份募集配套资金。</w:t>
      </w:r>
    </w:p>
    <w:p>
      <w:pPr>
        <w:pStyle w:val="BodyText"/>
        <w:spacing w:line="410" w:lineRule="auto" w:before="83"/>
        <w:ind w:left="154" w:right="1118" w:firstLine="420"/>
        <w:jc w:val="left"/>
      </w:pPr>
      <w:r>
        <w:rPr>
          <w:spacing w:val="3"/>
        </w:rPr>
        <w:t>根据《氩氪股权转让合同》和《琥珀股权转让合同》的约定，公司需支付上述股权转让对价分别为</w:t>
      </w:r>
      <w:r>
        <w:rPr/>
        <w:t> </w:t>
      </w:r>
      <w:r>
        <w:rPr>
          <w:rFonts w:ascii="宋体" w:hAnsi="宋体" w:cs="宋体" w:eastAsia="宋体" w:hint="default"/>
        </w:rPr>
        <w:t>22,593.90</w:t>
      </w:r>
      <w:r>
        <w:rPr>
          <w:rFonts w:ascii="宋体" w:hAnsi="宋体" w:cs="宋体" w:eastAsia="宋体" w:hint="default"/>
          <w:spacing w:val="-53"/>
        </w:rPr>
        <w:t> </w:t>
      </w:r>
      <w:r>
        <w:rPr/>
        <w:t>万元和</w:t>
      </w:r>
      <w:r>
        <w:rPr>
          <w:spacing w:val="-54"/>
        </w:rPr>
        <w:t> </w:t>
      </w:r>
      <w:r>
        <w:rPr>
          <w:rFonts w:ascii="宋体" w:hAnsi="宋体" w:cs="宋体" w:eastAsia="宋体" w:hint="default"/>
        </w:rPr>
        <w:t>19,500</w:t>
      </w:r>
      <w:r>
        <w:rPr>
          <w:rFonts w:ascii="宋体" w:hAnsi="宋体" w:cs="宋体" w:eastAsia="宋体" w:hint="default"/>
          <w:spacing w:val="-55"/>
        </w:rPr>
        <w:t> </w:t>
      </w:r>
      <w:r>
        <w:rPr/>
        <w:t>万元。</w:t>
      </w:r>
    </w:p>
    <w:p>
      <w:pPr>
        <w:pStyle w:val="BodyText"/>
        <w:spacing w:line="408" w:lineRule="auto" w:before="83"/>
        <w:ind w:right="1127" w:firstLine="420"/>
        <w:jc w:val="left"/>
      </w:pP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4"/>
        </w:rPr>
        <w:t> </w:t>
      </w:r>
      <w:r>
        <w:rPr>
          <w:rFonts w:ascii="宋体" w:hAnsi="宋体" w:cs="宋体" w:eastAsia="宋体" w:hint="default"/>
        </w:rPr>
        <w:t>21</w:t>
      </w:r>
      <w:r>
        <w:rPr>
          <w:rFonts w:ascii="宋体" w:hAnsi="宋体" w:cs="宋体" w:eastAsia="宋体" w:hint="default"/>
          <w:spacing w:val="-52"/>
        </w:rPr>
        <w:t> </w:t>
      </w:r>
      <w:r>
        <w:rPr>
          <w:spacing w:val="-4"/>
        </w:rPr>
        <w:t>日，经公司第六次临时股东大会审议批准，并经</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2"/>
        </w:rPr>
        <w:t> </w:t>
      </w:r>
      <w:r>
        <w:rPr/>
        <w:t>月</w:t>
      </w:r>
      <w:r>
        <w:rPr>
          <w:spacing w:val="-54"/>
        </w:rPr>
        <w:t> </w:t>
      </w:r>
      <w:r>
        <w:rPr>
          <w:rFonts w:ascii="宋体" w:hAnsi="宋体" w:cs="宋体" w:eastAsia="宋体" w:hint="default"/>
        </w:rPr>
        <w:t>24</w:t>
      </w:r>
      <w:r>
        <w:rPr>
          <w:rFonts w:ascii="宋体" w:hAnsi="宋体" w:cs="宋体" w:eastAsia="宋体" w:hint="default"/>
          <w:spacing w:val="-52"/>
        </w:rPr>
        <w:t> </w:t>
      </w:r>
      <w:r>
        <w:rPr/>
        <w:t>日中国证券监督管理 委员会《关于核准利欧集团股份有限公司向詹嘉等发行股份购买资产并募集配套资金的批复》</w:t>
      </w:r>
      <w:r>
        <w:rPr>
          <w:rFonts w:ascii="宋体" w:hAnsi="宋体" w:cs="宋体" w:eastAsia="宋体" w:hint="default"/>
        </w:rPr>
        <w:t>(</w:t>
      </w:r>
      <w:r>
        <w:rPr/>
        <w:t>证监许可</w:t>
      </w:r>
    </w:p>
    <w:p>
      <w:pPr>
        <w:pStyle w:val="BodyText"/>
        <w:spacing w:line="410" w:lineRule="auto" w:before="46"/>
        <w:ind w:right="1019"/>
        <w:jc w:val="left"/>
      </w:pPr>
      <w:r>
        <w:rPr>
          <w:spacing w:val="-2"/>
        </w:rPr>
        <w:t>〔</w:t>
      </w:r>
      <w:r>
        <w:rPr>
          <w:rFonts w:ascii="宋体" w:hAnsi="宋体" w:cs="宋体" w:eastAsia="宋体" w:hint="default"/>
          <w:spacing w:val="-2"/>
        </w:rPr>
        <w:t>2014</w:t>
      </w:r>
      <w:r>
        <w:rPr>
          <w:spacing w:val="-2"/>
        </w:rPr>
        <w:t>〕</w:t>
      </w:r>
      <w:r>
        <w:rPr>
          <w:rFonts w:ascii="宋体" w:hAnsi="宋体" w:cs="宋体" w:eastAsia="宋体" w:hint="default"/>
          <w:spacing w:val="-2"/>
        </w:rPr>
        <w:t>1227</w:t>
      </w:r>
      <w:r>
        <w:rPr>
          <w:rFonts w:ascii="宋体" w:hAnsi="宋体" w:cs="宋体" w:eastAsia="宋体" w:hint="default"/>
          <w:spacing w:val="-34"/>
        </w:rPr>
        <w:t> </w:t>
      </w:r>
      <w:r>
        <w:rPr>
          <w:spacing w:val="-2"/>
        </w:rPr>
        <w:t>号</w:t>
      </w:r>
      <w:r>
        <w:rPr>
          <w:rFonts w:ascii="宋体" w:hAnsi="宋体" w:cs="宋体" w:eastAsia="宋体" w:hint="default"/>
          <w:spacing w:val="-2"/>
        </w:rPr>
        <w:t>)</w:t>
      </w:r>
      <w:r>
        <w:rPr>
          <w:spacing w:val="-2"/>
        </w:rPr>
        <w:t>，公司获准分别向上海氩氪股东詹嘉、李翔、张璐、李劼和琥珀传播股东刘阳、王英杰、</w:t>
      </w:r>
      <w:r>
        <w:rPr>
          <w:spacing w:val="-101"/>
        </w:rPr>
        <w:t> </w:t>
      </w:r>
      <w:r>
        <w:rPr>
          <w:spacing w:val="-101"/>
        </w:rPr>
      </w:r>
      <w:r>
        <w:rPr>
          <w:spacing w:val="3"/>
        </w:rPr>
        <w:t>孙唯一、田斌和向自然人郑晓东、段永玲、郭海三名特定投资者定向增发人民币普通股</w:t>
      </w:r>
      <w:r>
        <w:rPr>
          <w:rFonts w:ascii="宋体" w:hAnsi="宋体" w:cs="宋体" w:eastAsia="宋体" w:hint="default"/>
          <w:spacing w:val="3"/>
        </w:rPr>
        <w:t>(A </w:t>
      </w:r>
      <w:r>
        <w:rPr>
          <w:spacing w:val="3"/>
        </w:rPr>
        <w:t>股</w:t>
      </w:r>
      <w:r>
        <w:rPr>
          <w:rFonts w:ascii="宋体" w:hAnsi="宋体" w:cs="宋体" w:eastAsia="宋体" w:hint="default"/>
          <w:spacing w:val="3"/>
        </w:rPr>
        <w:t>)</w:t>
      </w:r>
      <w:r>
        <w:rPr>
          <w:spacing w:val="3"/>
        </w:rPr>
        <w:t>股票合计</w:t>
      </w:r>
      <w:r>
        <w:rPr>
          <w:spacing w:val="-79"/>
        </w:rPr>
        <w:t> </w:t>
      </w:r>
      <w:r>
        <w:rPr>
          <w:spacing w:val="-79"/>
        </w:rPr>
      </w:r>
      <w:r>
        <w:rPr>
          <w:rFonts w:ascii="宋体" w:hAnsi="宋体" w:cs="宋体" w:eastAsia="宋体" w:hint="default"/>
        </w:rPr>
        <w:t>18,688,459</w:t>
      </w:r>
      <w:r>
        <w:rPr>
          <w:rFonts w:ascii="宋体" w:hAnsi="宋体" w:cs="宋体" w:eastAsia="宋体" w:hint="default"/>
          <w:spacing w:val="-53"/>
        </w:rPr>
        <w:t> </w:t>
      </w:r>
      <w:r>
        <w:rPr/>
        <w:t>股，每股面值</w:t>
      </w:r>
      <w:r>
        <w:rPr>
          <w:spacing w:val="-54"/>
        </w:rPr>
        <w:t> </w:t>
      </w:r>
      <w:r>
        <w:rPr>
          <w:rFonts w:ascii="宋体" w:hAnsi="宋体" w:cs="宋体" w:eastAsia="宋体" w:hint="default"/>
        </w:rPr>
        <w:t>1</w:t>
      </w:r>
      <w:r>
        <w:rPr>
          <w:rFonts w:ascii="宋体" w:hAnsi="宋体" w:cs="宋体" w:eastAsia="宋体" w:hint="default"/>
          <w:spacing w:val="-53"/>
        </w:rPr>
        <w:t> </w:t>
      </w:r>
      <w:r>
        <w:rPr/>
        <w:t>元，每股发行价格为人民币</w:t>
      </w:r>
      <w:r>
        <w:rPr>
          <w:spacing w:val="-53"/>
        </w:rPr>
        <w:t> </w:t>
      </w:r>
      <w:r>
        <w:rPr>
          <w:rFonts w:ascii="宋体" w:hAnsi="宋体" w:cs="宋体" w:eastAsia="宋体" w:hint="default"/>
        </w:rPr>
        <w:t>18.77</w:t>
      </w:r>
      <w:r>
        <w:rPr>
          <w:rFonts w:ascii="宋体" w:hAnsi="宋体" w:cs="宋体" w:eastAsia="宋体" w:hint="default"/>
          <w:spacing w:val="-53"/>
        </w:rPr>
        <w:t> </w:t>
      </w:r>
      <w:r>
        <w:rPr/>
        <w:t>元。</w:t>
      </w:r>
    </w:p>
    <w:p>
      <w:pPr>
        <w:pStyle w:val="BodyText"/>
        <w:spacing w:line="410" w:lineRule="auto" w:before="82"/>
        <w:ind w:right="1123" w:firstLine="420"/>
        <w:jc w:val="left"/>
      </w:pPr>
      <w:r>
        <w:rPr/>
        <w:t>截止</w:t>
      </w:r>
      <w:r>
        <w:rPr>
          <w:spacing w:val="-60"/>
        </w:rPr>
        <w:t> </w:t>
      </w:r>
      <w:r>
        <w:rPr>
          <w:rFonts w:ascii="宋体" w:hAnsi="宋体" w:cs="宋体" w:eastAsia="宋体" w:hint="default"/>
        </w:rPr>
        <w:t>2014</w:t>
      </w:r>
      <w:r>
        <w:rPr>
          <w:rFonts w:ascii="宋体" w:hAnsi="宋体" w:cs="宋体" w:eastAsia="宋体" w:hint="default"/>
          <w:spacing w:val="-59"/>
        </w:rPr>
        <w:t> </w:t>
      </w:r>
      <w:r>
        <w:rPr/>
        <w:t>年</w:t>
      </w:r>
      <w:r>
        <w:rPr>
          <w:spacing w:val="-62"/>
        </w:rPr>
        <w:t> </w:t>
      </w:r>
      <w:r>
        <w:rPr>
          <w:rFonts w:ascii="宋体" w:hAnsi="宋体" w:cs="宋体" w:eastAsia="宋体" w:hint="default"/>
        </w:rPr>
        <w:t>12</w:t>
      </w:r>
      <w:r>
        <w:rPr>
          <w:rFonts w:ascii="宋体" w:hAnsi="宋体" w:cs="宋体" w:eastAsia="宋体" w:hint="default"/>
          <w:spacing w:val="-60"/>
        </w:rPr>
        <w:t> </w:t>
      </w:r>
      <w:r>
        <w:rPr/>
        <w:t>月</w:t>
      </w:r>
      <w:r>
        <w:rPr>
          <w:spacing w:val="-62"/>
        </w:rPr>
        <w:t> </w:t>
      </w:r>
      <w:r>
        <w:rPr>
          <w:rFonts w:ascii="宋体" w:hAnsi="宋体" w:cs="宋体" w:eastAsia="宋体" w:hint="default"/>
        </w:rPr>
        <w:t>31</w:t>
      </w:r>
      <w:r>
        <w:rPr>
          <w:rFonts w:ascii="宋体" w:hAnsi="宋体" w:cs="宋体" w:eastAsia="宋体" w:hint="default"/>
          <w:spacing w:val="-60"/>
        </w:rPr>
        <w:t> </w:t>
      </w:r>
      <w:r>
        <w:rPr>
          <w:spacing w:val="-4"/>
        </w:rPr>
        <w:t>日，公司以发行股份和支付现金相结合的方式完成了对上海氩氪和琥珀传播</w:t>
      </w:r>
      <w:r>
        <w:rPr>
          <w:spacing w:val="-60"/>
        </w:rPr>
        <w:t> </w:t>
      </w:r>
      <w:r>
        <w:rPr>
          <w:rFonts w:ascii="宋体" w:hAnsi="宋体" w:cs="宋体" w:eastAsia="宋体" w:hint="default"/>
        </w:rPr>
        <w:t>100% </w:t>
      </w:r>
      <w:r>
        <w:rPr/>
        <w:t>股权收购的对价支付。</w:t>
      </w:r>
    </w:p>
    <w:p>
      <w:pPr>
        <w:pStyle w:val="BodyText"/>
        <w:spacing w:line="240" w:lineRule="auto" w:before="82"/>
        <w:ind w:left="573" w:right="0"/>
        <w:jc w:val="left"/>
      </w:pPr>
      <w:r>
        <w:rPr>
          <w:spacing w:val="-3"/>
        </w:rPr>
        <w:t>根据本公司与上海氩氪詹嘉等四名自然人和琥珀传播刘阳等四名自然人签署的《氩氪股权转让合同》、</w:t>
      </w:r>
    </w:p>
    <w:p>
      <w:pPr>
        <w:spacing w:line="240" w:lineRule="auto" w:before="10"/>
        <w:rPr>
          <w:rFonts w:ascii="宋体" w:hAnsi="宋体" w:cs="宋体" w:eastAsia="宋体" w:hint="default"/>
          <w:sz w:val="14"/>
          <w:szCs w:val="14"/>
        </w:rPr>
      </w:pPr>
    </w:p>
    <w:p>
      <w:pPr>
        <w:pStyle w:val="BodyText"/>
        <w:spacing w:line="408" w:lineRule="auto"/>
        <w:ind w:right="1128"/>
        <w:jc w:val="both"/>
      </w:pPr>
      <w:r>
        <w:rPr>
          <w:spacing w:val="-1"/>
        </w:rPr>
        <w:t>《琥珀股权转让合同》、《氩氪业绩补偿协议》、《琥珀业绩补偿协议》及《股权转让暨业绩补偿协议之</w:t>
      </w:r>
      <w:r>
        <w:rPr>
          <w:spacing w:val="-87"/>
        </w:rPr>
        <w:t> </w:t>
      </w:r>
      <w:r>
        <w:rPr>
          <w:spacing w:val="-87"/>
        </w:rPr>
      </w:r>
      <w:r>
        <w:rPr/>
        <w:t>补充协议》</w:t>
      </w:r>
      <w:r>
        <w:rPr>
          <w:rFonts w:ascii="宋体" w:hAnsi="宋体" w:cs="宋体" w:eastAsia="宋体" w:hint="default"/>
        </w:rPr>
        <w:t>(</w:t>
      </w:r>
      <w:r>
        <w:rPr/>
        <w:t>以下简称《补充协议》</w:t>
      </w:r>
      <w:r>
        <w:rPr>
          <w:rFonts w:ascii="宋体" w:hAnsi="宋体" w:cs="宋体" w:eastAsia="宋体" w:hint="default"/>
        </w:rPr>
        <w:t>)</w:t>
      </w:r>
      <w:r>
        <w:rPr/>
        <w:t>，上海氩氪原股东承诺上海氩氪</w:t>
      </w:r>
      <w:r>
        <w:rPr>
          <w:spacing w:val="-64"/>
        </w:rPr>
        <w:t> </w:t>
      </w:r>
      <w:r>
        <w:rPr>
          <w:rFonts w:ascii="宋体" w:hAnsi="宋体" w:cs="宋体" w:eastAsia="宋体" w:hint="default"/>
        </w:rPr>
        <w:t>2014</w:t>
      </w:r>
      <w:r>
        <w:rPr>
          <w:rFonts w:ascii="宋体" w:hAnsi="宋体" w:cs="宋体" w:eastAsia="宋体" w:hint="default"/>
          <w:spacing w:val="-65"/>
        </w:rPr>
        <w:t> </w:t>
      </w:r>
      <w:r>
        <w:rPr>
          <w:spacing w:val="-3"/>
        </w:rPr>
        <w:t>年、</w:t>
      </w:r>
      <w:r>
        <w:rPr>
          <w:rFonts w:ascii="宋体" w:hAnsi="宋体" w:cs="宋体" w:eastAsia="宋体" w:hint="default"/>
          <w:spacing w:val="-3"/>
        </w:rPr>
        <w:t>2015</w:t>
      </w:r>
      <w:r>
        <w:rPr>
          <w:rFonts w:ascii="宋体" w:hAnsi="宋体" w:cs="宋体" w:eastAsia="宋体" w:hint="default"/>
          <w:spacing w:val="-65"/>
        </w:rPr>
        <w:t> </w:t>
      </w:r>
      <w:r>
        <w:rPr/>
        <w:t>年和</w:t>
      </w:r>
      <w:r>
        <w:rPr>
          <w:spacing w:val="-65"/>
        </w:rPr>
        <w:t> </w:t>
      </w:r>
      <w:r>
        <w:rPr>
          <w:rFonts w:ascii="宋体" w:hAnsi="宋体" w:cs="宋体" w:eastAsia="宋体" w:hint="default"/>
        </w:rPr>
        <w:t>2016</w:t>
      </w:r>
      <w:r>
        <w:rPr>
          <w:rFonts w:ascii="宋体" w:hAnsi="宋体" w:cs="宋体" w:eastAsia="宋体" w:hint="default"/>
          <w:spacing w:val="-65"/>
        </w:rPr>
        <w:t> </w:t>
      </w:r>
      <w:r>
        <w:rPr/>
        <w:t>年实现的经 </w:t>
      </w:r>
      <w:r>
        <w:rPr>
          <w:spacing w:val="3"/>
        </w:rPr>
        <w:t>审计的净利润</w:t>
      </w:r>
      <w:r>
        <w:rPr>
          <w:rFonts w:ascii="宋体" w:hAnsi="宋体" w:cs="宋体" w:eastAsia="宋体" w:hint="default"/>
          <w:spacing w:val="3"/>
        </w:rPr>
        <w:t>(</w:t>
      </w:r>
      <w:r>
        <w:rPr>
          <w:spacing w:val="3"/>
        </w:rPr>
        <w:t>指经具有证券从业资格的会计师事务所审计确认的扣除非经常性损益的净利润</w:t>
      </w:r>
      <w:r>
        <w:rPr>
          <w:rFonts w:ascii="宋体" w:hAnsi="宋体" w:cs="宋体" w:eastAsia="宋体" w:hint="default"/>
          <w:spacing w:val="3"/>
        </w:rPr>
        <w:t>)</w:t>
      </w:r>
      <w:r>
        <w:rPr>
          <w:spacing w:val="3"/>
        </w:rPr>
        <w:t>分别不少</w:t>
      </w:r>
      <w:r>
        <w:rPr>
          <w:spacing w:val="-74"/>
        </w:rPr>
        <w:t> </w:t>
      </w:r>
      <w:r>
        <w:rPr/>
        <w:t>于人民币</w:t>
      </w:r>
      <w:r>
        <w:rPr>
          <w:spacing w:val="-41"/>
        </w:rPr>
        <w:t> </w:t>
      </w:r>
      <w:r>
        <w:rPr>
          <w:rFonts w:ascii="宋体" w:hAnsi="宋体" w:cs="宋体" w:eastAsia="宋体" w:hint="default"/>
        </w:rPr>
        <w:t>1,801.96</w:t>
      </w:r>
      <w:r>
        <w:rPr>
          <w:rFonts w:ascii="宋体" w:hAnsi="宋体" w:cs="宋体" w:eastAsia="宋体" w:hint="default"/>
          <w:spacing w:val="-40"/>
        </w:rPr>
        <w:t> </w:t>
      </w:r>
      <w:r>
        <w:rPr/>
        <w:t>万元、</w:t>
      </w:r>
      <w:r>
        <w:rPr>
          <w:rFonts w:ascii="宋体" w:hAnsi="宋体" w:cs="宋体" w:eastAsia="宋体" w:hint="default"/>
        </w:rPr>
        <w:t>2,378.75</w:t>
      </w:r>
      <w:r>
        <w:rPr>
          <w:rFonts w:ascii="宋体" w:hAnsi="宋体" w:cs="宋体" w:eastAsia="宋体" w:hint="default"/>
          <w:spacing w:val="-40"/>
        </w:rPr>
        <w:t> </w:t>
      </w:r>
      <w:r>
        <w:rPr/>
        <w:t>万元、</w:t>
      </w:r>
      <w:r>
        <w:rPr>
          <w:rFonts w:ascii="宋体" w:hAnsi="宋体" w:cs="宋体" w:eastAsia="宋体" w:hint="default"/>
        </w:rPr>
        <w:t>3,004.98</w:t>
      </w:r>
      <w:r>
        <w:rPr>
          <w:rFonts w:ascii="宋体" w:hAnsi="宋体" w:cs="宋体" w:eastAsia="宋体" w:hint="default"/>
          <w:spacing w:val="-41"/>
        </w:rPr>
        <w:t> </w:t>
      </w:r>
      <w:r>
        <w:rPr/>
        <w:t>万元</w:t>
      </w:r>
      <w:r>
        <w:rPr>
          <w:rFonts w:ascii="宋体" w:hAnsi="宋体" w:cs="宋体" w:eastAsia="宋体" w:hint="default"/>
        </w:rPr>
        <w:t>(</w:t>
      </w:r>
      <w:r>
        <w:rPr/>
        <w:t>以下简称预测净利润</w:t>
      </w:r>
      <w:r>
        <w:rPr>
          <w:rFonts w:ascii="宋体" w:hAnsi="宋体" w:cs="宋体" w:eastAsia="宋体" w:hint="default"/>
        </w:rPr>
        <w:t>)</w:t>
      </w:r>
      <w:r>
        <w:rPr/>
        <w:t>，上述</w:t>
      </w:r>
      <w:r>
        <w:rPr>
          <w:spacing w:val="-41"/>
        </w:rPr>
        <w:t> </w:t>
      </w:r>
      <w:r>
        <w:rPr>
          <w:rFonts w:ascii="宋体" w:hAnsi="宋体" w:cs="宋体" w:eastAsia="宋体" w:hint="default"/>
        </w:rPr>
        <w:t>2014</w:t>
      </w:r>
      <w:r>
        <w:rPr>
          <w:rFonts w:ascii="宋体" w:hAnsi="宋体" w:cs="宋体" w:eastAsia="宋体" w:hint="default"/>
          <w:spacing w:val="-40"/>
        </w:rPr>
        <w:t> </w:t>
      </w:r>
      <w:r>
        <w:rPr/>
        <w:t>年度的预测 净利润按备考口径确定，即假定自</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6"/>
        </w:rPr>
        <w:t> </w:t>
      </w:r>
      <w:r>
        <w:rPr/>
        <w:t>月</w:t>
      </w:r>
      <w:r>
        <w:rPr>
          <w:spacing w:val="-58"/>
        </w:rPr>
        <w:t> </w:t>
      </w:r>
      <w:r>
        <w:rPr>
          <w:rFonts w:ascii="宋体" w:hAnsi="宋体" w:cs="宋体" w:eastAsia="宋体" w:hint="default"/>
        </w:rPr>
        <w:t>1</w:t>
      </w:r>
      <w:r>
        <w:rPr>
          <w:rFonts w:ascii="宋体" w:hAnsi="宋体" w:cs="宋体" w:eastAsia="宋体" w:hint="default"/>
          <w:spacing w:val="-57"/>
        </w:rPr>
        <w:t> </w:t>
      </w:r>
      <w:r>
        <w:rPr/>
        <w:t>日起，上海沃动市场营销策划有限公司</w:t>
      </w:r>
      <w:r>
        <w:rPr>
          <w:rFonts w:ascii="宋体" w:hAnsi="宋体" w:cs="宋体" w:eastAsia="宋体" w:hint="default"/>
        </w:rPr>
        <w:t>(</w:t>
      </w:r>
      <w:r>
        <w:rPr/>
        <w:t>以下简称上海沃 动</w:t>
      </w:r>
      <w:r>
        <w:rPr>
          <w:rFonts w:ascii="宋体" w:hAnsi="宋体" w:cs="宋体" w:eastAsia="宋体" w:hint="default"/>
        </w:rPr>
        <w:t>)</w:t>
      </w:r>
      <w:r>
        <w:rPr/>
        <w:t>已成为上海氩氪的全资子公司，自该日起上海沃动纳入上海氩氪财务报表合并范围。琥珀传播原股东</w:t>
      </w:r>
      <w:r>
        <w:rPr>
          <w:spacing w:val="-35"/>
        </w:rPr>
        <w:t> </w:t>
      </w:r>
      <w:r>
        <w:rPr>
          <w:spacing w:val="-35"/>
        </w:rPr>
      </w:r>
      <w:r>
        <w:rPr/>
        <w:t>承诺琥珀传播</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rFonts w:ascii="宋体" w:hAnsi="宋体" w:cs="宋体" w:eastAsia="宋体" w:hint="default"/>
        </w:rPr>
        <w:t>2015</w:t>
      </w:r>
      <w:r>
        <w:rPr>
          <w:rFonts w:ascii="宋体" w:hAnsi="宋体" w:cs="宋体" w:eastAsia="宋体" w:hint="default"/>
          <w:spacing w:val="-47"/>
        </w:rPr>
        <w:t> </w:t>
      </w:r>
      <w:r>
        <w:rPr/>
        <w:t>年和</w:t>
      </w:r>
      <w:r>
        <w:rPr>
          <w:spacing w:val="-50"/>
        </w:rPr>
        <w:t> </w:t>
      </w:r>
      <w:r>
        <w:rPr>
          <w:rFonts w:ascii="宋体" w:hAnsi="宋体" w:cs="宋体" w:eastAsia="宋体" w:hint="default"/>
        </w:rPr>
        <w:t>2016</w:t>
      </w:r>
      <w:r>
        <w:rPr>
          <w:rFonts w:ascii="宋体" w:hAnsi="宋体" w:cs="宋体" w:eastAsia="宋体" w:hint="default"/>
          <w:spacing w:val="-47"/>
        </w:rPr>
        <w:t> </w:t>
      </w:r>
      <w:r>
        <w:rPr/>
        <w:t>年实现的经审计的净利润</w:t>
      </w:r>
      <w:r>
        <w:rPr>
          <w:rFonts w:ascii="宋体" w:hAnsi="宋体" w:cs="宋体" w:eastAsia="宋体" w:hint="default"/>
        </w:rPr>
        <w:t>(</w:t>
      </w:r>
      <w:r>
        <w:rPr/>
        <w:t>指经具有证券从业资格的会计师事务所 审计确认的扣除非经常性损益的净利润</w:t>
      </w:r>
      <w:r>
        <w:rPr>
          <w:rFonts w:ascii="宋体" w:hAnsi="宋体" w:cs="宋体" w:eastAsia="宋体" w:hint="default"/>
        </w:rPr>
        <w:t>)</w:t>
      </w:r>
      <w:r>
        <w:rPr/>
        <w:t>分别不少于人民币</w:t>
      </w:r>
      <w:r>
        <w:rPr>
          <w:spacing w:val="-34"/>
        </w:rPr>
        <w:t> </w:t>
      </w:r>
      <w:r>
        <w:rPr>
          <w:rFonts w:ascii="宋体" w:hAnsi="宋体" w:cs="宋体" w:eastAsia="宋体" w:hint="default"/>
        </w:rPr>
        <w:t>1,501.47</w:t>
      </w:r>
      <w:r>
        <w:rPr>
          <w:rFonts w:ascii="宋体" w:hAnsi="宋体" w:cs="宋体" w:eastAsia="宋体" w:hint="default"/>
          <w:spacing w:val="-33"/>
        </w:rPr>
        <w:t> </w:t>
      </w:r>
      <w:r>
        <w:rPr/>
        <w:t>万元、</w:t>
      </w:r>
      <w:r>
        <w:rPr>
          <w:rFonts w:ascii="宋体" w:hAnsi="宋体" w:cs="宋体" w:eastAsia="宋体" w:hint="default"/>
        </w:rPr>
        <w:t>1,950.13</w:t>
      </w:r>
      <w:r>
        <w:rPr>
          <w:rFonts w:ascii="宋体" w:hAnsi="宋体" w:cs="宋体" w:eastAsia="宋体" w:hint="default"/>
          <w:spacing w:val="-34"/>
        </w:rPr>
        <w:t> </w:t>
      </w:r>
      <w:r>
        <w:rPr/>
        <w:t>万元、</w:t>
      </w:r>
      <w:r>
        <w:rPr>
          <w:rFonts w:ascii="宋体" w:hAnsi="宋体" w:cs="宋体" w:eastAsia="宋体" w:hint="default"/>
        </w:rPr>
        <w:t>2,550.02</w:t>
      </w:r>
      <w:r>
        <w:rPr>
          <w:rFonts w:ascii="宋体" w:hAnsi="宋体" w:cs="宋体" w:eastAsia="宋体" w:hint="default"/>
          <w:spacing w:val="-32"/>
        </w:rPr>
        <w:t> </w:t>
      </w:r>
      <w:r>
        <w:rPr/>
        <w:t>万 </w:t>
      </w:r>
      <w:r>
        <w:rPr>
          <w:spacing w:val="-1"/>
        </w:rPr>
        <w:t>元</w:t>
      </w:r>
      <w:r>
        <w:rPr>
          <w:rFonts w:ascii="宋体" w:hAnsi="宋体" w:cs="宋体" w:eastAsia="宋体" w:hint="default"/>
          <w:spacing w:val="-1"/>
        </w:rPr>
        <w:t>(</w:t>
      </w:r>
      <w:r>
        <w:rPr>
          <w:spacing w:val="-1"/>
        </w:rPr>
        <w:t>以下简称预测净利润</w:t>
      </w:r>
      <w:r>
        <w:rPr>
          <w:rFonts w:ascii="宋体" w:hAnsi="宋体" w:cs="宋体" w:eastAsia="宋体" w:hint="default"/>
          <w:spacing w:val="-1"/>
        </w:rPr>
        <w:t>)</w:t>
      </w:r>
      <w:r>
        <w:rPr>
          <w:spacing w:val="-1"/>
        </w:rPr>
        <w:t>。如果上海氩氪、琥珀传播在利润补偿期间内任一会计年度的当年期末实际净利</w:t>
      </w:r>
      <w:r>
        <w:rPr>
          <w:spacing w:val="-83"/>
        </w:rPr>
        <w:t> </w:t>
      </w:r>
      <w:r>
        <w:rPr>
          <w:spacing w:val="-83"/>
        </w:rPr>
      </w:r>
      <w:r>
        <w:rPr>
          <w:spacing w:val="-1"/>
        </w:rPr>
        <w:t>润累计数未能达到当年期末预测净利润累计数，则本公司应在该年度的年度报告披露之日起十日内，以书</w:t>
      </w:r>
      <w:r>
        <w:rPr>
          <w:spacing w:val="-81"/>
        </w:rPr>
        <w:t> </w:t>
      </w:r>
      <w:r>
        <w:rPr>
          <w:spacing w:val="-81"/>
        </w:rPr>
      </w:r>
      <w:r>
        <w:rPr>
          <w:spacing w:val="-1"/>
        </w:rPr>
        <w:t>面方式通知原股东关于上海氩氪、琥珀传播在该年度实际净利润累计数小于预测净利润累计数的事实，并</w:t>
      </w:r>
      <w:r>
        <w:rPr>
          <w:spacing w:val="-81"/>
        </w:rPr>
        <w:t> </w:t>
      </w:r>
      <w:r>
        <w:rPr>
          <w:spacing w:val="-81"/>
        </w:rPr>
      </w:r>
      <w:r>
        <w:rPr/>
        <w:t>要求原股东优先以股份补偿的方式进行利润补偿，不足部分以现金补偿的方式进行利润补偿。</w:t>
      </w:r>
    </w:p>
    <w:p>
      <w:pPr>
        <w:pStyle w:val="BodyText"/>
        <w:spacing w:line="410" w:lineRule="auto" w:before="85"/>
        <w:ind w:left="154" w:right="1121" w:firstLine="420"/>
        <w:jc w:val="left"/>
      </w:pPr>
      <w:r>
        <w:rPr>
          <w:spacing w:val="-12"/>
        </w:rPr>
        <w:t>上海氩氪、琥珀传播</w:t>
      </w:r>
      <w:r>
        <w:rPr>
          <w:spacing w:val="-57"/>
        </w:rPr>
        <w:t> </w:t>
      </w:r>
      <w:r>
        <w:rPr>
          <w:rFonts w:ascii="宋体" w:hAnsi="宋体" w:cs="宋体" w:eastAsia="宋体" w:hint="default"/>
        </w:rPr>
        <w:t>2015</w:t>
      </w:r>
      <w:r>
        <w:rPr>
          <w:rFonts w:ascii="宋体" w:hAnsi="宋体" w:cs="宋体" w:eastAsia="宋体" w:hint="default"/>
          <w:spacing w:val="-59"/>
        </w:rPr>
        <w:t> </w:t>
      </w:r>
      <w:r>
        <w:rPr/>
        <w:t>年度经审计的扣除非经常性损益后的净利润分别为</w:t>
      </w:r>
      <w:r>
        <w:rPr>
          <w:spacing w:val="-57"/>
        </w:rPr>
        <w:t> </w:t>
      </w:r>
      <w:r>
        <w:rPr>
          <w:rFonts w:ascii="宋体" w:hAnsi="宋体" w:cs="宋体" w:eastAsia="宋体" w:hint="default"/>
        </w:rPr>
        <w:t>2,628.24</w:t>
      </w:r>
      <w:r>
        <w:rPr>
          <w:rFonts w:ascii="宋体" w:hAnsi="宋体" w:cs="宋体" w:eastAsia="宋体" w:hint="default"/>
          <w:spacing w:val="-58"/>
        </w:rPr>
        <w:t> </w:t>
      </w:r>
      <w:r>
        <w:rPr>
          <w:spacing w:val="-10"/>
        </w:rPr>
        <w:t>万元、</w:t>
      </w:r>
      <w:r>
        <w:rPr>
          <w:rFonts w:ascii="宋体" w:hAnsi="宋体" w:cs="宋体" w:eastAsia="宋体" w:hint="default"/>
          <w:spacing w:val="-10"/>
        </w:rPr>
        <w:t>2,137.23</w:t>
      </w:r>
      <w:r>
        <w:rPr>
          <w:rFonts w:ascii="宋体" w:hAnsi="宋体" w:cs="宋体" w:eastAsia="宋体" w:hint="default"/>
        </w:rPr>
        <w:t> </w:t>
      </w:r>
      <w:r>
        <w:rPr/>
        <w:t>万元，均已完成盈利预测的业绩承诺。</w:t>
      </w:r>
    </w:p>
    <w:p>
      <w:pPr>
        <w:pStyle w:val="BodyText"/>
        <w:spacing w:line="240" w:lineRule="auto" w:before="83"/>
        <w:ind w:left="574" w:right="0"/>
        <w:jc w:val="left"/>
      </w:pPr>
      <w:r>
        <w:rPr>
          <w:rFonts w:ascii="宋体" w:hAnsi="宋体" w:cs="宋体" w:eastAsia="宋体" w:hint="default"/>
        </w:rPr>
        <w:t>(2)</w:t>
      </w:r>
      <w:r>
        <w:rPr>
          <w:rFonts w:ascii="宋体" w:hAnsi="宋体" w:cs="宋体" w:eastAsia="宋体" w:hint="default"/>
          <w:spacing w:val="-1"/>
        </w:rPr>
        <w:t> </w:t>
      </w:r>
      <w:r>
        <w:rPr/>
        <w:t>万圣伟业、微创时代</w:t>
      </w:r>
    </w:p>
    <w:p>
      <w:pPr>
        <w:spacing w:line="240" w:lineRule="auto" w:before="9"/>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2015</w:t>
      </w:r>
      <w:r>
        <w:rPr>
          <w:rFonts w:ascii="宋体" w:hAnsi="宋体" w:cs="宋体" w:eastAsia="宋体" w:hint="default"/>
          <w:spacing w:val="-45"/>
        </w:rPr>
        <w:t> </w:t>
      </w:r>
      <w:r>
        <w:rPr/>
        <w:t>年</w:t>
      </w:r>
      <w:r>
        <w:rPr>
          <w:spacing w:val="-46"/>
        </w:rPr>
        <w:t> </w:t>
      </w:r>
      <w:r>
        <w:rPr>
          <w:rFonts w:ascii="宋体" w:hAnsi="宋体" w:cs="宋体" w:eastAsia="宋体" w:hint="default"/>
        </w:rPr>
        <w:t>5</w:t>
      </w:r>
      <w:r>
        <w:rPr>
          <w:rFonts w:ascii="宋体" w:hAnsi="宋体" w:cs="宋体" w:eastAsia="宋体" w:hint="default"/>
          <w:spacing w:val="-46"/>
        </w:rPr>
        <w:t> </w:t>
      </w:r>
      <w:r>
        <w:rPr/>
        <w:t>月</w:t>
      </w:r>
      <w:r>
        <w:rPr>
          <w:spacing w:val="-47"/>
        </w:rPr>
        <w:t> </w:t>
      </w:r>
      <w:r>
        <w:rPr>
          <w:rFonts w:ascii="宋体" w:hAnsi="宋体" w:cs="宋体" w:eastAsia="宋体" w:hint="default"/>
        </w:rPr>
        <w:t>5</w:t>
      </w:r>
      <w:r>
        <w:rPr>
          <w:rFonts w:ascii="宋体" w:hAnsi="宋体" w:cs="宋体" w:eastAsia="宋体" w:hint="default"/>
          <w:spacing w:val="-45"/>
        </w:rPr>
        <w:t> </w:t>
      </w:r>
      <w:r>
        <w:rPr>
          <w:spacing w:val="-3"/>
        </w:rPr>
        <w:t>日，根据本公司分别与徐先明、淮安明硕签订的《关于江苏万圣伟业网络科技有限公司</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jc w:val="both"/>
      </w:pPr>
      <w:r>
        <w:rPr>
          <w:spacing w:val="-1"/>
        </w:rPr>
        <w:t>之股权转让合同》</w:t>
      </w:r>
      <w:r>
        <w:rPr>
          <w:rFonts w:ascii="宋体" w:hAnsi="宋体" w:cs="宋体" w:eastAsia="宋体" w:hint="default"/>
          <w:spacing w:val="-1"/>
        </w:rPr>
        <w:t>(</w:t>
      </w:r>
      <w:r>
        <w:rPr>
          <w:spacing w:val="-1"/>
        </w:rPr>
        <w:t>以下简称万圣伟业转让合同</w:t>
      </w:r>
      <w:r>
        <w:rPr>
          <w:rFonts w:ascii="宋体" w:hAnsi="宋体" w:cs="宋体" w:eastAsia="宋体" w:hint="default"/>
          <w:spacing w:val="-1"/>
        </w:rPr>
        <w:t>)</w:t>
      </w:r>
      <w:r>
        <w:rPr>
          <w:spacing w:val="-1"/>
        </w:rPr>
        <w:t>以及与何若萌、刘璐签订的《关于北京微创时代广告有限</w:t>
      </w:r>
      <w:r>
        <w:rPr>
          <w:spacing w:val="-84"/>
        </w:rPr>
        <w:t> </w:t>
      </w:r>
      <w:r>
        <w:rPr>
          <w:spacing w:val="-84"/>
        </w:rPr>
      </w:r>
      <w:r>
        <w:rPr/>
        <w:t>公司之股权转让合同》</w:t>
      </w:r>
      <w:r>
        <w:rPr>
          <w:rFonts w:ascii="宋体" w:hAnsi="宋体" w:cs="宋体" w:eastAsia="宋体" w:hint="default"/>
        </w:rPr>
        <w:t>(</w:t>
      </w:r>
      <w:r>
        <w:rPr/>
        <w:t>以下简称微创时代转让合同</w:t>
      </w:r>
      <w:r>
        <w:rPr>
          <w:rFonts w:ascii="宋体" w:hAnsi="宋体" w:cs="宋体" w:eastAsia="宋体" w:hint="default"/>
        </w:rPr>
        <w:t>)</w:t>
      </w:r>
      <w:r>
        <w:rPr/>
        <w:t>，并经</w:t>
      </w:r>
      <w:r>
        <w:rPr>
          <w:spacing w:val="-58"/>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w:t>
      </w:r>
      <w:r>
        <w:rPr>
          <w:spacing w:val="-58"/>
        </w:rPr>
        <w:t> </w:t>
      </w:r>
      <w:r>
        <w:rPr>
          <w:rFonts w:ascii="宋体" w:hAnsi="宋体" w:cs="宋体" w:eastAsia="宋体" w:hint="default"/>
        </w:rPr>
        <w:t>25</w:t>
      </w:r>
      <w:r>
        <w:rPr>
          <w:rFonts w:ascii="宋体" w:hAnsi="宋体" w:cs="宋体" w:eastAsia="宋体" w:hint="default"/>
          <w:spacing w:val="-57"/>
        </w:rPr>
        <w:t> </w:t>
      </w:r>
      <w:r>
        <w:rPr/>
        <w:t>日公司第四届董事会第十二次 </w:t>
      </w:r>
      <w:r>
        <w:rPr>
          <w:spacing w:val="-1"/>
        </w:rPr>
        <w:t>会议审议通过，公司拟向万圣伟业的原股东徐先明、淮安明硕和微创时代的原股东何若萌、刘璐以发行股</w:t>
      </w:r>
      <w:r>
        <w:rPr>
          <w:spacing w:val="-83"/>
        </w:rPr>
        <w:t> </w:t>
      </w:r>
      <w:r>
        <w:rPr>
          <w:spacing w:val="-83"/>
        </w:rPr>
      </w:r>
      <w:r>
        <w:rPr/>
        <w:t>份及支付现金的方式分别购买其持有的万圣伟业、微创时代</w:t>
      </w:r>
      <w:r>
        <w:rPr>
          <w:spacing w:val="-43"/>
        </w:rPr>
        <w:t> </w:t>
      </w:r>
      <w:r>
        <w:rPr>
          <w:rFonts w:ascii="宋体" w:hAnsi="宋体" w:cs="宋体" w:eastAsia="宋体" w:hint="default"/>
        </w:rPr>
        <w:t>100%</w:t>
      </w:r>
      <w:r>
        <w:rPr/>
        <w:t>股权；同时，公司拟向不超过</w:t>
      </w:r>
      <w:r>
        <w:rPr>
          <w:spacing w:val="-44"/>
        </w:rPr>
        <w:t> </w:t>
      </w:r>
      <w:r>
        <w:rPr>
          <w:rFonts w:ascii="宋体" w:hAnsi="宋体" w:cs="宋体" w:eastAsia="宋体" w:hint="default"/>
        </w:rPr>
        <w:t>10</w:t>
      </w:r>
      <w:r>
        <w:rPr>
          <w:rFonts w:ascii="宋体" w:hAnsi="宋体" w:cs="宋体" w:eastAsia="宋体" w:hint="default"/>
          <w:spacing w:val="-43"/>
        </w:rPr>
        <w:t> </w:t>
      </w:r>
      <w:r>
        <w:rPr/>
        <w:t>名其他 特定投资者发行股份募集配套资金。</w:t>
      </w:r>
    </w:p>
    <w:p>
      <w:pPr>
        <w:pStyle w:val="BodyText"/>
        <w:spacing w:line="410" w:lineRule="auto" w:before="84"/>
        <w:ind w:right="0" w:firstLine="420"/>
        <w:jc w:val="left"/>
      </w:pPr>
      <w:r>
        <w:rPr>
          <w:spacing w:val="3"/>
        </w:rPr>
        <w:t>根据《万圣伟业转让合同》和《微创时代转让合同》的约定，公司需支付上述股权转让对价分别为</w:t>
      </w:r>
      <w:r>
        <w:rPr/>
        <w:t> </w:t>
      </w:r>
      <w:r>
        <w:rPr>
          <w:rFonts w:ascii="宋体" w:hAnsi="宋体" w:cs="宋体" w:eastAsia="宋体" w:hint="default"/>
        </w:rPr>
        <w:t>2,072,000,000.00</w:t>
      </w:r>
      <w:r>
        <w:rPr>
          <w:rFonts w:ascii="宋体" w:hAnsi="宋体" w:cs="宋体" w:eastAsia="宋体" w:hint="default"/>
          <w:spacing w:val="-53"/>
        </w:rPr>
        <w:t> </w:t>
      </w:r>
      <w:r>
        <w:rPr/>
        <w:t>元和</w:t>
      </w:r>
      <w:r>
        <w:rPr>
          <w:spacing w:val="-55"/>
        </w:rPr>
        <w:t> </w:t>
      </w:r>
      <w:r>
        <w:rPr>
          <w:rFonts w:ascii="宋体" w:hAnsi="宋体" w:cs="宋体" w:eastAsia="宋体" w:hint="default"/>
        </w:rPr>
        <w:t>840,000,000.00</w:t>
      </w:r>
      <w:r>
        <w:rPr>
          <w:rFonts w:ascii="宋体" w:hAnsi="宋体" w:cs="宋体" w:eastAsia="宋体" w:hint="default"/>
          <w:spacing w:val="-53"/>
        </w:rPr>
        <w:t> </w:t>
      </w:r>
      <w:r>
        <w:rPr/>
        <w:t>元。</w:t>
      </w:r>
    </w:p>
    <w:p>
      <w:pPr>
        <w:pStyle w:val="BodyText"/>
        <w:spacing w:line="408" w:lineRule="auto" w:before="83"/>
        <w:ind w:right="1023" w:firstLine="420"/>
        <w:jc w:val="left"/>
      </w:pP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14</w:t>
      </w:r>
      <w:r>
        <w:rPr>
          <w:rFonts w:ascii="宋体" w:hAnsi="宋体" w:cs="宋体" w:eastAsia="宋体" w:hint="default"/>
          <w:spacing w:val="-51"/>
        </w:rPr>
        <w:t> </w:t>
      </w:r>
      <w:r>
        <w:rPr/>
        <w:t>日，经公司</w:t>
      </w:r>
      <w:r>
        <w:rPr>
          <w:spacing w:val="-51"/>
        </w:rPr>
        <w:t> </w:t>
      </w:r>
      <w:r>
        <w:rPr>
          <w:rFonts w:ascii="宋体" w:hAnsi="宋体" w:cs="宋体" w:eastAsia="宋体" w:hint="default"/>
        </w:rPr>
        <w:t>2015</w:t>
      </w:r>
      <w:r>
        <w:rPr>
          <w:rFonts w:ascii="宋体" w:hAnsi="宋体" w:cs="宋体" w:eastAsia="宋体" w:hint="default"/>
          <w:spacing w:val="-51"/>
        </w:rPr>
        <w:t> </w:t>
      </w:r>
      <w:r>
        <w:rPr/>
        <w:t>年第四次临时股东大会审议批准，并经</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28</w:t>
      </w:r>
      <w:r>
        <w:rPr>
          <w:rFonts w:ascii="宋体" w:hAnsi="宋体" w:cs="宋体" w:eastAsia="宋体" w:hint="default"/>
          <w:spacing w:val="-51"/>
        </w:rPr>
        <w:t> </w:t>
      </w:r>
      <w:r>
        <w:rPr/>
        <w:t>日中国证券 </w:t>
      </w:r>
      <w:r>
        <w:rPr>
          <w:spacing w:val="-3"/>
        </w:rPr>
        <w:t>监督管理委员会《关于核准利欧集团股份有限公司向詹嘉等发行股份购买资产并募集配套资金的批复》</w:t>
      </w:r>
      <w:r>
        <w:rPr>
          <w:rFonts w:ascii="宋体" w:hAnsi="宋体" w:cs="宋体" w:eastAsia="宋体" w:hint="default"/>
          <w:spacing w:val="-3"/>
        </w:rPr>
        <w:t>(</w:t>
      </w:r>
      <w:r>
        <w:rPr>
          <w:spacing w:val="-3"/>
        </w:rPr>
        <w:t>证</w:t>
      </w:r>
      <w:r>
        <w:rPr>
          <w:spacing w:val="-91"/>
        </w:rPr>
        <w:t> </w:t>
      </w:r>
      <w:r>
        <w:rPr/>
        <w:t>监许可〔</w:t>
      </w:r>
      <w:r>
        <w:rPr>
          <w:rFonts w:ascii="宋体" w:hAnsi="宋体" w:cs="宋体" w:eastAsia="宋体" w:hint="default"/>
        </w:rPr>
        <w:t>2015</w:t>
      </w:r>
      <w:r>
        <w:rPr/>
        <w:t>〕</w:t>
      </w:r>
      <w:r>
        <w:rPr>
          <w:rFonts w:ascii="宋体" w:hAnsi="宋体" w:cs="宋体" w:eastAsia="宋体" w:hint="default"/>
        </w:rPr>
        <w:t>2395</w:t>
      </w:r>
      <w:r>
        <w:rPr>
          <w:rFonts w:ascii="宋体" w:hAnsi="宋体" w:cs="宋体" w:eastAsia="宋体" w:hint="default"/>
          <w:spacing w:val="-23"/>
        </w:rPr>
        <w:t> </w:t>
      </w:r>
      <w:r>
        <w:rPr/>
        <w:t>号</w:t>
      </w:r>
      <w:r>
        <w:rPr>
          <w:rFonts w:ascii="宋体" w:hAnsi="宋体" w:cs="宋体" w:eastAsia="宋体" w:hint="default"/>
        </w:rPr>
        <w:t>)</w:t>
      </w:r>
      <w:r>
        <w:rPr/>
        <w:t>，公司获准分别向万圣伟业原股东徐先明、淮安明硕和微创时代原股东刘璐、何 若萌定向增发人民币普通股</w:t>
      </w:r>
      <w:r>
        <w:rPr>
          <w:rFonts w:ascii="宋体" w:hAnsi="宋体" w:cs="宋体" w:eastAsia="宋体" w:hint="default"/>
        </w:rPr>
        <w:t>(A</w:t>
      </w:r>
      <w:r>
        <w:rPr>
          <w:rFonts w:ascii="宋体" w:hAnsi="宋体" w:cs="宋体" w:eastAsia="宋体" w:hint="default"/>
          <w:spacing w:val="-58"/>
        </w:rPr>
        <w:t> </w:t>
      </w:r>
      <w:r>
        <w:rPr/>
        <w:t>股</w:t>
      </w:r>
      <w:r>
        <w:rPr>
          <w:rFonts w:ascii="宋体" w:hAnsi="宋体" w:cs="宋体" w:eastAsia="宋体" w:hint="default"/>
        </w:rPr>
        <w:t>)</w:t>
      </w:r>
      <w:r>
        <w:rPr/>
        <w:t>股票</w:t>
      </w:r>
      <w:r>
        <w:rPr>
          <w:spacing w:val="-59"/>
        </w:rPr>
        <w:t> </w:t>
      </w:r>
      <w:r>
        <w:rPr>
          <w:rFonts w:ascii="宋体" w:hAnsi="宋体" w:cs="宋体" w:eastAsia="宋体" w:hint="default"/>
        </w:rPr>
        <w:t>136,495,388</w:t>
      </w:r>
      <w:r>
        <w:rPr>
          <w:rFonts w:ascii="宋体" w:hAnsi="宋体" w:cs="宋体" w:eastAsia="宋体" w:hint="default"/>
          <w:spacing w:val="-58"/>
        </w:rPr>
        <w:t> </w:t>
      </w:r>
      <w:r>
        <w:rPr/>
        <w:t>股、</w:t>
      </w:r>
      <w:r>
        <w:rPr>
          <w:rFonts w:ascii="宋体" w:hAnsi="宋体" w:cs="宋体" w:eastAsia="宋体" w:hint="default"/>
        </w:rPr>
        <w:t>27,299,077</w:t>
      </w:r>
      <w:r>
        <w:rPr>
          <w:rFonts w:ascii="宋体" w:hAnsi="宋体" w:cs="宋体" w:eastAsia="宋体" w:hint="default"/>
          <w:spacing w:val="-59"/>
        </w:rPr>
        <w:t> </w:t>
      </w:r>
      <w:r>
        <w:rPr/>
        <w:t>股、</w:t>
      </w:r>
      <w:r>
        <w:rPr>
          <w:rFonts w:ascii="宋体" w:hAnsi="宋体" w:cs="宋体" w:eastAsia="宋体" w:hint="default"/>
        </w:rPr>
        <w:t>35,968,379</w:t>
      </w:r>
      <w:r>
        <w:rPr>
          <w:rFonts w:ascii="宋体" w:hAnsi="宋体" w:cs="宋体" w:eastAsia="宋体" w:hint="default"/>
          <w:spacing w:val="-57"/>
        </w:rPr>
        <w:t> </w:t>
      </w:r>
      <w:r>
        <w:rPr/>
        <w:t>股、</w:t>
      </w:r>
      <w:r>
        <w:rPr>
          <w:rFonts w:ascii="宋体" w:hAnsi="宋体" w:cs="宋体" w:eastAsia="宋体" w:hint="default"/>
        </w:rPr>
        <w:t>35,968,379</w:t>
      </w:r>
      <w:r>
        <w:rPr>
          <w:rFonts w:ascii="宋体" w:hAnsi="宋体" w:cs="宋体" w:eastAsia="宋体" w:hint="default"/>
          <w:spacing w:val="-59"/>
        </w:rPr>
        <w:t> </w:t>
      </w:r>
      <w:r>
        <w:rPr/>
        <w:t>股， 合计</w:t>
      </w:r>
      <w:r>
        <w:rPr>
          <w:spacing w:val="-60"/>
        </w:rPr>
        <w:t> </w:t>
      </w:r>
      <w:r>
        <w:rPr>
          <w:rFonts w:ascii="宋体" w:hAnsi="宋体" w:cs="宋体" w:eastAsia="宋体" w:hint="default"/>
        </w:rPr>
        <w:t>235,731,223</w:t>
      </w:r>
      <w:r>
        <w:rPr>
          <w:rFonts w:ascii="宋体" w:hAnsi="宋体" w:cs="宋体" w:eastAsia="宋体" w:hint="default"/>
          <w:spacing w:val="-60"/>
        </w:rPr>
        <w:t> </w:t>
      </w:r>
      <w:r>
        <w:rPr/>
        <w:t>股</w:t>
      </w:r>
      <w:r>
        <w:rPr>
          <w:rFonts w:ascii="宋体" w:hAnsi="宋体" w:cs="宋体" w:eastAsia="宋体" w:hint="default"/>
        </w:rPr>
        <w:t>(</w:t>
      </w:r>
      <w:r>
        <w:rPr/>
        <w:t>发行股份数按公司</w:t>
      </w:r>
      <w:r>
        <w:rPr>
          <w:spacing w:val="-60"/>
        </w:rPr>
        <w:t> </w:t>
      </w:r>
      <w:r>
        <w:rPr>
          <w:rFonts w:ascii="宋体" w:hAnsi="宋体" w:cs="宋体" w:eastAsia="宋体" w:hint="default"/>
        </w:rPr>
        <w:t>2015</w:t>
      </w:r>
      <w:r>
        <w:rPr>
          <w:rFonts w:ascii="宋体" w:hAnsi="宋体" w:cs="宋体" w:eastAsia="宋体" w:hint="default"/>
          <w:spacing w:val="-60"/>
        </w:rPr>
        <w:t> </w:t>
      </w:r>
      <w:r>
        <w:rPr/>
        <w:t>年半年度权益分派方案实施之后的情况进行了相应调整，下</w:t>
      </w:r>
    </w:p>
    <w:p>
      <w:pPr>
        <w:pStyle w:val="BodyText"/>
        <w:spacing w:line="408" w:lineRule="auto" w:before="46"/>
        <w:ind w:right="1128"/>
        <w:jc w:val="both"/>
      </w:pPr>
      <w:r>
        <w:rPr>
          <w:spacing w:val="-9"/>
        </w:rPr>
        <w:t>同</w:t>
      </w:r>
      <w:r>
        <w:rPr>
          <w:rFonts w:ascii="宋体" w:hAnsi="宋体" w:cs="宋体" w:eastAsia="宋体" w:hint="default"/>
          <w:spacing w:val="-9"/>
        </w:rPr>
        <w:t>)</w:t>
      </w:r>
      <w:r>
        <w:rPr>
          <w:spacing w:val="-9"/>
        </w:rPr>
        <w:t>，每股面值</w:t>
      </w:r>
      <w:r>
        <w:rPr>
          <w:spacing w:val="-50"/>
        </w:rPr>
        <w:t> </w:t>
      </w:r>
      <w:r>
        <w:rPr>
          <w:rFonts w:ascii="宋体" w:hAnsi="宋体" w:cs="宋体" w:eastAsia="宋体" w:hint="default"/>
        </w:rPr>
        <w:t>1</w:t>
      </w:r>
      <w:r>
        <w:rPr>
          <w:rFonts w:ascii="宋体" w:hAnsi="宋体" w:cs="宋体" w:eastAsia="宋体" w:hint="default"/>
          <w:spacing w:val="-50"/>
        </w:rPr>
        <w:t> </w:t>
      </w:r>
      <w:r>
        <w:rPr>
          <w:spacing w:val="-6"/>
        </w:rPr>
        <w:t>元，每股发行价格为人民币</w:t>
      </w:r>
      <w:r>
        <w:rPr>
          <w:spacing w:val="-50"/>
        </w:rPr>
        <w:t> </w:t>
      </w:r>
      <w:r>
        <w:rPr>
          <w:rFonts w:ascii="宋体" w:hAnsi="宋体" w:cs="宋体" w:eastAsia="宋体" w:hint="default"/>
        </w:rPr>
        <w:t>7.59</w:t>
      </w:r>
      <w:r>
        <w:rPr>
          <w:rFonts w:ascii="宋体" w:hAnsi="宋体" w:cs="宋体" w:eastAsia="宋体" w:hint="default"/>
          <w:spacing w:val="-52"/>
        </w:rPr>
        <w:t> </w:t>
      </w:r>
      <w:r>
        <w:rPr>
          <w:spacing w:val="-6"/>
        </w:rPr>
        <w:t>元；获准非公开发行不超过</w:t>
      </w:r>
      <w:r>
        <w:rPr>
          <w:spacing w:val="-50"/>
        </w:rPr>
        <w:t> </w:t>
      </w:r>
      <w:r>
        <w:rPr>
          <w:rFonts w:ascii="宋体" w:hAnsi="宋体" w:cs="宋体" w:eastAsia="宋体" w:hint="default"/>
        </w:rPr>
        <w:t>221,664,564</w:t>
      </w:r>
      <w:r>
        <w:rPr>
          <w:rFonts w:ascii="宋体" w:hAnsi="宋体" w:cs="宋体" w:eastAsia="宋体" w:hint="default"/>
          <w:spacing w:val="-50"/>
        </w:rPr>
        <w:t> </w:t>
      </w:r>
      <w:r>
        <w:rPr/>
        <w:t>股普通股</w:t>
      </w:r>
      <w:r>
        <w:rPr>
          <w:rFonts w:ascii="宋体" w:hAnsi="宋体" w:cs="宋体" w:eastAsia="宋体" w:hint="default"/>
        </w:rPr>
        <w:t>(A</w:t>
      </w:r>
      <w:r>
        <w:rPr>
          <w:rFonts w:ascii="宋体" w:hAnsi="宋体" w:cs="宋体" w:eastAsia="宋体" w:hint="default"/>
          <w:spacing w:val="-50"/>
        </w:rPr>
        <w:t> </w:t>
      </w:r>
      <w:r>
        <w:rPr/>
        <w:t>股</w:t>
      </w:r>
      <w:r>
        <w:rPr>
          <w:rFonts w:ascii="宋体" w:hAnsi="宋体" w:cs="宋体" w:eastAsia="宋体" w:hint="default"/>
        </w:rPr>
        <w:t>) </w:t>
      </w:r>
      <w:r>
        <w:rPr>
          <w:spacing w:val="-1"/>
        </w:rPr>
        <w:t>募集配套资金，并最终通过询价确认向中欧盛世资产管理</w:t>
      </w:r>
      <w:r>
        <w:rPr>
          <w:rFonts w:ascii="宋体" w:hAnsi="宋体" w:cs="宋体" w:eastAsia="宋体" w:hint="default"/>
          <w:spacing w:val="-1"/>
        </w:rPr>
        <w:t>(</w:t>
      </w:r>
      <w:r>
        <w:rPr>
          <w:spacing w:val="-1"/>
        </w:rPr>
        <w:t>上海</w:t>
      </w:r>
      <w:r>
        <w:rPr>
          <w:rFonts w:ascii="宋体" w:hAnsi="宋体" w:cs="宋体" w:eastAsia="宋体" w:hint="default"/>
          <w:spacing w:val="-1"/>
        </w:rPr>
        <w:t>)</w:t>
      </w:r>
      <w:r>
        <w:rPr>
          <w:spacing w:val="-1"/>
        </w:rPr>
        <w:t>有限公司、英大基金管理有限公司、中国</w:t>
      </w:r>
      <w:r>
        <w:rPr>
          <w:spacing w:val="-85"/>
        </w:rPr>
        <w:t> </w:t>
      </w:r>
      <w:r>
        <w:rPr>
          <w:spacing w:val="-85"/>
        </w:rPr>
      </w:r>
      <w:r>
        <w:rPr>
          <w:spacing w:val="-1"/>
        </w:rPr>
        <w:t>北方工业公司、安信基金管理有限责任公司、珠海中兵广发投资基金合伙企业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、云南卓晔投资</w:t>
      </w:r>
      <w:r>
        <w:rPr>
          <w:spacing w:val="-85"/>
        </w:rPr>
        <w:t> </w:t>
      </w:r>
      <w:r>
        <w:rPr>
          <w:spacing w:val="-85"/>
        </w:rPr>
      </w:r>
      <w:r>
        <w:rPr/>
        <w:t>管理有限公司六名其他特定投资者定向增发人民币普通股</w:t>
      </w:r>
      <w:r>
        <w:rPr>
          <w:rFonts w:ascii="宋体" w:hAnsi="宋体" w:cs="宋体" w:eastAsia="宋体" w:hint="default"/>
        </w:rPr>
        <w:t>(A</w:t>
      </w:r>
      <w:r>
        <w:rPr>
          <w:rFonts w:ascii="宋体" w:hAnsi="宋体" w:cs="宋体" w:eastAsia="宋体" w:hint="default"/>
          <w:spacing w:val="17"/>
        </w:rPr>
        <w:t> </w:t>
      </w:r>
      <w:r>
        <w:rPr/>
        <w:t>股</w:t>
      </w:r>
      <w:r>
        <w:rPr>
          <w:rFonts w:ascii="宋体" w:hAnsi="宋体" w:cs="宋体" w:eastAsia="宋体" w:hint="default"/>
        </w:rPr>
        <w:t>)</w:t>
      </w:r>
      <w:r>
        <w:rPr/>
        <w:t>股票</w:t>
      </w:r>
      <w:r>
        <w:rPr>
          <w:spacing w:val="16"/>
        </w:rPr>
        <w:t> </w:t>
      </w:r>
      <w:r>
        <w:rPr>
          <w:rFonts w:ascii="宋体" w:hAnsi="宋体" w:cs="宋体" w:eastAsia="宋体" w:hint="default"/>
        </w:rPr>
        <w:t>31,102,262</w:t>
      </w:r>
      <w:r>
        <w:rPr>
          <w:rFonts w:ascii="宋体" w:hAnsi="宋体" w:cs="宋体" w:eastAsia="宋体" w:hint="default"/>
          <w:spacing w:val="17"/>
        </w:rPr>
        <w:t> </w:t>
      </w:r>
      <w:r>
        <w:rPr/>
        <w:t>股、</w:t>
      </w:r>
      <w:r>
        <w:rPr>
          <w:rFonts w:ascii="宋体" w:hAnsi="宋体" w:cs="宋体" w:eastAsia="宋体" w:hint="default"/>
        </w:rPr>
        <w:t>29,826,923</w:t>
      </w:r>
      <w:r>
        <w:rPr>
          <w:rFonts w:ascii="宋体" w:hAnsi="宋体" w:cs="宋体" w:eastAsia="宋体" w:hint="default"/>
          <w:spacing w:val="18"/>
        </w:rPr>
        <w:t> </w:t>
      </w:r>
      <w:r>
        <w:rPr/>
        <w:t>股、</w:t>
      </w:r>
      <w:r>
        <w:rPr>
          <w:spacing w:val="-102"/>
        </w:rPr>
        <w:t> </w:t>
      </w:r>
      <w:r>
        <w:rPr>
          <w:rFonts w:ascii="宋体" w:hAnsi="宋体" w:cs="宋体" w:eastAsia="宋体" w:hint="default"/>
        </w:rPr>
        <w:t>11,312,217</w:t>
      </w:r>
      <w:r>
        <w:rPr>
          <w:rFonts w:ascii="宋体" w:hAnsi="宋体" w:cs="宋体" w:eastAsia="宋体" w:hint="default"/>
          <w:spacing w:val="-56"/>
        </w:rPr>
        <w:t> </w:t>
      </w:r>
      <w:r>
        <w:rPr/>
        <w:t>股、</w:t>
      </w:r>
      <w:r>
        <w:rPr>
          <w:rFonts w:ascii="宋体" w:hAnsi="宋体" w:cs="宋体" w:eastAsia="宋体" w:hint="default"/>
        </w:rPr>
        <w:t>10,269,796</w:t>
      </w:r>
      <w:r>
        <w:rPr>
          <w:rFonts w:ascii="宋体" w:hAnsi="宋体" w:cs="宋体" w:eastAsia="宋体" w:hint="default"/>
          <w:spacing w:val="-57"/>
        </w:rPr>
        <w:t> </w:t>
      </w:r>
      <w:r>
        <w:rPr/>
        <w:t>股、</w:t>
      </w:r>
      <w:r>
        <w:rPr>
          <w:rFonts w:ascii="宋体" w:hAnsi="宋体" w:cs="宋体" w:eastAsia="宋体" w:hint="default"/>
        </w:rPr>
        <w:t>10,189,157</w:t>
      </w:r>
      <w:r>
        <w:rPr>
          <w:rFonts w:ascii="宋体" w:hAnsi="宋体" w:cs="宋体" w:eastAsia="宋体" w:hint="default"/>
          <w:spacing w:val="-55"/>
        </w:rPr>
        <w:t> </w:t>
      </w:r>
      <w:r>
        <w:rPr/>
        <w:t>股、</w:t>
      </w:r>
      <w:r>
        <w:rPr>
          <w:rFonts w:ascii="宋体" w:hAnsi="宋体" w:cs="宋体" w:eastAsia="宋体" w:hint="default"/>
        </w:rPr>
        <w:t>6,722,721</w:t>
      </w:r>
      <w:r>
        <w:rPr>
          <w:rFonts w:ascii="宋体" w:hAnsi="宋体" w:cs="宋体" w:eastAsia="宋体" w:hint="default"/>
          <w:spacing w:val="-56"/>
        </w:rPr>
        <w:t> </w:t>
      </w:r>
      <w:r>
        <w:rPr/>
        <w:t>股，合计</w:t>
      </w:r>
      <w:r>
        <w:rPr>
          <w:spacing w:val="-57"/>
        </w:rPr>
        <w:t> </w:t>
      </w:r>
      <w:r>
        <w:rPr>
          <w:rFonts w:ascii="宋体" w:hAnsi="宋体" w:cs="宋体" w:eastAsia="宋体" w:hint="default"/>
        </w:rPr>
        <w:t>99,423,076</w:t>
      </w:r>
      <w:r>
        <w:rPr>
          <w:rFonts w:ascii="宋体" w:hAnsi="宋体" w:cs="宋体" w:eastAsia="宋体" w:hint="default"/>
          <w:spacing w:val="-56"/>
        </w:rPr>
        <w:t> </w:t>
      </w:r>
      <w:r>
        <w:rPr/>
        <w:t>股，每股面值</w:t>
      </w:r>
      <w:r>
        <w:rPr>
          <w:spacing w:val="-57"/>
        </w:rPr>
        <w:t> </w:t>
      </w:r>
      <w:r>
        <w:rPr>
          <w:rFonts w:ascii="宋体" w:hAnsi="宋体" w:cs="宋体" w:eastAsia="宋体" w:hint="default"/>
        </w:rPr>
        <w:t>1</w:t>
      </w:r>
      <w:r>
        <w:rPr>
          <w:rFonts w:ascii="宋体" w:hAnsi="宋体" w:cs="宋体" w:eastAsia="宋体" w:hint="default"/>
          <w:spacing w:val="-56"/>
        </w:rPr>
        <w:t> </w:t>
      </w:r>
      <w:r>
        <w:rPr>
          <w:spacing w:val="-2"/>
        </w:rPr>
        <w:t>元，每</w:t>
      </w:r>
    </w:p>
    <w:p>
      <w:pPr>
        <w:pStyle w:val="BodyText"/>
        <w:spacing w:line="441" w:lineRule="auto" w:before="47"/>
        <w:ind w:left="573" w:right="0" w:hanging="420"/>
        <w:jc w:val="left"/>
      </w:pPr>
      <w:r>
        <w:rPr/>
        <w:t>股发行价格为人民币</w:t>
      </w:r>
      <w:r>
        <w:rPr>
          <w:spacing w:val="-52"/>
        </w:rPr>
        <w:t> </w:t>
      </w:r>
      <w:r>
        <w:rPr>
          <w:rFonts w:ascii="宋体" w:hAnsi="宋体" w:cs="宋体" w:eastAsia="宋体" w:hint="default"/>
        </w:rPr>
        <w:t>17.68</w:t>
      </w:r>
      <w:r>
        <w:rPr>
          <w:rFonts w:ascii="宋体" w:hAnsi="宋体" w:cs="宋体" w:eastAsia="宋体" w:hint="default"/>
          <w:spacing w:val="-52"/>
        </w:rPr>
        <w:t> </w:t>
      </w:r>
      <w:r>
        <w:rPr/>
        <w:t>元。 </w:t>
      </w:r>
      <w:r>
        <w:rPr>
          <w:spacing w:val="-1"/>
        </w:rPr>
        <w:t>根据公司与万圣伟业的原股东徐先明、淮安明硕签订的《利欧集团股份有限公司之徐先明、淮安明硕</w:t>
      </w:r>
    </w:p>
    <w:p>
      <w:pPr>
        <w:pStyle w:val="BodyText"/>
        <w:spacing w:line="408" w:lineRule="auto" w:before="16"/>
        <w:ind w:right="1109"/>
        <w:jc w:val="both"/>
      </w:pPr>
      <w:r>
        <w:rPr>
          <w:spacing w:val="-2"/>
        </w:rPr>
        <w:t>投利明信息咨询中心</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之业绩补偿协议》及《补充协议》，万圣伟业原股东承诺万圣伟业于</w:t>
      </w:r>
      <w:r>
        <w:rPr>
          <w:spacing w:val="-48"/>
        </w:rPr>
        <w:t> </w:t>
      </w:r>
      <w:r>
        <w:rPr>
          <w:rFonts w:ascii="宋体" w:hAnsi="宋体" w:cs="宋体" w:eastAsia="宋体" w:hint="default"/>
        </w:rPr>
        <w:t>2015</w:t>
      </w:r>
      <w:r>
        <w:rPr>
          <w:rFonts w:ascii="宋体" w:hAnsi="宋体" w:cs="宋体" w:eastAsia="宋体" w:hint="default"/>
          <w:spacing w:val="-102"/>
        </w:rPr>
        <w:t> </w:t>
      </w:r>
      <w:r>
        <w:rPr/>
        <w:t>年度、</w:t>
      </w:r>
      <w:r>
        <w:rPr>
          <w:rFonts w:ascii="宋体" w:hAnsi="宋体" w:cs="宋体" w:eastAsia="宋体" w:hint="default"/>
        </w:rPr>
        <w:t>2016</w:t>
      </w:r>
      <w:r>
        <w:rPr>
          <w:rFonts w:ascii="宋体" w:hAnsi="宋体" w:cs="宋体" w:eastAsia="宋体" w:hint="default"/>
          <w:spacing w:val="-63"/>
        </w:rPr>
        <w:t> </w:t>
      </w:r>
      <w:r>
        <w:rPr/>
        <w:t>年度、</w:t>
      </w:r>
      <w:r>
        <w:rPr>
          <w:rFonts w:ascii="宋体" w:hAnsi="宋体" w:cs="宋体" w:eastAsia="宋体" w:hint="default"/>
        </w:rPr>
        <w:t>2017</w:t>
      </w:r>
      <w:r>
        <w:rPr>
          <w:rFonts w:ascii="宋体" w:hAnsi="宋体" w:cs="宋体" w:eastAsia="宋体" w:hint="default"/>
          <w:spacing w:val="-63"/>
        </w:rPr>
        <w:t> </w:t>
      </w:r>
      <w:r>
        <w:rPr/>
        <w:t>年度应实现的年度经审核税后净利润</w:t>
      </w:r>
      <w:r>
        <w:rPr>
          <w:rFonts w:ascii="宋体" w:hAnsi="宋体" w:cs="宋体" w:eastAsia="宋体" w:hint="default"/>
        </w:rPr>
        <w:t>(</w:t>
      </w:r>
      <w:r>
        <w:rPr/>
        <w:t>指经具有证券从业资格的会计师事务所审计 确认的扣除非经常性损益后归属于母公司股东的净利润</w:t>
      </w:r>
      <w:r>
        <w:rPr>
          <w:rFonts w:ascii="宋体" w:hAnsi="宋体" w:cs="宋体" w:eastAsia="宋体" w:hint="default"/>
        </w:rPr>
        <w:t>)</w:t>
      </w:r>
      <w:r>
        <w:rPr/>
        <w:t>分别不低于 </w:t>
      </w:r>
      <w:r>
        <w:rPr>
          <w:rFonts w:ascii="宋体" w:hAnsi="宋体" w:cs="宋体" w:eastAsia="宋体" w:hint="default"/>
        </w:rPr>
        <w:t>14,800 </w:t>
      </w:r>
      <w:r>
        <w:rPr/>
        <w:t>万元、</w:t>
      </w:r>
      <w:r>
        <w:rPr>
          <w:rFonts w:ascii="宋体" w:hAnsi="宋体" w:cs="宋体" w:eastAsia="宋体" w:hint="default"/>
        </w:rPr>
        <w:t>18,561</w:t>
      </w:r>
      <w:r>
        <w:rPr>
          <w:rFonts w:ascii="宋体" w:hAnsi="宋体" w:cs="宋体" w:eastAsia="宋体" w:hint="default"/>
          <w:spacing w:val="-27"/>
        </w:rPr>
        <w:t> </w:t>
      </w:r>
      <w:r>
        <w:rPr/>
        <w:t>万元、</w:t>
      </w:r>
      <w:r>
        <w:rPr>
          <w:rFonts w:ascii="宋体" w:hAnsi="宋体" w:cs="宋体" w:eastAsia="宋体" w:hint="default"/>
        </w:rPr>
        <w:t>23,125 </w:t>
      </w:r>
      <w:r>
        <w:rPr/>
        <w:t>万元</w:t>
      </w:r>
      <w:r>
        <w:rPr>
          <w:rFonts w:ascii="宋体" w:hAnsi="宋体" w:cs="宋体" w:eastAsia="宋体" w:hint="default"/>
        </w:rPr>
        <w:t>(</w:t>
      </w:r>
      <w:r>
        <w:rPr/>
        <w:t>最终数据参照上市公司指定的资产评估机构正式出具的《资产评估报告》关于万圣伟业</w:t>
      </w:r>
      <w:r>
        <w:rPr>
          <w:spacing w:val="-53"/>
        </w:rPr>
        <w:t> </w:t>
      </w:r>
      <w:r>
        <w:rPr>
          <w:rFonts w:ascii="宋体" w:hAnsi="宋体" w:cs="宋体" w:eastAsia="宋体" w:hint="default"/>
        </w:rPr>
        <w:t>2015</w:t>
      </w:r>
      <w:r>
        <w:rPr>
          <w:rFonts w:ascii="宋体" w:hAnsi="宋体" w:cs="宋体" w:eastAsia="宋体" w:hint="default"/>
          <w:spacing w:val="-54"/>
        </w:rPr>
        <w:t> </w:t>
      </w:r>
      <w:r>
        <w:rPr/>
        <w:t>年度、</w:t>
      </w:r>
    </w:p>
    <w:p>
      <w:pPr>
        <w:pStyle w:val="BodyText"/>
        <w:spacing w:line="410" w:lineRule="auto" w:before="46"/>
        <w:ind w:right="1132"/>
        <w:jc w:val="both"/>
      </w:pPr>
      <w:r>
        <w:rPr>
          <w:rFonts w:ascii="宋体" w:hAnsi="宋体" w:cs="宋体" w:eastAsia="宋体" w:hint="default"/>
        </w:rPr>
        <w:t>2016</w:t>
      </w:r>
      <w:r>
        <w:rPr>
          <w:rFonts w:ascii="宋体" w:hAnsi="宋体" w:cs="宋体" w:eastAsia="宋体" w:hint="default"/>
          <w:spacing w:val="-64"/>
        </w:rPr>
        <w:t> </w:t>
      </w:r>
      <w:r>
        <w:rPr/>
        <w:t>年度、</w:t>
      </w:r>
      <w:r>
        <w:rPr>
          <w:rFonts w:ascii="宋体" w:hAnsi="宋体" w:cs="宋体" w:eastAsia="宋体" w:hint="default"/>
        </w:rPr>
        <w:t>2017</w:t>
      </w:r>
      <w:r>
        <w:rPr>
          <w:rFonts w:ascii="宋体" w:hAnsi="宋体" w:cs="宋体" w:eastAsia="宋体" w:hint="default"/>
          <w:spacing w:val="-66"/>
        </w:rPr>
        <w:t> </w:t>
      </w:r>
      <w:r>
        <w:rPr/>
        <w:t>年度的预测净利润值确定</w:t>
      </w:r>
      <w:r>
        <w:rPr>
          <w:rFonts w:ascii="宋体" w:hAnsi="宋体" w:cs="宋体" w:eastAsia="宋体" w:hint="default"/>
        </w:rPr>
        <w:t>)</w:t>
      </w:r>
      <w:r>
        <w:rPr/>
        <w:t>。否则徐先明、淮安明硕将按照业绩补偿协议的约定对上市公 司进行补偿。</w:t>
      </w:r>
    </w:p>
    <w:p>
      <w:pPr>
        <w:pStyle w:val="BodyText"/>
        <w:spacing w:line="408" w:lineRule="auto" w:before="82"/>
        <w:ind w:right="1131" w:firstLine="420"/>
        <w:jc w:val="both"/>
      </w:pPr>
      <w:r>
        <w:rPr>
          <w:spacing w:val="-1"/>
        </w:rPr>
        <w:t>根据公司与微创时代的原股东何若萌、刘璐签订的《利欧集团股份有限公司之刘璐、何若萌之业绩补</w:t>
      </w:r>
      <w:r>
        <w:rPr/>
        <w:t> 偿协议》，刘璐、何若萌承诺微创时代于</w:t>
      </w:r>
      <w:r>
        <w:rPr>
          <w:spacing w:val="-58"/>
        </w:rPr>
        <w:t> </w:t>
      </w:r>
      <w:r>
        <w:rPr>
          <w:rFonts w:ascii="宋体" w:hAnsi="宋体" w:cs="宋体" w:eastAsia="宋体" w:hint="default"/>
        </w:rPr>
        <w:t>2015</w:t>
      </w:r>
      <w:r>
        <w:rPr>
          <w:rFonts w:ascii="宋体" w:hAnsi="宋体" w:cs="宋体" w:eastAsia="宋体" w:hint="default"/>
          <w:spacing w:val="-60"/>
        </w:rPr>
        <w:t> </w:t>
      </w:r>
      <w:r>
        <w:rPr/>
        <w:t>年度、</w:t>
      </w:r>
      <w:r>
        <w:rPr>
          <w:rFonts w:ascii="宋体" w:hAnsi="宋体" w:cs="宋体" w:eastAsia="宋体" w:hint="default"/>
        </w:rPr>
        <w:t>2016</w:t>
      </w:r>
      <w:r>
        <w:rPr>
          <w:rFonts w:ascii="宋体" w:hAnsi="宋体" w:cs="宋体" w:eastAsia="宋体" w:hint="default"/>
          <w:spacing w:val="-60"/>
        </w:rPr>
        <w:t> </w:t>
      </w:r>
      <w:r>
        <w:rPr/>
        <w:t>年度、</w:t>
      </w:r>
      <w:r>
        <w:rPr>
          <w:rFonts w:ascii="宋体" w:hAnsi="宋体" w:cs="宋体" w:eastAsia="宋体" w:hint="default"/>
        </w:rPr>
        <w:t>2017</w:t>
      </w:r>
      <w:r>
        <w:rPr>
          <w:rFonts w:ascii="宋体" w:hAnsi="宋体" w:cs="宋体" w:eastAsia="宋体" w:hint="default"/>
          <w:spacing w:val="-60"/>
        </w:rPr>
        <w:t> </w:t>
      </w:r>
      <w:r>
        <w:rPr/>
        <w:t>年度应实现的年度审核税后净利润 </w:t>
      </w:r>
      <w:r>
        <w:rPr>
          <w:rFonts w:ascii="宋体" w:hAnsi="宋体" w:cs="宋体" w:eastAsia="宋体" w:hint="default"/>
          <w:spacing w:val="3"/>
        </w:rPr>
        <w:t>(</w:t>
      </w:r>
      <w:r>
        <w:rPr>
          <w:spacing w:val="3"/>
        </w:rPr>
        <w:t>指经具有证券从业资格的会计师事务所审计确认的扣除非经常性损益后归属于母公司股东的净利润</w:t>
      </w:r>
      <w:r>
        <w:rPr>
          <w:rFonts w:ascii="宋体" w:hAnsi="宋体" w:cs="宋体" w:eastAsia="宋体" w:hint="default"/>
          <w:spacing w:val="3"/>
        </w:rPr>
        <w:t>)</w:t>
      </w:r>
      <w:r>
        <w:rPr>
          <w:spacing w:val="3"/>
        </w:rPr>
        <w:t>分</w:t>
      </w:r>
      <w:r>
        <w:rPr>
          <w:spacing w:val="-77"/>
        </w:rPr>
        <w:t> </w:t>
      </w:r>
      <w:r>
        <w:rPr/>
        <w:t>别不低于</w:t>
      </w:r>
      <w:r>
        <w:rPr>
          <w:spacing w:val="-60"/>
        </w:rPr>
        <w:t> </w:t>
      </w:r>
      <w:r>
        <w:rPr>
          <w:rFonts w:ascii="宋体" w:hAnsi="宋体" w:cs="宋体" w:eastAsia="宋体" w:hint="default"/>
        </w:rPr>
        <w:t>6,000</w:t>
      </w:r>
      <w:r>
        <w:rPr>
          <w:rFonts w:ascii="宋体" w:hAnsi="宋体" w:cs="宋体" w:eastAsia="宋体" w:hint="default"/>
          <w:spacing w:val="-60"/>
        </w:rPr>
        <w:t> </w:t>
      </w:r>
      <w:r>
        <w:rPr/>
        <w:t>万元、</w:t>
      </w:r>
      <w:r>
        <w:rPr>
          <w:rFonts w:ascii="宋体" w:hAnsi="宋体" w:cs="宋体" w:eastAsia="宋体" w:hint="default"/>
        </w:rPr>
        <w:t>7,200</w:t>
      </w:r>
      <w:r>
        <w:rPr>
          <w:rFonts w:ascii="宋体" w:hAnsi="宋体" w:cs="宋体" w:eastAsia="宋体" w:hint="default"/>
          <w:spacing w:val="-60"/>
        </w:rPr>
        <w:t> </w:t>
      </w:r>
      <w:r>
        <w:rPr/>
        <w:t>万元、</w:t>
      </w:r>
      <w:r>
        <w:rPr>
          <w:rFonts w:ascii="宋体" w:hAnsi="宋体" w:cs="宋体" w:eastAsia="宋体" w:hint="default"/>
        </w:rPr>
        <w:t>9,360</w:t>
      </w:r>
      <w:r>
        <w:rPr>
          <w:rFonts w:ascii="宋体" w:hAnsi="宋体" w:cs="宋体" w:eastAsia="宋体" w:hint="default"/>
          <w:spacing w:val="-60"/>
        </w:rPr>
        <w:t> </w:t>
      </w:r>
      <w:r>
        <w:rPr/>
        <w:t>万元</w:t>
      </w:r>
      <w:r>
        <w:rPr>
          <w:rFonts w:ascii="宋体" w:hAnsi="宋体" w:cs="宋体" w:eastAsia="宋体" w:hint="default"/>
        </w:rPr>
        <w:t>(</w:t>
      </w:r>
      <w:r>
        <w:rPr/>
        <w:t>最终数据参照公司指定的资产评估机构正式出具的《资产</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10" w:lineRule="auto" w:before="35"/>
        <w:ind w:right="1122"/>
        <w:jc w:val="left"/>
      </w:pPr>
      <w:r>
        <w:rPr/>
        <w:t>评估报告》关于微创时代</w:t>
      </w:r>
      <w:r>
        <w:rPr>
          <w:spacing w:val="-34"/>
        </w:rPr>
        <w:t> </w:t>
      </w:r>
      <w:r>
        <w:rPr>
          <w:rFonts w:ascii="宋体" w:hAnsi="宋体" w:cs="宋体" w:eastAsia="宋体" w:hint="default"/>
        </w:rPr>
        <w:t>2015</w:t>
      </w:r>
      <w:r>
        <w:rPr>
          <w:rFonts w:ascii="宋体" w:hAnsi="宋体" w:cs="宋体" w:eastAsia="宋体" w:hint="default"/>
          <w:spacing w:val="-34"/>
        </w:rPr>
        <w:t> </w:t>
      </w:r>
      <w:r>
        <w:rPr/>
        <w:t>年度、</w:t>
      </w:r>
      <w:r>
        <w:rPr>
          <w:rFonts w:ascii="宋体" w:hAnsi="宋体" w:cs="宋体" w:eastAsia="宋体" w:hint="default"/>
        </w:rPr>
        <w:t>2016</w:t>
      </w:r>
      <w:r>
        <w:rPr>
          <w:rFonts w:ascii="宋体" w:hAnsi="宋体" w:cs="宋体" w:eastAsia="宋体" w:hint="default"/>
          <w:spacing w:val="-33"/>
        </w:rPr>
        <w:t> </w:t>
      </w:r>
      <w:r>
        <w:rPr/>
        <w:t>年度、</w:t>
      </w:r>
      <w:r>
        <w:rPr>
          <w:rFonts w:ascii="宋体" w:hAnsi="宋体" w:cs="宋体" w:eastAsia="宋体" w:hint="default"/>
        </w:rPr>
        <w:t>2017</w:t>
      </w:r>
      <w:r>
        <w:rPr>
          <w:rFonts w:ascii="宋体" w:hAnsi="宋体" w:cs="宋体" w:eastAsia="宋体" w:hint="default"/>
          <w:spacing w:val="-33"/>
        </w:rPr>
        <w:t> </w:t>
      </w:r>
      <w:r>
        <w:rPr/>
        <w:t>年度的预测净利润值确定</w:t>
      </w:r>
      <w:r>
        <w:rPr>
          <w:rFonts w:ascii="宋体" w:hAnsi="宋体" w:cs="宋体" w:eastAsia="宋体" w:hint="default"/>
        </w:rPr>
        <w:t>)</w:t>
      </w:r>
      <w:r>
        <w:rPr/>
        <w:t>。否则刘璐、何若萌将 按照业绩补偿协议的约定对公司进行补偿。</w:t>
      </w:r>
    </w:p>
    <w:p>
      <w:pPr>
        <w:pStyle w:val="BodyText"/>
        <w:spacing w:line="240" w:lineRule="auto" w:before="82"/>
        <w:ind w:left="573" w:right="0"/>
        <w:jc w:val="left"/>
      </w:pPr>
      <w:r>
        <w:rPr>
          <w:spacing w:val="7"/>
        </w:rPr>
        <w:t>万圣伟业、微创时代 </w:t>
      </w:r>
      <w:r>
        <w:rPr>
          <w:rFonts w:ascii="宋体" w:hAnsi="宋体" w:cs="宋体" w:eastAsia="宋体" w:hint="default"/>
        </w:rPr>
        <w:t>2015 </w:t>
      </w:r>
      <w:r>
        <w:rPr>
          <w:spacing w:val="7"/>
        </w:rPr>
        <w:t>年度经审计的扣除非经常性损益后的净利润分别为 </w:t>
      </w:r>
      <w:r>
        <w:rPr>
          <w:rFonts w:ascii="宋体" w:hAnsi="宋体" w:cs="宋体" w:eastAsia="宋体" w:hint="default"/>
        </w:rPr>
        <w:t>17,926.38</w:t>
      </w:r>
      <w:r>
        <w:rPr>
          <w:rFonts w:ascii="宋体" w:hAnsi="宋体" w:cs="宋体" w:eastAsia="宋体" w:hint="default"/>
          <w:spacing w:val="38"/>
        </w:rPr>
        <w:t> </w:t>
      </w:r>
      <w:r>
        <w:rPr>
          <w:spacing w:val="4"/>
        </w:rPr>
        <w:t>万元、</w:t>
      </w:r>
    </w:p>
    <w:p>
      <w:pPr>
        <w:spacing w:line="240" w:lineRule="auto" w:before="12"/>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6,985.57</w:t>
      </w:r>
      <w:r>
        <w:rPr>
          <w:rFonts w:ascii="宋体" w:hAnsi="宋体" w:cs="宋体" w:eastAsia="宋体" w:hint="default"/>
          <w:spacing w:val="-53"/>
        </w:rPr>
        <w:t> </w:t>
      </w:r>
      <w:r>
        <w:rPr/>
        <w:t>万元，均已超过盈利预测的业绩承诺，最终实际净利润以《专项审核报告》进行确认。</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(3)</w:t>
      </w:r>
      <w:r>
        <w:rPr>
          <w:rFonts w:ascii="宋体" w:hAnsi="宋体" w:cs="宋体" w:eastAsia="宋体" w:hint="default"/>
          <w:spacing w:val="-1"/>
        </w:rPr>
        <w:t> </w:t>
      </w:r>
      <w:r>
        <w:rPr/>
        <w:t>智趣广告</w:t>
      </w:r>
    </w:p>
    <w:p>
      <w:pPr>
        <w:spacing w:line="240" w:lineRule="auto" w:before="9"/>
        <w:rPr>
          <w:rFonts w:ascii="宋体" w:hAnsi="宋体" w:cs="宋体" w:eastAsia="宋体" w:hint="default"/>
          <w:sz w:val="17"/>
          <w:szCs w:val="17"/>
        </w:rPr>
      </w:pPr>
    </w:p>
    <w:p>
      <w:pPr>
        <w:pStyle w:val="BodyText"/>
        <w:spacing w:line="408" w:lineRule="auto"/>
        <w:ind w:right="1132" w:firstLine="420"/>
        <w:jc w:val="both"/>
      </w:pPr>
      <w:r>
        <w:rPr>
          <w:rFonts w:ascii="宋体" w:hAnsi="宋体" w:cs="宋体" w:eastAsia="宋体" w:hint="default"/>
        </w:rPr>
        <w:t>2015</w:t>
      </w:r>
      <w:r>
        <w:rPr>
          <w:rFonts w:ascii="宋体" w:hAnsi="宋体" w:cs="宋体" w:eastAsia="宋体" w:hint="default"/>
          <w:spacing w:val="-40"/>
        </w:rPr>
        <w:t> </w:t>
      </w:r>
      <w:r>
        <w:rPr/>
        <w:t>年</w:t>
      </w:r>
      <w:r>
        <w:rPr>
          <w:spacing w:val="-41"/>
        </w:rPr>
        <w:t> </w:t>
      </w:r>
      <w:r>
        <w:rPr>
          <w:rFonts w:ascii="宋体" w:hAnsi="宋体" w:cs="宋体" w:eastAsia="宋体" w:hint="default"/>
        </w:rPr>
        <w:t>8</w:t>
      </w:r>
      <w:r>
        <w:rPr>
          <w:rFonts w:ascii="宋体" w:hAnsi="宋体" w:cs="宋体" w:eastAsia="宋体" w:hint="default"/>
          <w:spacing w:val="-40"/>
        </w:rPr>
        <w:t> </w:t>
      </w:r>
      <w:r>
        <w:rPr>
          <w:spacing w:val="-3"/>
        </w:rPr>
        <w:t>月，公司与上海智趣广告有限公司</w:t>
      </w:r>
      <w:r>
        <w:rPr>
          <w:rFonts w:ascii="宋体" w:hAnsi="宋体" w:cs="宋体" w:eastAsia="宋体" w:hint="default"/>
          <w:spacing w:val="-3"/>
        </w:rPr>
        <w:t>(</w:t>
      </w:r>
      <w:r>
        <w:rPr>
          <w:spacing w:val="-3"/>
        </w:rPr>
        <w:t>以下简称智趣广告</w:t>
      </w:r>
      <w:r>
        <w:rPr>
          <w:rFonts w:ascii="宋体" w:hAnsi="宋体" w:cs="宋体" w:eastAsia="宋体" w:hint="default"/>
          <w:spacing w:val="-3"/>
        </w:rPr>
        <w:t>)</w:t>
      </w:r>
      <w:r>
        <w:rPr>
          <w:spacing w:val="-3"/>
        </w:rPr>
        <w:t>股东徐佳亮、徐晓峰、迹象信息技术</w:t>
      </w:r>
      <w:r>
        <w:rPr/>
        <w:t> </w:t>
      </w:r>
      <w:r>
        <w:rPr>
          <w:rFonts w:ascii="宋体" w:hAnsi="宋体" w:cs="宋体" w:eastAsia="宋体" w:hint="default"/>
        </w:rPr>
        <w:t>(</w:t>
      </w:r>
      <w:r>
        <w:rPr/>
        <w:t>上海</w:t>
      </w:r>
      <w:r>
        <w:rPr>
          <w:rFonts w:ascii="宋体" w:hAnsi="宋体" w:cs="宋体" w:eastAsia="宋体" w:hint="default"/>
        </w:rPr>
        <w:t>)</w:t>
      </w:r>
      <w:r>
        <w:rPr/>
        <w:t>有限公司</w:t>
      </w:r>
      <w:r>
        <w:rPr>
          <w:spacing w:val="55"/>
        </w:rPr>
        <w:t> </w:t>
      </w:r>
      <w:r>
        <w:rPr>
          <w:rFonts w:ascii="宋体" w:hAnsi="宋体" w:cs="宋体" w:eastAsia="宋体" w:hint="default"/>
        </w:rPr>
        <w:t>(</w:t>
      </w:r>
      <w:r>
        <w:rPr/>
        <w:t>以下简称迹象信息</w:t>
      </w:r>
      <w:r>
        <w:rPr>
          <w:rFonts w:ascii="宋体" w:hAnsi="宋体" w:cs="宋体" w:eastAsia="宋体" w:hint="default"/>
        </w:rPr>
        <w:t>)</w:t>
      </w:r>
      <w:r>
        <w:rPr/>
        <w:t>签订了《股权收购意向书》。《股权收购意向书》签署后，上述公</w:t>
      </w:r>
      <w:r>
        <w:rPr>
          <w:spacing w:val="-94"/>
        </w:rPr>
        <w:t> </w:t>
      </w:r>
      <w:r>
        <w:rPr>
          <w:spacing w:val="-94"/>
        </w:rPr>
      </w:r>
      <w:r>
        <w:rPr/>
        <w:t>司股东给予公司独家谈判权，即在《股权收购意向书》签署之日起 </w:t>
      </w:r>
      <w:r>
        <w:rPr>
          <w:rFonts w:ascii="宋体" w:hAnsi="宋体" w:cs="宋体" w:eastAsia="宋体" w:hint="default"/>
        </w:rPr>
        <w:t>180</w:t>
      </w:r>
      <w:r>
        <w:rPr>
          <w:rFonts w:ascii="宋体" w:hAnsi="宋体" w:cs="宋体" w:eastAsia="宋体" w:hint="default"/>
          <w:spacing w:val="76"/>
        </w:rPr>
        <w:t> </w:t>
      </w:r>
      <w:r>
        <w:rPr/>
        <w:t>日内不与公司以外的其他主体洽</w:t>
      </w:r>
    </w:p>
    <w:p>
      <w:pPr>
        <w:pStyle w:val="BodyText"/>
        <w:spacing w:line="240" w:lineRule="auto" w:before="46"/>
        <w:ind w:right="0"/>
        <w:jc w:val="left"/>
      </w:pPr>
      <w:r>
        <w:rPr/>
        <w:t>谈股权出售事宜。在《股权收购意向书》签署后 </w:t>
      </w:r>
      <w:r>
        <w:rPr>
          <w:rFonts w:ascii="宋体" w:hAnsi="宋体" w:cs="宋体" w:eastAsia="宋体" w:hint="default"/>
        </w:rPr>
        <w:t>3</w:t>
      </w:r>
      <w:r>
        <w:rPr>
          <w:rFonts w:ascii="宋体" w:hAnsi="宋体" w:cs="宋体" w:eastAsia="宋体" w:hint="default"/>
          <w:spacing w:val="76"/>
        </w:rPr>
        <w:t> </w:t>
      </w:r>
      <w:r>
        <w:rPr/>
        <w:t>个工作日内，公司将支付智趣广告股东排他费用人民</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币</w:t>
      </w:r>
      <w:r>
        <w:rPr>
          <w:spacing w:val="8"/>
        </w:rPr>
        <w:t> </w:t>
      </w:r>
      <w:r>
        <w:rPr>
          <w:rFonts w:ascii="宋体" w:hAnsi="宋体" w:cs="宋体" w:eastAsia="宋体" w:hint="default"/>
        </w:rPr>
        <w:t>3,000</w:t>
      </w:r>
      <w:r>
        <w:rPr>
          <w:rFonts w:ascii="宋体" w:hAnsi="宋体" w:cs="宋体" w:eastAsia="宋体" w:hint="default"/>
          <w:spacing w:val="8"/>
        </w:rPr>
        <w:t> </w:t>
      </w:r>
      <w:r>
        <w:rPr>
          <w:spacing w:val="-3"/>
        </w:rPr>
        <w:t>万元。上述排他费用待正式签署《股权转让合同》后将冲抵股权转让款项。公司已于</w:t>
      </w:r>
      <w:r>
        <w:rPr>
          <w:spacing w:val="-48"/>
        </w:rPr>
        <w:t> </w:t>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12</w:t>
      </w:r>
    </w:p>
    <w:p>
      <w:pPr>
        <w:spacing w:line="240" w:lineRule="auto" w:before="11"/>
        <w:rPr>
          <w:rFonts w:ascii="宋体" w:hAnsi="宋体" w:cs="宋体" w:eastAsia="宋体" w:hint="default"/>
          <w:sz w:val="14"/>
          <w:szCs w:val="14"/>
        </w:rPr>
      </w:pPr>
    </w:p>
    <w:p>
      <w:pPr>
        <w:pStyle w:val="BodyText"/>
        <w:spacing w:line="240" w:lineRule="auto"/>
        <w:ind w:right="0"/>
        <w:jc w:val="left"/>
      </w:pPr>
      <w:r>
        <w:rPr/>
        <w:t>月支付了上述排他费用 </w:t>
      </w:r>
      <w:r>
        <w:rPr>
          <w:rFonts w:ascii="宋体" w:hAnsi="宋体" w:cs="宋体" w:eastAsia="宋体" w:hint="default"/>
        </w:rPr>
        <w:t>3,000</w:t>
      </w:r>
      <w:r>
        <w:rPr>
          <w:rFonts w:ascii="宋体" w:hAnsi="宋体" w:cs="宋体" w:eastAsia="宋体" w:hint="default"/>
          <w:spacing w:val="-52"/>
        </w:rPr>
        <w:t> </w:t>
      </w:r>
      <w:r>
        <w:rPr/>
        <w:t>万元。</w:t>
      </w:r>
    </w:p>
    <w:p>
      <w:pPr>
        <w:spacing w:line="240" w:lineRule="auto" w:before="9"/>
        <w:rPr>
          <w:rFonts w:ascii="宋体" w:hAnsi="宋体" w:cs="宋体" w:eastAsia="宋体" w:hint="default"/>
          <w:sz w:val="17"/>
          <w:szCs w:val="17"/>
        </w:rPr>
      </w:pPr>
    </w:p>
    <w:p>
      <w:pPr>
        <w:pStyle w:val="BodyText"/>
        <w:spacing w:line="410" w:lineRule="auto"/>
        <w:ind w:left="154" w:right="1132" w:firstLine="420"/>
        <w:jc w:val="both"/>
      </w:pPr>
      <w:r>
        <w:rPr>
          <w:rFonts w:ascii="宋体" w:hAnsi="宋体" w:cs="宋体" w:eastAsia="宋体" w:hint="default"/>
        </w:rPr>
        <w:t>2015</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9</w:t>
      </w:r>
      <w:r>
        <w:rPr>
          <w:rFonts w:ascii="宋体" w:hAnsi="宋体" w:cs="宋体" w:eastAsia="宋体" w:hint="default"/>
          <w:spacing w:val="-47"/>
        </w:rPr>
        <w:t> </w:t>
      </w:r>
      <w:r>
        <w:rPr/>
        <w:t>日，本公司第四届董事会第十六次会议审议通过，公司拟通过发行股份及支付现金相 结合的方式购买智趣广告</w:t>
      </w:r>
      <w:r>
        <w:rPr>
          <w:spacing w:val="-53"/>
        </w:rPr>
        <w:t> </w:t>
      </w:r>
      <w:r>
        <w:rPr>
          <w:rFonts w:ascii="宋体" w:hAnsi="宋体" w:cs="宋体" w:eastAsia="宋体" w:hint="default"/>
        </w:rPr>
        <w:t>100%</w:t>
      </w:r>
      <w:r>
        <w:rPr/>
        <w:t>的股权，并募集配套资金。</w:t>
      </w:r>
    </w:p>
    <w:p>
      <w:pPr>
        <w:pStyle w:val="BodyText"/>
        <w:spacing w:line="441" w:lineRule="auto" w:before="85"/>
        <w:ind w:left="573" w:right="0"/>
        <w:jc w:val="left"/>
      </w:pPr>
      <w:r>
        <w:rPr>
          <w:rFonts w:ascii="宋体" w:hAnsi="宋体" w:cs="宋体" w:eastAsia="宋体" w:hint="default"/>
        </w:rPr>
        <w:t>1) </w:t>
      </w:r>
      <w:r>
        <w:rPr/>
        <w:t>标的资产作价及交易方案 </w:t>
      </w:r>
      <w:r>
        <w:rPr>
          <w:spacing w:val="-1"/>
        </w:rPr>
        <w:t>本公司和智趣广告同意以智趣广告经资产评估机构评估的结果作为资产的定价依据。根据坤元资产评</w:t>
      </w:r>
    </w:p>
    <w:p>
      <w:pPr>
        <w:pStyle w:val="BodyText"/>
        <w:spacing w:line="240" w:lineRule="auto" w:before="16"/>
        <w:ind w:right="0"/>
        <w:jc w:val="left"/>
      </w:pPr>
      <w:r>
        <w:rPr/>
        <w:t>估有限公司出具的《资产评估报告》</w:t>
      </w:r>
      <w:r>
        <w:rPr>
          <w:rFonts w:ascii="宋体" w:hAnsi="宋体" w:cs="宋体" w:eastAsia="宋体" w:hint="default"/>
        </w:rPr>
        <w:t>(</w:t>
      </w:r>
      <w:r>
        <w:rPr/>
        <w:t>坤元评报〔</w:t>
      </w:r>
      <w:r>
        <w:rPr>
          <w:rFonts w:ascii="宋体" w:hAnsi="宋体" w:cs="宋体" w:eastAsia="宋体" w:hint="default"/>
        </w:rPr>
        <w:t>2016</w:t>
      </w:r>
      <w:r>
        <w:rPr/>
        <w:t>〕</w:t>
      </w:r>
      <w:r>
        <w:rPr>
          <w:rFonts w:ascii="宋体" w:hAnsi="宋体" w:cs="宋体" w:eastAsia="宋体" w:hint="default"/>
        </w:rPr>
        <w:t>1</w:t>
      </w:r>
      <w:r>
        <w:rPr>
          <w:rFonts w:ascii="宋体" w:hAnsi="宋体" w:cs="宋体" w:eastAsia="宋体" w:hint="default"/>
          <w:spacing w:val="-49"/>
        </w:rPr>
        <w:t> </w:t>
      </w:r>
      <w:r>
        <w:rPr/>
        <w:t>号</w:t>
      </w:r>
      <w:r>
        <w:rPr>
          <w:rFonts w:ascii="宋体" w:hAnsi="宋体" w:cs="宋体" w:eastAsia="宋体" w:hint="default"/>
        </w:rPr>
        <w:t>)</w:t>
      </w:r>
      <w:r>
        <w:rPr/>
        <w:t>，以</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9</w:t>
      </w:r>
      <w:r>
        <w:rPr>
          <w:rFonts w:ascii="宋体" w:hAnsi="宋体" w:cs="宋体" w:eastAsia="宋体" w:hint="default"/>
          <w:spacing w:val="-49"/>
        </w:rPr>
        <w:t> </w:t>
      </w:r>
      <w:r>
        <w:rPr/>
        <w:t>月</w:t>
      </w:r>
      <w:r>
        <w:rPr>
          <w:spacing w:val="-50"/>
        </w:rPr>
        <w:t> </w:t>
      </w:r>
      <w:r>
        <w:rPr>
          <w:rFonts w:ascii="宋体" w:hAnsi="宋体" w:cs="宋体" w:eastAsia="宋体" w:hint="default"/>
        </w:rPr>
        <w:t>30</w:t>
      </w:r>
      <w:r>
        <w:rPr>
          <w:rFonts w:ascii="宋体" w:hAnsi="宋体" w:cs="宋体" w:eastAsia="宋体" w:hint="default"/>
          <w:spacing w:val="-49"/>
        </w:rPr>
        <w:t> </w:t>
      </w:r>
      <w:r>
        <w:rPr/>
        <w:t>日为基准日，智趣广告</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100%</w:t>
      </w:r>
      <w:r>
        <w:rPr/>
        <w:t>股权的评估值为 </w:t>
      </w:r>
      <w:r>
        <w:rPr>
          <w:rFonts w:ascii="宋体" w:hAnsi="宋体" w:cs="宋体" w:eastAsia="宋体" w:hint="default"/>
        </w:rPr>
        <w:t>756,961,100.00</w:t>
      </w:r>
      <w:r>
        <w:rPr>
          <w:rFonts w:ascii="宋体" w:hAnsi="宋体" w:cs="宋体" w:eastAsia="宋体" w:hint="default"/>
          <w:spacing w:val="-24"/>
        </w:rPr>
        <w:t> </w:t>
      </w:r>
      <w:r>
        <w:rPr/>
        <w:t>元。经交易各方友好协商，并根据《上海智趣广告有限公司之股权</w:t>
      </w:r>
    </w:p>
    <w:p>
      <w:pPr>
        <w:spacing w:line="240" w:lineRule="auto" w:before="10"/>
        <w:rPr>
          <w:rFonts w:ascii="宋体" w:hAnsi="宋体" w:cs="宋体" w:eastAsia="宋体" w:hint="default"/>
          <w:sz w:val="14"/>
          <w:szCs w:val="14"/>
        </w:rPr>
      </w:pPr>
    </w:p>
    <w:p>
      <w:pPr>
        <w:pStyle w:val="BodyText"/>
        <w:spacing w:line="410" w:lineRule="auto"/>
        <w:ind w:left="154" w:right="1116"/>
        <w:jc w:val="left"/>
      </w:pPr>
      <w:r>
        <w:rPr/>
        <w:t>转让合同》约定，智趣广告转让价格为人民币 </w:t>
      </w:r>
      <w:r>
        <w:rPr>
          <w:rFonts w:ascii="宋体" w:hAnsi="宋体" w:cs="宋体" w:eastAsia="宋体" w:hint="default"/>
        </w:rPr>
        <w:t>754,000,000.00</w:t>
      </w:r>
      <w:r>
        <w:rPr>
          <w:rFonts w:ascii="宋体" w:hAnsi="宋体" w:cs="宋体" w:eastAsia="宋体" w:hint="default"/>
          <w:spacing w:val="-24"/>
        </w:rPr>
        <w:t> </w:t>
      </w:r>
      <w:r>
        <w:rPr/>
        <w:t>元。本次交易本公司拟以发行股份和支付 现金相结合的方式购买智趣广告</w:t>
      </w:r>
      <w:r>
        <w:rPr>
          <w:spacing w:val="-54"/>
        </w:rPr>
        <w:t> </w:t>
      </w:r>
      <w:r>
        <w:rPr>
          <w:rFonts w:ascii="宋体" w:hAnsi="宋体" w:cs="宋体" w:eastAsia="宋体" w:hint="default"/>
        </w:rPr>
        <w:t>100%</w:t>
      </w:r>
      <w:r>
        <w:rPr/>
        <w:t>的股权，并募集配套资金，其中：</w:t>
      </w:r>
    </w:p>
    <w:p>
      <w:pPr>
        <w:pStyle w:val="BodyText"/>
        <w:spacing w:line="410" w:lineRule="auto" w:before="82"/>
        <w:ind w:right="1130" w:firstLine="420"/>
        <w:jc w:val="both"/>
      </w:pPr>
      <w:r>
        <w:rPr/>
        <w:t>①</w:t>
      </w:r>
      <w:r>
        <w:rPr>
          <w:spacing w:val="-14"/>
        </w:rPr>
        <w:t> </w:t>
      </w:r>
      <w:r>
        <w:rPr/>
        <w:t>拟向迹象信息技术</w:t>
      </w:r>
      <w:r>
        <w:rPr>
          <w:rFonts w:ascii="宋体" w:hAnsi="宋体" w:cs="宋体" w:eastAsia="宋体" w:hint="default"/>
        </w:rPr>
        <w:t>(</w:t>
      </w:r>
      <w:r>
        <w:rPr/>
        <w:t>上海</w:t>
      </w:r>
      <w:r>
        <w:rPr>
          <w:rFonts w:ascii="宋体" w:hAnsi="宋体" w:cs="宋体" w:eastAsia="宋体" w:hint="default"/>
        </w:rPr>
        <w:t>)</w:t>
      </w:r>
      <w:r>
        <w:rPr/>
        <w:t>有限公司</w:t>
      </w:r>
      <w:r>
        <w:rPr>
          <w:rFonts w:ascii="宋体" w:hAnsi="宋体" w:cs="宋体" w:eastAsia="宋体" w:hint="default"/>
        </w:rPr>
        <w:t>(</w:t>
      </w:r>
      <w:r>
        <w:rPr/>
        <w:t>以下简称迹象信息</w:t>
      </w:r>
      <w:r>
        <w:rPr>
          <w:rFonts w:ascii="宋体" w:hAnsi="宋体" w:cs="宋体" w:eastAsia="宋体" w:hint="default"/>
        </w:rPr>
        <w:t>)</w:t>
      </w:r>
      <w:r>
        <w:rPr/>
        <w:t>、徐佳亮和徐晓峰合计发行</w:t>
      </w:r>
      <w:r>
        <w:rPr>
          <w:spacing w:val="-60"/>
        </w:rPr>
        <w:t> </w:t>
      </w:r>
      <w:r>
        <w:rPr>
          <w:rFonts w:ascii="宋体" w:hAnsi="宋体" w:cs="宋体" w:eastAsia="宋体" w:hint="default"/>
        </w:rPr>
        <w:t>25,598,763</w:t>
      </w:r>
      <w:r>
        <w:rPr>
          <w:rFonts w:ascii="宋体" w:hAnsi="宋体" w:cs="宋体" w:eastAsia="宋体" w:hint="default"/>
          <w:spacing w:val="-59"/>
        </w:rPr>
        <w:t> </w:t>
      </w:r>
      <w:r>
        <w:rPr/>
        <w:t>股 股份购买其合计持有的智趣广告</w:t>
      </w:r>
      <w:r>
        <w:rPr>
          <w:spacing w:val="-53"/>
        </w:rPr>
        <w:t> </w:t>
      </w:r>
      <w:r>
        <w:rPr>
          <w:rFonts w:ascii="宋体" w:hAnsi="宋体" w:cs="宋体" w:eastAsia="宋体" w:hint="default"/>
        </w:rPr>
        <w:t>55%</w:t>
      </w:r>
      <w:r>
        <w:rPr/>
        <w:t>的股权；</w:t>
      </w:r>
    </w:p>
    <w:p>
      <w:pPr>
        <w:pStyle w:val="BodyText"/>
        <w:spacing w:line="240" w:lineRule="auto" w:before="85"/>
        <w:ind w:left="573" w:right="0"/>
        <w:jc w:val="left"/>
      </w:pPr>
      <w:r>
        <w:rPr/>
        <w:t>②</w:t>
      </w:r>
      <w:r>
        <w:rPr>
          <w:spacing w:val="-1"/>
        </w:rPr>
        <w:t> </w:t>
      </w:r>
      <w:r>
        <w:rPr/>
        <w:t>拟以支付现金</w:t>
      </w:r>
      <w:r>
        <w:rPr>
          <w:spacing w:val="-54"/>
        </w:rPr>
        <w:t> </w:t>
      </w:r>
      <w:r>
        <w:rPr>
          <w:rFonts w:ascii="宋体" w:hAnsi="宋体" w:cs="宋体" w:eastAsia="宋体" w:hint="default"/>
        </w:rPr>
        <w:t>339,300,039.40</w:t>
      </w:r>
      <w:r>
        <w:rPr>
          <w:rFonts w:ascii="宋体" w:hAnsi="宋体" w:cs="宋体" w:eastAsia="宋体" w:hint="default"/>
          <w:spacing w:val="-54"/>
        </w:rPr>
        <w:t> </w:t>
      </w:r>
      <w:r>
        <w:rPr/>
        <w:t>元购买迹象信息、徐佳亮和徐晓峰持有的智趣广告</w:t>
      </w:r>
      <w:r>
        <w:rPr>
          <w:spacing w:val="-53"/>
        </w:rPr>
        <w:t> </w:t>
      </w:r>
      <w:r>
        <w:rPr>
          <w:rFonts w:ascii="宋体" w:hAnsi="宋体" w:cs="宋体" w:eastAsia="宋体" w:hint="default"/>
        </w:rPr>
        <w:t>45%</w:t>
      </w:r>
      <w:r>
        <w:rPr/>
        <w:t>的股权；</w:t>
      </w:r>
    </w:p>
    <w:p>
      <w:pPr>
        <w:spacing w:line="240" w:lineRule="auto" w:before="9"/>
        <w:rPr>
          <w:rFonts w:ascii="宋体" w:hAnsi="宋体" w:cs="宋体" w:eastAsia="宋体" w:hint="default"/>
          <w:sz w:val="17"/>
          <w:szCs w:val="17"/>
        </w:rPr>
      </w:pPr>
    </w:p>
    <w:p>
      <w:pPr>
        <w:pStyle w:val="BodyText"/>
        <w:spacing w:line="410" w:lineRule="auto"/>
        <w:ind w:right="1130" w:firstLine="420"/>
        <w:jc w:val="both"/>
      </w:pPr>
      <w:r>
        <w:rPr/>
        <w:t>③</w:t>
      </w:r>
      <w:r>
        <w:rPr>
          <w:spacing w:val="-1"/>
        </w:rPr>
        <w:t> </w:t>
      </w:r>
      <w:r>
        <w:rPr/>
        <w:t>拟向不超过</w:t>
      </w:r>
      <w:r>
        <w:rPr>
          <w:spacing w:val="-34"/>
        </w:rPr>
        <w:t> </w:t>
      </w:r>
      <w:r>
        <w:rPr>
          <w:rFonts w:ascii="宋体" w:hAnsi="宋体" w:cs="宋体" w:eastAsia="宋体" w:hint="default"/>
        </w:rPr>
        <w:t>10</w:t>
      </w:r>
      <w:r>
        <w:rPr>
          <w:rFonts w:ascii="宋体" w:hAnsi="宋体" w:cs="宋体" w:eastAsia="宋体" w:hint="default"/>
          <w:spacing w:val="-34"/>
        </w:rPr>
        <w:t> </w:t>
      </w:r>
      <w:r>
        <w:rPr/>
        <w:t>名其他特定投资者发行股份募集配套资金，配套资金总额不超过</w:t>
      </w:r>
      <w:r>
        <w:rPr>
          <w:spacing w:val="-33"/>
        </w:rPr>
        <w:t> </w:t>
      </w:r>
      <w:r>
        <w:rPr>
          <w:rFonts w:ascii="宋体" w:hAnsi="宋体" w:cs="宋体" w:eastAsia="宋体" w:hint="default"/>
        </w:rPr>
        <w:t>72,500</w:t>
      </w:r>
      <w:r>
        <w:rPr>
          <w:rFonts w:ascii="宋体" w:hAnsi="宋体" w:cs="宋体" w:eastAsia="宋体" w:hint="default"/>
          <w:spacing w:val="-33"/>
        </w:rPr>
        <w:t> </w:t>
      </w:r>
      <w:r>
        <w:rPr/>
        <w:t>万元。其 中</w:t>
      </w:r>
      <w:r>
        <w:rPr>
          <w:spacing w:val="-33"/>
        </w:rPr>
        <w:t> </w:t>
      </w:r>
      <w:r>
        <w:rPr>
          <w:rFonts w:ascii="宋体" w:hAnsi="宋体" w:cs="宋体" w:eastAsia="宋体" w:hint="default"/>
        </w:rPr>
        <w:t>33,930</w:t>
      </w:r>
      <w:r>
        <w:rPr>
          <w:rFonts w:ascii="宋体" w:hAnsi="宋体" w:cs="宋体" w:eastAsia="宋体" w:hint="default"/>
          <w:spacing w:val="-33"/>
        </w:rPr>
        <w:t> </w:t>
      </w:r>
      <w:r>
        <w:rPr/>
        <w:t>万元用于支付本次交易的现金对价，</w:t>
      </w:r>
      <w:r>
        <w:rPr>
          <w:rFonts w:ascii="宋体" w:hAnsi="宋体" w:cs="宋体" w:eastAsia="宋体" w:hint="default"/>
        </w:rPr>
        <w:t>36,170</w:t>
      </w:r>
      <w:r>
        <w:rPr>
          <w:rFonts w:ascii="宋体" w:hAnsi="宋体" w:cs="宋体" w:eastAsia="宋体" w:hint="default"/>
          <w:spacing w:val="-32"/>
        </w:rPr>
        <w:t> </w:t>
      </w:r>
      <w:r>
        <w:rPr/>
        <w:t>万元用于补充上市公司流动资金，</w:t>
      </w:r>
      <w:r>
        <w:rPr>
          <w:rFonts w:ascii="宋体" w:hAnsi="宋体" w:cs="宋体" w:eastAsia="宋体" w:hint="default"/>
        </w:rPr>
        <w:t>2,400</w:t>
      </w:r>
      <w:r>
        <w:rPr>
          <w:rFonts w:ascii="宋体" w:hAnsi="宋体" w:cs="宋体" w:eastAsia="宋体" w:hint="default"/>
          <w:spacing w:val="-33"/>
        </w:rPr>
        <w:t> </w:t>
      </w:r>
      <w:r>
        <w:rPr/>
        <w:t>万元用于 支付本次交易的相关发行费用。</w:t>
      </w:r>
    </w:p>
    <w:p>
      <w:pPr>
        <w:pStyle w:val="BodyText"/>
        <w:spacing w:line="240" w:lineRule="auto" w:before="83"/>
        <w:ind w:left="574" w:right="0"/>
        <w:jc w:val="left"/>
      </w:pPr>
      <w:r>
        <w:rPr>
          <w:rFonts w:ascii="宋体" w:hAnsi="宋体" w:cs="宋体" w:eastAsia="宋体" w:hint="default"/>
        </w:rPr>
        <w:t>(2)</w:t>
      </w:r>
      <w:r>
        <w:rPr>
          <w:rFonts w:ascii="宋体" w:hAnsi="宋体" w:cs="宋体" w:eastAsia="宋体" w:hint="default"/>
          <w:spacing w:val="-1"/>
        </w:rPr>
        <w:t> </w:t>
      </w:r>
      <w:r>
        <w:rPr/>
        <w:t>股份发行价格和数量</w:t>
      </w:r>
    </w:p>
    <w:p>
      <w:pPr>
        <w:spacing w:line="240" w:lineRule="auto" w:before="12"/>
        <w:rPr>
          <w:rFonts w:ascii="宋体" w:hAnsi="宋体" w:cs="宋体" w:eastAsia="宋体" w:hint="default"/>
          <w:sz w:val="17"/>
          <w:szCs w:val="17"/>
        </w:rPr>
      </w:pPr>
    </w:p>
    <w:p>
      <w:pPr>
        <w:pStyle w:val="BodyText"/>
        <w:spacing w:line="441" w:lineRule="auto"/>
        <w:ind w:left="573" w:right="1118"/>
        <w:jc w:val="left"/>
      </w:pPr>
      <w:r>
        <w:rPr>
          <w:rFonts w:ascii="宋体" w:hAnsi="宋体" w:cs="宋体" w:eastAsia="宋体" w:hint="default"/>
        </w:rPr>
        <w:t>1)</w:t>
      </w:r>
      <w:r>
        <w:rPr>
          <w:rFonts w:ascii="宋体" w:hAnsi="宋体" w:cs="宋体" w:eastAsia="宋体" w:hint="default"/>
          <w:spacing w:val="1"/>
        </w:rPr>
        <w:t> </w:t>
      </w:r>
      <w:r>
        <w:rPr/>
        <w:t>发行价格 </w:t>
      </w:r>
      <w:r>
        <w:rPr>
          <w:spacing w:val="-1"/>
        </w:rPr>
        <w:t>除现金支付部分之外，本次交易涉及向迹象信息、徐佳亮和徐晓峰发行股份购买资产和向其他特定投</w:t>
      </w:r>
    </w:p>
    <w:p>
      <w:pPr>
        <w:pStyle w:val="BodyText"/>
        <w:spacing w:line="240" w:lineRule="auto" w:before="18"/>
        <w:ind w:right="0"/>
        <w:jc w:val="left"/>
      </w:pPr>
      <w:r>
        <w:rPr/>
        <w:t>资者发行股份募集配套资金两部分，定价基准日均为本公司第四届董事会第十六次会议决议公告日。</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154" w:right="1130" w:firstLine="420"/>
        <w:jc w:val="both"/>
      </w:pPr>
      <w:r>
        <w:rPr/>
        <w:t>本公司向迹象信息、徐佳亮和徐晓峰发行股份购买资产的发行价格为不低于定价基准日前 </w:t>
      </w:r>
      <w:r>
        <w:rPr>
          <w:rFonts w:ascii="宋体" w:hAnsi="宋体" w:cs="宋体" w:eastAsia="宋体" w:hint="default"/>
        </w:rPr>
        <w:t>20</w:t>
      </w:r>
      <w:r>
        <w:rPr>
          <w:rFonts w:ascii="宋体" w:hAnsi="宋体" w:cs="宋体" w:eastAsia="宋体" w:hint="default"/>
          <w:spacing w:val="-22"/>
        </w:rPr>
        <w:t> </w:t>
      </w:r>
      <w:r>
        <w:rPr/>
        <w:t>个交易 日股票交易均价的</w:t>
      </w:r>
      <w:r>
        <w:rPr>
          <w:spacing w:val="-65"/>
        </w:rPr>
        <w:t> </w:t>
      </w:r>
      <w:r>
        <w:rPr>
          <w:rFonts w:ascii="宋体" w:hAnsi="宋体" w:cs="宋体" w:eastAsia="宋体" w:hint="default"/>
          <w:spacing w:val="-8"/>
        </w:rPr>
        <w:t>90%</w:t>
      </w:r>
      <w:r>
        <w:rPr>
          <w:spacing w:val="-8"/>
        </w:rPr>
        <w:t>，即</w:t>
      </w:r>
      <w:r>
        <w:rPr>
          <w:spacing w:val="-66"/>
        </w:rPr>
        <w:t> </w:t>
      </w:r>
      <w:r>
        <w:rPr>
          <w:rFonts w:ascii="宋体" w:hAnsi="宋体" w:cs="宋体" w:eastAsia="宋体" w:hint="default"/>
        </w:rPr>
        <w:t>16.20</w:t>
      </w:r>
      <w:r>
        <w:rPr>
          <w:rFonts w:ascii="宋体" w:hAnsi="宋体" w:cs="宋体" w:eastAsia="宋体" w:hint="default"/>
          <w:spacing w:val="-65"/>
        </w:rPr>
        <w:t> </w:t>
      </w:r>
      <w:r>
        <w:rPr/>
        <w:t>元</w:t>
      </w:r>
      <w:r>
        <w:rPr>
          <w:rFonts w:ascii="宋体" w:hAnsi="宋体" w:cs="宋体" w:eastAsia="宋体" w:hint="default"/>
        </w:rPr>
        <w:t>/</w:t>
      </w:r>
      <w:r>
        <w:rPr/>
        <w:t>股。向其他特定投资者发行股份募集配套资金的发行价格为不低于定 价基准日前</w:t>
      </w:r>
      <w:r>
        <w:rPr>
          <w:spacing w:val="-48"/>
        </w:rPr>
        <w:t> </w:t>
      </w:r>
      <w:r>
        <w:rPr>
          <w:rFonts w:ascii="宋体" w:hAnsi="宋体" w:cs="宋体" w:eastAsia="宋体" w:hint="default"/>
        </w:rPr>
        <w:t>20</w:t>
      </w:r>
      <w:r>
        <w:rPr>
          <w:rFonts w:ascii="宋体" w:hAnsi="宋体" w:cs="宋体" w:eastAsia="宋体" w:hint="default"/>
          <w:spacing w:val="-48"/>
        </w:rPr>
        <w:t> </w:t>
      </w:r>
      <w:r>
        <w:rPr/>
        <w:t>个交易日公司股票交易均价的</w:t>
      </w:r>
      <w:r>
        <w:rPr>
          <w:spacing w:val="-48"/>
        </w:rPr>
        <w:t> </w:t>
      </w:r>
      <w:r>
        <w:rPr>
          <w:rFonts w:ascii="宋体" w:hAnsi="宋体" w:cs="宋体" w:eastAsia="宋体" w:hint="default"/>
        </w:rPr>
        <w:t>90%</w:t>
      </w:r>
      <w:r>
        <w:rPr/>
        <w:t>，即</w:t>
      </w:r>
      <w:r>
        <w:rPr>
          <w:spacing w:val="-49"/>
        </w:rPr>
        <w:t> </w:t>
      </w:r>
      <w:r>
        <w:rPr>
          <w:rFonts w:ascii="宋体" w:hAnsi="宋体" w:cs="宋体" w:eastAsia="宋体" w:hint="default"/>
        </w:rPr>
        <w:t>16.20</w:t>
      </w:r>
      <w:r>
        <w:rPr>
          <w:rFonts w:ascii="宋体" w:hAnsi="宋体" w:cs="宋体" w:eastAsia="宋体" w:hint="default"/>
          <w:spacing w:val="-48"/>
        </w:rPr>
        <w:t> </w:t>
      </w:r>
      <w:r>
        <w:rPr/>
        <w:t>元</w:t>
      </w:r>
      <w:r>
        <w:rPr>
          <w:rFonts w:ascii="宋体" w:hAnsi="宋体" w:cs="宋体" w:eastAsia="宋体" w:hint="default"/>
        </w:rPr>
        <w:t>/</w:t>
      </w:r>
      <w:r>
        <w:rPr/>
        <w:t>股，最终发行价格将在本次交易获得中国 </w:t>
      </w:r>
      <w:r>
        <w:rPr>
          <w:spacing w:val="-1"/>
        </w:rPr>
        <w:t>证监会核准后，由公司董事会根据股东大会的授权，按照相关法律、行政法规及规范性文件的规定，依据</w:t>
      </w:r>
      <w:r>
        <w:rPr>
          <w:spacing w:val="-86"/>
        </w:rPr>
        <w:t> </w:t>
      </w:r>
      <w:r>
        <w:rPr>
          <w:spacing w:val="-86"/>
        </w:rPr>
      </w:r>
      <w:r>
        <w:rPr/>
        <w:t>市场询价结果来确定。</w:t>
      </w:r>
    </w:p>
    <w:p>
      <w:pPr>
        <w:pStyle w:val="BodyText"/>
        <w:spacing w:line="240" w:lineRule="auto" w:before="85"/>
        <w:ind w:left="574" w:right="0"/>
        <w:jc w:val="left"/>
      </w:pPr>
      <w:r>
        <w:rPr>
          <w:rFonts w:ascii="宋体" w:hAnsi="宋体" w:cs="宋体" w:eastAsia="宋体" w:hint="default"/>
        </w:rPr>
        <w:t>2)</w:t>
      </w:r>
      <w:r>
        <w:rPr>
          <w:rFonts w:ascii="宋体" w:hAnsi="宋体" w:cs="宋体" w:eastAsia="宋体" w:hint="default"/>
          <w:spacing w:val="1"/>
        </w:rPr>
        <w:t> </w:t>
      </w:r>
      <w:r>
        <w:rPr/>
        <w:t>发行数量</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本次拟向迹象信息、徐佳亮和徐晓峰发行</w:t>
      </w:r>
      <w:r>
        <w:rPr>
          <w:spacing w:val="-59"/>
        </w:rPr>
        <w:t> </w:t>
      </w:r>
      <w:r>
        <w:rPr>
          <w:rFonts w:ascii="宋体" w:hAnsi="宋体" w:cs="宋体" w:eastAsia="宋体" w:hint="default"/>
        </w:rPr>
        <w:t>25,598,763</w:t>
      </w:r>
      <w:r>
        <w:rPr>
          <w:rFonts w:ascii="宋体" w:hAnsi="宋体" w:cs="宋体" w:eastAsia="宋体" w:hint="default"/>
          <w:spacing w:val="-60"/>
        </w:rPr>
        <w:t> </w:t>
      </w:r>
      <w:r>
        <w:rPr/>
        <w:t>股；拟向不超过</w:t>
      </w:r>
      <w:r>
        <w:rPr>
          <w:spacing w:val="-60"/>
        </w:rPr>
        <w:t> </w:t>
      </w:r>
      <w:r>
        <w:rPr>
          <w:rFonts w:ascii="宋体" w:hAnsi="宋体" w:cs="宋体" w:eastAsia="宋体" w:hint="default"/>
        </w:rPr>
        <w:t>10</w:t>
      </w:r>
      <w:r>
        <w:rPr>
          <w:rFonts w:ascii="宋体" w:hAnsi="宋体" w:cs="宋体" w:eastAsia="宋体" w:hint="default"/>
          <w:spacing w:val="-60"/>
        </w:rPr>
        <w:t> </w:t>
      </w:r>
      <w:r>
        <w:rPr/>
        <w:t>名的其他特定投资者发行股</w:t>
      </w:r>
    </w:p>
    <w:p>
      <w:pPr>
        <w:spacing w:line="240" w:lineRule="auto" w:before="11"/>
        <w:rPr>
          <w:rFonts w:ascii="宋体" w:hAnsi="宋体" w:cs="宋体" w:eastAsia="宋体" w:hint="default"/>
          <w:sz w:val="14"/>
          <w:szCs w:val="14"/>
        </w:rPr>
      </w:pPr>
    </w:p>
    <w:p>
      <w:pPr>
        <w:pStyle w:val="BodyText"/>
        <w:spacing w:line="441" w:lineRule="auto"/>
        <w:ind w:left="574" w:right="1122" w:hanging="420"/>
        <w:jc w:val="left"/>
      </w:pPr>
      <w:r>
        <w:rPr/>
        <w:t>份数量预计不超过</w:t>
      </w:r>
      <w:r>
        <w:rPr>
          <w:spacing w:val="-53"/>
        </w:rPr>
        <w:t> </w:t>
      </w:r>
      <w:r>
        <w:rPr>
          <w:rFonts w:ascii="宋体" w:hAnsi="宋体" w:cs="宋体" w:eastAsia="宋体" w:hint="default"/>
        </w:rPr>
        <w:t>44,753,086</w:t>
      </w:r>
      <w:r>
        <w:rPr>
          <w:rFonts w:ascii="宋体" w:hAnsi="宋体" w:cs="宋体" w:eastAsia="宋体" w:hint="default"/>
          <w:spacing w:val="-54"/>
        </w:rPr>
        <w:t> </w:t>
      </w:r>
      <w:r>
        <w:rPr/>
        <w:t>股，最终发行数量将根据最终发行价格确定。 上述拟通过发行股份及支付现金相结合的方式购买智趣广告</w:t>
      </w:r>
      <w:r>
        <w:rPr>
          <w:spacing w:val="75"/>
        </w:rPr>
        <w:t> </w:t>
      </w:r>
      <w:r>
        <w:rPr>
          <w:rFonts w:ascii="宋体" w:hAnsi="宋体" w:cs="宋体" w:eastAsia="宋体" w:hint="default"/>
        </w:rPr>
        <w:t>100%</w:t>
      </w:r>
      <w:r>
        <w:rPr/>
        <w:t>的股权并募集配套资金事项尚需中</w:t>
      </w:r>
    </w:p>
    <w:p>
      <w:pPr>
        <w:pStyle w:val="BodyText"/>
        <w:spacing w:line="444" w:lineRule="auto" w:before="18"/>
        <w:ind w:left="574" w:right="6342" w:hanging="420"/>
        <w:jc w:val="left"/>
      </w:pPr>
      <w:r>
        <w:rPr/>
        <w:t>国证券监督管理委员会和相关政府部门的批准。 </w:t>
      </w:r>
      <w:r>
        <w:rPr>
          <w:rFonts w:ascii="宋体" w:hAnsi="宋体" w:cs="宋体" w:eastAsia="宋体" w:hint="default"/>
        </w:rPr>
        <w:t>4.</w:t>
      </w:r>
      <w:r>
        <w:rPr>
          <w:rFonts w:ascii="宋体" w:hAnsi="宋体" w:cs="宋体" w:eastAsia="宋体" w:hint="default"/>
          <w:spacing w:val="-1"/>
        </w:rPr>
        <w:t> </w:t>
      </w:r>
      <w:r>
        <w:rPr/>
        <w:t>大农实业股票挂牌事项</w:t>
      </w:r>
    </w:p>
    <w:p>
      <w:pPr>
        <w:pStyle w:val="BodyText"/>
        <w:spacing w:line="408" w:lineRule="auto" w:before="54"/>
        <w:ind w:right="1131" w:firstLine="420"/>
        <w:jc w:val="both"/>
      </w:pPr>
      <w:r>
        <w:rPr>
          <w:rFonts w:ascii="宋体" w:hAnsi="宋体" w:cs="宋体" w:eastAsia="宋体" w:hint="default"/>
        </w:rPr>
        <w:t>2015</w:t>
      </w:r>
      <w:r>
        <w:rPr>
          <w:rFonts w:ascii="宋体" w:hAnsi="宋体" w:cs="宋体" w:eastAsia="宋体" w:hint="default"/>
          <w:spacing w:val="-46"/>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9</w:t>
      </w:r>
      <w:r>
        <w:rPr>
          <w:rFonts w:ascii="宋体" w:hAnsi="宋体" w:cs="宋体" w:eastAsia="宋体" w:hint="default"/>
          <w:spacing w:val="-46"/>
        </w:rPr>
        <w:t> </w:t>
      </w:r>
      <w:r>
        <w:rPr>
          <w:spacing w:val="-3"/>
        </w:rPr>
        <w:t>日，根据全国中小企业股份转让系统有限责任公司《关于同意浙江大农实业股份有限公</w:t>
      </w:r>
      <w:r>
        <w:rPr/>
        <w:t> </w:t>
      </w:r>
      <w:r>
        <w:rPr>
          <w:spacing w:val="-2"/>
        </w:rPr>
        <w:t>司股票在全国中小企业股份转让系统挂牌的函》</w:t>
      </w:r>
      <w:r>
        <w:rPr>
          <w:rFonts w:ascii="宋体" w:hAnsi="宋体" w:cs="宋体" w:eastAsia="宋体" w:hint="default"/>
          <w:spacing w:val="-2"/>
        </w:rPr>
        <w:t>(</w:t>
      </w:r>
      <w:r>
        <w:rPr>
          <w:spacing w:val="-2"/>
        </w:rPr>
        <w:t>股转系统函〔</w:t>
      </w:r>
      <w:r>
        <w:rPr>
          <w:rFonts w:ascii="宋体" w:hAnsi="宋体" w:cs="宋体" w:eastAsia="宋体" w:hint="default"/>
          <w:spacing w:val="-2"/>
        </w:rPr>
        <w:t>2015</w:t>
      </w:r>
      <w:r>
        <w:rPr>
          <w:spacing w:val="-2"/>
        </w:rPr>
        <w:t>〕</w:t>
      </w:r>
      <w:r>
        <w:rPr>
          <w:rFonts w:ascii="宋体" w:hAnsi="宋体" w:cs="宋体" w:eastAsia="宋体" w:hint="default"/>
          <w:spacing w:val="-2"/>
        </w:rPr>
        <w:t>81</w:t>
      </w:r>
      <w:r>
        <w:rPr>
          <w:rFonts w:ascii="宋体" w:hAnsi="宋体" w:cs="宋体" w:eastAsia="宋体" w:hint="default"/>
          <w:spacing w:val="-37"/>
        </w:rPr>
        <w:t> </w:t>
      </w:r>
      <w:r>
        <w:rPr>
          <w:spacing w:val="-2"/>
        </w:rPr>
        <w:t>号</w:t>
      </w:r>
      <w:r>
        <w:rPr>
          <w:rFonts w:ascii="宋体" w:hAnsi="宋体" w:cs="宋体" w:eastAsia="宋体" w:hint="default"/>
          <w:spacing w:val="-2"/>
        </w:rPr>
        <w:t>)</w:t>
      </w:r>
      <w:r>
        <w:rPr>
          <w:spacing w:val="-2"/>
        </w:rPr>
        <w:t>，同意大农实业股票在全国中</w:t>
      </w:r>
      <w:r>
        <w:rPr>
          <w:spacing w:val="-102"/>
        </w:rPr>
        <w:t> </w:t>
      </w:r>
      <w:r>
        <w:rPr>
          <w:spacing w:val="-102"/>
        </w:rPr>
      </w:r>
      <w:r>
        <w:rPr/>
        <w:t>小企业股份转让系统挂牌。因大农实业申请挂牌时股东人数未超过</w:t>
      </w:r>
      <w:r>
        <w:rPr>
          <w:spacing w:val="-64"/>
        </w:rPr>
        <w:t> </w:t>
      </w:r>
      <w:r>
        <w:rPr>
          <w:rFonts w:ascii="宋体" w:hAnsi="宋体" w:cs="宋体" w:eastAsia="宋体" w:hint="default"/>
        </w:rPr>
        <w:t>200</w:t>
      </w:r>
      <w:r>
        <w:rPr>
          <w:rFonts w:ascii="宋体" w:hAnsi="宋体" w:cs="宋体" w:eastAsia="宋体" w:hint="default"/>
          <w:spacing w:val="-64"/>
        </w:rPr>
        <w:t> </w:t>
      </w:r>
      <w:r>
        <w:rPr/>
        <w:t>人，按规定中国证监会豁免核准其 股票公开转让，并在挂牌后纳入非上市公众公司监管，大农实业将按照相关规定办理挂牌手续。</w:t>
      </w:r>
    </w:p>
    <w:p>
      <w:pPr>
        <w:pStyle w:val="BodyText"/>
        <w:spacing w:line="240" w:lineRule="auto" w:before="85"/>
        <w:ind w:left="573" w:right="0"/>
        <w:jc w:val="left"/>
      </w:pP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日，大农实业股票正式挂牌，证券简称为“浙江大农”，证券代码为“</w:t>
      </w:r>
      <w:r>
        <w:rPr>
          <w:rFonts w:ascii="宋体" w:hAnsi="宋体" w:cs="宋体" w:eastAsia="宋体" w:hint="default"/>
        </w:rPr>
        <w:t>831855</w:t>
      </w:r>
      <w:r>
        <w:rPr/>
        <w:t>”。</w:t>
      </w:r>
    </w:p>
    <w:p>
      <w:pPr>
        <w:spacing w:line="240" w:lineRule="auto" w:before="10"/>
        <w:rPr>
          <w:rFonts w:ascii="宋体" w:hAnsi="宋体" w:cs="宋体" w:eastAsia="宋体" w:hint="default"/>
          <w:sz w:val="17"/>
          <w:szCs w:val="17"/>
        </w:rPr>
      </w:pPr>
    </w:p>
    <w:p>
      <w:pPr>
        <w:pStyle w:val="BodyText"/>
        <w:spacing w:line="444" w:lineRule="auto"/>
        <w:ind w:left="573" w:right="8759"/>
        <w:jc w:val="left"/>
      </w:pPr>
      <w:r>
        <w:rPr>
          <w:rFonts w:ascii="宋体" w:hAnsi="宋体" w:cs="宋体" w:eastAsia="宋体" w:hint="default"/>
        </w:rPr>
        <w:t>5.</w:t>
      </w:r>
      <w:r>
        <w:rPr>
          <w:rFonts w:ascii="宋体" w:hAnsi="宋体" w:cs="宋体" w:eastAsia="宋体" w:hint="default"/>
          <w:spacing w:val="-1"/>
        </w:rPr>
        <w:t> </w:t>
      </w:r>
      <w:r>
        <w:rPr/>
        <w:t>对外投资事项 </w:t>
      </w:r>
      <w:r>
        <w:rPr>
          <w:rFonts w:ascii="宋体" w:hAnsi="宋体" w:cs="宋体" w:eastAsia="宋体" w:hint="default"/>
        </w:rPr>
        <w:t>(1)</w:t>
      </w:r>
      <w:r>
        <w:rPr/>
        <w:t>碧橙网络</w:t>
      </w:r>
    </w:p>
    <w:p>
      <w:pPr>
        <w:pStyle w:val="BodyText"/>
        <w:spacing w:line="240" w:lineRule="auto" w:before="53"/>
        <w:ind w:left="573" w:right="0"/>
        <w:jc w:val="left"/>
      </w:pPr>
      <w:r>
        <w:rPr>
          <w:rFonts w:ascii="宋体" w:hAnsi="宋体" w:cs="宋体" w:eastAsia="宋体" w:hint="default"/>
        </w:rPr>
        <w:t>2015</w:t>
      </w:r>
      <w:r>
        <w:rPr>
          <w:rFonts w:ascii="宋体" w:hAnsi="宋体" w:cs="宋体" w:eastAsia="宋体" w:hint="default"/>
          <w:spacing w:val="-47"/>
        </w:rPr>
        <w:t> </w:t>
      </w:r>
      <w:r>
        <w:rPr/>
        <w:t>年</w:t>
      </w:r>
      <w:r>
        <w:rPr>
          <w:spacing w:val="-50"/>
        </w:rPr>
        <w:t> </w:t>
      </w:r>
      <w:r>
        <w:rPr>
          <w:rFonts w:ascii="宋体" w:hAnsi="宋体" w:cs="宋体" w:eastAsia="宋体" w:hint="default"/>
        </w:rPr>
        <w:t>5</w:t>
      </w:r>
      <w:r>
        <w:rPr>
          <w:rFonts w:ascii="宋体" w:hAnsi="宋体" w:cs="宋体" w:eastAsia="宋体" w:hint="default"/>
          <w:spacing w:val="-48"/>
        </w:rPr>
        <w:t> </w:t>
      </w:r>
      <w:r>
        <w:rPr/>
        <w:t>月</w:t>
      </w:r>
      <w:r>
        <w:rPr>
          <w:spacing w:val="-50"/>
        </w:rPr>
        <w:t> </w:t>
      </w:r>
      <w:r>
        <w:rPr>
          <w:rFonts w:ascii="宋体" w:hAnsi="宋体" w:cs="宋体" w:eastAsia="宋体" w:hint="default"/>
        </w:rPr>
        <w:t>20</w:t>
      </w:r>
      <w:r>
        <w:rPr>
          <w:rFonts w:ascii="宋体" w:hAnsi="宋体" w:cs="宋体" w:eastAsia="宋体" w:hint="default"/>
          <w:spacing w:val="-48"/>
        </w:rPr>
        <w:t> </w:t>
      </w:r>
      <w:r>
        <w:rPr/>
        <w:t>日，公司与杭州碧橙网络技术有限公司</w:t>
      </w:r>
      <w:r>
        <w:rPr>
          <w:rFonts w:ascii="宋体" w:hAnsi="宋体" w:cs="宋体" w:eastAsia="宋体" w:hint="default"/>
        </w:rPr>
        <w:t>(</w:t>
      </w:r>
      <w:r>
        <w:rPr/>
        <w:t>以下简称碧橙网络</w:t>
      </w:r>
      <w:r>
        <w:rPr>
          <w:rFonts w:ascii="宋体" w:hAnsi="宋体" w:cs="宋体" w:eastAsia="宋体" w:hint="default"/>
        </w:rPr>
        <w:t>)</w:t>
      </w:r>
      <w:r>
        <w:rPr/>
        <w:t>、刘宏斌、杜鹏、冯星签</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署了《杭州碧橙网络技术有限公司投资协议》，根据相关协议约定公司以自有资金人民币</w:t>
      </w:r>
      <w:r>
        <w:rPr>
          <w:spacing w:val="-25"/>
        </w:rPr>
        <w:t> </w:t>
      </w:r>
      <w:r>
        <w:rPr>
          <w:rFonts w:ascii="宋体" w:hAnsi="宋体" w:cs="宋体" w:eastAsia="宋体" w:hint="default"/>
        </w:rPr>
        <w:t>18,750,008.00</w:t>
      </w:r>
    </w:p>
    <w:p>
      <w:pPr>
        <w:spacing w:line="240" w:lineRule="auto" w:before="10"/>
        <w:rPr>
          <w:rFonts w:ascii="宋体" w:hAnsi="宋体" w:cs="宋体" w:eastAsia="宋体" w:hint="default"/>
          <w:sz w:val="14"/>
          <w:szCs w:val="14"/>
        </w:rPr>
      </w:pPr>
    </w:p>
    <w:p>
      <w:pPr>
        <w:pStyle w:val="BodyText"/>
        <w:spacing w:line="410" w:lineRule="auto"/>
        <w:ind w:right="1116"/>
        <w:jc w:val="left"/>
      </w:pPr>
      <w:r>
        <w:rPr/>
        <w:t>元增资碧橙网络，以自有资金人民币</w:t>
      </w:r>
      <w:r>
        <w:rPr>
          <w:spacing w:val="-64"/>
        </w:rPr>
        <w:t> </w:t>
      </w:r>
      <w:r>
        <w:rPr>
          <w:rFonts w:ascii="宋体" w:hAnsi="宋体" w:cs="宋体" w:eastAsia="宋体" w:hint="default"/>
        </w:rPr>
        <w:t>21,249,992.00</w:t>
      </w:r>
      <w:r>
        <w:rPr>
          <w:rFonts w:ascii="宋体" w:hAnsi="宋体" w:cs="宋体" w:eastAsia="宋体" w:hint="default"/>
          <w:spacing w:val="-64"/>
        </w:rPr>
        <w:t> </w:t>
      </w:r>
      <w:r>
        <w:rPr/>
        <w:t>元受让刘宏斌、杜鹏、冯星所持有的碧橙网络部分股 权。上述增资及股权转让完成后，公司将合计共有碧橙网络</w:t>
      </w:r>
      <w:r>
        <w:rPr>
          <w:spacing w:val="-1"/>
        </w:rPr>
        <w:t> </w:t>
      </w:r>
      <w:r>
        <w:rPr>
          <w:rFonts w:ascii="宋体" w:hAnsi="宋体" w:cs="宋体" w:eastAsia="宋体" w:hint="default"/>
        </w:rPr>
        <w:t>27%</w:t>
      </w:r>
      <w:r>
        <w:rPr/>
        <w:t>的股权。</w:t>
      </w:r>
    </w:p>
    <w:p>
      <w:pPr>
        <w:pStyle w:val="BodyText"/>
        <w:spacing w:line="240" w:lineRule="auto" w:before="82"/>
        <w:ind w:left="573" w:right="0"/>
        <w:jc w:val="left"/>
      </w:pPr>
      <w:r>
        <w:rPr/>
        <w:t>截至</w:t>
      </w:r>
      <w:r>
        <w:rPr>
          <w:spacing w:val="-44"/>
        </w:rPr>
        <w:t> </w:t>
      </w:r>
      <w:r>
        <w:rPr>
          <w:rFonts w:ascii="宋体" w:hAnsi="宋体" w:cs="宋体" w:eastAsia="宋体" w:hint="default"/>
        </w:rPr>
        <w:t>2015</w:t>
      </w:r>
      <w:r>
        <w:rPr>
          <w:rFonts w:ascii="宋体" w:hAnsi="宋体" w:cs="宋体" w:eastAsia="宋体" w:hint="default"/>
          <w:spacing w:val="-45"/>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3"/>
        </w:rPr>
        <w:t> </w:t>
      </w:r>
      <w:r>
        <w:rPr/>
        <w:t>日，公司已向碧橙网络支付增资款</w:t>
      </w:r>
      <w:r>
        <w:rPr>
          <w:spacing w:val="-44"/>
        </w:rPr>
        <w:t> </w:t>
      </w:r>
      <w:r>
        <w:rPr>
          <w:rFonts w:ascii="宋体" w:hAnsi="宋体" w:cs="宋体" w:eastAsia="宋体" w:hint="default"/>
        </w:rPr>
        <w:t>18,750,008.00</w:t>
      </w:r>
      <w:r>
        <w:rPr>
          <w:rFonts w:ascii="宋体" w:hAnsi="宋体" w:cs="宋体" w:eastAsia="宋体" w:hint="default"/>
          <w:spacing w:val="-43"/>
        </w:rPr>
        <w:t> </w:t>
      </w:r>
      <w:r>
        <w:rPr/>
        <w:t>元，向刘宏斌、杜鹏、冯星</w:t>
      </w:r>
    </w:p>
    <w:p>
      <w:pPr>
        <w:spacing w:line="240" w:lineRule="auto" w:before="10"/>
        <w:rPr>
          <w:rFonts w:ascii="宋体" w:hAnsi="宋体" w:cs="宋体" w:eastAsia="宋体" w:hint="default"/>
          <w:sz w:val="14"/>
          <w:szCs w:val="14"/>
        </w:rPr>
      </w:pPr>
    </w:p>
    <w:p>
      <w:pPr>
        <w:pStyle w:val="BodyText"/>
        <w:spacing w:line="410" w:lineRule="auto"/>
        <w:ind w:right="1122"/>
        <w:jc w:val="left"/>
      </w:pPr>
      <w:r>
        <w:rPr/>
        <w:t>支付两次股权转让款共计</w:t>
      </w:r>
      <w:r>
        <w:rPr>
          <w:spacing w:val="-50"/>
        </w:rPr>
        <w:t> </w:t>
      </w:r>
      <w:r>
        <w:rPr>
          <w:rFonts w:ascii="宋体" w:hAnsi="宋体" w:cs="宋体" w:eastAsia="宋体" w:hint="default"/>
        </w:rPr>
        <w:t>21,249,992.00</w:t>
      </w:r>
      <w:r>
        <w:rPr>
          <w:rFonts w:ascii="宋体" w:hAnsi="宋体" w:cs="宋体" w:eastAsia="宋体" w:hint="default"/>
          <w:spacing w:val="-49"/>
        </w:rPr>
        <w:t> </w:t>
      </w:r>
      <w:r>
        <w:rPr/>
        <w:t>元，上述合计</w:t>
      </w:r>
      <w:r>
        <w:rPr>
          <w:spacing w:val="-50"/>
        </w:rPr>
        <w:t> </w:t>
      </w:r>
      <w:r>
        <w:rPr>
          <w:rFonts w:ascii="宋体" w:hAnsi="宋体" w:cs="宋体" w:eastAsia="宋体" w:hint="default"/>
        </w:rPr>
        <w:t>40,000,000.00</w:t>
      </w:r>
      <w:r>
        <w:rPr>
          <w:rFonts w:ascii="宋体" w:hAnsi="宋体" w:cs="宋体" w:eastAsia="宋体" w:hint="default"/>
          <w:spacing w:val="-49"/>
        </w:rPr>
        <w:t> </w:t>
      </w:r>
      <w:r>
        <w:rPr/>
        <w:t>元。碧橙网络已于</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7</w:t>
      </w:r>
      <w:r>
        <w:rPr>
          <w:rFonts w:ascii="宋体" w:hAnsi="宋体" w:cs="宋体" w:eastAsia="宋体" w:hint="default"/>
          <w:spacing w:val="-49"/>
        </w:rPr>
        <w:t> </w:t>
      </w:r>
      <w:r>
        <w:rPr/>
        <w:t>月</w:t>
      </w:r>
      <w:r>
        <w:rPr>
          <w:spacing w:val="-51"/>
        </w:rPr>
        <w:t> </w:t>
      </w:r>
      <w:r>
        <w:rPr>
          <w:rFonts w:ascii="宋体" w:hAnsi="宋体" w:cs="宋体" w:eastAsia="宋体" w:hint="default"/>
        </w:rPr>
        <w:t>20 </w:t>
      </w:r>
      <w:r>
        <w:rPr/>
        <w:t>日办妥增资事项的工商变更登记手续。</w:t>
      </w:r>
    </w:p>
    <w:p>
      <w:pPr>
        <w:pStyle w:val="BodyText"/>
        <w:spacing w:line="240" w:lineRule="auto" w:before="85"/>
        <w:ind w:left="573" w:right="0"/>
        <w:jc w:val="left"/>
      </w:pPr>
      <w:r>
        <w:rPr>
          <w:rFonts w:ascii="宋体" w:hAnsi="宋体" w:cs="宋体" w:eastAsia="宋体" w:hint="default"/>
        </w:rPr>
        <w:t>(2)</w:t>
      </w:r>
      <w:r>
        <w:rPr/>
        <w:t>益家互动</w:t>
      </w:r>
    </w:p>
    <w:p>
      <w:pPr>
        <w:spacing w:line="240" w:lineRule="auto" w:before="10"/>
        <w:rPr>
          <w:rFonts w:ascii="宋体" w:hAnsi="宋体" w:cs="宋体" w:eastAsia="宋体" w:hint="default"/>
          <w:sz w:val="17"/>
          <w:szCs w:val="17"/>
        </w:rPr>
      </w:pPr>
    </w:p>
    <w:p>
      <w:pPr>
        <w:pStyle w:val="BodyText"/>
        <w:spacing w:line="408" w:lineRule="auto"/>
        <w:ind w:right="1132" w:firstLine="420"/>
        <w:jc w:val="both"/>
      </w:pPr>
      <w:r>
        <w:rPr>
          <w:rFonts w:ascii="宋体" w:hAnsi="宋体" w:cs="宋体" w:eastAsia="宋体" w:hint="default"/>
        </w:rPr>
        <w:t>2015</w:t>
      </w:r>
      <w:r>
        <w:rPr>
          <w:rFonts w:ascii="宋体" w:hAnsi="宋体" w:cs="宋体" w:eastAsia="宋体" w:hint="default"/>
          <w:spacing w:val="-47"/>
        </w:rPr>
        <w:t> </w:t>
      </w:r>
      <w:r>
        <w:rPr/>
        <w:t>年</w:t>
      </w:r>
      <w:r>
        <w:rPr>
          <w:spacing w:val="-50"/>
        </w:rPr>
        <w:t> </w:t>
      </w:r>
      <w:r>
        <w:rPr>
          <w:rFonts w:ascii="宋体" w:hAnsi="宋体" w:cs="宋体" w:eastAsia="宋体" w:hint="default"/>
        </w:rPr>
        <w:t>6</w:t>
      </w:r>
      <w:r>
        <w:rPr>
          <w:rFonts w:ascii="宋体" w:hAnsi="宋体" w:cs="宋体" w:eastAsia="宋体" w:hint="default"/>
          <w:spacing w:val="-48"/>
        </w:rPr>
        <w:t> </w:t>
      </w:r>
      <w:r>
        <w:rPr/>
        <w:t>月</w:t>
      </w:r>
      <w:r>
        <w:rPr>
          <w:spacing w:val="-50"/>
        </w:rPr>
        <w:t> </w:t>
      </w:r>
      <w:r>
        <w:rPr>
          <w:rFonts w:ascii="宋体" w:hAnsi="宋体" w:cs="宋体" w:eastAsia="宋体" w:hint="default"/>
        </w:rPr>
        <w:t>15</w:t>
      </w:r>
      <w:r>
        <w:rPr>
          <w:rFonts w:ascii="宋体" w:hAnsi="宋体" w:cs="宋体" w:eastAsia="宋体" w:hint="default"/>
          <w:spacing w:val="-48"/>
        </w:rPr>
        <w:t> </w:t>
      </w:r>
      <w:r>
        <w:rPr/>
        <w:t>日，公司与徐鹏、常馨及上海益家互动广告有限公司</w:t>
      </w:r>
      <w:r>
        <w:rPr>
          <w:rFonts w:ascii="宋体" w:hAnsi="宋体" w:cs="宋体" w:eastAsia="宋体" w:hint="default"/>
        </w:rPr>
        <w:t>(</w:t>
      </w:r>
      <w:r>
        <w:rPr/>
        <w:t>以下简称益家互动</w:t>
      </w:r>
      <w:r>
        <w:rPr>
          <w:rFonts w:ascii="宋体" w:hAnsi="宋体" w:cs="宋体" w:eastAsia="宋体" w:hint="default"/>
        </w:rPr>
        <w:t>)</w:t>
      </w:r>
      <w:r>
        <w:rPr/>
        <w:t>签订了《关 </w:t>
      </w:r>
      <w:r>
        <w:rPr>
          <w:spacing w:val="-1"/>
        </w:rPr>
        <w:t>于上海益家互动广告有限公司之投资意向书》</w:t>
      </w:r>
      <w:r>
        <w:rPr>
          <w:rFonts w:ascii="宋体" w:hAnsi="宋体" w:cs="宋体" w:eastAsia="宋体" w:hint="default"/>
          <w:spacing w:val="-1"/>
        </w:rPr>
        <w:t>(</w:t>
      </w:r>
      <w:r>
        <w:rPr>
          <w:spacing w:val="-1"/>
        </w:rPr>
        <w:t>以下简称投资意向书</w:t>
      </w:r>
      <w:r>
        <w:rPr>
          <w:rFonts w:ascii="宋体" w:hAnsi="宋体" w:cs="宋体" w:eastAsia="宋体" w:hint="default"/>
          <w:spacing w:val="-1"/>
        </w:rPr>
        <w:t>)</w:t>
      </w:r>
      <w:r>
        <w:rPr>
          <w:spacing w:val="-1"/>
        </w:rPr>
        <w:t>，在满足投资先决条件的情况下，公</w:t>
      </w:r>
      <w:r>
        <w:rPr>
          <w:spacing w:val="-83"/>
        </w:rPr>
        <w:t> </w:t>
      </w:r>
      <w:r>
        <w:rPr>
          <w:spacing w:val="-83"/>
        </w:rPr>
      </w:r>
      <w:r>
        <w:rPr/>
        <w:t>司拟以人民币 </w:t>
      </w:r>
      <w:r>
        <w:rPr>
          <w:rFonts w:ascii="宋体" w:hAnsi="宋体" w:cs="宋体" w:eastAsia="宋体" w:hint="default"/>
        </w:rPr>
        <w:t>2,000</w:t>
      </w:r>
      <w:r>
        <w:rPr>
          <w:rFonts w:ascii="宋体" w:hAnsi="宋体" w:cs="宋体" w:eastAsia="宋体" w:hint="default"/>
          <w:spacing w:val="70"/>
        </w:rPr>
        <w:t> </w:t>
      </w:r>
      <w:r>
        <w:rPr/>
        <w:t>万元对益家互动进行增资。投资意向书签署后，徐鹏、常馨给予公司独家谈判权，</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154" w:right="0"/>
        <w:jc w:val="left"/>
      </w:pPr>
      <w:r>
        <w:rPr/>
        <w:t>即，徐鹏、常馨承诺，在本意向书签署之日起 </w:t>
      </w:r>
      <w:r>
        <w:rPr>
          <w:rFonts w:ascii="宋体" w:hAnsi="宋体" w:cs="宋体" w:eastAsia="宋体" w:hint="default"/>
        </w:rPr>
        <w:t>180</w:t>
      </w:r>
      <w:r>
        <w:rPr>
          <w:rFonts w:ascii="宋体" w:hAnsi="宋体" w:cs="宋体" w:eastAsia="宋体" w:hint="default"/>
          <w:spacing w:val="75"/>
        </w:rPr>
        <w:t> </w:t>
      </w:r>
      <w:r>
        <w:rPr/>
        <w:t>日内不与公司以外的其他主体洽谈增资入股或股权转</w:t>
      </w:r>
    </w:p>
    <w:p>
      <w:pPr>
        <w:spacing w:line="240" w:lineRule="auto" w:before="10"/>
        <w:rPr>
          <w:rFonts w:ascii="宋体" w:hAnsi="宋体" w:cs="宋体" w:eastAsia="宋体" w:hint="default"/>
          <w:sz w:val="14"/>
          <w:szCs w:val="14"/>
        </w:rPr>
      </w:pPr>
    </w:p>
    <w:p>
      <w:pPr>
        <w:pStyle w:val="BodyText"/>
        <w:spacing w:line="240" w:lineRule="auto"/>
        <w:ind w:left="154" w:right="0"/>
        <w:jc w:val="left"/>
      </w:pPr>
      <w:r>
        <w:rPr/>
        <w:t>让事宜。在投资意向书签署后 </w:t>
      </w:r>
      <w:r>
        <w:rPr>
          <w:rFonts w:ascii="宋体" w:hAnsi="宋体" w:cs="宋体" w:eastAsia="宋体" w:hint="default"/>
        </w:rPr>
        <w:t>10 </w:t>
      </w:r>
      <w:r>
        <w:rPr/>
        <w:t>个工作日内，公司向益家互动支付 </w:t>
      </w:r>
      <w:r>
        <w:rPr>
          <w:rFonts w:ascii="宋体" w:hAnsi="宋体" w:cs="宋体" w:eastAsia="宋体" w:hint="default"/>
        </w:rPr>
        <w:t>500</w:t>
      </w:r>
      <w:r>
        <w:rPr>
          <w:rFonts w:ascii="宋体" w:hAnsi="宋体" w:cs="宋体" w:eastAsia="宋体" w:hint="default"/>
          <w:spacing w:val="76"/>
        </w:rPr>
        <w:t> </w:t>
      </w:r>
      <w:r>
        <w:rPr/>
        <w:t>万元的排他费用。若投资意向</w:t>
      </w:r>
    </w:p>
    <w:p>
      <w:pPr>
        <w:spacing w:line="240" w:lineRule="auto" w:before="10"/>
        <w:rPr>
          <w:rFonts w:ascii="宋体" w:hAnsi="宋体" w:cs="宋体" w:eastAsia="宋体" w:hint="default"/>
          <w:sz w:val="14"/>
          <w:szCs w:val="14"/>
        </w:rPr>
      </w:pPr>
    </w:p>
    <w:p>
      <w:pPr>
        <w:pStyle w:val="BodyText"/>
        <w:spacing w:line="240" w:lineRule="auto"/>
        <w:ind w:right="0"/>
        <w:jc w:val="left"/>
      </w:pPr>
      <w:r>
        <w:rPr/>
        <w:t>书签署之日起 </w:t>
      </w:r>
      <w:r>
        <w:rPr>
          <w:rFonts w:ascii="宋体" w:hAnsi="宋体" w:cs="宋体" w:eastAsia="宋体" w:hint="default"/>
        </w:rPr>
        <w:t>180</w:t>
      </w:r>
      <w:r>
        <w:rPr>
          <w:rFonts w:ascii="宋体" w:hAnsi="宋体" w:cs="宋体" w:eastAsia="宋体" w:hint="default"/>
          <w:spacing w:val="77"/>
        </w:rPr>
        <w:t> </w:t>
      </w:r>
      <w:r>
        <w:rPr/>
        <w:t>日内协议双方未能正式签署相应的《增资扩股协议》，且协议双方未以书面形式批准</w:t>
      </w:r>
    </w:p>
    <w:p>
      <w:pPr>
        <w:spacing w:line="240" w:lineRule="auto" w:before="10"/>
        <w:rPr>
          <w:rFonts w:ascii="宋体" w:hAnsi="宋体" w:cs="宋体" w:eastAsia="宋体" w:hint="default"/>
          <w:sz w:val="14"/>
          <w:szCs w:val="14"/>
        </w:rPr>
      </w:pPr>
    </w:p>
    <w:p>
      <w:pPr>
        <w:pStyle w:val="BodyText"/>
        <w:spacing w:line="240" w:lineRule="auto"/>
        <w:ind w:left="154" w:right="0"/>
        <w:jc w:val="left"/>
      </w:pPr>
      <w:r>
        <w:rPr/>
        <w:t>延长公司谈判期限，或在上述 </w:t>
      </w:r>
      <w:r>
        <w:rPr>
          <w:rFonts w:ascii="宋体" w:hAnsi="宋体" w:cs="宋体" w:eastAsia="宋体" w:hint="default"/>
        </w:rPr>
        <w:t>180 </w:t>
      </w:r>
      <w:r>
        <w:rPr/>
        <w:t>日的期限内双方书面批准终止谈判，则徐鹏、常馨应在上述 </w:t>
      </w:r>
      <w:r>
        <w:rPr>
          <w:rFonts w:ascii="宋体" w:hAnsi="宋体" w:cs="宋体" w:eastAsia="宋体" w:hint="default"/>
        </w:rPr>
        <w:t>180</w:t>
      </w:r>
      <w:r>
        <w:rPr>
          <w:rFonts w:ascii="宋体" w:hAnsi="宋体" w:cs="宋体" w:eastAsia="宋体" w:hint="default"/>
          <w:spacing w:val="-22"/>
        </w:rPr>
        <w:t> </w:t>
      </w:r>
      <w:r>
        <w:rPr/>
        <w:t>日期</w:t>
      </w:r>
    </w:p>
    <w:p>
      <w:pPr>
        <w:spacing w:line="240" w:lineRule="auto" w:before="10"/>
        <w:rPr>
          <w:rFonts w:ascii="宋体" w:hAnsi="宋体" w:cs="宋体" w:eastAsia="宋体" w:hint="default"/>
          <w:sz w:val="14"/>
          <w:szCs w:val="14"/>
        </w:rPr>
      </w:pPr>
    </w:p>
    <w:p>
      <w:pPr>
        <w:pStyle w:val="BodyText"/>
        <w:spacing w:line="240" w:lineRule="auto"/>
        <w:ind w:left="154" w:right="0"/>
        <w:jc w:val="left"/>
      </w:pPr>
      <w:r>
        <w:rPr>
          <w:spacing w:val="-3"/>
        </w:rPr>
        <w:t>限到期之日或双方书面批准终止谈判之日</w:t>
      </w:r>
      <w:r>
        <w:rPr>
          <w:rFonts w:ascii="宋体" w:hAnsi="宋体" w:cs="宋体" w:eastAsia="宋体" w:hint="default"/>
          <w:spacing w:val="-3"/>
        </w:rPr>
        <w:t>(</w:t>
      </w:r>
      <w:r>
        <w:rPr>
          <w:spacing w:val="-3"/>
        </w:rPr>
        <w:t>以较早时间为准</w:t>
      </w:r>
      <w:r>
        <w:rPr>
          <w:rFonts w:ascii="宋体" w:hAnsi="宋体" w:cs="宋体" w:eastAsia="宋体" w:hint="default"/>
          <w:spacing w:val="-3"/>
        </w:rPr>
        <w:t>)</w:t>
      </w:r>
      <w:r>
        <w:rPr>
          <w:spacing w:val="-3"/>
        </w:rPr>
        <w:t>，将上述 </w:t>
      </w:r>
      <w:r>
        <w:rPr>
          <w:rFonts w:ascii="宋体" w:hAnsi="宋体" w:cs="宋体" w:eastAsia="宋体" w:hint="default"/>
        </w:rPr>
        <w:t>500</w:t>
      </w:r>
      <w:r>
        <w:rPr>
          <w:rFonts w:ascii="宋体" w:hAnsi="宋体" w:cs="宋体" w:eastAsia="宋体" w:hint="default"/>
          <w:spacing w:val="-36"/>
        </w:rPr>
        <w:t> </w:t>
      </w:r>
      <w:r>
        <w:rPr/>
        <w:t>万元的排他费用退回至公司指定</w:t>
      </w:r>
    </w:p>
    <w:p>
      <w:pPr>
        <w:spacing w:line="240" w:lineRule="auto" w:before="11"/>
        <w:rPr>
          <w:rFonts w:ascii="宋体" w:hAnsi="宋体" w:cs="宋体" w:eastAsia="宋体" w:hint="default"/>
          <w:sz w:val="14"/>
          <w:szCs w:val="14"/>
        </w:rPr>
      </w:pPr>
    </w:p>
    <w:p>
      <w:pPr>
        <w:pStyle w:val="BodyText"/>
        <w:spacing w:line="240" w:lineRule="auto"/>
        <w:ind w:left="154" w:right="0"/>
        <w:jc w:val="left"/>
      </w:pPr>
      <w:r>
        <w:rPr/>
        <w:t>银行账户，每延迟 </w:t>
      </w:r>
      <w:r>
        <w:rPr>
          <w:rFonts w:ascii="宋体" w:hAnsi="宋体" w:cs="宋体" w:eastAsia="宋体" w:hint="default"/>
        </w:rPr>
        <w:t>1</w:t>
      </w:r>
      <w:r>
        <w:rPr>
          <w:rFonts w:ascii="宋体" w:hAnsi="宋体" w:cs="宋体" w:eastAsia="宋体" w:hint="default"/>
          <w:spacing w:val="-1"/>
        </w:rPr>
        <w:t> </w:t>
      </w:r>
      <w:r>
        <w:rPr/>
        <w:t>天，按千分之一的日利率支付罚息。</w:t>
      </w:r>
    </w:p>
    <w:p>
      <w:pPr>
        <w:spacing w:line="240" w:lineRule="auto" w:before="9"/>
        <w:rPr>
          <w:rFonts w:ascii="宋体" w:hAnsi="宋体" w:cs="宋体" w:eastAsia="宋体" w:hint="default"/>
          <w:sz w:val="17"/>
          <w:szCs w:val="17"/>
        </w:rPr>
      </w:pPr>
    </w:p>
    <w:p>
      <w:pPr>
        <w:pStyle w:val="BodyText"/>
        <w:spacing w:line="410" w:lineRule="auto"/>
        <w:ind w:left="154" w:right="1126" w:firstLine="420"/>
        <w:jc w:val="left"/>
      </w:pPr>
      <w:r>
        <w:rPr/>
        <w:t>截至</w:t>
      </w:r>
      <w:r>
        <w:rPr>
          <w:spacing w:val="-50"/>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t>日，公司已向益家互动支付排他费用</w:t>
      </w:r>
      <w:r>
        <w:rPr>
          <w:spacing w:val="-50"/>
        </w:rPr>
        <w:t> </w:t>
      </w:r>
      <w:r>
        <w:rPr>
          <w:rFonts w:ascii="宋体" w:hAnsi="宋体" w:cs="宋体" w:eastAsia="宋体" w:hint="default"/>
        </w:rPr>
        <w:t>500</w:t>
      </w:r>
      <w:r>
        <w:rPr>
          <w:rFonts w:ascii="宋体" w:hAnsi="宋体" w:cs="宋体" w:eastAsia="宋体" w:hint="default"/>
          <w:spacing w:val="-1"/>
        </w:rPr>
        <w:t> </w:t>
      </w:r>
      <w:r>
        <w:rPr/>
        <w:t>万元。截止本财务报表批准报出日， 公司与益家互动正在商讨相关投资事宜。</w:t>
      </w:r>
    </w:p>
    <w:p>
      <w:pPr>
        <w:pStyle w:val="BodyText"/>
        <w:spacing w:line="240" w:lineRule="auto" w:before="85"/>
        <w:ind w:left="574" w:right="0"/>
        <w:jc w:val="left"/>
      </w:pPr>
      <w:r>
        <w:rPr>
          <w:rFonts w:ascii="宋体" w:hAnsi="宋体" w:cs="宋体" w:eastAsia="宋体" w:hint="default"/>
        </w:rPr>
        <w:t>(3)</w:t>
      </w:r>
      <w:r>
        <w:rPr/>
        <w:t>异乡好居</w:t>
      </w:r>
    </w:p>
    <w:p>
      <w:pPr>
        <w:spacing w:line="240" w:lineRule="auto" w:before="9"/>
        <w:rPr>
          <w:rFonts w:ascii="宋体" w:hAnsi="宋体" w:cs="宋体" w:eastAsia="宋体" w:hint="default"/>
          <w:sz w:val="17"/>
          <w:szCs w:val="17"/>
        </w:rPr>
      </w:pPr>
    </w:p>
    <w:p>
      <w:pPr>
        <w:pStyle w:val="BodyText"/>
        <w:spacing w:line="408" w:lineRule="auto"/>
        <w:ind w:right="0" w:firstLine="420"/>
        <w:jc w:val="left"/>
      </w:pPr>
      <w:r>
        <w:rPr>
          <w:rFonts w:ascii="宋体" w:hAnsi="宋体" w:cs="宋体" w:eastAsia="宋体" w:hint="default"/>
        </w:rPr>
        <w:t>2015</w:t>
      </w:r>
      <w:r>
        <w:rPr>
          <w:rFonts w:ascii="宋体" w:hAnsi="宋体" w:cs="宋体" w:eastAsia="宋体" w:hint="default"/>
          <w:spacing w:val="-46"/>
        </w:rPr>
        <w:t> </w:t>
      </w:r>
      <w:r>
        <w:rPr/>
        <w:t>年</w:t>
      </w:r>
      <w:r>
        <w:rPr>
          <w:spacing w:val="-49"/>
        </w:rPr>
        <w:t> </w:t>
      </w:r>
      <w:r>
        <w:rPr>
          <w:rFonts w:ascii="宋体" w:hAnsi="宋体" w:cs="宋体" w:eastAsia="宋体" w:hint="default"/>
        </w:rPr>
        <w:t>7</w:t>
      </w:r>
      <w:r>
        <w:rPr>
          <w:rFonts w:ascii="宋体" w:hAnsi="宋体" w:cs="宋体" w:eastAsia="宋体" w:hint="default"/>
          <w:spacing w:val="-47"/>
        </w:rPr>
        <w:t> </w:t>
      </w:r>
      <w:r>
        <w:rPr/>
        <w:t>月</w:t>
      </w:r>
      <w:r>
        <w:rPr>
          <w:spacing w:val="-49"/>
        </w:rPr>
        <w:t> </w:t>
      </w:r>
      <w:r>
        <w:rPr>
          <w:rFonts w:ascii="宋体" w:hAnsi="宋体" w:cs="宋体" w:eastAsia="宋体" w:hint="default"/>
        </w:rPr>
        <w:t>17</w:t>
      </w:r>
      <w:r>
        <w:rPr>
          <w:rFonts w:ascii="宋体" w:hAnsi="宋体" w:cs="宋体" w:eastAsia="宋体" w:hint="default"/>
          <w:spacing w:val="-47"/>
        </w:rPr>
        <w:t> </w:t>
      </w:r>
      <w:r>
        <w:rPr/>
        <w:t>日，本公司、北京东方卓永投资管理有限公司、北京众信国际旅行社股份有限公司、 天津万象好居网络科技合伙企业</w:t>
      </w:r>
      <w:r>
        <w:rPr>
          <w:rFonts w:ascii="宋体" w:hAnsi="宋体" w:cs="宋体" w:eastAsia="宋体" w:hint="default"/>
        </w:rPr>
        <w:t>(</w:t>
      </w:r>
      <w:r>
        <w:rPr/>
        <w:t>有限合伙</w:t>
      </w:r>
      <w:r>
        <w:rPr>
          <w:rFonts w:ascii="宋体" w:hAnsi="宋体" w:cs="宋体" w:eastAsia="宋体" w:hint="default"/>
        </w:rPr>
        <w:t>)</w:t>
      </w:r>
      <w:r>
        <w:rPr/>
        <w:t>与自然人印建坤、西藏优投金鼎创业投资中心</w:t>
      </w:r>
      <w:r>
        <w:rPr>
          <w:rFonts w:ascii="宋体" w:hAnsi="宋体" w:cs="宋体" w:eastAsia="宋体" w:hint="default"/>
        </w:rPr>
        <w:t>(</w:t>
      </w:r>
      <w:r>
        <w:rPr/>
        <w:t>有限合伙</w:t>
      </w:r>
      <w:r>
        <w:rPr>
          <w:rFonts w:ascii="宋体" w:hAnsi="宋体" w:cs="宋体" w:eastAsia="宋体" w:hint="default"/>
        </w:rPr>
        <w:t>)</w:t>
      </w:r>
      <w:r>
        <w:rPr/>
        <w:t>、天</w:t>
      </w:r>
      <w:r>
        <w:rPr>
          <w:spacing w:val="-10"/>
        </w:rPr>
        <w:t> </w:t>
      </w:r>
      <w:r>
        <w:rPr/>
        <w:t>津兄弟好居网络科技合伙企业</w:t>
      </w:r>
      <w:r>
        <w:rPr>
          <w:rFonts w:ascii="宋体" w:hAnsi="宋体" w:cs="宋体" w:eastAsia="宋体" w:hint="default"/>
        </w:rPr>
        <w:t>(</w:t>
      </w:r>
      <w:r>
        <w:rPr/>
        <w:t>有限合伙</w:t>
      </w:r>
      <w:r>
        <w:rPr>
          <w:rFonts w:ascii="宋体" w:hAnsi="宋体" w:cs="宋体" w:eastAsia="宋体" w:hint="default"/>
        </w:rPr>
        <w:t>)</w:t>
      </w:r>
      <w:r>
        <w:rPr/>
        <w:t>及标的公司天津异乡好居网络科技有限公司</w:t>
      </w:r>
      <w:r>
        <w:rPr>
          <w:rFonts w:ascii="宋体" w:hAnsi="宋体" w:cs="宋体" w:eastAsia="宋体" w:hint="default"/>
        </w:rPr>
        <w:t>(</w:t>
      </w:r>
      <w:r>
        <w:rPr/>
        <w:t>以下简称异乡好居</w:t>
      </w:r>
      <w:r>
        <w:rPr>
          <w:rFonts w:ascii="宋体" w:hAnsi="宋体" w:cs="宋体" w:eastAsia="宋体" w:hint="default"/>
        </w:rPr>
        <w:t>)</w:t>
      </w:r>
      <w:r>
        <w:rPr>
          <w:rFonts w:ascii="宋体" w:hAnsi="宋体" w:cs="宋体" w:eastAsia="宋体" w:hint="default"/>
          <w:spacing w:val="-28"/>
        </w:rPr>
        <w:t> </w:t>
      </w:r>
      <w:r>
        <w:rPr/>
        <w:t>签署了《利欧集团股份有限公司、北京东方卓永投资管理有限公司、北京众信国际旅行社股份有限公司、 天津万象好居网络科技合伙企业</w:t>
      </w:r>
      <w:r>
        <w:rPr>
          <w:rFonts w:ascii="宋体" w:hAnsi="宋体" w:cs="宋体" w:eastAsia="宋体" w:hint="default"/>
        </w:rPr>
        <w:t>(</w:t>
      </w:r>
      <w:r>
        <w:rPr/>
        <w:t>有限合伙</w:t>
      </w:r>
      <w:r>
        <w:rPr>
          <w:rFonts w:ascii="宋体" w:hAnsi="宋体" w:cs="宋体" w:eastAsia="宋体" w:hint="default"/>
        </w:rPr>
        <w:t>)</w:t>
      </w:r>
      <w:r>
        <w:rPr/>
        <w:t>与印建坤、西藏优投金鼎创业投资中心</w:t>
      </w:r>
      <w:r>
        <w:rPr>
          <w:rFonts w:ascii="宋体" w:hAnsi="宋体" w:cs="宋体" w:eastAsia="宋体" w:hint="default"/>
        </w:rPr>
        <w:t>(</w:t>
      </w:r>
      <w:r>
        <w:rPr/>
        <w:t>有限合伙</w:t>
      </w:r>
      <w:r>
        <w:rPr>
          <w:rFonts w:ascii="宋体" w:hAnsi="宋体" w:cs="宋体" w:eastAsia="宋体" w:hint="default"/>
        </w:rPr>
        <w:t>)</w:t>
      </w:r>
      <w:r>
        <w:rPr/>
        <w:t>、天津兄弟 好居网络科技合伙企业</w:t>
      </w:r>
      <w:r>
        <w:rPr>
          <w:rFonts w:ascii="宋体" w:hAnsi="宋体" w:cs="宋体" w:eastAsia="宋体" w:hint="default"/>
        </w:rPr>
        <w:t>(</w:t>
      </w:r>
      <w:r>
        <w:rPr/>
        <w:t>有限合伙</w:t>
      </w:r>
      <w:r>
        <w:rPr>
          <w:rFonts w:ascii="宋体" w:hAnsi="宋体" w:cs="宋体" w:eastAsia="宋体" w:hint="default"/>
        </w:rPr>
        <w:t>)</w:t>
      </w:r>
      <w:r>
        <w:rPr/>
        <w:t>关于天津异乡好居网络科技有限公司之增资协议》</w:t>
      </w:r>
      <w:r>
        <w:rPr>
          <w:rFonts w:ascii="宋体" w:hAnsi="宋体" w:cs="宋体" w:eastAsia="宋体" w:hint="default"/>
        </w:rPr>
        <w:t>(</w:t>
      </w:r>
      <w:r>
        <w:rPr/>
        <w:t>以下简称增资协议</w:t>
      </w:r>
      <w:r>
        <w:rPr>
          <w:rFonts w:ascii="宋体" w:hAnsi="宋体" w:cs="宋体" w:eastAsia="宋体" w:hint="default"/>
        </w:rPr>
        <w:t>) </w:t>
      </w:r>
      <w:r>
        <w:rPr/>
        <w:t>和《利欧集团股份有限公司、北京东方卓永投资管理有限公司、北京众信国际旅行社股份有限公司、天津 万象好居网络科技合伙企业</w:t>
      </w:r>
      <w:r>
        <w:rPr>
          <w:rFonts w:ascii="宋体" w:hAnsi="宋体" w:cs="宋体" w:eastAsia="宋体" w:hint="default"/>
        </w:rPr>
        <w:t>(</w:t>
      </w:r>
      <w:r>
        <w:rPr/>
        <w:t>有限合伙</w:t>
      </w:r>
      <w:r>
        <w:rPr>
          <w:rFonts w:ascii="宋体" w:hAnsi="宋体" w:cs="宋体" w:eastAsia="宋体" w:hint="default"/>
        </w:rPr>
        <w:t>)</w:t>
      </w:r>
      <w:r>
        <w:rPr/>
        <w:t>与印建坤、西藏优投金鼎创业投资中心</w:t>
      </w:r>
      <w:r>
        <w:rPr>
          <w:rFonts w:ascii="宋体" w:hAnsi="宋体" w:cs="宋体" w:eastAsia="宋体" w:hint="default"/>
        </w:rPr>
        <w:t>(</w:t>
      </w:r>
      <w:r>
        <w:rPr/>
        <w:t>有限合伙</w:t>
      </w:r>
      <w:r>
        <w:rPr>
          <w:rFonts w:ascii="宋体" w:hAnsi="宋体" w:cs="宋体" w:eastAsia="宋体" w:hint="default"/>
        </w:rPr>
        <w:t>)</w:t>
      </w:r>
      <w:r>
        <w:rPr/>
        <w:t>、天津兄弟好居 网络科技合伙企业</w:t>
      </w:r>
      <w:r>
        <w:rPr>
          <w:rFonts w:ascii="宋体" w:hAnsi="宋体" w:cs="宋体" w:eastAsia="宋体" w:hint="default"/>
        </w:rPr>
        <w:t>(</w:t>
      </w:r>
      <w:r>
        <w:rPr/>
        <w:t>有限合伙</w:t>
      </w:r>
      <w:r>
        <w:rPr>
          <w:rFonts w:ascii="宋体" w:hAnsi="宋体" w:cs="宋体" w:eastAsia="宋体" w:hint="default"/>
        </w:rPr>
        <w:t>)</w:t>
      </w:r>
      <w:r>
        <w:rPr/>
        <w:t>关于天津异乡好居网络科技有限公司之股东协议》</w:t>
      </w:r>
      <w:r>
        <w:rPr>
          <w:rFonts w:ascii="宋体" w:hAnsi="宋体" w:cs="宋体" w:eastAsia="宋体" w:hint="default"/>
        </w:rPr>
        <w:t>(</w:t>
      </w:r>
      <w:r>
        <w:rPr/>
        <w:t>以下简称股东协议</w:t>
      </w:r>
      <w:r>
        <w:rPr>
          <w:rFonts w:ascii="宋体" w:hAnsi="宋体" w:cs="宋体" w:eastAsia="宋体" w:hint="default"/>
        </w:rPr>
        <w:t>)</w:t>
      </w:r>
      <w:r>
        <w:rPr/>
        <w:t>，根</w:t>
      </w:r>
      <w:r>
        <w:rPr>
          <w:spacing w:val="-10"/>
        </w:rPr>
        <w:t> </w:t>
      </w:r>
      <w:r>
        <w:rPr/>
        <w:t>据增资协议和股东协议的相关约定，本公司以自有资金人民币</w:t>
      </w:r>
      <w:r>
        <w:rPr>
          <w:spacing w:val="-52"/>
        </w:rPr>
        <w:t> </w:t>
      </w:r>
      <w:r>
        <w:rPr>
          <w:rFonts w:ascii="宋体" w:hAnsi="宋体" w:cs="宋体" w:eastAsia="宋体" w:hint="default"/>
        </w:rPr>
        <w:t>1,500</w:t>
      </w:r>
      <w:r>
        <w:rPr>
          <w:rFonts w:ascii="宋体" w:hAnsi="宋体" w:cs="宋体" w:eastAsia="宋体" w:hint="default"/>
          <w:spacing w:val="-53"/>
        </w:rPr>
        <w:t> </w:t>
      </w:r>
      <w:r>
        <w:rPr/>
        <w:t>万元增资异乡好居。本协议签署前，</w:t>
      </w:r>
    </w:p>
    <w:p>
      <w:pPr>
        <w:pStyle w:val="BodyText"/>
        <w:spacing w:line="240" w:lineRule="auto" w:before="46"/>
        <w:ind w:right="0"/>
        <w:jc w:val="left"/>
        <w:rPr>
          <w:rFonts w:ascii="宋体" w:hAnsi="宋体" w:cs="宋体" w:eastAsia="宋体" w:hint="default"/>
        </w:rPr>
      </w:pPr>
      <w:r>
        <w:rPr/>
        <w:t>公司未持有异乡好居股权；上述增资完成后，本公司共持有异乡好居</w:t>
      </w:r>
      <w:r>
        <w:rPr>
          <w:spacing w:val="-59"/>
        </w:rPr>
        <w:t> </w:t>
      </w:r>
      <w:r>
        <w:rPr>
          <w:rFonts w:ascii="宋体" w:hAnsi="宋体" w:cs="宋体" w:eastAsia="宋体" w:hint="default"/>
        </w:rPr>
        <w:t>10%</w:t>
      </w:r>
      <w:r>
        <w:rPr/>
        <w:t>的股权。上述事项已于</w:t>
      </w:r>
      <w:r>
        <w:rPr>
          <w:spacing w:val="-59"/>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p>
    <w:p>
      <w:pPr>
        <w:spacing w:line="240" w:lineRule="auto" w:before="10"/>
        <w:rPr>
          <w:rFonts w:ascii="宋体" w:hAnsi="宋体" w:cs="宋体" w:eastAsia="宋体" w:hint="default"/>
          <w:sz w:val="14"/>
          <w:szCs w:val="14"/>
        </w:rPr>
      </w:pPr>
    </w:p>
    <w:p>
      <w:pPr>
        <w:pStyle w:val="BodyText"/>
        <w:spacing w:line="410" w:lineRule="auto"/>
        <w:ind w:right="1118"/>
        <w:jc w:val="left"/>
      </w:pPr>
      <w:r>
        <w:rPr/>
        <w:t>月</w:t>
      </w:r>
      <w:r>
        <w:rPr>
          <w:spacing w:val="-65"/>
        </w:rPr>
        <w:t> </w:t>
      </w:r>
      <w:r>
        <w:rPr>
          <w:rFonts w:ascii="宋体" w:hAnsi="宋体" w:cs="宋体" w:eastAsia="宋体" w:hint="default"/>
        </w:rPr>
        <w:t>22</w:t>
      </w:r>
      <w:r>
        <w:rPr>
          <w:rFonts w:ascii="宋体" w:hAnsi="宋体" w:cs="宋体" w:eastAsia="宋体" w:hint="default"/>
          <w:spacing w:val="-65"/>
        </w:rPr>
        <w:t> </w:t>
      </w:r>
      <w:r>
        <w:rPr/>
        <w:t>日经公司董事长王相荣批准通过</w:t>
      </w:r>
      <w:r>
        <w:rPr>
          <w:rFonts w:ascii="宋体" w:hAnsi="宋体" w:cs="宋体" w:eastAsia="宋体" w:hint="default"/>
        </w:rPr>
        <w:t>(</w:t>
      </w:r>
      <w:r>
        <w:rPr/>
        <w:t>本次交易在公司董事长决策权限内，无需提交公司董事会、股东大 会审议</w:t>
      </w:r>
      <w:r>
        <w:rPr>
          <w:rFonts w:ascii="宋体" w:hAnsi="宋体" w:cs="宋体" w:eastAsia="宋体" w:hint="default"/>
        </w:rPr>
        <w:t>)</w:t>
      </w:r>
      <w:r>
        <w:rPr/>
        <w:t>。</w:t>
      </w:r>
    </w:p>
    <w:p>
      <w:pPr>
        <w:pStyle w:val="BodyText"/>
        <w:spacing w:line="444" w:lineRule="auto" w:before="83"/>
        <w:ind w:left="574" w:right="4508"/>
        <w:jc w:val="left"/>
      </w:pP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月，公司已向异乡好居支付上述投资款</w:t>
      </w:r>
      <w:r>
        <w:rPr>
          <w:spacing w:val="-53"/>
        </w:rPr>
        <w:t> </w:t>
      </w:r>
      <w:r>
        <w:rPr>
          <w:rFonts w:ascii="宋体" w:hAnsi="宋体" w:cs="宋体" w:eastAsia="宋体" w:hint="default"/>
        </w:rPr>
        <w:t>1,500</w:t>
      </w:r>
      <w:r>
        <w:rPr>
          <w:rFonts w:ascii="宋体" w:hAnsi="宋体" w:cs="宋体" w:eastAsia="宋体" w:hint="default"/>
          <w:spacing w:val="-53"/>
        </w:rPr>
        <w:t> </w:t>
      </w:r>
      <w:r>
        <w:rPr/>
        <w:t>万元。 </w:t>
      </w:r>
      <w:r>
        <w:rPr>
          <w:rFonts w:ascii="宋体" w:hAnsi="宋体" w:cs="宋体" w:eastAsia="宋体" w:hint="default"/>
        </w:rPr>
        <w:t>(4)</w:t>
      </w:r>
      <w:r>
        <w:rPr/>
        <w:t>上海亿嘉</w:t>
      </w:r>
    </w:p>
    <w:p>
      <w:pPr>
        <w:pStyle w:val="BodyText"/>
        <w:spacing w:line="408" w:lineRule="auto" w:before="53"/>
        <w:ind w:right="0" w:firstLine="420"/>
        <w:jc w:val="left"/>
      </w:pPr>
      <w:r>
        <w:rPr>
          <w:rFonts w:ascii="宋体" w:hAnsi="宋体" w:cs="宋体" w:eastAsia="宋体" w:hint="default"/>
        </w:rPr>
        <w:t>2015</w:t>
      </w:r>
      <w:r>
        <w:rPr>
          <w:rFonts w:ascii="宋体" w:hAnsi="宋体" w:cs="宋体" w:eastAsia="宋体" w:hint="default"/>
          <w:spacing w:val="-48"/>
        </w:rPr>
        <w:t> </w:t>
      </w:r>
      <w:r>
        <w:rPr/>
        <w:t>年</w:t>
      </w:r>
      <w:r>
        <w:rPr>
          <w:spacing w:val="-49"/>
        </w:rPr>
        <w:t> </w:t>
      </w:r>
      <w:r>
        <w:rPr>
          <w:rFonts w:ascii="宋体" w:hAnsi="宋体" w:cs="宋体" w:eastAsia="宋体" w:hint="default"/>
        </w:rPr>
        <w:t>10</w:t>
      </w:r>
      <w:r>
        <w:rPr>
          <w:rFonts w:ascii="宋体" w:hAnsi="宋体" w:cs="宋体" w:eastAsia="宋体" w:hint="default"/>
          <w:spacing w:val="-49"/>
        </w:rPr>
        <w:t> </w:t>
      </w:r>
      <w:r>
        <w:rPr/>
        <w:t>月</w:t>
      </w:r>
      <w:r>
        <w:rPr>
          <w:spacing w:val="-49"/>
        </w:rPr>
        <w:t> </w:t>
      </w:r>
      <w:r>
        <w:rPr>
          <w:rFonts w:ascii="宋体" w:hAnsi="宋体" w:cs="宋体" w:eastAsia="宋体" w:hint="default"/>
        </w:rPr>
        <w:t>20</w:t>
      </w:r>
      <w:r>
        <w:rPr>
          <w:rFonts w:ascii="宋体" w:hAnsi="宋体" w:cs="宋体" w:eastAsia="宋体" w:hint="default"/>
          <w:spacing w:val="-48"/>
        </w:rPr>
        <w:t> </w:t>
      </w:r>
      <w:r>
        <w:rPr>
          <w:spacing w:val="-3"/>
        </w:rPr>
        <w:t>日，本公司、上海旌灏投资管理有限公司与御胜国际贸易</w:t>
      </w:r>
      <w:r>
        <w:rPr>
          <w:rFonts w:ascii="宋体" w:hAnsi="宋体" w:cs="宋体" w:eastAsia="宋体" w:hint="default"/>
          <w:spacing w:val="-3"/>
        </w:rPr>
        <w:t>(</w:t>
      </w:r>
      <w:r>
        <w:rPr>
          <w:spacing w:val="-3"/>
        </w:rPr>
        <w:t>上海</w:t>
      </w:r>
      <w:r>
        <w:rPr>
          <w:rFonts w:ascii="宋体" w:hAnsi="宋体" w:cs="宋体" w:eastAsia="宋体" w:hint="default"/>
          <w:spacing w:val="-3"/>
        </w:rPr>
        <w:t>)</w:t>
      </w:r>
      <w:r>
        <w:rPr>
          <w:spacing w:val="-3"/>
        </w:rPr>
        <w:t>有限公司、上海汇仕</w:t>
      </w:r>
      <w:r>
        <w:rPr/>
        <w:t> 资产管理有限公司、上海国灏创业投资合伙企业</w:t>
      </w:r>
      <w:r>
        <w:rPr>
          <w:rFonts w:ascii="宋体" w:hAnsi="宋体" w:cs="宋体" w:eastAsia="宋体" w:hint="default"/>
        </w:rPr>
        <w:t>(</w:t>
      </w:r>
      <w:r>
        <w:rPr/>
        <w:t>有限合伙</w:t>
      </w:r>
      <w:r>
        <w:rPr>
          <w:rFonts w:ascii="宋体" w:hAnsi="宋体" w:cs="宋体" w:eastAsia="宋体" w:hint="default"/>
        </w:rPr>
        <w:t>)</w:t>
      </w:r>
      <w:r>
        <w:rPr/>
        <w:t>、自然人李天琦、张金田、江伟强、王德斌及 标的公司上海亿嘉轮网络科技有限公司</w:t>
      </w:r>
      <w:r>
        <w:rPr>
          <w:rFonts w:ascii="宋体" w:hAnsi="宋体" w:cs="宋体" w:eastAsia="宋体" w:hint="default"/>
        </w:rPr>
        <w:t>(</w:t>
      </w:r>
      <w:r>
        <w:rPr/>
        <w:t>以下简称上海亿嘉</w:t>
      </w:r>
      <w:r>
        <w:rPr>
          <w:rFonts w:ascii="宋体" w:hAnsi="宋体" w:cs="宋体" w:eastAsia="宋体" w:hint="default"/>
        </w:rPr>
        <w:t>)</w:t>
      </w:r>
      <w:r>
        <w:rPr/>
        <w:t>签署了《利欧集团股份有限公司、上海旌灏投 </w:t>
      </w:r>
      <w:r>
        <w:rPr>
          <w:spacing w:val="-3"/>
        </w:rPr>
        <w:t>资管理有限公司与李天琦、张金田、御胜国际贸易</w:t>
      </w:r>
      <w:r>
        <w:rPr>
          <w:rFonts w:ascii="宋体" w:hAnsi="宋体" w:cs="宋体" w:eastAsia="宋体" w:hint="default"/>
          <w:spacing w:val="-3"/>
        </w:rPr>
        <w:t>(</w:t>
      </w:r>
      <w:r>
        <w:rPr>
          <w:spacing w:val="-3"/>
        </w:rPr>
        <w:t>上海</w:t>
      </w:r>
      <w:r>
        <w:rPr>
          <w:rFonts w:ascii="宋体" w:hAnsi="宋体" w:cs="宋体" w:eastAsia="宋体" w:hint="default"/>
          <w:spacing w:val="-3"/>
        </w:rPr>
        <w:t>)</w:t>
      </w:r>
      <w:r>
        <w:rPr>
          <w:spacing w:val="-3"/>
        </w:rPr>
        <w:t>有限公司、江伟强、上海汇仕资产管理有限公司、</w:t>
      </w:r>
      <w:r>
        <w:rPr>
          <w:spacing w:val="-92"/>
        </w:rPr>
        <w:t> </w:t>
      </w:r>
      <w:r>
        <w:rPr>
          <w:spacing w:val="-92"/>
        </w:rPr>
      </w:r>
      <w:r>
        <w:rPr/>
        <w:t>上海国灏创业投资合伙企业</w:t>
      </w:r>
      <w:r>
        <w:rPr>
          <w:rFonts w:ascii="宋体" w:hAnsi="宋体" w:cs="宋体" w:eastAsia="宋体" w:hint="default"/>
        </w:rPr>
        <w:t>(</w:t>
      </w:r>
      <w:r>
        <w:rPr/>
        <w:t>有限合伙</w:t>
      </w:r>
      <w:r>
        <w:rPr>
          <w:rFonts w:ascii="宋体" w:hAnsi="宋体" w:cs="宋体" w:eastAsia="宋体" w:hint="default"/>
        </w:rPr>
        <w:t>)</w:t>
      </w:r>
      <w:r>
        <w:rPr/>
        <w:t>、王德斌关于上海亿嘉轮网络科技有限公司之增资协议》</w:t>
      </w:r>
      <w:r>
        <w:rPr>
          <w:rFonts w:ascii="宋体" w:hAnsi="宋体" w:cs="宋体" w:eastAsia="宋体" w:hint="default"/>
        </w:rPr>
        <w:t>(</w:t>
      </w:r>
      <w:r>
        <w:rPr/>
        <w:t>以下简</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154" w:right="0"/>
        <w:jc w:val="left"/>
      </w:pPr>
      <w:r>
        <w:rPr/>
        <w:t>称增资协议</w:t>
      </w:r>
      <w:r>
        <w:rPr>
          <w:rFonts w:ascii="宋体" w:hAnsi="宋体" w:cs="宋体" w:eastAsia="宋体" w:hint="default"/>
        </w:rPr>
        <w:t>)</w:t>
      </w:r>
      <w:r>
        <w:rPr/>
        <w:t>。根据增资协议的相关约定，本公司以自有资金人民币 </w:t>
      </w:r>
      <w:r>
        <w:rPr>
          <w:rFonts w:ascii="宋体" w:hAnsi="宋体" w:cs="宋体" w:eastAsia="宋体" w:hint="default"/>
        </w:rPr>
        <w:t>900</w:t>
      </w:r>
      <w:r>
        <w:rPr>
          <w:rFonts w:ascii="宋体" w:hAnsi="宋体" w:cs="宋体" w:eastAsia="宋体" w:hint="default"/>
          <w:spacing w:val="-23"/>
        </w:rPr>
        <w:t> </w:t>
      </w:r>
      <w:r>
        <w:rPr/>
        <w:t>万元增资上海亿嘉。本协议签署</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前，公司未持有上海亿嘉股权；上述增资完成后，本公司共持有上海亿嘉 </w:t>
      </w:r>
      <w:r>
        <w:rPr>
          <w:rFonts w:ascii="宋体" w:hAnsi="宋体" w:cs="宋体" w:eastAsia="宋体" w:hint="default"/>
        </w:rPr>
        <w:t>5%</w:t>
      </w:r>
      <w:r>
        <w:rPr/>
        <w:t>的股权。上述事项已于</w:t>
      </w:r>
      <w:r>
        <w:rPr>
          <w:spacing w:val="-23"/>
        </w:rPr>
        <w:t> </w:t>
      </w:r>
      <w:r>
        <w:rPr>
          <w:rFonts w:ascii="宋体" w:hAnsi="宋体" w:cs="宋体" w:eastAsia="宋体" w:hint="default"/>
        </w:rPr>
        <w:t>2015</w:t>
      </w:r>
    </w:p>
    <w:p>
      <w:pPr>
        <w:spacing w:line="240" w:lineRule="auto" w:before="10"/>
        <w:rPr>
          <w:rFonts w:ascii="宋体" w:hAnsi="宋体" w:cs="宋体" w:eastAsia="宋体" w:hint="default"/>
          <w:sz w:val="14"/>
          <w:szCs w:val="14"/>
        </w:rPr>
      </w:pPr>
    </w:p>
    <w:p>
      <w:pPr>
        <w:pStyle w:val="BodyText"/>
        <w:spacing w:line="410" w:lineRule="auto"/>
        <w:ind w:right="1120"/>
        <w:jc w:val="left"/>
      </w:pPr>
      <w:r>
        <w:rPr/>
        <w:t>年</w:t>
      </w:r>
      <w:r>
        <w:rPr>
          <w:spacing w:val="-33"/>
        </w:rPr>
        <w:t> </w:t>
      </w:r>
      <w:r>
        <w:rPr>
          <w:rFonts w:ascii="宋体" w:hAnsi="宋体" w:cs="宋体" w:eastAsia="宋体" w:hint="default"/>
        </w:rPr>
        <w:t>10</w:t>
      </w:r>
      <w:r>
        <w:rPr>
          <w:rFonts w:ascii="宋体" w:hAnsi="宋体" w:cs="宋体" w:eastAsia="宋体" w:hint="default"/>
          <w:spacing w:val="-32"/>
        </w:rPr>
        <w:t> </w:t>
      </w:r>
      <w:r>
        <w:rPr/>
        <w:t>月</w:t>
      </w:r>
      <w:r>
        <w:rPr>
          <w:spacing w:val="-33"/>
        </w:rPr>
        <w:t> </w:t>
      </w:r>
      <w:r>
        <w:rPr>
          <w:rFonts w:ascii="宋体" w:hAnsi="宋体" w:cs="宋体" w:eastAsia="宋体" w:hint="default"/>
        </w:rPr>
        <w:t>30</w:t>
      </w:r>
      <w:r>
        <w:rPr>
          <w:rFonts w:ascii="宋体" w:hAnsi="宋体" w:cs="宋体" w:eastAsia="宋体" w:hint="default"/>
          <w:spacing w:val="-34"/>
        </w:rPr>
        <w:t> </w:t>
      </w:r>
      <w:r>
        <w:rPr/>
        <w:t>日经公司董事长王相荣批准通过</w:t>
      </w:r>
      <w:r>
        <w:rPr>
          <w:rFonts w:ascii="宋体" w:hAnsi="宋体" w:cs="宋体" w:eastAsia="宋体" w:hint="default"/>
        </w:rPr>
        <w:t>(</w:t>
      </w:r>
      <w:r>
        <w:rPr/>
        <w:t>本次交易在公司董事长决策权限内，无需提交公司董事会、 股东大会审议</w:t>
      </w:r>
      <w:r>
        <w:rPr>
          <w:rFonts w:ascii="宋体" w:hAnsi="宋体" w:cs="宋体" w:eastAsia="宋体" w:hint="default"/>
        </w:rPr>
        <w:t>)</w:t>
      </w:r>
      <w:r>
        <w:rPr/>
        <w:t>。</w:t>
      </w:r>
    </w:p>
    <w:p>
      <w:pPr>
        <w:pStyle w:val="BodyText"/>
        <w:spacing w:line="240" w:lineRule="auto" w:before="83"/>
        <w:ind w:left="573" w:right="0"/>
        <w:jc w:val="left"/>
      </w:pP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月，公司已向上海亿嘉支付上述投资款</w:t>
      </w:r>
      <w:r>
        <w:rPr>
          <w:spacing w:val="-53"/>
        </w:rPr>
        <w:t> </w:t>
      </w:r>
      <w:r>
        <w:rPr>
          <w:rFonts w:ascii="宋体" w:hAnsi="宋体" w:cs="宋体" w:eastAsia="宋体" w:hint="default"/>
        </w:rPr>
        <w:t>900</w:t>
      </w:r>
      <w:r>
        <w:rPr>
          <w:rFonts w:ascii="宋体" w:hAnsi="宋体" w:cs="宋体" w:eastAsia="宋体" w:hint="default"/>
          <w:spacing w:val="-53"/>
        </w:rPr>
        <w:t> </w:t>
      </w:r>
      <w:r>
        <w:rPr/>
        <w:t>万元。</w:t>
      </w:r>
    </w:p>
    <w:p>
      <w:pPr>
        <w:spacing w:line="240" w:lineRule="auto" w:before="12"/>
        <w:rPr>
          <w:rFonts w:ascii="宋体" w:hAnsi="宋体" w:cs="宋体" w:eastAsia="宋体" w:hint="default"/>
          <w:sz w:val="17"/>
          <w:szCs w:val="17"/>
        </w:rPr>
      </w:pPr>
    </w:p>
    <w:p>
      <w:pPr>
        <w:pStyle w:val="BodyText"/>
        <w:spacing w:line="240" w:lineRule="auto"/>
        <w:ind w:left="573" w:right="0"/>
        <w:jc w:val="left"/>
      </w:pPr>
      <w:r>
        <w:rPr>
          <w:rFonts w:ascii="宋体" w:hAnsi="宋体" w:cs="宋体" w:eastAsia="宋体" w:hint="default"/>
        </w:rPr>
        <w:t>(5)</w:t>
      </w:r>
      <w:r>
        <w:rPr>
          <w:rFonts w:ascii="宋体" w:hAnsi="宋体" w:cs="宋体" w:eastAsia="宋体" w:hint="default"/>
          <w:spacing w:val="-1"/>
        </w:rPr>
        <w:t> </w:t>
      </w:r>
      <w:r>
        <w:rPr/>
        <w:t>热源网络</w:t>
      </w:r>
    </w:p>
    <w:p>
      <w:pPr>
        <w:spacing w:line="240" w:lineRule="auto" w:before="9"/>
        <w:rPr>
          <w:rFonts w:ascii="宋体" w:hAnsi="宋体" w:cs="宋体" w:eastAsia="宋体" w:hint="default"/>
          <w:sz w:val="17"/>
          <w:szCs w:val="17"/>
        </w:rPr>
      </w:pPr>
    </w:p>
    <w:p>
      <w:pPr>
        <w:pStyle w:val="BodyText"/>
        <w:spacing w:line="408" w:lineRule="auto"/>
        <w:ind w:right="1017" w:firstLine="420"/>
        <w:jc w:val="left"/>
      </w:pPr>
      <w:r>
        <w:rPr>
          <w:rFonts w:ascii="宋体" w:hAnsi="宋体" w:cs="宋体" w:eastAsia="宋体" w:hint="default"/>
        </w:rPr>
        <w:t>2015 </w:t>
      </w:r>
      <w:r>
        <w:rPr/>
        <w:t>年 </w:t>
      </w:r>
      <w:r>
        <w:rPr>
          <w:rFonts w:ascii="宋体" w:hAnsi="宋体" w:cs="宋体" w:eastAsia="宋体" w:hint="default"/>
        </w:rPr>
        <w:t>12 </w:t>
      </w:r>
      <w:r>
        <w:rPr/>
        <w:t>月 </w:t>
      </w:r>
      <w:r>
        <w:rPr>
          <w:rFonts w:ascii="宋体" w:hAnsi="宋体" w:cs="宋体" w:eastAsia="宋体" w:hint="default"/>
        </w:rPr>
        <w:t>8</w:t>
      </w:r>
      <w:r>
        <w:rPr>
          <w:rFonts w:ascii="宋体" w:hAnsi="宋体" w:cs="宋体" w:eastAsia="宋体" w:hint="default"/>
          <w:spacing w:val="-20"/>
        </w:rPr>
        <w:t> </w:t>
      </w:r>
      <w:r>
        <w:rPr>
          <w:spacing w:val="-3"/>
        </w:rPr>
        <w:t>日，公司与北京热源网络文化传媒有限公司</w:t>
      </w:r>
      <w:r>
        <w:rPr>
          <w:rFonts w:ascii="宋体" w:hAnsi="宋体" w:cs="宋体" w:eastAsia="宋体" w:hint="default"/>
          <w:spacing w:val="-3"/>
        </w:rPr>
        <w:t>(</w:t>
      </w:r>
      <w:r>
        <w:rPr>
          <w:spacing w:val="-3"/>
        </w:rPr>
        <w:t>以下简称热源网络</w:t>
      </w:r>
      <w:r>
        <w:rPr>
          <w:rFonts w:ascii="宋体" w:hAnsi="宋体" w:cs="宋体" w:eastAsia="宋体" w:hint="default"/>
          <w:spacing w:val="-3"/>
        </w:rPr>
        <w:t>)</w:t>
      </w:r>
      <w:r>
        <w:rPr>
          <w:spacing w:val="-3"/>
        </w:rPr>
        <w:t>、刘新成、林燕琴、</w:t>
      </w:r>
      <w:r>
        <w:rPr/>
        <w:t> 徐姝博、许鑫、邢云来、李嬴胤、北京聚力创新联合投资管理中心</w:t>
      </w:r>
      <w:r>
        <w:rPr>
          <w:rFonts w:ascii="宋体" w:hAnsi="宋体" w:cs="宋体" w:eastAsia="宋体" w:hint="default"/>
        </w:rPr>
        <w:t>(</w:t>
      </w:r>
      <w:r>
        <w:rPr/>
        <w:t>有限合伙</w:t>
      </w:r>
      <w:r>
        <w:rPr>
          <w:rFonts w:ascii="宋体" w:hAnsi="宋体" w:cs="宋体" w:eastAsia="宋体" w:hint="default"/>
        </w:rPr>
        <w:t>)</w:t>
      </w:r>
      <w:r>
        <w:rPr/>
        <w:t>签署《北京热源网络文化传 媒有限公司投资协议》，协议约定公司以自有资金 </w:t>
      </w:r>
      <w:r>
        <w:rPr>
          <w:rFonts w:ascii="宋体" w:hAnsi="宋体" w:cs="宋体" w:eastAsia="宋体" w:hint="default"/>
        </w:rPr>
        <w:t>4,200 </w:t>
      </w:r>
      <w:r>
        <w:rPr/>
        <w:t>万元增资热源网络，以自有资金 </w:t>
      </w:r>
      <w:r>
        <w:rPr>
          <w:rFonts w:ascii="宋体" w:hAnsi="宋体" w:cs="宋体" w:eastAsia="宋体" w:hint="default"/>
        </w:rPr>
        <w:t>4,200</w:t>
      </w:r>
      <w:r>
        <w:rPr>
          <w:rFonts w:ascii="宋体" w:hAnsi="宋体" w:cs="宋体" w:eastAsia="宋体" w:hint="default"/>
          <w:spacing w:val="-23"/>
        </w:rPr>
        <w:t> </w:t>
      </w:r>
      <w:r>
        <w:rPr/>
        <w:t>万元受 让刘新成、林燕琴、徐姝博、许鑫、邢云来、李嬴胤、北京聚力创新联合投资管理中心</w:t>
      </w:r>
      <w:r>
        <w:rPr>
          <w:rFonts w:ascii="宋体" w:hAnsi="宋体" w:cs="宋体" w:eastAsia="宋体" w:hint="default"/>
        </w:rPr>
        <w:t>(</w:t>
      </w:r>
      <w:r>
        <w:rPr/>
        <w:t>有限合伙</w:t>
      </w:r>
      <w:r>
        <w:rPr>
          <w:rFonts w:ascii="宋体" w:hAnsi="宋体" w:cs="宋体" w:eastAsia="宋体" w:hint="default"/>
        </w:rPr>
        <w:t>)</w:t>
      </w:r>
      <w:r>
        <w:rPr/>
        <w:t>所持有 的热源网络部分股权。本次投资前，公司未持有热源网络股权；上述增资及股权转让完成后，公司将共持 有热源网络</w:t>
      </w:r>
      <w:r>
        <w:rPr>
          <w:spacing w:val="-1"/>
        </w:rPr>
        <w:t> </w:t>
      </w:r>
      <w:r>
        <w:rPr>
          <w:rFonts w:ascii="宋体" w:hAnsi="宋体" w:cs="宋体" w:eastAsia="宋体" w:hint="default"/>
        </w:rPr>
        <w:t>20%</w:t>
      </w:r>
      <w:r>
        <w:rPr/>
        <w:t>的股权。</w:t>
      </w:r>
    </w:p>
    <w:p>
      <w:pPr>
        <w:pStyle w:val="BodyText"/>
        <w:spacing w:line="408" w:lineRule="auto" w:before="84"/>
        <w:ind w:right="1022" w:firstLine="420"/>
        <w:jc w:val="left"/>
      </w:pPr>
      <w:r>
        <w:rPr/>
        <w:t>上述原股东承诺热源网络 </w:t>
      </w:r>
      <w:r>
        <w:rPr>
          <w:rFonts w:ascii="宋体" w:hAnsi="宋体" w:cs="宋体" w:eastAsia="宋体" w:hint="default"/>
        </w:rPr>
        <w:t>2016 </w:t>
      </w:r>
      <w:r>
        <w:rPr/>
        <w:t>年、</w:t>
      </w:r>
      <w:r>
        <w:rPr>
          <w:rFonts w:ascii="宋体" w:hAnsi="宋体" w:cs="宋体" w:eastAsia="宋体" w:hint="default"/>
        </w:rPr>
        <w:t>2017</w:t>
      </w:r>
      <w:r>
        <w:rPr>
          <w:rFonts w:ascii="宋体" w:hAnsi="宋体" w:cs="宋体" w:eastAsia="宋体" w:hint="default"/>
          <w:spacing w:val="56"/>
        </w:rPr>
        <w:t> </w:t>
      </w:r>
      <w:r>
        <w:rPr/>
        <w:t>年</w:t>
      </w:r>
      <w:r>
        <w:rPr>
          <w:rFonts w:ascii="宋体" w:hAnsi="宋体" w:cs="宋体" w:eastAsia="宋体" w:hint="default"/>
        </w:rPr>
        <w:t>(</w:t>
      </w:r>
      <w:r>
        <w:rPr/>
        <w:t>以下简称业绩承诺期间</w:t>
      </w:r>
      <w:r>
        <w:rPr>
          <w:rFonts w:ascii="宋体" w:hAnsi="宋体" w:cs="宋体" w:eastAsia="宋体" w:hint="default"/>
        </w:rPr>
        <w:t>)</w:t>
      </w:r>
      <w:r>
        <w:rPr/>
        <w:t>实现的税后净利润应分别不低 于人民币</w:t>
      </w:r>
      <w:r>
        <w:rPr>
          <w:spacing w:val="-49"/>
        </w:rPr>
        <w:t> </w:t>
      </w:r>
      <w:r>
        <w:rPr>
          <w:rFonts w:ascii="宋体" w:hAnsi="宋体" w:cs="宋体" w:eastAsia="宋体" w:hint="default"/>
        </w:rPr>
        <w:t>3,000</w:t>
      </w:r>
      <w:r>
        <w:rPr>
          <w:rFonts w:ascii="宋体" w:hAnsi="宋体" w:cs="宋体" w:eastAsia="宋体" w:hint="default"/>
          <w:spacing w:val="-49"/>
        </w:rPr>
        <w:t> </w:t>
      </w:r>
      <w:r>
        <w:rPr>
          <w:spacing w:val="-12"/>
        </w:rPr>
        <w:t>万元、</w:t>
      </w:r>
      <w:r>
        <w:rPr>
          <w:rFonts w:ascii="宋体" w:hAnsi="宋体" w:cs="宋体" w:eastAsia="宋体" w:hint="default"/>
          <w:spacing w:val="-12"/>
        </w:rPr>
        <w:t>3,750</w:t>
      </w:r>
      <w:r>
        <w:rPr>
          <w:rFonts w:ascii="宋体" w:hAnsi="宋体" w:cs="宋体" w:eastAsia="宋体" w:hint="default"/>
          <w:spacing w:val="-49"/>
        </w:rPr>
        <w:t> </w:t>
      </w:r>
      <w:r>
        <w:rPr>
          <w:spacing w:val="-4"/>
        </w:rPr>
        <w:t>万元</w:t>
      </w:r>
      <w:r>
        <w:rPr>
          <w:rFonts w:ascii="宋体" w:hAnsi="宋体" w:cs="宋体" w:eastAsia="宋体" w:hint="default"/>
          <w:spacing w:val="-4"/>
        </w:rPr>
        <w:t>(</w:t>
      </w:r>
      <w:r>
        <w:rPr>
          <w:spacing w:val="-4"/>
        </w:rPr>
        <w:t>以下简称承诺净利润</w:t>
      </w:r>
      <w:r>
        <w:rPr>
          <w:rFonts w:ascii="宋体" w:hAnsi="宋体" w:cs="宋体" w:eastAsia="宋体" w:hint="default"/>
          <w:spacing w:val="-4"/>
        </w:rPr>
        <w:t>)</w:t>
      </w:r>
      <w:r>
        <w:rPr>
          <w:spacing w:val="-4"/>
        </w:rPr>
        <w:t>。于业绩承诺期间中的任一年的次年</w:t>
      </w:r>
      <w:r>
        <w:rPr>
          <w:spacing w:val="-49"/>
        </w:rPr>
        <w:t> </w:t>
      </w:r>
      <w:r>
        <w:rPr>
          <w:rFonts w:ascii="宋体" w:hAnsi="宋体" w:cs="宋体" w:eastAsia="宋体" w:hint="default"/>
        </w:rPr>
        <w:t>4</w:t>
      </w:r>
      <w:r>
        <w:rPr>
          <w:rFonts w:ascii="宋体" w:hAnsi="宋体" w:cs="宋体" w:eastAsia="宋体" w:hint="default"/>
          <w:spacing w:val="-49"/>
        </w:rPr>
        <w:t> </w:t>
      </w:r>
      <w:r>
        <w:rPr/>
        <w:t>月</w:t>
      </w:r>
      <w:r>
        <w:rPr>
          <w:spacing w:val="-51"/>
        </w:rPr>
        <w:t> </w:t>
      </w:r>
      <w:r>
        <w:rPr>
          <w:rFonts w:ascii="宋体" w:hAnsi="宋体" w:cs="宋体" w:eastAsia="宋体" w:hint="default"/>
          <w:spacing w:val="-1"/>
        </w:rPr>
        <w:t>30</w:t>
      </w:r>
      <w:r>
        <w:rPr>
          <w:rFonts w:ascii="宋体" w:hAnsi="宋体" w:cs="宋体" w:eastAsia="宋体" w:hint="default"/>
          <w:spacing w:val="-49"/>
        </w:rPr>
        <w:t> </w:t>
      </w:r>
      <w:r>
        <w:rPr/>
        <w:t>日前， 由公司指定的具有从事证券期货相关业务资格的会计师事务所根据中国会计准则对标的公司进行审计，确 定该年度热源网络实际净利润金额。如热源网络在业绩承诺期间中任一年度的期末实际净利润累计数未能 达到当年期末承诺净利润累计数，则原股东应按照如下方式计算的金额对公司予以现金补偿：</w:t>
      </w:r>
    </w:p>
    <w:p>
      <w:pPr>
        <w:pStyle w:val="BodyText"/>
        <w:spacing w:line="410" w:lineRule="auto" w:before="85"/>
        <w:ind w:left="154" w:right="0" w:firstLine="420"/>
        <w:jc w:val="left"/>
      </w:pPr>
      <w:r>
        <w:rPr/>
        <w:t>当年度应补偿金额</w:t>
      </w:r>
      <w:r>
        <w:rPr>
          <w:rFonts w:ascii="宋体" w:hAnsi="宋体" w:cs="宋体" w:eastAsia="宋体" w:hint="default"/>
        </w:rPr>
        <w:t>=</w:t>
      </w:r>
      <w:r>
        <w:rPr/>
        <w:t>（标的公司截至当期期末承诺净利润累计数－标的公司截至当期期末实际净利润 累计数）÷标的公司业绩承诺期间预测净利润数总和×本次投资总额</w:t>
      </w:r>
    </w:p>
    <w:p>
      <w:pPr>
        <w:pStyle w:val="BodyText"/>
        <w:spacing w:line="410" w:lineRule="auto" w:before="82"/>
        <w:ind w:left="154" w:right="1115" w:firstLine="420"/>
        <w:jc w:val="left"/>
      </w:pPr>
      <w:r>
        <w:rPr/>
        <w:t>上述现金补偿应于该年度热源网络审计报告出具后 </w:t>
      </w:r>
      <w:r>
        <w:rPr>
          <w:rFonts w:ascii="宋体" w:hAnsi="宋体" w:cs="宋体" w:eastAsia="宋体" w:hint="default"/>
        </w:rPr>
        <w:t>15</w:t>
      </w:r>
      <w:r>
        <w:rPr>
          <w:rFonts w:ascii="宋体" w:hAnsi="宋体" w:cs="宋体" w:eastAsia="宋体" w:hint="default"/>
          <w:spacing w:val="-23"/>
        </w:rPr>
        <w:t> </w:t>
      </w:r>
      <w:r>
        <w:rPr/>
        <w:t>日内由原股东支付给公司，各股东分别承担的 现金补偿金额应按原股东的持股比例进行分摊。原股东就上述补偿承担连带责任。</w:t>
      </w:r>
    </w:p>
    <w:p>
      <w:pPr>
        <w:pStyle w:val="BodyText"/>
        <w:spacing w:line="410" w:lineRule="auto" w:before="82"/>
        <w:ind w:left="154" w:right="0" w:firstLine="420"/>
        <w:jc w:val="left"/>
      </w:pPr>
      <w:r>
        <w:rPr>
          <w:spacing w:val="-1"/>
        </w:rPr>
        <w:t>上述协议所称“承诺净利润”均指标的公司合并报表口径下归属于母公司股东的净利润，以扣除非经</w:t>
      </w:r>
      <w:r>
        <w:rPr/>
        <w:t> 常性损益前后孰低者为准。</w:t>
      </w:r>
    </w:p>
    <w:p>
      <w:pPr>
        <w:pStyle w:val="BodyText"/>
        <w:spacing w:line="410" w:lineRule="auto" w:before="83"/>
        <w:ind w:left="154" w:right="1130" w:firstLine="420"/>
        <w:jc w:val="both"/>
      </w:pPr>
      <w:r>
        <w:rPr>
          <w:spacing w:val="-1"/>
        </w:rPr>
        <w:t>上述协议所称“实际净利润”均指经公司指定的具有从事证券期货相关业务资格的会计师事务所根据</w:t>
      </w:r>
      <w:r>
        <w:rPr/>
        <w:t> </w:t>
      </w:r>
      <w:r>
        <w:rPr>
          <w:spacing w:val="-1"/>
        </w:rPr>
        <w:t>中国会计准则对标的公司进行审计后确认的标的公司合并报表口径下归属于母公司股东的净利润，以扣除</w:t>
      </w:r>
      <w:r>
        <w:rPr>
          <w:spacing w:val="-80"/>
        </w:rPr>
        <w:t> </w:t>
      </w:r>
      <w:r>
        <w:rPr>
          <w:spacing w:val="-80"/>
        </w:rPr>
      </w:r>
      <w:r>
        <w:rPr/>
        <w:t>非经常性损益前后孰低者为准。</w:t>
      </w:r>
      <w:r>
        <w:rPr>
          <w:spacing w:val="-1"/>
        </w:rPr>
        <w:t> </w:t>
      </w:r>
      <w:r>
        <w:rPr/>
        <w:t>截至本财务报表批准报出日，公司尚未支付上述投资款。</w:t>
      </w:r>
    </w:p>
    <w:p>
      <w:pPr>
        <w:pStyle w:val="BodyText"/>
        <w:spacing w:line="240" w:lineRule="auto" w:before="84"/>
        <w:ind w:left="574" w:right="0"/>
        <w:jc w:val="left"/>
      </w:pPr>
      <w:r>
        <w:rPr>
          <w:rFonts w:ascii="宋体" w:hAnsi="宋体" w:cs="宋体" w:eastAsia="宋体" w:hint="default"/>
        </w:rPr>
        <w:t>6.</w:t>
      </w:r>
      <w:r>
        <w:rPr>
          <w:rFonts w:ascii="宋体" w:hAnsi="宋体" w:cs="宋体" w:eastAsia="宋体" w:hint="default"/>
          <w:spacing w:val="-1"/>
        </w:rPr>
        <w:t> </w:t>
      </w:r>
      <w:r>
        <w:rPr/>
        <w:t>子公司吸收合并事项</w:t>
      </w:r>
    </w:p>
    <w:p>
      <w:pPr>
        <w:spacing w:line="240" w:lineRule="auto" w:before="9"/>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1"/>
        </w:rPr>
        <w:t> </w:t>
      </w:r>
      <w:r>
        <w:rPr/>
        <w:t>月</w:t>
      </w:r>
      <w:r>
        <w:rPr>
          <w:spacing w:val="-50"/>
        </w:rPr>
        <w:t> </w:t>
      </w:r>
      <w:r>
        <w:rPr>
          <w:rFonts w:ascii="宋体" w:hAnsi="宋体" w:cs="宋体" w:eastAsia="宋体" w:hint="default"/>
        </w:rPr>
        <w:t>9</w:t>
      </w:r>
      <w:r>
        <w:rPr>
          <w:rFonts w:ascii="宋体" w:hAnsi="宋体" w:cs="宋体" w:eastAsia="宋体" w:hint="default"/>
          <w:spacing w:val="-49"/>
        </w:rPr>
        <w:t> </w:t>
      </w:r>
      <w:r>
        <w:rPr/>
        <w:t>日，经公司第四届董事会第十六次会议审议通过，子公司湖南天鹅拟以</w:t>
      </w:r>
      <w:r>
        <w:rPr>
          <w:spacing w:val="-49"/>
        </w:rPr>
        <w:t> </w:t>
      </w:r>
      <w:r>
        <w:rPr>
          <w:rFonts w:ascii="宋体" w:hAnsi="宋体" w:cs="宋体" w:eastAsia="宋体" w:hint="default"/>
        </w:rPr>
        <w:t>2015</w:t>
      </w:r>
      <w:r>
        <w:rPr>
          <w:rFonts w:ascii="宋体" w:hAnsi="宋体" w:cs="宋体" w:eastAsia="宋体" w:hint="default"/>
          <w:spacing w:val="-51"/>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p>
    <w:p>
      <w:pPr>
        <w:spacing w:line="240" w:lineRule="auto" w:before="10"/>
        <w:rPr>
          <w:rFonts w:ascii="宋体" w:hAnsi="宋体" w:cs="宋体" w:eastAsia="宋体" w:hint="default"/>
          <w:sz w:val="14"/>
          <w:szCs w:val="14"/>
        </w:rPr>
      </w:pPr>
    </w:p>
    <w:p>
      <w:pPr>
        <w:pStyle w:val="BodyText"/>
        <w:spacing w:line="240" w:lineRule="auto"/>
        <w:ind w:left="154" w:right="0"/>
        <w:jc w:val="left"/>
      </w:pPr>
      <w:r>
        <w:rPr>
          <w:rFonts w:ascii="宋体" w:hAnsi="宋体" w:cs="宋体" w:eastAsia="宋体" w:hint="default"/>
        </w:rPr>
        <w:t>31</w:t>
      </w:r>
      <w:r>
        <w:rPr>
          <w:rFonts w:ascii="宋体" w:hAnsi="宋体" w:cs="宋体" w:eastAsia="宋体" w:hint="default"/>
          <w:spacing w:val="-41"/>
        </w:rPr>
        <w:t> </w:t>
      </w:r>
      <w:r>
        <w:rPr>
          <w:spacing w:val="-2"/>
        </w:rPr>
        <w:t>日为基准日，吸收合并湖南利欧，合并完成后，湖南天鹅为存续公司，湖南利欧依法予以注销，其全部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10" w:lineRule="auto" w:before="35"/>
        <w:ind w:left="234" w:right="1133"/>
        <w:jc w:val="both"/>
      </w:pPr>
      <w:r>
        <w:rPr>
          <w:spacing w:val="-1"/>
        </w:rPr>
        <w:t>资产、债权、债务、人员和业务由湖南天鹅依法继承，合并基准日至本次合并的工商登记完成日期间产生</w:t>
      </w:r>
      <w:r>
        <w:rPr>
          <w:spacing w:val="-86"/>
        </w:rPr>
        <w:t> </w:t>
      </w:r>
      <w:r>
        <w:rPr>
          <w:spacing w:val="-86"/>
        </w:rPr>
      </w:r>
      <w:r>
        <w:rPr/>
        <w:t>的损益均由湖南天鹅承担或享有。</w:t>
      </w:r>
    </w:p>
    <w:p>
      <w:pPr>
        <w:pStyle w:val="BodyText"/>
        <w:spacing w:line="444" w:lineRule="auto" w:before="83"/>
        <w:ind w:left="654" w:right="4662"/>
        <w:jc w:val="left"/>
      </w:pPr>
      <w:r>
        <w:rPr/>
        <w:t>截至本财务报表批准报出日，上述吸收合并事项正在执行中。 </w:t>
      </w:r>
      <w:r>
        <w:rPr>
          <w:rFonts w:ascii="宋体" w:hAnsi="宋体" w:cs="宋体" w:eastAsia="宋体" w:hint="default"/>
        </w:rPr>
        <w:t>7.</w:t>
      </w:r>
      <w:r>
        <w:rPr/>
        <w:t>对浙江温岭农村合作银行增加投资事项</w:t>
      </w:r>
    </w:p>
    <w:p>
      <w:pPr>
        <w:pStyle w:val="BodyText"/>
        <w:spacing w:line="240" w:lineRule="auto" w:before="53"/>
        <w:ind w:left="654" w:right="0"/>
        <w:jc w:val="both"/>
      </w:pPr>
      <w:r>
        <w:rPr>
          <w:rFonts w:ascii="宋体" w:hAnsi="宋体" w:cs="宋体" w:eastAsia="宋体" w:hint="default"/>
        </w:rPr>
        <w:t>2015</w:t>
      </w:r>
      <w:r>
        <w:rPr>
          <w:rFonts w:ascii="宋体" w:hAnsi="宋体" w:cs="宋体" w:eastAsia="宋体" w:hint="default"/>
          <w:spacing w:val="-47"/>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t>月</w:t>
      </w:r>
      <w:r>
        <w:rPr>
          <w:spacing w:val="-49"/>
        </w:rPr>
        <w:t> </w:t>
      </w:r>
      <w:r>
        <w:rPr>
          <w:rFonts w:ascii="宋体" w:hAnsi="宋体" w:cs="宋体" w:eastAsia="宋体" w:hint="default"/>
        </w:rPr>
        <w:t>18</w:t>
      </w:r>
      <w:r>
        <w:rPr>
          <w:rFonts w:ascii="宋体" w:hAnsi="宋体" w:cs="宋体" w:eastAsia="宋体" w:hint="default"/>
          <w:spacing w:val="-47"/>
        </w:rPr>
        <w:t> </w:t>
      </w:r>
      <w:r>
        <w:rPr/>
        <w:t>日，公司与浙江温岭农村合作银行</w:t>
      </w:r>
      <w:r>
        <w:rPr>
          <w:rFonts w:ascii="宋体" w:hAnsi="宋体" w:cs="宋体" w:eastAsia="宋体" w:hint="default"/>
        </w:rPr>
        <w:t>(</w:t>
      </w:r>
      <w:r>
        <w:rPr/>
        <w:t>以下简称温岭农合行</w:t>
      </w:r>
      <w:r>
        <w:rPr>
          <w:rFonts w:ascii="宋体" w:hAnsi="宋体" w:cs="宋体" w:eastAsia="宋体" w:hint="default"/>
        </w:rPr>
        <w:t>)</w:t>
      </w:r>
      <w:r>
        <w:rPr/>
        <w:t>签订了《浙江温岭农村合作</w:t>
      </w:r>
    </w:p>
    <w:p>
      <w:pPr>
        <w:spacing w:line="240" w:lineRule="auto" w:before="10"/>
        <w:rPr>
          <w:rFonts w:ascii="宋体" w:hAnsi="宋体" w:cs="宋体" w:eastAsia="宋体" w:hint="default"/>
          <w:sz w:val="14"/>
          <w:szCs w:val="14"/>
        </w:rPr>
      </w:pPr>
    </w:p>
    <w:p>
      <w:pPr>
        <w:pStyle w:val="BodyText"/>
        <w:spacing w:line="240" w:lineRule="auto"/>
        <w:ind w:left="233" w:right="0"/>
        <w:jc w:val="both"/>
        <w:rPr>
          <w:rFonts w:ascii="宋体" w:hAnsi="宋体" w:cs="宋体" w:eastAsia="宋体" w:hint="default"/>
        </w:rPr>
      </w:pPr>
      <w:r>
        <w:rPr/>
        <w:t>银行股份认购协议书</w:t>
      </w:r>
      <w:r>
        <w:rPr>
          <w:spacing w:val="-95"/>
        </w:rPr>
        <w:t>》。</w:t>
      </w:r>
      <w:r>
        <w:rPr/>
        <w:t>根据协议约定公司拟参与温岭农合行的增资扩股</w:t>
      </w:r>
      <w:r>
        <w:rPr>
          <w:spacing w:val="-95"/>
        </w:rPr>
        <w:t>，</w:t>
      </w:r>
      <w:r>
        <w:rPr/>
        <w:t>以每股</w:t>
      </w:r>
      <w:r>
        <w:rPr>
          <w:spacing w:val="-52"/>
        </w:rPr>
        <w:t> </w:t>
      </w:r>
      <w:r>
        <w:rPr>
          <w:rFonts w:ascii="宋体" w:hAnsi="宋体" w:cs="宋体" w:eastAsia="宋体" w:hint="default"/>
        </w:rPr>
        <w:t>2.89</w:t>
      </w:r>
      <w:r>
        <w:rPr>
          <w:rFonts w:ascii="宋体" w:hAnsi="宋体" w:cs="宋体" w:eastAsia="宋体" w:hint="default"/>
          <w:spacing w:val="-51"/>
        </w:rPr>
        <w:t> </w:t>
      </w:r>
      <w:r>
        <w:rPr/>
        <w:t>元的价</w:t>
      </w:r>
      <w:r>
        <w:rPr>
          <w:spacing w:val="-2"/>
        </w:rPr>
        <w:t>格</w:t>
      </w:r>
      <w:r>
        <w:rPr/>
        <w:t>认购</w:t>
      </w:r>
      <w:r>
        <w:rPr>
          <w:spacing w:val="-53"/>
        </w:rPr>
        <w:t> </w:t>
      </w:r>
      <w:r>
        <w:rPr>
          <w:rFonts w:ascii="宋体" w:hAnsi="宋体" w:cs="宋体" w:eastAsia="宋体" w:hint="default"/>
        </w:rPr>
        <w:t>2,062</w:t>
      </w:r>
    </w:p>
    <w:p>
      <w:pPr>
        <w:spacing w:line="240" w:lineRule="auto" w:before="11"/>
        <w:rPr>
          <w:rFonts w:ascii="宋体" w:hAnsi="宋体" w:cs="宋体" w:eastAsia="宋体" w:hint="default"/>
          <w:sz w:val="14"/>
          <w:szCs w:val="14"/>
        </w:rPr>
      </w:pPr>
    </w:p>
    <w:p>
      <w:pPr>
        <w:pStyle w:val="BodyText"/>
        <w:spacing w:line="240" w:lineRule="auto"/>
        <w:ind w:left="234" w:right="0"/>
        <w:jc w:val="both"/>
      </w:pPr>
      <w:r>
        <w:rPr/>
        <w:t>万股，认购总金额为人民币</w:t>
      </w:r>
      <w:r>
        <w:rPr>
          <w:spacing w:val="-52"/>
        </w:rPr>
        <w:t> </w:t>
      </w:r>
      <w:r>
        <w:rPr>
          <w:rFonts w:ascii="宋体" w:hAnsi="宋体" w:cs="宋体" w:eastAsia="宋体" w:hint="default"/>
        </w:rPr>
        <w:t>5,959.18</w:t>
      </w:r>
      <w:r>
        <w:rPr>
          <w:rFonts w:ascii="宋体" w:hAnsi="宋体" w:cs="宋体" w:eastAsia="宋体" w:hint="default"/>
          <w:spacing w:val="-53"/>
        </w:rPr>
        <w:t> </w:t>
      </w:r>
      <w:r>
        <w:rPr/>
        <w:t>万元。</w:t>
      </w:r>
    </w:p>
    <w:p>
      <w:pPr>
        <w:spacing w:line="240" w:lineRule="auto" w:before="9"/>
        <w:rPr>
          <w:rFonts w:ascii="宋体" w:hAnsi="宋体" w:cs="宋体" w:eastAsia="宋体" w:hint="default"/>
          <w:sz w:val="17"/>
          <w:szCs w:val="17"/>
        </w:rPr>
      </w:pPr>
    </w:p>
    <w:p>
      <w:pPr>
        <w:pStyle w:val="BodyText"/>
        <w:spacing w:line="240" w:lineRule="auto"/>
        <w:ind w:left="654" w:right="0"/>
        <w:jc w:val="both"/>
      </w:pPr>
      <w:r>
        <w:rPr>
          <w:rFonts w:ascii="宋体" w:hAnsi="宋体" w:cs="宋体" w:eastAsia="宋体" w:hint="default"/>
        </w:rPr>
        <w:t>2015</w:t>
      </w:r>
      <w:r>
        <w:rPr>
          <w:rFonts w:ascii="宋体" w:hAnsi="宋体" w:cs="宋体" w:eastAsia="宋体" w:hint="default"/>
          <w:spacing w:val="-46"/>
        </w:rPr>
        <w:t> </w:t>
      </w:r>
      <w:r>
        <w:rPr/>
        <w:t>年</w:t>
      </w:r>
      <w:r>
        <w:rPr>
          <w:spacing w:val="-49"/>
        </w:rPr>
        <w:t> </w:t>
      </w:r>
      <w:r>
        <w:rPr>
          <w:rFonts w:ascii="宋体" w:hAnsi="宋体" w:cs="宋体" w:eastAsia="宋体" w:hint="default"/>
        </w:rPr>
        <w:t>5</w:t>
      </w:r>
      <w:r>
        <w:rPr>
          <w:rFonts w:ascii="宋体" w:hAnsi="宋体" w:cs="宋体" w:eastAsia="宋体" w:hint="default"/>
          <w:spacing w:val="-47"/>
        </w:rPr>
        <w:t> </w:t>
      </w:r>
      <w:r>
        <w:rPr/>
        <w:t>月</w:t>
      </w:r>
      <w:r>
        <w:rPr>
          <w:spacing w:val="-49"/>
        </w:rPr>
        <w:t> </w:t>
      </w:r>
      <w:r>
        <w:rPr>
          <w:rFonts w:ascii="宋体" w:hAnsi="宋体" w:cs="宋体" w:eastAsia="宋体" w:hint="default"/>
        </w:rPr>
        <w:t>29</w:t>
      </w:r>
      <w:r>
        <w:rPr>
          <w:rFonts w:ascii="宋体" w:hAnsi="宋体" w:cs="宋体" w:eastAsia="宋体" w:hint="default"/>
          <w:spacing w:val="-47"/>
        </w:rPr>
        <w:t> </w:t>
      </w:r>
      <w:r>
        <w:rPr/>
        <w:t>日，公司与温岭农合行签订了《浙江温岭农村合作银行股份补购协议书》。根据协议</w:t>
      </w:r>
    </w:p>
    <w:p>
      <w:pPr>
        <w:spacing w:line="240" w:lineRule="auto" w:before="10"/>
        <w:rPr>
          <w:rFonts w:ascii="宋体" w:hAnsi="宋体" w:cs="宋体" w:eastAsia="宋体" w:hint="default"/>
          <w:sz w:val="14"/>
          <w:szCs w:val="14"/>
        </w:rPr>
      </w:pPr>
    </w:p>
    <w:p>
      <w:pPr>
        <w:pStyle w:val="BodyText"/>
        <w:spacing w:line="240" w:lineRule="auto"/>
        <w:ind w:left="234" w:right="0"/>
        <w:jc w:val="both"/>
      </w:pPr>
      <w:r>
        <w:rPr/>
        <w:t>约定公司以每股</w:t>
      </w:r>
      <w:r>
        <w:rPr>
          <w:spacing w:val="-40"/>
        </w:rPr>
        <w:t> </w:t>
      </w:r>
      <w:r>
        <w:rPr>
          <w:rFonts w:ascii="宋体" w:hAnsi="宋体" w:cs="宋体" w:eastAsia="宋体" w:hint="default"/>
        </w:rPr>
        <w:t>2.89</w:t>
      </w:r>
      <w:r>
        <w:rPr>
          <w:rFonts w:ascii="宋体" w:hAnsi="宋体" w:cs="宋体" w:eastAsia="宋体" w:hint="default"/>
          <w:spacing w:val="-40"/>
        </w:rPr>
        <w:t> </w:t>
      </w:r>
      <w:r>
        <w:rPr/>
        <w:t>元的价格认购</w:t>
      </w:r>
      <w:r>
        <w:rPr>
          <w:spacing w:val="-40"/>
        </w:rPr>
        <w:t> </w:t>
      </w:r>
      <w:r>
        <w:rPr>
          <w:rFonts w:ascii="宋体" w:hAnsi="宋体" w:cs="宋体" w:eastAsia="宋体" w:hint="default"/>
        </w:rPr>
        <w:t>400</w:t>
      </w:r>
      <w:r>
        <w:rPr>
          <w:rFonts w:ascii="宋体" w:hAnsi="宋体" w:cs="宋体" w:eastAsia="宋体" w:hint="default"/>
          <w:spacing w:val="-40"/>
        </w:rPr>
        <w:t> </w:t>
      </w:r>
      <w:r>
        <w:rPr/>
        <w:t>万股，认购总金额为人民币</w:t>
      </w:r>
      <w:r>
        <w:rPr>
          <w:spacing w:val="-40"/>
        </w:rPr>
        <w:t> </w:t>
      </w:r>
      <w:r>
        <w:rPr>
          <w:rFonts w:ascii="宋体" w:hAnsi="宋体" w:cs="宋体" w:eastAsia="宋体" w:hint="default"/>
        </w:rPr>
        <w:t>1,156</w:t>
      </w:r>
      <w:r>
        <w:rPr>
          <w:rFonts w:ascii="宋体" w:hAnsi="宋体" w:cs="宋体" w:eastAsia="宋体" w:hint="default"/>
          <w:spacing w:val="-40"/>
        </w:rPr>
        <w:t> </w:t>
      </w:r>
      <w:r>
        <w:rPr/>
        <w:t>万元。本次认购完成后，公司</w:t>
      </w:r>
    </w:p>
    <w:p>
      <w:pPr>
        <w:spacing w:line="240" w:lineRule="auto" w:before="10"/>
        <w:rPr>
          <w:rFonts w:ascii="宋体" w:hAnsi="宋体" w:cs="宋体" w:eastAsia="宋体" w:hint="default"/>
          <w:sz w:val="14"/>
          <w:szCs w:val="14"/>
        </w:rPr>
      </w:pPr>
    </w:p>
    <w:p>
      <w:pPr>
        <w:pStyle w:val="BodyText"/>
        <w:spacing w:line="240" w:lineRule="auto"/>
        <w:ind w:left="234" w:right="0"/>
        <w:jc w:val="both"/>
        <w:rPr>
          <w:rFonts w:ascii="宋体" w:hAnsi="宋体" w:cs="宋体" w:eastAsia="宋体" w:hint="default"/>
        </w:rPr>
      </w:pPr>
      <w:r>
        <w:rPr/>
        <w:t>合计持有温岭农合行股本金</w:t>
      </w:r>
      <w:r>
        <w:rPr>
          <w:spacing w:val="-52"/>
        </w:rPr>
        <w:t> </w:t>
      </w:r>
      <w:r>
        <w:rPr>
          <w:rFonts w:ascii="宋体" w:hAnsi="宋体" w:cs="宋体" w:eastAsia="宋体" w:hint="default"/>
        </w:rPr>
        <w:t>2,800.80</w:t>
      </w:r>
      <w:r>
        <w:rPr>
          <w:rFonts w:ascii="宋体" w:hAnsi="宋体" w:cs="宋体" w:eastAsia="宋体" w:hint="default"/>
          <w:spacing w:val="-53"/>
        </w:rPr>
        <w:t> </w:t>
      </w:r>
      <w:r>
        <w:rPr>
          <w:spacing w:val="-4"/>
        </w:rPr>
        <w:t>万元，占温岭农合行股本金总额比例为</w:t>
      </w:r>
      <w:r>
        <w:rPr>
          <w:spacing w:val="-52"/>
        </w:rPr>
        <w:t> </w:t>
      </w:r>
      <w:r>
        <w:rPr>
          <w:rFonts w:ascii="宋体" w:hAnsi="宋体" w:cs="宋体" w:eastAsia="宋体" w:hint="default"/>
          <w:spacing w:val="-5"/>
        </w:rPr>
        <w:t>2.33%</w:t>
      </w:r>
      <w:r>
        <w:rPr>
          <w:spacing w:val="-5"/>
        </w:rPr>
        <w:t>。温岭农合行已于</w:t>
      </w:r>
      <w:r>
        <w:rPr>
          <w:spacing w:val="-53"/>
        </w:rPr>
        <w:t> </w:t>
      </w:r>
      <w:r>
        <w:rPr>
          <w:rFonts w:ascii="宋体" w:hAnsi="宋体" w:cs="宋体" w:eastAsia="宋体" w:hint="default"/>
        </w:rPr>
        <w:t>2015</w:t>
      </w:r>
    </w:p>
    <w:p>
      <w:pPr>
        <w:spacing w:line="240" w:lineRule="auto" w:before="11"/>
        <w:rPr>
          <w:rFonts w:ascii="宋体" w:hAnsi="宋体" w:cs="宋体" w:eastAsia="宋体" w:hint="default"/>
          <w:sz w:val="14"/>
          <w:szCs w:val="14"/>
        </w:rPr>
      </w:pPr>
    </w:p>
    <w:p>
      <w:pPr>
        <w:pStyle w:val="BodyText"/>
        <w:spacing w:line="240" w:lineRule="auto"/>
        <w:ind w:left="233" w:right="0"/>
        <w:jc w:val="both"/>
      </w:pP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日办妥工商变更登记手续。</w:t>
      </w:r>
    </w:p>
    <w:p>
      <w:pPr>
        <w:spacing w:line="240" w:lineRule="auto" w:before="10"/>
        <w:rPr>
          <w:rFonts w:ascii="宋体" w:hAnsi="宋体" w:cs="宋体" w:eastAsia="宋体" w:hint="default"/>
          <w:sz w:val="17"/>
          <w:szCs w:val="17"/>
        </w:rPr>
      </w:pPr>
    </w:p>
    <w:p>
      <w:pPr>
        <w:pStyle w:val="BodyText"/>
        <w:spacing w:line="410" w:lineRule="auto"/>
        <w:ind w:left="234" w:right="1130" w:firstLine="420"/>
        <w:jc w:val="both"/>
      </w:pPr>
      <w:r>
        <w:rPr>
          <w:rFonts w:ascii="宋体" w:hAnsi="宋体" w:cs="宋体" w:eastAsia="宋体" w:hint="default"/>
        </w:rPr>
        <w:t>8.</w:t>
      </w:r>
      <w:r>
        <w:rPr/>
        <w:t>截至</w:t>
      </w:r>
      <w:r>
        <w:rPr>
          <w:spacing w:val="-43"/>
        </w:rPr>
        <w:t> </w:t>
      </w:r>
      <w:r>
        <w:rPr>
          <w:rFonts w:ascii="宋体" w:hAnsi="宋体" w:cs="宋体" w:eastAsia="宋体" w:hint="default"/>
        </w:rPr>
        <w:t>2015</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2"/>
        </w:rPr>
        <w:t> </w:t>
      </w:r>
      <w:r>
        <w:rPr/>
        <w:t>月</w:t>
      </w:r>
      <w:r>
        <w:rPr>
          <w:spacing w:val="-43"/>
        </w:rPr>
        <w:t> </w:t>
      </w:r>
      <w:r>
        <w:rPr>
          <w:rFonts w:ascii="宋体" w:hAnsi="宋体" w:cs="宋体" w:eastAsia="宋体" w:hint="default"/>
        </w:rPr>
        <w:t>31</w:t>
      </w:r>
      <w:r>
        <w:rPr>
          <w:rFonts w:ascii="宋体" w:hAnsi="宋体" w:cs="宋体" w:eastAsia="宋体" w:hint="default"/>
          <w:spacing w:val="-42"/>
        </w:rPr>
        <w:t> </w:t>
      </w:r>
      <w:r>
        <w:rPr/>
        <w:t>日，公司实际控制人王相荣累计质押其持有的本公司股份</w:t>
      </w:r>
      <w:r>
        <w:rPr>
          <w:spacing w:val="-42"/>
        </w:rPr>
        <w:t> </w:t>
      </w:r>
      <w:r>
        <w:rPr>
          <w:rFonts w:ascii="宋体" w:hAnsi="宋体" w:cs="宋体" w:eastAsia="宋体" w:hint="default"/>
        </w:rPr>
        <w:t>165,498,439</w:t>
      </w:r>
      <w:r>
        <w:rPr>
          <w:rFonts w:ascii="宋体" w:hAnsi="宋体" w:cs="宋体" w:eastAsia="宋体" w:hint="default"/>
          <w:spacing w:val="-44"/>
        </w:rPr>
        <w:t> </w:t>
      </w:r>
      <w:r>
        <w:rPr/>
        <w:t>股， 占本公司股份总数的</w:t>
      </w:r>
      <w:r>
        <w:rPr>
          <w:spacing w:val="-51"/>
        </w:rPr>
        <w:t> </w:t>
      </w:r>
      <w:r>
        <w:rPr>
          <w:rFonts w:ascii="宋体" w:hAnsi="宋体" w:cs="宋体" w:eastAsia="宋体" w:hint="default"/>
          <w:spacing w:val="-2"/>
        </w:rPr>
        <w:t>10.96%</w:t>
      </w:r>
      <w:r>
        <w:rPr>
          <w:spacing w:val="-2"/>
        </w:rPr>
        <w:t>；截至本财务报表批准报出日，实际控制人王相荣累计质押其持有的本公司股</w:t>
      </w:r>
      <w:r>
        <w:rPr/>
        <w:t> 份</w:t>
      </w:r>
      <w:r>
        <w:rPr>
          <w:spacing w:val="-54"/>
        </w:rPr>
        <w:t> </w:t>
      </w:r>
      <w:r>
        <w:rPr>
          <w:rFonts w:ascii="宋体" w:hAnsi="宋体" w:cs="宋体" w:eastAsia="宋体" w:hint="default"/>
        </w:rPr>
        <w:t>183,998,439</w:t>
      </w:r>
      <w:r>
        <w:rPr>
          <w:rFonts w:ascii="宋体" w:hAnsi="宋体" w:cs="宋体" w:eastAsia="宋体" w:hint="default"/>
          <w:spacing w:val="-1"/>
        </w:rPr>
        <w:t> </w:t>
      </w:r>
      <w:r>
        <w:rPr/>
        <w:t>股，占本公司股份总数的</w:t>
      </w:r>
      <w:r>
        <w:rPr>
          <w:spacing w:val="-53"/>
        </w:rPr>
        <w:t> </w:t>
      </w:r>
      <w:r>
        <w:rPr>
          <w:rFonts w:ascii="宋体" w:hAnsi="宋体" w:cs="宋体" w:eastAsia="宋体" w:hint="default"/>
        </w:rPr>
        <w:t>12.19%</w:t>
      </w:r>
      <w:r>
        <w:rPr/>
        <w:t>。</w:t>
      </w:r>
    </w:p>
    <w:p>
      <w:pPr>
        <w:pStyle w:val="BodyText"/>
        <w:spacing w:line="240" w:lineRule="auto" w:before="83"/>
        <w:ind w:left="653" w:right="0"/>
        <w:jc w:val="both"/>
      </w:pPr>
      <w:r>
        <w:rPr>
          <w:rFonts w:ascii="宋体" w:hAnsi="宋体" w:cs="宋体" w:eastAsia="宋体" w:hint="default"/>
        </w:rPr>
        <w:t>9.</w:t>
      </w:r>
      <w:r>
        <w:rPr/>
        <w:t>截至</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日，公司因资产并购确认的商誉合计</w:t>
      </w:r>
      <w:r>
        <w:rPr>
          <w:spacing w:val="-56"/>
        </w:rPr>
        <w:t> </w:t>
      </w:r>
      <w:r>
        <w:rPr>
          <w:rFonts w:ascii="宋体" w:hAnsi="宋体" w:cs="宋体" w:eastAsia="宋体" w:hint="default"/>
        </w:rPr>
        <w:t>3,190,221,564.11</w:t>
      </w:r>
      <w:r>
        <w:rPr>
          <w:rFonts w:ascii="宋体" w:hAnsi="宋体" w:cs="宋体" w:eastAsia="宋体" w:hint="default"/>
          <w:spacing w:val="-56"/>
        </w:rPr>
        <w:t> </w:t>
      </w:r>
      <w:r>
        <w:rPr/>
        <w:t>元，计提商誉减值准</w:t>
      </w:r>
    </w:p>
    <w:p>
      <w:pPr>
        <w:spacing w:line="240" w:lineRule="auto" w:before="10"/>
        <w:rPr>
          <w:rFonts w:ascii="宋体" w:hAnsi="宋体" w:cs="宋体" w:eastAsia="宋体" w:hint="default"/>
          <w:sz w:val="14"/>
          <w:szCs w:val="14"/>
        </w:rPr>
      </w:pPr>
    </w:p>
    <w:p>
      <w:pPr>
        <w:pStyle w:val="BodyText"/>
        <w:spacing w:line="410" w:lineRule="auto"/>
        <w:ind w:left="233" w:right="1131"/>
        <w:jc w:val="both"/>
      </w:pPr>
      <w:r>
        <w:rPr/>
        <w:t>备</w:t>
      </w:r>
      <w:r>
        <w:rPr>
          <w:spacing w:val="-48"/>
        </w:rPr>
        <w:t> </w:t>
      </w:r>
      <w:r>
        <w:rPr>
          <w:rFonts w:ascii="宋体" w:hAnsi="宋体" w:cs="宋体" w:eastAsia="宋体" w:hint="default"/>
        </w:rPr>
        <w:t>24,055,212.92</w:t>
      </w:r>
      <w:r>
        <w:rPr>
          <w:rFonts w:ascii="宋体" w:hAnsi="宋体" w:cs="宋体" w:eastAsia="宋体" w:hint="default"/>
          <w:spacing w:val="-47"/>
        </w:rPr>
        <w:t> </w:t>
      </w:r>
      <w:r>
        <w:rPr/>
        <w:t>元，商誉账面价值为</w:t>
      </w:r>
      <w:r>
        <w:rPr>
          <w:spacing w:val="-48"/>
        </w:rPr>
        <w:t> </w:t>
      </w:r>
      <w:r>
        <w:rPr>
          <w:rFonts w:ascii="宋体" w:hAnsi="宋体" w:cs="宋体" w:eastAsia="宋体" w:hint="default"/>
        </w:rPr>
        <w:t>3,166,166,351.19</w:t>
      </w:r>
      <w:r>
        <w:rPr>
          <w:rFonts w:ascii="宋体" w:hAnsi="宋体" w:cs="宋体" w:eastAsia="宋体" w:hint="default"/>
          <w:spacing w:val="-47"/>
        </w:rPr>
        <w:t> </w:t>
      </w:r>
      <w:r>
        <w:rPr/>
        <w:t>元，占公司期末净资产比例达</w:t>
      </w:r>
      <w:r>
        <w:rPr>
          <w:spacing w:val="-47"/>
        </w:rPr>
        <w:t> </w:t>
      </w:r>
      <w:r>
        <w:rPr>
          <w:rFonts w:ascii="宋体" w:hAnsi="宋体" w:cs="宋体" w:eastAsia="宋体" w:hint="default"/>
        </w:rPr>
        <w:t>54.69%</w:t>
      </w:r>
      <w:r>
        <w:rPr/>
        <w:t>。如果并 </w:t>
      </w:r>
      <w:r>
        <w:rPr>
          <w:spacing w:val="-1"/>
        </w:rPr>
        <w:t>购资产原股东未能完成约定的业绩承诺，可能产生相应的商誉减值准备，将对公司的经营业绩造成重大影</w:t>
      </w:r>
      <w:r>
        <w:rPr>
          <w:spacing w:val="-81"/>
        </w:rPr>
        <w:t> </w:t>
      </w:r>
      <w:r>
        <w:rPr>
          <w:spacing w:val="-81"/>
        </w:rPr>
      </w:r>
      <w:r>
        <w:rPr/>
        <w:t>响。</w:t>
      </w:r>
    </w:p>
    <w:p>
      <w:pPr>
        <w:pStyle w:val="BodyText"/>
        <w:spacing w:line="240" w:lineRule="auto" w:before="83"/>
        <w:ind w:left="654" w:right="0"/>
        <w:jc w:val="both"/>
      </w:pPr>
      <w:r>
        <w:rPr>
          <w:rFonts w:ascii="宋体" w:hAnsi="宋体" w:cs="宋体" w:eastAsia="宋体" w:hint="default"/>
        </w:rPr>
        <w:t>10.</w:t>
      </w:r>
      <w:r>
        <w:rPr/>
        <w:t>截至本财务报表批准报出日，公司及子公司均尚未办妥</w:t>
      </w:r>
      <w:r>
        <w:rPr>
          <w:spacing w:val="-54"/>
        </w:rPr>
        <w:t> </w:t>
      </w:r>
      <w:r>
        <w:rPr>
          <w:rFonts w:ascii="宋体" w:hAnsi="宋体" w:cs="宋体" w:eastAsia="宋体" w:hint="default"/>
        </w:rPr>
        <w:t>2015</w:t>
      </w:r>
      <w:r>
        <w:rPr>
          <w:rFonts w:ascii="宋体" w:hAnsi="宋体" w:cs="宋体" w:eastAsia="宋体" w:hint="default"/>
          <w:spacing w:val="-55"/>
        </w:rPr>
        <w:t> </w:t>
      </w:r>
      <w:r>
        <w:rPr/>
        <w:t>年度所得税汇算清缴手续。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0"/>
        <w:ind w:left="653" w:right="7400" w:firstLine="0"/>
        <w:jc w:val="both"/>
        <w:rPr>
          <w:rFonts w:ascii="宋体" w:hAnsi="宋体" w:cs="宋体" w:eastAsia="宋体" w:hint="default"/>
          <w:sz w:val="21"/>
          <w:szCs w:val="21"/>
        </w:rPr>
      </w:pPr>
      <w:bookmarkStart w:name="十六、母公司财务报表项目注释" w:id="259"/>
      <w:bookmarkEnd w:id="259"/>
      <w:r>
        <w:rPr/>
      </w:r>
      <w:r>
        <w:rPr>
          <w:rFonts w:ascii="黑体" w:hAnsi="黑体" w:cs="黑体" w:eastAsia="黑体" w:hint="default"/>
          <w:b/>
          <w:bCs/>
          <w:sz w:val="21"/>
          <w:szCs w:val="21"/>
        </w:rPr>
        <w:t>十六、母公司财务报表项目注释</w:t>
      </w:r>
      <w:r>
        <w:rPr>
          <w:rFonts w:ascii="黑体" w:hAnsi="黑体" w:cs="黑体" w:eastAsia="黑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母公司资产负债表项目注释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应收账款</w:t>
      </w:r>
    </w:p>
    <w:p>
      <w:pPr>
        <w:pStyle w:val="BodyText"/>
        <w:spacing w:line="240" w:lineRule="auto" w:before="54"/>
        <w:ind w:left="653" w:right="0"/>
        <w:jc w:val="both"/>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7"/>
        <w:gridCol w:w="1967"/>
        <w:gridCol w:w="1147"/>
        <w:gridCol w:w="1535"/>
        <w:gridCol w:w="1246"/>
        <w:gridCol w:w="1708"/>
      </w:tblGrid>
      <w:tr>
        <w:trPr>
          <w:trHeight w:val="402" w:hRule="exact"/>
        </w:trPr>
        <w:tc>
          <w:tcPr>
            <w:tcW w:w="2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60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67" w:type="dxa"/>
            <w:vMerge/>
            <w:tcBorders>
              <w:left w:val="nil" w:sz="6" w:space="0" w:color="auto"/>
              <w:right w:val="single" w:sz="4" w:space="0" w:color="000000"/>
            </w:tcBorders>
          </w:tcPr>
          <w:p>
            <w:pP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8"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7" w:type="dxa"/>
            <w:vMerge/>
            <w:tcBorders>
              <w:left w:val="nil" w:sz="6" w:space="0" w:color="auto"/>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8" w:type="dxa"/>
            <w:vMerge/>
            <w:tcBorders>
              <w:left w:val="single" w:sz="4" w:space="0" w:color="000000"/>
              <w:bottom w:val="single" w:sz="4" w:space="0" w:color="000000"/>
              <w:right w:val="nil" w:sz="6" w:space="0" w:color="auto"/>
            </w:tcBorders>
          </w:tcPr>
          <w:p>
            <w:pPr/>
          </w:p>
        </w:tc>
      </w:tr>
      <w:tr>
        <w:trPr>
          <w:trHeight w:val="715"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96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67"/>
        <w:gridCol w:w="1967"/>
        <w:gridCol w:w="1147"/>
        <w:gridCol w:w="1535"/>
        <w:gridCol w:w="1246"/>
        <w:gridCol w:w="1708"/>
      </w:tblGrid>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394,204,433.72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25,230,737.59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6.40</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368,973,696.13</w:t>
            </w: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96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394,204,433.72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25,230,737.59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6.40</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368,973,696.13</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267"/>
        <w:gridCol w:w="1967"/>
        <w:gridCol w:w="1147"/>
        <w:gridCol w:w="1535"/>
        <w:gridCol w:w="1248"/>
        <w:gridCol w:w="1705"/>
      </w:tblGrid>
      <w:tr>
        <w:trPr>
          <w:trHeight w:val="402" w:hRule="exact"/>
        </w:trPr>
        <w:tc>
          <w:tcPr>
            <w:tcW w:w="2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60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7" w:type="dxa"/>
            <w:vMerge/>
            <w:tcBorders>
              <w:left w:val="nil" w:sz="6" w:space="0" w:color="auto"/>
              <w:right w:val="single" w:sz="4" w:space="0" w:color="000000"/>
            </w:tcBorders>
          </w:tcPr>
          <w:p>
            <w:pPr/>
          </w:p>
        </w:tc>
        <w:tc>
          <w:tcPr>
            <w:tcW w:w="3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5"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7" w:type="dxa"/>
            <w:vMerge/>
            <w:tcBorders>
              <w:left w:val="nil" w:sz="6" w:space="0" w:color="auto"/>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5" w:type="dxa"/>
            <w:vMerge/>
            <w:tcBorders>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96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353,443,749.24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100.00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22,020,428.64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6.23</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331,423,320.60</w:t>
            </w: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96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8"/>
              <w:jc w:val="right"/>
              <w:rPr>
                <w:rFonts w:ascii="宋体" w:hAnsi="宋体" w:cs="宋体" w:eastAsia="宋体" w:hint="default"/>
                <w:sz w:val="18"/>
                <w:szCs w:val="18"/>
              </w:rPr>
            </w:pPr>
            <w:r>
              <w:rPr>
                <w:rFonts w:ascii="宋体"/>
                <w:sz w:val="18"/>
              </w:rPr>
              <w:t>353,443,749.24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100.00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22,020,428.64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9"/>
              <w:jc w:val="right"/>
              <w:rPr>
                <w:rFonts w:ascii="宋体" w:hAnsi="宋体" w:cs="宋体" w:eastAsia="宋体" w:hint="default"/>
                <w:sz w:val="18"/>
                <w:szCs w:val="18"/>
              </w:rPr>
            </w:pPr>
            <w:r>
              <w:rPr>
                <w:rFonts w:ascii="宋体"/>
                <w:sz w:val="18"/>
              </w:rPr>
              <w:t>6.23</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331,423,320.60</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组合中，采用账龄分析法计提坏账准备的应收账款</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433"/>
        <w:gridCol w:w="2620"/>
        <w:gridCol w:w="2458"/>
        <w:gridCol w:w="2359"/>
      </w:tblGrid>
      <w:tr>
        <w:trPr>
          <w:trHeight w:val="402" w:hRule="exact"/>
        </w:trPr>
        <w:tc>
          <w:tcPr>
            <w:tcW w:w="243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743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433" w:type="dxa"/>
            <w:vMerge/>
            <w:tcBorders>
              <w:left w:val="nil" w:sz="6" w:space="0" w:color="auto"/>
              <w:bottom w:val="single" w:sz="4" w:space="0" w:color="000000"/>
              <w:right w:val="single" w:sz="4" w:space="0" w:color="000000"/>
            </w:tcBorders>
          </w:tcPr>
          <w:p>
            <w:pP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2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295,953,315.73</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14,797,665.79</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5.00</w:t>
            </w:r>
          </w:p>
        </w:tc>
      </w:tr>
      <w:tr>
        <w:trPr>
          <w:trHeight w:val="558" w:hRule="exact"/>
        </w:trPr>
        <w:tc>
          <w:tcPr>
            <w:tcW w:w="2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10,795,613.79</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1,079,561.38</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10.00</w:t>
            </w:r>
          </w:p>
        </w:tc>
      </w:tr>
      <w:tr>
        <w:trPr>
          <w:trHeight w:val="558" w:hRule="exact"/>
        </w:trPr>
        <w:tc>
          <w:tcPr>
            <w:tcW w:w="2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11,333,998.39</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3,400,199.52</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30.00</w:t>
            </w:r>
          </w:p>
        </w:tc>
      </w:tr>
      <w:tr>
        <w:trPr>
          <w:trHeight w:val="558" w:hRule="exact"/>
        </w:trPr>
        <w:tc>
          <w:tcPr>
            <w:tcW w:w="2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5,953,310.90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5,953,310.90</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100.00</w:t>
            </w:r>
          </w:p>
        </w:tc>
      </w:tr>
      <w:tr>
        <w:trPr>
          <w:trHeight w:val="558" w:hRule="exact"/>
        </w:trPr>
        <w:tc>
          <w:tcPr>
            <w:tcW w:w="2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324,036,238.81</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25,230,737.59</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7.79</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3)</w:t>
      </w:r>
      <w:r>
        <w:rPr>
          <w:rFonts w:ascii="宋体" w:hAnsi="宋体" w:cs="宋体" w:eastAsia="宋体" w:hint="default"/>
          <w:spacing w:val="-1"/>
        </w:rPr>
        <w:t> </w:t>
      </w:r>
      <w:r>
        <w:rPr/>
        <w:t>组合中，按照应收合并财务报表范围内关联方的款项组合计提坏账准备的应收账款</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090"/>
        <w:gridCol w:w="2292"/>
        <w:gridCol w:w="2128"/>
        <w:gridCol w:w="2359"/>
      </w:tblGrid>
      <w:tr>
        <w:trPr>
          <w:trHeight w:val="402" w:hRule="exact"/>
        </w:trPr>
        <w:tc>
          <w:tcPr>
            <w:tcW w:w="3090"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78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090" w:type="dxa"/>
            <w:vMerge/>
            <w:tcBorders>
              <w:left w:val="nil" w:sz="6" w:space="0" w:color="auto"/>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38,877,639.05</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8,081,011.45</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湖南利欧天鹅工业泵有限公司</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5,728,751.00</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090"/>
        <w:gridCol w:w="2292"/>
        <w:gridCol w:w="2128"/>
        <w:gridCol w:w="2359"/>
      </w:tblGrid>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GAMA GARDEN KFT</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5,431,762.53</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温岭滨泰科进出口有限公司</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4,843,210.23</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4,670,349.99</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ZHE JIANG LEO (HONGKONG)</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1,256,499.39</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LEO MIDDLE EAST FZE</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965,084.87</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306,842.40</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7,044.00</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70,168,194.91</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本期计提坏账准备金额</w:t>
      </w:r>
      <w:r>
        <w:rPr>
          <w:spacing w:val="-52"/>
        </w:rPr>
        <w:t> </w:t>
      </w:r>
      <w:r>
        <w:rPr>
          <w:rFonts w:ascii="宋体" w:hAnsi="宋体" w:cs="宋体" w:eastAsia="宋体" w:hint="default"/>
        </w:rPr>
        <w:t>6,639,809.59</w:t>
      </w:r>
      <w:r>
        <w:rPr>
          <w:rFonts w:ascii="宋体" w:hAnsi="宋体" w:cs="宋体" w:eastAsia="宋体" w:hint="default"/>
          <w:spacing w:val="-53"/>
        </w:rPr>
        <w:t> </w:t>
      </w:r>
      <w:r>
        <w:rPr/>
        <w:t>元；本期无收回或转回坏账准备情况。</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(3)</w:t>
      </w:r>
      <w:r>
        <w:rPr>
          <w:rFonts w:ascii="宋体" w:hAnsi="宋体" w:cs="宋体" w:eastAsia="宋体" w:hint="default"/>
          <w:spacing w:val="-1"/>
        </w:rPr>
        <w:t> </w:t>
      </w:r>
      <w:r>
        <w:rPr/>
        <w:t>本期无实际核销的应收账款情况。</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 </w:t>
      </w:r>
      <w:r>
        <w:rPr/>
        <w:t>本期实际核销应收账款金额</w:t>
      </w:r>
      <w:r>
        <w:rPr>
          <w:spacing w:val="-54"/>
        </w:rPr>
        <w:t> </w:t>
      </w:r>
      <w:r>
        <w:rPr>
          <w:rFonts w:ascii="宋体" w:hAnsi="宋体" w:cs="宋体" w:eastAsia="宋体" w:hint="default"/>
        </w:rPr>
        <w:t>3,429,500.64</w:t>
      </w:r>
      <w:r>
        <w:rPr>
          <w:rFonts w:ascii="宋体" w:hAnsi="宋体" w:cs="宋体" w:eastAsia="宋体" w:hint="default"/>
          <w:spacing w:val="-53"/>
        </w:rPr>
        <w:t> </w:t>
      </w:r>
      <w:r>
        <w:rPr/>
        <w:t>元。</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2)</w:t>
      </w:r>
      <w:r>
        <w:rPr>
          <w:rFonts w:ascii="宋体" w:hAnsi="宋体" w:cs="宋体" w:eastAsia="宋体" w:hint="default"/>
          <w:spacing w:val="-1"/>
        </w:rPr>
        <w:t> </w:t>
      </w:r>
      <w:r>
        <w:rPr/>
        <w:t>本期重要的应收账款核销情况</w:t>
      </w:r>
    </w:p>
    <w:p>
      <w:pPr>
        <w:spacing w:line="240" w:lineRule="auto" w:before="1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184"/>
        <w:gridCol w:w="1023"/>
        <w:gridCol w:w="1414"/>
        <w:gridCol w:w="1406"/>
        <w:gridCol w:w="1482"/>
        <w:gridCol w:w="1361"/>
      </w:tblGrid>
      <w:tr>
        <w:trPr>
          <w:trHeight w:val="755" w:hRule="exact"/>
        </w:trPr>
        <w:tc>
          <w:tcPr>
            <w:tcW w:w="3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75" w:right="374" w:firstLine="90"/>
              <w:jc w:val="left"/>
              <w:rPr>
                <w:rFonts w:ascii="宋体" w:hAnsi="宋体" w:cs="宋体" w:eastAsia="宋体" w:hint="default"/>
                <w:sz w:val="18"/>
                <w:szCs w:val="18"/>
              </w:rPr>
            </w:pPr>
            <w:r>
              <w:rPr>
                <w:rFonts w:ascii="宋体" w:hAnsi="宋体" w:cs="宋体" w:eastAsia="宋体" w:hint="default"/>
                <w:sz w:val="18"/>
                <w:szCs w:val="18"/>
              </w:rPr>
              <w:t>履行的 核销程序</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2"/>
              <w:ind w:left="314" w:right="49"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558" w:hRule="exact"/>
        </w:trPr>
        <w:tc>
          <w:tcPr>
            <w:tcW w:w="3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宁波鑫能国际贸易有限公司</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7"/>
              <w:jc w:val="center"/>
              <w:rPr>
                <w:rFonts w:ascii="宋体" w:hAnsi="宋体" w:cs="宋体" w:eastAsia="宋体" w:hint="default"/>
                <w:sz w:val="18"/>
                <w:szCs w:val="18"/>
              </w:rPr>
            </w:pPr>
            <w:r>
              <w:rPr>
                <w:rFonts w:ascii="宋体" w:hAnsi="宋体" w:cs="宋体" w:eastAsia="宋体" w:hint="default"/>
                <w:sz w:val="18"/>
                <w:szCs w:val="18"/>
              </w:rPr>
              <w:t>货款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7" w:right="0"/>
              <w:jc w:val="center"/>
              <w:rPr>
                <w:rFonts w:ascii="宋体" w:hAnsi="宋体" w:cs="宋体" w:eastAsia="宋体" w:hint="default"/>
                <w:sz w:val="18"/>
                <w:szCs w:val="18"/>
              </w:rPr>
            </w:pPr>
            <w:r>
              <w:rPr>
                <w:rFonts w:ascii="宋体"/>
                <w:sz w:val="18"/>
              </w:rPr>
              <w:t>1,111,530.18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宋体" w:hAnsi="宋体" w:cs="宋体" w:eastAsia="宋体" w:hint="default"/>
                <w:sz w:val="18"/>
                <w:szCs w:val="18"/>
              </w:rPr>
            </w:pPr>
            <w:r>
              <w:rPr>
                <w:rFonts w:ascii="宋体" w:hAnsi="宋体" w:cs="宋体" w:eastAsia="宋体" w:hint="default"/>
                <w:sz w:val="18"/>
                <w:szCs w:val="18"/>
              </w:rPr>
              <w:t>经批准</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4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sz w:val="18"/>
              </w:rPr>
              <w:t>EDP INTERNATIONAL S.R.L</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77"/>
              <w:jc w:val="center"/>
              <w:rPr>
                <w:rFonts w:ascii="宋体" w:hAnsi="宋体" w:cs="宋体" w:eastAsia="宋体" w:hint="default"/>
                <w:sz w:val="18"/>
                <w:szCs w:val="18"/>
              </w:rPr>
            </w:pPr>
            <w:r>
              <w:rPr>
                <w:rFonts w:ascii="宋体" w:hAnsi="宋体" w:cs="宋体" w:eastAsia="宋体" w:hint="default"/>
                <w:sz w:val="18"/>
                <w:szCs w:val="18"/>
              </w:rPr>
              <w:t>货款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7" w:right="0"/>
              <w:jc w:val="center"/>
              <w:rPr>
                <w:rFonts w:ascii="宋体" w:hAnsi="宋体" w:cs="宋体" w:eastAsia="宋体" w:hint="default"/>
                <w:sz w:val="18"/>
                <w:szCs w:val="18"/>
              </w:rPr>
            </w:pPr>
            <w:r>
              <w:rPr>
                <w:rFonts w:ascii="宋体"/>
                <w:sz w:val="18"/>
              </w:rPr>
              <w:t>1,420,030.92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宋体" w:hAnsi="宋体" w:cs="宋体" w:eastAsia="宋体" w:hint="default"/>
                <w:sz w:val="18"/>
                <w:szCs w:val="18"/>
              </w:rPr>
            </w:pPr>
            <w:r>
              <w:rPr>
                <w:rFonts w:ascii="宋体" w:hAnsi="宋体" w:cs="宋体" w:eastAsia="宋体" w:hint="default"/>
                <w:sz w:val="18"/>
                <w:szCs w:val="18"/>
              </w:rPr>
              <w:t>经批准</w:t>
            </w:r>
          </w:p>
        </w:tc>
        <w:tc>
          <w:tcPr>
            <w:tcW w:w="13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54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2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7" w:right="0"/>
              <w:jc w:val="center"/>
              <w:rPr>
                <w:rFonts w:ascii="宋体" w:hAnsi="宋体" w:cs="宋体" w:eastAsia="宋体" w:hint="default"/>
                <w:sz w:val="18"/>
                <w:szCs w:val="18"/>
              </w:rPr>
            </w:pPr>
            <w:r>
              <w:rPr>
                <w:rFonts w:ascii="宋体"/>
                <w:sz w:val="18"/>
              </w:rPr>
              <w:t>2,531,561.10</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(4)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42"/>
        <w:gridCol w:w="1844"/>
        <w:gridCol w:w="1559"/>
        <w:gridCol w:w="1900"/>
      </w:tblGrid>
      <w:tr>
        <w:trPr>
          <w:trHeight w:val="754"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68" w:right="144" w:hanging="226"/>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0" w:right="0"/>
              <w:jc w:val="left"/>
              <w:rPr>
                <w:rFonts w:ascii="宋体" w:hAnsi="宋体" w:cs="宋体" w:eastAsia="宋体" w:hint="default"/>
                <w:sz w:val="18"/>
                <w:szCs w:val="18"/>
              </w:rPr>
            </w:pPr>
            <w:r>
              <w:rPr>
                <w:rFonts w:ascii="宋体"/>
                <w:sz w:val="18"/>
              </w:rPr>
              <w:t>57,079,087.81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14.48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2,853,954.39</w:t>
            </w: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0" w:right="0"/>
              <w:jc w:val="left"/>
              <w:rPr>
                <w:rFonts w:ascii="宋体" w:hAnsi="宋体" w:cs="宋体" w:eastAsia="宋体" w:hint="default"/>
                <w:sz w:val="18"/>
                <w:szCs w:val="18"/>
              </w:rPr>
            </w:pPr>
            <w:r>
              <w:rPr>
                <w:rFonts w:ascii="宋体"/>
                <w:sz w:val="18"/>
              </w:rPr>
              <w:t>39,460,738.95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10.01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1,973,036.95</w:t>
            </w: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0" w:right="0"/>
              <w:jc w:val="left"/>
              <w:rPr>
                <w:rFonts w:ascii="宋体" w:hAnsi="宋体" w:cs="宋体" w:eastAsia="宋体" w:hint="default"/>
                <w:sz w:val="18"/>
                <w:szCs w:val="18"/>
              </w:rPr>
            </w:pPr>
            <w:r>
              <w:rPr>
                <w:rFonts w:ascii="宋体"/>
                <w:sz w:val="18"/>
              </w:rPr>
              <w:t>38,877,639.05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9.86</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0" w:right="0"/>
              <w:jc w:val="left"/>
              <w:rPr>
                <w:rFonts w:ascii="宋体" w:hAnsi="宋体" w:cs="宋体" w:eastAsia="宋体" w:hint="default"/>
                <w:sz w:val="18"/>
                <w:szCs w:val="18"/>
              </w:rPr>
            </w:pPr>
            <w:r>
              <w:rPr>
                <w:rFonts w:ascii="宋体"/>
                <w:sz w:val="18"/>
              </w:rPr>
              <w:t>19,236,787.27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4.88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961,839.36</w:t>
            </w:r>
          </w:p>
        </w:tc>
      </w:tr>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60" w:right="0"/>
              <w:jc w:val="left"/>
              <w:rPr>
                <w:rFonts w:ascii="宋体" w:hAnsi="宋体" w:cs="宋体" w:eastAsia="宋体" w:hint="default"/>
                <w:sz w:val="18"/>
                <w:szCs w:val="18"/>
              </w:rPr>
            </w:pPr>
            <w:r>
              <w:rPr>
                <w:rFonts w:ascii="宋体"/>
                <w:sz w:val="18"/>
              </w:rPr>
              <w:t>18,072,358.57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4.58</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903,617.93</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3242"/>
        <w:gridCol w:w="1844"/>
        <w:gridCol w:w="1559"/>
        <w:gridCol w:w="1900"/>
      </w:tblGrid>
      <w:tr>
        <w:trPr>
          <w:trHeight w:val="558" w:hRule="exact"/>
        </w:trPr>
        <w:tc>
          <w:tcPr>
            <w:tcW w:w="3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70" w:right="0"/>
              <w:jc w:val="left"/>
              <w:rPr>
                <w:rFonts w:ascii="宋体" w:hAnsi="宋体" w:cs="宋体" w:eastAsia="宋体" w:hint="default"/>
                <w:sz w:val="18"/>
                <w:szCs w:val="18"/>
              </w:rPr>
            </w:pPr>
            <w:r>
              <w:rPr>
                <w:rFonts w:ascii="宋体"/>
                <w:sz w:val="18"/>
              </w:rPr>
              <w:t>172,726,611.65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95" w:right="0"/>
              <w:jc w:val="left"/>
              <w:rPr>
                <w:rFonts w:ascii="宋体" w:hAnsi="宋体" w:cs="宋体" w:eastAsia="宋体" w:hint="default"/>
                <w:sz w:val="18"/>
                <w:szCs w:val="18"/>
              </w:rPr>
            </w:pPr>
            <w:r>
              <w:rPr>
                <w:rFonts w:ascii="宋体"/>
                <w:sz w:val="18"/>
              </w:rPr>
              <w:t>48.81</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705" w:right="0"/>
              <w:jc w:val="left"/>
              <w:rPr>
                <w:rFonts w:ascii="宋体" w:hAnsi="宋体" w:cs="宋体" w:eastAsia="宋体" w:hint="default"/>
                <w:sz w:val="18"/>
                <w:szCs w:val="18"/>
              </w:rPr>
            </w:pPr>
            <w:r>
              <w:rPr>
                <w:rFonts w:ascii="宋体"/>
                <w:sz w:val="18"/>
              </w:rPr>
              <w:t>6,692,448.63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54" w:right="1029"/>
        <w:jc w:val="left"/>
      </w:pPr>
      <w:bookmarkStart w:name="2. 其他应收款" w:id="260"/>
      <w:bookmarkEnd w:id="260"/>
      <w:r>
        <w:rPr/>
      </w:r>
      <w:r>
        <w:rPr>
          <w:rFonts w:ascii="宋体" w:hAnsi="宋体" w:cs="宋体" w:eastAsia="宋体" w:hint="default"/>
        </w:rPr>
        <w:t>2.</w:t>
      </w:r>
      <w:r>
        <w:rPr>
          <w:rFonts w:ascii="宋体" w:hAnsi="宋体" w:cs="宋体" w:eastAsia="宋体" w:hint="default"/>
          <w:spacing w:val="-1"/>
        </w:rPr>
        <w:t> </w:t>
      </w:r>
      <w:r>
        <w:rPr/>
        <w:t>其他应收款</w:t>
      </w:r>
    </w:p>
    <w:p>
      <w:pPr>
        <w:spacing w:line="240" w:lineRule="auto" w:before="10"/>
        <w:rPr>
          <w:rFonts w:ascii="宋体" w:hAnsi="宋体" w:cs="宋体" w:eastAsia="宋体" w:hint="default"/>
          <w:sz w:val="14"/>
          <w:szCs w:val="14"/>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67"/>
        <w:gridCol w:w="1802"/>
        <w:gridCol w:w="1146"/>
        <w:gridCol w:w="1640"/>
        <w:gridCol w:w="1312"/>
        <w:gridCol w:w="1703"/>
      </w:tblGrid>
      <w:tr>
        <w:trPr>
          <w:trHeight w:val="402" w:hRule="exact"/>
        </w:trPr>
        <w:tc>
          <w:tcPr>
            <w:tcW w:w="2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60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67" w:type="dxa"/>
            <w:vMerge/>
            <w:tcBorders>
              <w:left w:val="nil" w:sz="6" w:space="0" w:color="auto"/>
              <w:right w:val="single" w:sz="4" w:space="0" w:color="000000"/>
            </w:tcBorders>
          </w:tcPr>
          <w:p>
            <w:pPr/>
          </w:p>
        </w:tc>
        <w:tc>
          <w:tcPr>
            <w:tcW w:w="2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3"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7"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3" w:type="dxa"/>
            <w:vMerge/>
            <w:tcBorders>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80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653,316,312.50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98.91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1,718,055.96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0.26</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651,598,256.54</w:t>
            </w:r>
          </w:p>
        </w:tc>
      </w:tr>
      <w:tr>
        <w:trPr>
          <w:trHeight w:val="71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0" w:right="159"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7,232,362.07</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4,452,000.00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61.56</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2,780,362.07</w:t>
            </w:r>
          </w:p>
        </w:tc>
      </w:tr>
      <w:tr>
        <w:trPr>
          <w:trHeight w:val="464" w:hRule="exact"/>
        </w:trPr>
        <w:tc>
          <w:tcPr>
            <w:tcW w:w="2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660,548,674.57</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6,170,055.96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0.93</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654,378,618.61</w:t>
            </w:r>
          </w:p>
        </w:tc>
      </w:tr>
    </w:tbl>
    <w:p>
      <w:pPr>
        <w:spacing w:line="240" w:lineRule="auto" w:before="6"/>
        <w:rPr>
          <w:rFonts w:ascii="宋体" w:hAnsi="宋体" w:cs="宋体" w:eastAsia="宋体" w:hint="default"/>
          <w:sz w:val="6"/>
          <w:szCs w:val="6"/>
        </w:rPr>
      </w:pPr>
    </w:p>
    <w:p>
      <w:pPr>
        <w:spacing w:before="44"/>
        <w:ind w:left="594" w:right="10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2"/>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247"/>
        <w:gridCol w:w="1826"/>
        <w:gridCol w:w="1147"/>
        <w:gridCol w:w="1638"/>
        <w:gridCol w:w="1305"/>
        <w:gridCol w:w="1708"/>
      </w:tblGrid>
      <w:tr>
        <w:trPr>
          <w:trHeight w:val="402" w:hRule="exact"/>
        </w:trPr>
        <w:tc>
          <w:tcPr>
            <w:tcW w:w="224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7623"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47" w:type="dxa"/>
            <w:vMerge/>
            <w:tcBorders>
              <w:left w:val="nil" w:sz="6" w:space="0" w:color="auto"/>
              <w:right w:val="single" w:sz="4" w:space="0" w:color="000000"/>
            </w:tcBorders>
          </w:tcPr>
          <w:p>
            <w:pPr/>
          </w:p>
        </w:tc>
        <w:tc>
          <w:tcPr>
            <w:tcW w:w="2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8"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47" w:type="dxa"/>
            <w:vMerge/>
            <w:tcBorders>
              <w:left w:val="nil" w:sz="6" w:space="0" w:color="auto"/>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708" w:type="dxa"/>
            <w:vMerge/>
            <w:tcBorders>
              <w:left w:val="single" w:sz="4" w:space="0" w:color="000000"/>
              <w:bottom w:val="single" w:sz="4" w:space="0" w:color="000000"/>
              <w:right w:val="nil" w:sz="6" w:space="0" w:color="auto"/>
            </w:tcBorders>
          </w:tcPr>
          <w:p>
            <w:pPr/>
          </w:p>
        </w:tc>
      </w:tr>
      <w:tr>
        <w:trPr>
          <w:trHeight w:val="714"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38"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82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38"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383,224,838.92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96.21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1,559,768.37</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0.41</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z w:val="18"/>
              </w:rPr>
              <w:t>381,665,070.55</w:t>
            </w:r>
          </w:p>
        </w:tc>
      </w:tr>
      <w:tr>
        <w:trPr>
          <w:trHeight w:val="714"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120" w:right="138"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sz w:val="18"/>
              </w:rPr>
              <w:t>15,115,242.39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3.79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4,452,000.00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29.45</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z w:val="18"/>
              </w:rPr>
              <w:t>10,663,242.39</w:t>
            </w:r>
          </w:p>
        </w:tc>
      </w:tr>
      <w:tr>
        <w:trPr>
          <w:trHeight w:val="559"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8"/>
              <w:jc w:val="right"/>
              <w:rPr>
                <w:rFonts w:ascii="宋体" w:hAnsi="宋体" w:cs="宋体" w:eastAsia="宋体" w:hint="default"/>
                <w:sz w:val="18"/>
                <w:szCs w:val="18"/>
              </w:rPr>
            </w:pPr>
            <w:r>
              <w:rPr>
                <w:rFonts w:ascii="宋体"/>
                <w:sz w:val="18"/>
              </w:rPr>
              <w:t>398,340,081.31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100.00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6,011,768.37</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9"/>
              <w:jc w:val="right"/>
              <w:rPr>
                <w:rFonts w:ascii="宋体" w:hAnsi="宋体" w:cs="宋体" w:eastAsia="宋体" w:hint="default"/>
                <w:sz w:val="18"/>
                <w:szCs w:val="18"/>
              </w:rPr>
            </w:pPr>
            <w:r>
              <w:rPr>
                <w:rFonts w:ascii="宋体"/>
                <w:sz w:val="18"/>
              </w:rPr>
              <w:t>1.51</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65"/>
              <w:jc w:val="right"/>
              <w:rPr>
                <w:rFonts w:ascii="宋体" w:hAnsi="宋体" w:cs="宋体" w:eastAsia="宋体" w:hint="default"/>
                <w:sz w:val="18"/>
                <w:szCs w:val="18"/>
              </w:rPr>
            </w:pPr>
            <w:r>
              <w:rPr>
                <w:rFonts w:ascii="宋体"/>
                <w:sz w:val="18"/>
              </w:rPr>
              <w:t>392,328,312.94</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无期末单项金额重大并单项计提坏账准备的其他应收款。</w:t>
      </w:r>
    </w:p>
    <w:p>
      <w:pPr>
        <w:spacing w:line="240" w:lineRule="auto" w:before="10"/>
        <w:rPr>
          <w:rFonts w:ascii="宋体" w:hAnsi="宋体" w:cs="宋体" w:eastAsia="宋体" w:hint="default"/>
          <w:sz w:val="17"/>
          <w:szCs w:val="17"/>
        </w:rPr>
      </w:pPr>
    </w:p>
    <w:p>
      <w:pPr>
        <w:pStyle w:val="BodyText"/>
        <w:spacing w:line="240" w:lineRule="auto"/>
        <w:ind w:left="653" w:right="1029"/>
        <w:jc w:val="left"/>
      </w:pPr>
      <w:r>
        <w:rPr>
          <w:rFonts w:ascii="宋体" w:hAnsi="宋体" w:cs="宋体" w:eastAsia="宋体" w:hint="default"/>
        </w:rPr>
        <w:t>3)</w:t>
      </w:r>
      <w:r>
        <w:rPr>
          <w:rFonts w:ascii="宋体" w:hAnsi="宋体" w:cs="宋体" w:eastAsia="宋体" w:hint="default"/>
          <w:spacing w:val="-1"/>
        </w:rPr>
        <w:t> </w:t>
      </w:r>
      <w:r>
        <w:rPr/>
        <w:t>组合中，采用账龄分析法计提坏账准备的其他应收款</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234"/>
        <w:gridCol w:w="2823"/>
        <w:gridCol w:w="2621"/>
        <w:gridCol w:w="2192"/>
      </w:tblGrid>
      <w:tr>
        <w:trPr>
          <w:trHeight w:val="402" w:hRule="exact"/>
        </w:trPr>
        <w:tc>
          <w:tcPr>
            <w:tcW w:w="223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763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234" w:type="dxa"/>
            <w:vMerge/>
            <w:tcBorders>
              <w:left w:val="nil" w:sz="6" w:space="0" w:color="auto"/>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10,852,574.65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542,628.73</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5.00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3,266,397.54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326,639.75</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10.00</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234"/>
        <w:gridCol w:w="2823"/>
        <w:gridCol w:w="2621"/>
        <w:gridCol w:w="2192"/>
      </w:tblGrid>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385,092.75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115,527.83</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30.00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367,461.34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367,461.34</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100.00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359,798.31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359,798.31</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100.00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6,000.00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6,000.00</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100.00</w:t>
            </w:r>
          </w:p>
        </w:tc>
      </w:tr>
      <w:tr>
        <w:trPr>
          <w:trHeight w:val="55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15,237,324.59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1,718,055.96</w:t>
            </w:r>
          </w:p>
        </w:tc>
        <w:tc>
          <w:tcPr>
            <w:tcW w:w="2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11.28</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4)</w:t>
      </w:r>
      <w:r>
        <w:rPr>
          <w:rFonts w:ascii="宋体" w:hAnsi="宋体" w:cs="宋体" w:eastAsia="宋体" w:hint="default"/>
          <w:spacing w:val="-1"/>
        </w:rPr>
        <w:t> </w:t>
      </w:r>
      <w:r>
        <w:rPr/>
        <w:t>组合中，按照应收合并财务报表范围内关联方的款项组合计提坏账准备的其他应收款</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54"/>
        <w:gridCol w:w="2129"/>
        <w:gridCol w:w="2128"/>
        <w:gridCol w:w="2359"/>
      </w:tblGrid>
      <w:tr>
        <w:trPr>
          <w:trHeight w:val="402" w:hRule="exact"/>
        </w:trPr>
        <w:tc>
          <w:tcPr>
            <w:tcW w:w="325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661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254" w:type="dxa"/>
            <w:vMerge/>
            <w:tcBorders>
              <w:left w:val="nil" w:sz="6" w:space="0" w:color="auto"/>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249,346,000.00</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152,850,833.33</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利欧集团数字科技上海有限公司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137,000,000.00</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73,370,000.00</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利欧（大连）泵业有限公司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14,080,000.00</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5,118,250.00</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4,544,173.02</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1,769,731.56</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638,078,987.91</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line="240" w:lineRule="auto" w:before="12"/>
        <w:rPr>
          <w:rFonts w:ascii="宋体" w:hAnsi="宋体" w:cs="宋体" w:eastAsia="宋体" w:hint="default"/>
          <w:sz w:val="17"/>
          <w:szCs w:val="17"/>
        </w:rPr>
      </w:pPr>
    </w:p>
    <w:p>
      <w:pPr>
        <w:pStyle w:val="BodyText"/>
        <w:spacing w:line="240" w:lineRule="auto"/>
        <w:ind w:left="654" w:right="1029"/>
        <w:jc w:val="left"/>
      </w:pPr>
      <w:r>
        <w:rPr/>
        <w:t>本期计提坏账准备金额</w:t>
      </w:r>
      <w:r>
        <w:rPr>
          <w:spacing w:val="-53"/>
        </w:rPr>
        <w:t> </w:t>
      </w:r>
      <w:r>
        <w:rPr>
          <w:rFonts w:ascii="宋体" w:hAnsi="宋体" w:cs="宋体" w:eastAsia="宋体" w:hint="default"/>
        </w:rPr>
        <w:t>158,287.59</w:t>
      </w:r>
      <w:r>
        <w:rPr>
          <w:rFonts w:ascii="宋体" w:hAnsi="宋体" w:cs="宋体" w:eastAsia="宋体" w:hint="default"/>
          <w:spacing w:val="-54"/>
        </w:rPr>
        <w:t> </w:t>
      </w:r>
      <w:r>
        <w:rPr/>
        <w:t>元；本期无收回或转回坏账准备情况。</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(3)</w:t>
      </w:r>
      <w:r>
        <w:rPr>
          <w:rFonts w:ascii="宋体" w:hAnsi="宋体" w:cs="宋体" w:eastAsia="宋体" w:hint="default"/>
          <w:spacing w:val="-1"/>
        </w:rPr>
        <w:t> </w:t>
      </w:r>
      <w:r>
        <w:rPr/>
        <w:t>其他应收款款项性质分类情况</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437"/>
        <w:gridCol w:w="2216"/>
        <w:gridCol w:w="2218"/>
      </w:tblGrid>
      <w:tr>
        <w:trPr>
          <w:trHeight w:val="47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646,005,069.61</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371,315,592.96</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2,780,362.07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10,663,242.39</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2,528,264.25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3,814,738.22</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7,390,674.89</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11,374,175.83</w:t>
            </w:r>
          </w:p>
        </w:tc>
      </w:tr>
    </w:tbl>
    <w:p>
      <w:pPr>
        <w:spacing w:after="0" w:line="240" w:lineRule="auto"/>
        <w:jc w:val="righ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566" w:type="dxa"/>
        <w:tblLayout w:type="fixed"/>
        <w:tblCellMar>
          <w:top w:w="0" w:type="dxa"/>
          <w:left w:w="0" w:type="dxa"/>
          <w:bottom w:w="0" w:type="dxa"/>
          <w:right w:w="0" w:type="dxa"/>
        </w:tblCellMar>
        <w:tblLook w:val="01E0"/>
      </w:tblPr>
      <w:tblGrid>
        <w:gridCol w:w="5437"/>
        <w:gridCol w:w="2216"/>
        <w:gridCol w:w="2218"/>
      </w:tblGrid>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767"/>
              <w:jc w:val="right"/>
              <w:rPr>
                <w:rFonts w:ascii="宋体" w:hAnsi="宋体" w:cs="宋体" w:eastAsia="宋体" w:hint="default"/>
                <w:sz w:val="18"/>
                <w:szCs w:val="18"/>
              </w:rPr>
            </w:pPr>
            <w:r>
              <w:rPr>
                <w:rFonts w:ascii="宋体" w:hAnsi="宋体" w:cs="宋体" w:eastAsia="宋体" w:hint="default"/>
                <w:sz w:val="18"/>
                <w:szCs w:val="18"/>
              </w:rPr>
              <w:t>备用金</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1,844,303.75</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1,172,331.91</w:t>
            </w:r>
          </w:p>
        </w:tc>
      </w:tr>
      <w:tr>
        <w:trPr>
          <w:trHeight w:val="558" w:hRule="exact"/>
        </w:trPr>
        <w:tc>
          <w:tcPr>
            <w:tcW w:w="54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4767"/>
              <w:jc w:val="right"/>
              <w:rPr>
                <w:rFonts w:ascii="宋体" w:hAnsi="宋体" w:cs="宋体" w:eastAsia="宋体" w:hint="default"/>
                <w:sz w:val="18"/>
                <w:szCs w:val="18"/>
              </w:rPr>
            </w:pPr>
            <w:r>
              <w:rPr>
                <w:rFonts w:ascii="宋体" w:hAnsi="宋体" w:cs="宋体" w:eastAsia="宋体" w:hint="default"/>
                <w:sz w:val="18"/>
                <w:szCs w:val="18"/>
              </w:rPr>
              <w:t>合计</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660,548,674.57</w:t>
            </w:r>
          </w:p>
        </w:tc>
        <w:tc>
          <w:tcPr>
            <w:tcW w:w="2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398,340,081.31</w:t>
            </w:r>
          </w:p>
        </w:tc>
      </w:tr>
    </w:tbl>
    <w:p>
      <w:pPr>
        <w:spacing w:line="240" w:lineRule="auto" w:before="4"/>
        <w:rPr>
          <w:rFonts w:ascii="宋体" w:hAnsi="宋体" w:cs="宋体" w:eastAsia="宋体" w:hint="default"/>
          <w:sz w:val="5"/>
          <w:szCs w:val="5"/>
        </w:rPr>
      </w:pPr>
    </w:p>
    <w:p>
      <w:pPr>
        <w:pStyle w:val="BodyText"/>
        <w:spacing w:line="240" w:lineRule="auto" w:before="35"/>
        <w:ind w:left="1114" w:right="0"/>
        <w:jc w:val="left"/>
      </w:pPr>
      <w:r>
        <w:rPr>
          <w:rFonts w:ascii="宋体" w:hAnsi="宋体" w:cs="宋体" w:eastAsia="宋体" w:hint="default"/>
        </w:rPr>
        <w:t>(4)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3"/>
        <w:rPr>
          <w:rFonts w:ascii="宋体" w:hAnsi="宋体" w:cs="宋体" w:eastAsia="宋体" w:hint="default"/>
          <w:sz w:val="12"/>
          <w:szCs w:val="12"/>
        </w:rPr>
      </w:pPr>
    </w:p>
    <w:tbl>
      <w:tblPr>
        <w:tblW w:w="0" w:type="auto"/>
        <w:jc w:val="left"/>
        <w:tblInd w:w="566" w:type="dxa"/>
        <w:tblLayout w:type="fixed"/>
        <w:tblCellMar>
          <w:top w:w="0" w:type="dxa"/>
          <w:left w:w="0" w:type="dxa"/>
          <w:bottom w:w="0" w:type="dxa"/>
          <w:right w:w="0" w:type="dxa"/>
        </w:tblCellMar>
        <w:tblLook w:val="01E0"/>
      </w:tblPr>
      <w:tblGrid>
        <w:gridCol w:w="3197"/>
        <w:gridCol w:w="1019"/>
        <w:gridCol w:w="1780"/>
        <w:gridCol w:w="954"/>
        <w:gridCol w:w="1374"/>
        <w:gridCol w:w="1546"/>
      </w:tblGrid>
      <w:tr>
        <w:trPr>
          <w:trHeight w:val="754"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96" w:right="96" w:firstLine="44"/>
              <w:jc w:val="left"/>
              <w:rPr>
                <w:rFonts w:ascii="宋体" w:hAnsi="宋体" w:cs="宋体" w:eastAsia="宋体" w:hint="default"/>
                <w:sz w:val="18"/>
                <w:szCs w:val="18"/>
              </w:rPr>
            </w:pPr>
            <w:r>
              <w:rPr>
                <w:rFonts w:ascii="宋体" w:hAnsi="宋体" w:cs="宋体" w:eastAsia="宋体" w:hint="default"/>
                <w:sz w:val="18"/>
                <w:szCs w:val="18"/>
              </w:rPr>
              <w:t>占其他应收款 余额的比例</w:t>
            </w: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249,346,000.00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37.75</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152,850,833.33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23.14</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利欧集团数字科技上海有限公司</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137,000,000.00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20.74</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73,370,000.00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11.11</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泵业有限公司</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14,080,000.00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2.13</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9"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626,646,833.33</w:t>
            </w:r>
          </w:p>
        </w:tc>
        <w:tc>
          <w:tcPr>
            <w:tcW w:w="95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94.87</w:t>
            </w:r>
          </w:p>
        </w:tc>
        <w:tc>
          <w:tcPr>
            <w:tcW w:w="15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11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：其中账龄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49,436,000.00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158,211,224.52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41,698,775.48</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0"/>
          <w:szCs w:val="20"/>
        </w:rPr>
      </w:pPr>
    </w:p>
    <w:p>
      <w:pPr>
        <w:spacing w:before="0"/>
        <w:ind w:left="11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：其中账龄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36,690,000.00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36,680,000.00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20"/>
          <w:szCs w:val="20"/>
        </w:rPr>
      </w:pPr>
    </w:p>
    <w:p>
      <w:pPr>
        <w:spacing w:before="0"/>
        <w:ind w:left="11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：其中账龄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3,250,000.00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10,830,000.00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444" w:lineRule="auto"/>
        <w:ind w:left="1114" w:right="8862"/>
        <w:jc w:val="left"/>
      </w:pPr>
      <w:bookmarkStart w:name="3.长期股权投资" w:id="261"/>
      <w:bookmarkEnd w:id="261"/>
      <w:r>
        <w:rPr/>
      </w:r>
      <w:r>
        <w:rPr>
          <w:rFonts w:ascii="宋体" w:hAnsi="宋体" w:cs="宋体" w:eastAsia="宋体" w:hint="default"/>
        </w:rPr>
        <w:t>3.</w:t>
      </w:r>
      <w:r>
        <w:rPr/>
        <w:t>长期股权投资 </w:t>
      </w:r>
      <w:r>
        <w:rPr>
          <w:rFonts w:ascii="宋体" w:hAnsi="宋体" w:cs="宋体" w:eastAsia="宋体" w:hint="default"/>
        </w:rPr>
        <w:t>(1)</w:t>
      </w:r>
      <w:r>
        <w:rPr/>
        <w:t>明细情况</w:t>
      </w:r>
    </w:p>
    <w:tbl>
      <w:tblPr>
        <w:tblW w:w="0" w:type="auto"/>
        <w:jc w:val="left"/>
        <w:tblInd w:w="566" w:type="dxa"/>
        <w:tblLayout w:type="fixed"/>
        <w:tblCellMar>
          <w:top w:w="0" w:type="dxa"/>
          <w:left w:w="0" w:type="dxa"/>
          <w:bottom w:w="0" w:type="dxa"/>
          <w:right w:w="0" w:type="dxa"/>
        </w:tblCellMar>
        <w:tblLook w:val="01E0"/>
      </w:tblPr>
      <w:tblGrid>
        <w:gridCol w:w="1859"/>
        <w:gridCol w:w="1826"/>
        <w:gridCol w:w="701"/>
        <w:gridCol w:w="1656"/>
        <w:gridCol w:w="1647"/>
        <w:gridCol w:w="646"/>
        <w:gridCol w:w="1698"/>
      </w:tblGrid>
      <w:tr>
        <w:trPr>
          <w:trHeight w:val="350" w:hRule="exact"/>
        </w:trPr>
        <w:tc>
          <w:tcPr>
            <w:tcW w:w="1859"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99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7"/>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634" w:hRule="exact"/>
        </w:trPr>
        <w:tc>
          <w:tcPr>
            <w:tcW w:w="1859" w:type="dxa"/>
            <w:vMerge/>
            <w:tcBorders>
              <w:left w:val="nil" w:sz="6" w:space="0" w:color="auto"/>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33"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47" w:right="91"/>
              <w:jc w:val="left"/>
              <w:rPr>
                <w:rFonts w:ascii="宋体" w:hAnsi="宋体" w:cs="宋体" w:eastAsia="宋体" w:hint="default"/>
                <w:sz w:val="18"/>
                <w:szCs w:val="18"/>
              </w:rPr>
            </w:pPr>
            <w:r>
              <w:rPr>
                <w:rFonts w:ascii="宋体" w:hAnsi="宋体" w:cs="宋体" w:eastAsia="宋体" w:hint="default"/>
                <w:spacing w:val="-5"/>
                <w:sz w:val="18"/>
                <w:szCs w:val="18"/>
              </w:rPr>
              <w:t>减值 准备</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48"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42"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19" w:right="65"/>
              <w:jc w:val="left"/>
              <w:rPr>
                <w:rFonts w:ascii="宋体" w:hAnsi="宋体" w:cs="宋体" w:eastAsia="宋体" w:hint="default"/>
                <w:sz w:val="18"/>
                <w:szCs w:val="18"/>
              </w:rPr>
            </w:pPr>
            <w:r>
              <w:rPr>
                <w:rFonts w:ascii="宋体" w:hAnsi="宋体" w:cs="宋体" w:eastAsia="宋体" w:hint="default"/>
                <w:spacing w:val="-5"/>
                <w:sz w:val="18"/>
                <w:szCs w:val="18"/>
              </w:rPr>
              <w:t>减值 准备</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568"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5"/>
                <w:szCs w:val="15"/>
              </w:rPr>
            </w:pPr>
            <w:r>
              <w:rPr>
                <w:rFonts w:ascii="宋体"/>
                <w:spacing w:val="-1"/>
                <w:sz w:val="15"/>
              </w:rPr>
              <w:t>4,402,607,895.02</w:t>
            </w:r>
          </w:p>
        </w:tc>
        <w:tc>
          <w:tcPr>
            <w:tcW w:w="7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15"/>
                <w:szCs w:val="15"/>
              </w:rPr>
            </w:pPr>
            <w:r>
              <w:rPr>
                <w:rFonts w:ascii="宋体"/>
                <w:spacing w:val="-1"/>
                <w:sz w:val="15"/>
              </w:rPr>
              <w:t>4,402,607,895.02</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15"/>
                <w:szCs w:val="15"/>
              </w:rPr>
            </w:pPr>
            <w:r>
              <w:rPr>
                <w:rFonts w:ascii="宋体"/>
                <w:spacing w:val="-1"/>
                <w:sz w:val="15"/>
              </w:rPr>
              <w:t>1,415,379,415.54</w:t>
            </w:r>
          </w:p>
        </w:tc>
        <w:tc>
          <w:tcPr>
            <w:tcW w:w="64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15"/>
                <w:szCs w:val="15"/>
              </w:rPr>
            </w:pPr>
            <w:r>
              <w:rPr>
                <w:rFonts w:ascii="宋体"/>
                <w:spacing w:val="-1"/>
                <w:sz w:val="15"/>
              </w:rPr>
              <w:t>1,415,379,415.54</w:t>
            </w:r>
          </w:p>
        </w:tc>
      </w:tr>
      <w:tr>
        <w:trPr>
          <w:trHeight w:val="479"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15"/>
                <w:szCs w:val="15"/>
              </w:rPr>
            </w:pPr>
            <w:r>
              <w:rPr>
                <w:rFonts w:ascii="宋体"/>
                <w:spacing w:val="-1"/>
                <w:sz w:val="15"/>
              </w:rPr>
              <w:t>110,841,914.89</w:t>
            </w:r>
          </w:p>
        </w:tc>
        <w:tc>
          <w:tcPr>
            <w:tcW w:w="7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5"/>
                <w:szCs w:val="15"/>
              </w:rPr>
            </w:pPr>
            <w:r>
              <w:rPr>
                <w:rFonts w:ascii="宋体"/>
                <w:spacing w:val="-1"/>
                <w:sz w:val="15"/>
              </w:rPr>
              <w:t>110,841,914.89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宋体" w:hAnsi="宋体" w:cs="宋体" w:eastAsia="宋体" w:hint="default"/>
                <w:sz w:val="15"/>
                <w:szCs w:val="15"/>
              </w:rPr>
            </w:pPr>
            <w:r>
              <w:rPr>
                <w:rFonts w:ascii="宋体"/>
                <w:spacing w:val="-1"/>
                <w:sz w:val="15"/>
              </w:rPr>
              <w:t>96,745,428.04</w:t>
            </w:r>
          </w:p>
        </w:tc>
        <w:tc>
          <w:tcPr>
            <w:tcW w:w="64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6"/>
              <w:jc w:val="right"/>
              <w:rPr>
                <w:rFonts w:ascii="宋体" w:hAnsi="宋体" w:cs="宋体" w:eastAsia="宋体" w:hint="default"/>
                <w:sz w:val="15"/>
                <w:szCs w:val="15"/>
              </w:rPr>
            </w:pPr>
            <w:r>
              <w:rPr>
                <w:rFonts w:ascii="宋体"/>
                <w:spacing w:val="-1"/>
                <w:sz w:val="15"/>
              </w:rPr>
              <w:t>96,745,428.04</w:t>
            </w:r>
          </w:p>
        </w:tc>
      </w:tr>
      <w:tr>
        <w:trPr>
          <w:trHeight w:val="478" w:hRule="exact"/>
        </w:trPr>
        <w:tc>
          <w:tcPr>
            <w:tcW w:w="18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15"/>
                <w:szCs w:val="15"/>
              </w:rPr>
            </w:pPr>
            <w:r>
              <w:rPr>
                <w:rFonts w:ascii="宋体"/>
                <w:spacing w:val="-1"/>
                <w:sz w:val="15"/>
              </w:rPr>
              <w:t>4,513,449,809.91</w:t>
            </w:r>
          </w:p>
        </w:tc>
        <w:tc>
          <w:tcPr>
            <w:tcW w:w="7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15"/>
                <w:szCs w:val="15"/>
              </w:rPr>
            </w:pPr>
            <w:r>
              <w:rPr>
                <w:rFonts w:ascii="宋体"/>
                <w:spacing w:val="-1"/>
                <w:sz w:val="15"/>
              </w:rPr>
              <w:t>4,513,449,809.91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15"/>
                <w:szCs w:val="15"/>
              </w:rPr>
            </w:pPr>
            <w:r>
              <w:rPr>
                <w:rFonts w:ascii="宋体"/>
                <w:spacing w:val="-1"/>
                <w:sz w:val="15"/>
              </w:rPr>
              <w:t>1,512,124,843.58</w:t>
            </w:r>
          </w:p>
        </w:tc>
        <w:tc>
          <w:tcPr>
            <w:tcW w:w="646"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15"/>
                <w:szCs w:val="15"/>
              </w:rPr>
            </w:pPr>
            <w:r>
              <w:rPr>
                <w:rFonts w:ascii="宋体"/>
                <w:spacing w:val="-1"/>
                <w:sz w:val="15"/>
              </w:rPr>
              <w:t>1,512,124,843.58</w:t>
            </w:r>
          </w:p>
        </w:tc>
      </w:tr>
    </w:tbl>
    <w:p>
      <w:pPr>
        <w:pStyle w:val="BodyText"/>
        <w:spacing w:line="240" w:lineRule="auto" w:before="95"/>
        <w:ind w:left="1114" w:right="0"/>
        <w:jc w:val="left"/>
      </w:pPr>
      <w:r>
        <w:rPr>
          <w:rFonts w:ascii="宋体" w:hAnsi="宋体" w:cs="宋体" w:eastAsia="宋体" w:hint="default"/>
        </w:rPr>
        <w:t>(2)</w:t>
      </w:r>
      <w:r>
        <w:rPr/>
        <w:t>对子公司投资</w:t>
      </w:r>
    </w:p>
    <w:p>
      <w:pPr>
        <w:spacing w:line="240" w:lineRule="auto" w:before="1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562"/>
        <w:gridCol w:w="1989"/>
        <w:gridCol w:w="1598"/>
        <w:gridCol w:w="1372"/>
        <w:gridCol w:w="1420"/>
        <w:gridCol w:w="850"/>
        <w:gridCol w:w="851"/>
      </w:tblGrid>
      <w:tr>
        <w:trPr>
          <w:trHeight w:val="754"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68" w:right="4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158" w:right="55" w:hanging="90"/>
              <w:jc w:val="left"/>
              <w:rPr>
                <w:rFonts w:ascii="宋体" w:hAnsi="宋体" w:cs="宋体" w:eastAsia="宋体" w:hint="default"/>
                <w:sz w:val="18"/>
                <w:szCs w:val="18"/>
              </w:rPr>
            </w:pPr>
            <w:r>
              <w:rPr>
                <w:rFonts w:ascii="宋体" w:hAnsi="宋体" w:cs="宋体" w:eastAsia="宋体" w:hint="default"/>
                <w:sz w:val="18"/>
                <w:szCs w:val="18"/>
              </w:rPr>
              <w:t>减值准备 期末数</w:t>
            </w: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37,583,000.00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37,583,000.00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18,542,818.80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85" w:right="0"/>
              <w:jc w:val="left"/>
              <w:rPr>
                <w:rFonts w:ascii="宋体" w:hAnsi="宋体" w:cs="宋体" w:eastAsia="宋体" w:hint="default"/>
                <w:sz w:val="15"/>
                <w:szCs w:val="15"/>
              </w:rPr>
            </w:pPr>
            <w:r>
              <w:rPr>
                <w:rFonts w:ascii="宋体"/>
                <w:sz w:val="15"/>
              </w:rPr>
              <w:t>1,839,860.00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20,382,678.80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4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2562"/>
        <w:gridCol w:w="1989"/>
        <w:gridCol w:w="1598"/>
        <w:gridCol w:w="1372"/>
        <w:gridCol w:w="1420"/>
        <w:gridCol w:w="850"/>
        <w:gridCol w:w="851"/>
      </w:tblGrid>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120,000,000.00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浙江利欧环境科技有限公司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7,000,000.00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7,000,000.00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13,690,000.00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5"/>
                <w:szCs w:val="15"/>
              </w:rPr>
            </w:pPr>
            <w:r>
              <w:rPr>
                <w:rFonts w:ascii="宋体"/>
                <w:spacing w:val="-1"/>
                <w:sz w:val="15"/>
              </w:rPr>
              <w:t>13,690,000.00</w:t>
            </w:r>
          </w:p>
        </w:tc>
        <w:tc>
          <w:tcPr>
            <w:tcW w:w="14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9"/>
              <w:ind w:left="122" w:right="87"/>
              <w:jc w:val="left"/>
              <w:rPr>
                <w:rFonts w:ascii="宋体" w:hAnsi="宋体" w:cs="宋体" w:eastAsia="宋体" w:hint="default"/>
                <w:sz w:val="18"/>
                <w:szCs w:val="18"/>
              </w:rPr>
            </w:pPr>
            <w:r>
              <w:rPr>
                <w:rFonts w:ascii="宋体" w:hAnsi="宋体" w:cs="宋体" w:eastAsia="宋体" w:hint="default"/>
                <w:spacing w:val="15"/>
                <w:sz w:val="18"/>
                <w:szCs w:val="18"/>
              </w:rPr>
              <w:t>湖南利欧天鹅工业泵有限公 </w:t>
            </w:r>
            <w:r>
              <w:rPr>
                <w:rFonts w:ascii="宋体" w:hAnsi="宋体" w:cs="宋体" w:eastAsia="宋体" w:hint="default"/>
                <w:sz w:val="18"/>
                <w:szCs w:val="18"/>
              </w:rPr>
              <w:t>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291,645,066.74</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291,645,066.74</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59,300,000.00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52,690,000.00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111,990,000.00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81,000,000.00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28,823,619.48</w:t>
            </w: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109,823,619.48</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9"/>
              <w:ind w:left="122" w:right="87"/>
              <w:jc w:val="left"/>
              <w:rPr>
                <w:rFonts w:ascii="宋体" w:hAnsi="宋体" w:cs="宋体" w:eastAsia="宋体" w:hint="default"/>
                <w:sz w:val="18"/>
                <w:szCs w:val="18"/>
              </w:rPr>
            </w:pPr>
            <w:r>
              <w:rPr>
                <w:rFonts w:ascii="宋体" w:hAnsi="宋体" w:cs="宋体" w:eastAsia="宋体" w:hint="default"/>
                <w:spacing w:val="15"/>
                <w:sz w:val="18"/>
                <w:szCs w:val="18"/>
              </w:rPr>
              <w:t>上海利泵流体科技发展有限 </w:t>
            </w:r>
            <w:r>
              <w:rPr>
                <w:rFonts w:ascii="宋体" w:hAnsi="宋体" w:cs="宋体" w:eastAsia="宋体" w:hint="default"/>
                <w:sz w:val="18"/>
                <w:szCs w:val="18"/>
              </w:rPr>
              <w:t>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6,375,000.00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6,375,000.00</w:t>
            </w:r>
          </w:p>
        </w:tc>
        <w:tc>
          <w:tcPr>
            <w:tcW w:w="14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9"/>
              <w:ind w:left="122" w:right="11"/>
              <w:jc w:val="left"/>
              <w:rPr>
                <w:rFonts w:ascii="宋体" w:hAnsi="宋体" w:cs="宋体" w:eastAsia="宋体" w:hint="default"/>
                <w:sz w:val="18"/>
                <w:szCs w:val="18"/>
              </w:rPr>
            </w:pPr>
            <w:r>
              <w:rPr>
                <w:rFonts w:ascii="宋体" w:hAnsi="宋体" w:cs="宋体" w:eastAsia="宋体" w:hint="default"/>
                <w:spacing w:val="5"/>
                <w:sz w:val="18"/>
                <w:szCs w:val="18"/>
              </w:rPr>
              <w:t>利欧</w:t>
            </w:r>
            <w:r>
              <w:rPr>
                <w:rFonts w:ascii="宋体" w:hAnsi="宋体" w:cs="宋体" w:eastAsia="宋体" w:hint="default"/>
                <w:spacing w:val="5"/>
                <w:sz w:val="18"/>
                <w:szCs w:val="18"/>
              </w:rPr>
              <w:t>(</w:t>
            </w:r>
            <w:r>
              <w:rPr>
                <w:rFonts w:ascii="宋体" w:hAnsi="宋体" w:cs="宋体" w:eastAsia="宋体" w:hint="default"/>
                <w:spacing w:val="5"/>
                <w:sz w:val="18"/>
                <w:szCs w:val="18"/>
              </w:rPr>
              <w:t>大连</w:t>
            </w:r>
            <w:r>
              <w:rPr>
                <w:rFonts w:ascii="宋体" w:hAnsi="宋体" w:cs="宋体" w:eastAsia="宋体" w:hint="default"/>
                <w:spacing w:val="5"/>
                <w:sz w:val="18"/>
                <w:szCs w:val="18"/>
              </w:rPr>
              <w:t>)</w:t>
            </w:r>
            <w:r>
              <w:rPr>
                <w:rFonts w:ascii="宋体" w:hAnsi="宋体" w:cs="宋体" w:eastAsia="宋体" w:hint="default"/>
                <w:spacing w:val="5"/>
                <w:sz w:val="18"/>
                <w:szCs w:val="18"/>
              </w:rPr>
              <w:t>工业泵技术中心有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10,180,000.00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9"/>
              <w:ind w:left="122" w:right="23"/>
              <w:jc w:val="left"/>
              <w:rPr>
                <w:rFonts w:ascii="宋体" w:hAnsi="宋体" w:cs="宋体" w:eastAsia="宋体" w:hint="default"/>
                <w:sz w:val="18"/>
                <w:szCs w:val="18"/>
              </w:rPr>
            </w:pPr>
            <w:r>
              <w:rPr>
                <w:rFonts w:ascii="宋体" w:hAnsi="宋体" w:cs="宋体" w:eastAsia="宋体" w:hint="default"/>
                <w:spacing w:val="4"/>
                <w:sz w:val="18"/>
                <w:szCs w:val="18"/>
              </w:rPr>
              <w:t>利普诺持之水泵系统</w:t>
            </w:r>
            <w:r>
              <w:rPr>
                <w:rFonts w:ascii="宋体" w:hAnsi="宋体" w:cs="宋体" w:eastAsia="宋体" w:hint="default"/>
                <w:spacing w:val="4"/>
                <w:sz w:val="18"/>
                <w:szCs w:val="18"/>
              </w:rPr>
              <w:t>(</w:t>
            </w:r>
            <w:r>
              <w:rPr>
                <w:rFonts w:ascii="宋体" w:hAnsi="宋体" w:cs="宋体" w:eastAsia="宋体" w:hint="default"/>
                <w:spacing w:val="4"/>
                <w:sz w:val="18"/>
                <w:szCs w:val="18"/>
              </w:rPr>
              <w:t>上海</w:t>
            </w:r>
            <w:r>
              <w:rPr>
                <w:rFonts w:ascii="宋体" w:hAnsi="宋体" w:cs="宋体" w:eastAsia="宋体" w:hint="default"/>
                <w:spacing w:val="4"/>
                <w:sz w:val="18"/>
                <w:szCs w:val="18"/>
              </w:rPr>
              <w:t>)</w:t>
            </w:r>
            <w:r>
              <w:rPr>
                <w:rFonts w:ascii="宋体" w:hAnsi="宋体" w:cs="宋体" w:eastAsia="宋体" w:hint="default"/>
                <w:spacing w:val="4"/>
                <w:sz w:val="18"/>
                <w:szCs w:val="18"/>
              </w:rPr>
              <w:t>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3,060,000.00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3,060,000.00</w:t>
            </w:r>
          </w:p>
        </w:tc>
        <w:tc>
          <w:tcPr>
            <w:tcW w:w="14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344,450,000.00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344,450,000.00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225,939,000.00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225,939,000.00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9"/>
              <w:ind w:left="122" w:right="101"/>
              <w:jc w:val="left"/>
              <w:rPr>
                <w:rFonts w:ascii="宋体" w:hAnsi="宋体" w:cs="宋体" w:eastAsia="宋体" w:hint="default"/>
                <w:sz w:val="18"/>
                <w:szCs w:val="18"/>
              </w:rPr>
            </w:pPr>
            <w:r>
              <w:rPr>
                <w:rFonts w:ascii="宋体" w:hAnsi="宋体" w:cs="宋体" w:eastAsia="宋体" w:hint="default"/>
                <w:spacing w:val="12"/>
                <w:sz w:val="18"/>
                <w:szCs w:val="18"/>
              </w:rPr>
              <w:t>银色琥珀文化传播</w:t>
            </w:r>
            <w:r>
              <w:rPr>
                <w:rFonts w:ascii="宋体" w:hAnsi="宋体" w:cs="宋体" w:eastAsia="宋体" w:hint="default"/>
                <w:spacing w:val="12"/>
                <w:sz w:val="18"/>
                <w:szCs w:val="18"/>
              </w:rPr>
              <w:t>(</w:t>
            </w:r>
            <w:r>
              <w:rPr>
                <w:rFonts w:ascii="宋体" w:hAnsi="宋体" w:cs="宋体" w:eastAsia="宋体" w:hint="default"/>
                <w:spacing w:val="12"/>
                <w:sz w:val="18"/>
                <w:szCs w:val="18"/>
              </w:rPr>
              <w:t>北京</w:t>
            </w:r>
            <w:r>
              <w:rPr>
                <w:rFonts w:ascii="宋体" w:hAnsi="宋体" w:cs="宋体" w:eastAsia="宋体" w:hint="default"/>
                <w:spacing w:val="12"/>
                <w:sz w:val="18"/>
                <w:szCs w:val="18"/>
              </w:rPr>
              <w:t>)</w:t>
            </w:r>
            <w:r>
              <w:rPr>
                <w:rFonts w:ascii="宋体" w:hAnsi="宋体" w:cs="宋体" w:eastAsia="宋体" w:hint="default"/>
                <w:spacing w:val="12"/>
                <w:sz w:val="18"/>
                <w:szCs w:val="18"/>
              </w:rPr>
              <w:t>有</w:t>
            </w:r>
            <w:r>
              <w:rPr>
                <w:rFonts w:ascii="宋体" w:hAnsi="宋体" w:cs="宋体" w:eastAsia="宋体" w:hint="default"/>
                <w:spacing w:val="-79"/>
                <w:sz w:val="18"/>
                <w:szCs w:val="18"/>
              </w:rPr>
              <w:t> </w:t>
            </w:r>
            <w:r>
              <w:rPr>
                <w:rFonts w:ascii="宋体" w:hAnsi="宋体" w:cs="宋体" w:eastAsia="宋体" w:hint="default"/>
                <w:sz w:val="18"/>
                <w:szCs w:val="18"/>
              </w:rPr>
              <w:t>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195,000,000.00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195,000,000.00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利欧中东公司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614,530.00</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614,530.00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198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5,000,000.00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9"/>
              <w:ind w:left="122" w:right="87"/>
              <w:jc w:val="left"/>
              <w:rPr>
                <w:rFonts w:ascii="宋体" w:hAnsi="宋体" w:cs="宋体" w:eastAsia="宋体" w:hint="default"/>
                <w:sz w:val="18"/>
                <w:szCs w:val="18"/>
              </w:rPr>
            </w:pPr>
            <w:r>
              <w:rPr>
                <w:rFonts w:ascii="宋体" w:hAnsi="宋体" w:cs="宋体" w:eastAsia="宋体" w:hint="default"/>
                <w:spacing w:val="15"/>
                <w:sz w:val="18"/>
                <w:szCs w:val="18"/>
              </w:rPr>
              <w:t>温岭滨泰科进出口有限公司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8"/>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1026"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477" w:lineRule="auto" w:before="129"/>
              <w:ind w:left="122" w:right="87"/>
              <w:jc w:val="left"/>
              <w:rPr>
                <w:rFonts w:ascii="宋体" w:hAnsi="宋体" w:cs="宋体" w:eastAsia="宋体" w:hint="default"/>
                <w:sz w:val="18"/>
                <w:szCs w:val="18"/>
              </w:rPr>
            </w:pPr>
            <w:r>
              <w:rPr>
                <w:rFonts w:ascii="宋体" w:hAnsi="宋体" w:cs="宋体" w:eastAsia="宋体" w:hint="default"/>
                <w:spacing w:val="15"/>
                <w:sz w:val="18"/>
                <w:szCs w:val="18"/>
              </w:rPr>
              <w:t>江苏万圣伟业网络科技有限 </w:t>
            </w:r>
            <w:r>
              <w:rPr>
                <w:rFonts w:ascii="宋体" w:hAnsi="宋体" w:cs="宋体" w:eastAsia="宋体" w:hint="default"/>
                <w:sz w:val="18"/>
                <w:szCs w:val="18"/>
              </w:rPr>
              <w:t>公司</w:t>
            </w:r>
          </w:p>
        </w:tc>
        <w:tc>
          <w:tcPr>
            <w:tcW w:w="198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2,072,000,000.00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2,072,000,000.00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北京微创时代广告有限公司</w:t>
            </w:r>
          </w:p>
        </w:tc>
        <w:tc>
          <w:tcPr>
            <w:tcW w:w="198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840,000,000.00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840,000,000.00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5"/>
                <w:sz w:val="18"/>
                <w:szCs w:val="18"/>
              </w:rPr>
              <w:t>利欧集团数字科技上海有限</w:t>
            </w:r>
            <w:r>
              <w:rPr>
                <w:rFonts w:ascii="宋体" w:hAnsi="宋体" w:cs="宋体" w:eastAsia="宋体" w:hint="default"/>
                <w:sz w:val="18"/>
                <w:szCs w:val="18"/>
              </w:rPr>
            </w:r>
          </w:p>
        </w:tc>
        <w:tc>
          <w:tcPr>
            <w:tcW w:w="198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10,000,000.00</w:t>
            </w: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4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2562"/>
        <w:gridCol w:w="1989"/>
        <w:gridCol w:w="1598"/>
        <w:gridCol w:w="1372"/>
        <w:gridCol w:w="1420"/>
        <w:gridCol w:w="850"/>
        <w:gridCol w:w="851"/>
      </w:tblGrid>
      <w:tr>
        <w:trPr>
          <w:trHeight w:val="51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8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上海利柯网络科技有限公司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利欧集团浙江泵业有限公司</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7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9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5" w:right="0"/>
              <w:jc w:val="left"/>
              <w:rPr>
                <w:rFonts w:ascii="宋体" w:hAnsi="宋体" w:cs="宋体" w:eastAsia="宋体" w:hint="default"/>
                <w:sz w:val="15"/>
                <w:szCs w:val="15"/>
              </w:rPr>
            </w:pPr>
            <w:r>
              <w:rPr>
                <w:rFonts w:ascii="宋体"/>
                <w:sz w:val="15"/>
              </w:rPr>
              <w:t>1,415,379,415.54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5" w:right="0"/>
              <w:jc w:val="left"/>
              <w:rPr>
                <w:rFonts w:ascii="宋体" w:hAnsi="宋体" w:cs="宋体" w:eastAsia="宋体" w:hint="default"/>
                <w:sz w:val="15"/>
                <w:szCs w:val="15"/>
              </w:rPr>
            </w:pPr>
            <w:r>
              <w:rPr>
                <w:rFonts w:ascii="宋体"/>
                <w:sz w:val="15"/>
              </w:rPr>
              <w:t>3,010,353,479.48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4" w:right="0"/>
              <w:jc w:val="left"/>
              <w:rPr>
                <w:rFonts w:ascii="宋体" w:hAnsi="宋体" w:cs="宋体" w:eastAsia="宋体" w:hint="default"/>
                <w:sz w:val="15"/>
                <w:szCs w:val="15"/>
              </w:rPr>
            </w:pPr>
            <w:r>
              <w:rPr>
                <w:rFonts w:ascii="宋体"/>
                <w:sz w:val="15"/>
              </w:rPr>
              <w:t>23,125,000.00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5"/>
                <w:szCs w:val="15"/>
              </w:rPr>
            </w:pPr>
            <w:r>
              <w:rPr>
                <w:rFonts w:ascii="宋体"/>
                <w:sz w:val="15"/>
              </w:rPr>
              <w:t>4,402,607,895.02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Times New Roman" w:hAnsi="Times New Roman" w:cs="Times New Roman" w:eastAsia="Times New Roman" w:hint="default"/>
          <w:sz w:val="13"/>
          <w:szCs w:val="13"/>
        </w:rPr>
      </w:pPr>
    </w:p>
    <w:p>
      <w:pPr>
        <w:spacing w:before="44"/>
        <w:ind w:left="11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z w:val="18"/>
          <w:szCs w:val="18"/>
        </w:rPr>
        <w:t>：根据温岭滨泰《公司章程》的相关规定，该公司认缴的注册资本为</w:t>
      </w:r>
      <w:r>
        <w:rPr>
          <w:rFonts w:ascii="宋体" w:hAnsi="宋体" w:cs="宋体" w:eastAsia="宋体" w:hint="default"/>
          <w:spacing w:val="-41"/>
          <w:sz w:val="18"/>
          <w:szCs w:val="18"/>
        </w:rPr>
        <w:t> </w:t>
      </w:r>
      <w:r>
        <w:rPr>
          <w:rFonts w:ascii="宋体" w:hAnsi="宋体" w:cs="宋体" w:eastAsia="宋体" w:hint="default"/>
          <w:sz w:val="18"/>
          <w:szCs w:val="18"/>
        </w:rPr>
        <w:t>100</w:t>
      </w:r>
      <w:r>
        <w:rPr>
          <w:rFonts w:ascii="宋体" w:hAnsi="宋体" w:cs="宋体" w:eastAsia="宋体" w:hint="default"/>
          <w:spacing w:val="-41"/>
          <w:sz w:val="18"/>
          <w:szCs w:val="18"/>
        </w:rPr>
        <w:t> </w:t>
      </w:r>
      <w:r>
        <w:rPr>
          <w:rFonts w:ascii="宋体" w:hAnsi="宋体" w:cs="宋体" w:eastAsia="宋体" w:hint="default"/>
          <w:sz w:val="18"/>
          <w:szCs w:val="18"/>
        </w:rPr>
        <w:t>万元，本公司认缴应于</w:t>
      </w:r>
      <w:r>
        <w:rPr>
          <w:rFonts w:ascii="宋体" w:hAnsi="宋体" w:cs="宋体" w:eastAsia="宋体" w:hint="default"/>
          <w:spacing w:val="-41"/>
          <w:sz w:val="18"/>
          <w:szCs w:val="18"/>
        </w:rPr>
        <w:t> </w:t>
      </w:r>
      <w:r>
        <w:rPr>
          <w:rFonts w:ascii="宋体" w:hAnsi="宋体" w:cs="宋体" w:eastAsia="宋体" w:hint="default"/>
          <w:sz w:val="18"/>
          <w:szCs w:val="18"/>
        </w:rPr>
        <w:t>2034</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8</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6</w:t>
      </w:r>
    </w:p>
    <w:p>
      <w:pPr>
        <w:spacing w:line="240" w:lineRule="auto" w:before="1"/>
        <w:rPr>
          <w:rFonts w:ascii="宋体" w:hAnsi="宋体" w:cs="宋体" w:eastAsia="宋体" w:hint="default"/>
          <w:sz w:val="14"/>
          <w:szCs w:val="14"/>
        </w:rPr>
      </w:pPr>
    </w:p>
    <w:p>
      <w:pPr>
        <w:spacing w:before="0"/>
        <w:ind w:left="693" w:right="0" w:firstLine="0"/>
        <w:jc w:val="left"/>
        <w:rPr>
          <w:rFonts w:ascii="宋体" w:hAnsi="宋体" w:cs="宋体" w:eastAsia="宋体" w:hint="default"/>
          <w:sz w:val="18"/>
          <w:szCs w:val="18"/>
        </w:rPr>
      </w:pPr>
      <w:r>
        <w:rPr>
          <w:rFonts w:ascii="宋体" w:hAnsi="宋体" w:cs="宋体" w:eastAsia="宋体" w:hint="default"/>
          <w:sz w:val="18"/>
          <w:szCs w:val="18"/>
        </w:rPr>
        <w:t>日前到位。截至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日，本公司尚未认缴出资。</w:t>
      </w:r>
    </w:p>
    <w:p>
      <w:pPr>
        <w:spacing w:line="240" w:lineRule="auto" w:before="3"/>
        <w:rPr>
          <w:rFonts w:ascii="宋体" w:hAnsi="宋体" w:cs="宋体" w:eastAsia="宋体" w:hint="default"/>
          <w:sz w:val="17"/>
          <w:szCs w:val="17"/>
        </w:rPr>
      </w:pPr>
    </w:p>
    <w:p>
      <w:pPr>
        <w:spacing w:before="0"/>
        <w:ind w:left="11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：根据利柯网络《公司章程》的相关规定，该公司认缴的注册资本为</w:t>
      </w:r>
      <w:r>
        <w:rPr>
          <w:rFonts w:ascii="宋体" w:hAnsi="宋体" w:cs="宋体" w:eastAsia="宋体" w:hint="default"/>
          <w:spacing w:val="-47"/>
          <w:sz w:val="18"/>
          <w:szCs w:val="18"/>
        </w:rPr>
        <w:t> </w:t>
      </w: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万元，本公司认缴应于</w:t>
      </w:r>
      <w:r>
        <w:rPr>
          <w:rFonts w:ascii="宋体" w:hAnsi="宋体" w:cs="宋体" w:eastAsia="宋体" w:hint="default"/>
          <w:spacing w:val="-48"/>
          <w:sz w:val="18"/>
          <w:szCs w:val="18"/>
        </w:rPr>
        <w:t> </w:t>
      </w:r>
      <w:r>
        <w:rPr>
          <w:rFonts w:ascii="宋体" w:hAnsi="宋体" w:cs="宋体" w:eastAsia="宋体" w:hint="default"/>
          <w:sz w:val="18"/>
          <w:szCs w:val="18"/>
        </w:rPr>
        <w:t>2035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p>
    <w:p>
      <w:pPr>
        <w:spacing w:line="240" w:lineRule="auto" w:before="1"/>
        <w:rPr>
          <w:rFonts w:ascii="宋体" w:hAnsi="宋体" w:cs="宋体" w:eastAsia="宋体" w:hint="default"/>
          <w:sz w:val="14"/>
          <w:szCs w:val="14"/>
        </w:rPr>
      </w:pPr>
    </w:p>
    <w:p>
      <w:pPr>
        <w:spacing w:before="0"/>
        <w:ind w:left="693" w:right="0" w:firstLine="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日前到位。截至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日，本公司尚未认缴出资。</w:t>
      </w:r>
    </w:p>
    <w:p>
      <w:pPr>
        <w:spacing w:line="240" w:lineRule="auto" w:before="2"/>
        <w:rPr>
          <w:rFonts w:ascii="宋体" w:hAnsi="宋体" w:cs="宋体" w:eastAsia="宋体" w:hint="default"/>
          <w:sz w:val="17"/>
          <w:szCs w:val="17"/>
        </w:rPr>
      </w:pPr>
    </w:p>
    <w:p>
      <w:pPr>
        <w:spacing w:before="0"/>
        <w:ind w:left="11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宋体" w:hAnsi="宋体" w:cs="宋体" w:eastAsia="宋体" w:hint="default"/>
          <w:sz w:val="18"/>
          <w:szCs w:val="18"/>
        </w:rPr>
        <w:t>3]</w:t>
      </w:r>
      <w:r>
        <w:rPr>
          <w:rFonts w:ascii="宋体" w:hAnsi="宋体" w:cs="宋体" w:eastAsia="宋体" w:hint="default"/>
          <w:sz w:val="18"/>
          <w:szCs w:val="18"/>
        </w:rPr>
        <w:t>：根据利欧泵业《公司章程》的相关规定，该公司认缴的注册资本为</w:t>
      </w:r>
      <w:r>
        <w:rPr>
          <w:rFonts w:ascii="宋体" w:hAnsi="宋体" w:cs="宋体" w:eastAsia="宋体" w:hint="default"/>
          <w:spacing w:val="-38"/>
          <w:sz w:val="18"/>
          <w:szCs w:val="18"/>
        </w:rPr>
        <w:t> </w:t>
      </w:r>
      <w:r>
        <w:rPr>
          <w:rFonts w:ascii="宋体" w:hAnsi="宋体" w:cs="宋体" w:eastAsia="宋体" w:hint="default"/>
          <w:sz w:val="18"/>
          <w:szCs w:val="18"/>
        </w:rPr>
        <w:t>69,369</w:t>
      </w:r>
      <w:r>
        <w:rPr>
          <w:rFonts w:ascii="宋体" w:hAnsi="宋体" w:cs="宋体" w:eastAsia="宋体" w:hint="default"/>
          <w:spacing w:val="-39"/>
          <w:sz w:val="18"/>
          <w:szCs w:val="18"/>
        </w:rPr>
        <w:t> </w:t>
      </w:r>
      <w:r>
        <w:rPr>
          <w:rFonts w:ascii="宋体" w:hAnsi="宋体" w:cs="宋体" w:eastAsia="宋体" w:hint="default"/>
          <w:sz w:val="18"/>
          <w:szCs w:val="18"/>
        </w:rPr>
        <w:t>万元，本公司认缴应于</w:t>
      </w:r>
      <w:r>
        <w:rPr>
          <w:rFonts w:ascii="宋体" w:hAnsi="宋体" w:cs="宋体" w:eastAsia="宋体" w:hint="default"/>
          <w:spacing w:val="-38"/>
          <w:sz w:val="18"/>
          <w:szCs w:val="18"/>
        </w:rPr>
        <w:t> </w:t>
      </w:r>
      <w:r>
        <w:rPr>
          <w:rFonts w:ascii="宋体" w:hAnsi="宋体" w:cs="宋体" w:eastAsia="宋体" w:hint="default"/>
          <w:sz w:val="18"/>
          <w:szCs w:val="18"/>
        </w:rPr>
        <w:t>2035</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p>
    <w:p>
      <w:pPr>
        <w:spacing w:line="240" w:lineRule="auto" w:before="1"/>
        <w:rPr>
          <w:rFonts w:ascii="宋体" w:hAnsi="宋体" w:cs="宋体" w:eastAsia="宋体" w:hint="default"/>
          <w:sz w:val="14"/>
          <w:szCs w:val="14"/>
        </w:rPr>
      </w:pPr>
    </w:p>
    <w:p>
      <w:pPr>
        <w:spacing w:before="0"/>
        <w:ind w:left="694"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日前到位。截至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日，本公司尚未认缴出资。</w:t>
      </w:r>
    </w:p>
    <w:p>
      <w:pPr>
        <w:pStyle w:val="BodyText"/>
        <w:spacing w:line="240" w:lineRule="auto" w:before="131"/>
        <w:ind w:left="1114" w:right="0"/>
        <w:jc w:val="left"/>
      </w:pPr>
      <w:r>
        <w:rPr>
          <w:rFonts w:ascii="宋体" w:hAnsi="宋体" w:cs="宋体" w:eastAsia="宋体" w:hint="default"/>
        </w:rPr>
        <w:t>(3)</w:t>
      </w:r>
      <w:r>
        <w:rPr/>
        <w:t>对联营企业投资</w:t>
      </w:r>
    </w:p>
    <w:p>
      <w:pPr>
        <w:spacing w:line="240" w:lineRule="auto" w:before="13"/>
        <w:rPr>
          <w:rFonts w:ascii="宋体" w:hAnsi="宋体" w:cs="宋体" w:eastAsia="宋体" w:hint="default"/>
          <w:sz w:val="12"/>
          <w:szCs w:val="12"/>
        </w:rPr>
      </w:pPr>
    </w:p>
    <w:tbl>
      <w:tblPr>
        <w:tblW w:w="0" w:type="auto"/>
        <w:jc w:val="left"/>
        <w:tblInd w:w="534" w:type="dxa"/>
        <w:tblLayout w:type="fixed"/>
        <w:tblCellMar>
          <w:top w:w="0" w:type="dxa"/>
          <w:left w:w="0" w:type="dxa"/>
          <w:bottom w:w="0" w:type="dxa"/>
          <w:right w:w="0" w:type="dxa"/>
        </w:tblCellMar>
        <w:tblLook w:val="01E0"/>
      </w:tblPr>
      <w:tblGrid>
        <w:gridCol w:w="2280"/>
        <w:gridCol w:w="1700"/>
        <w:gridCol w:w="1746"/>
        <w:gridCol w:w="1665"/>
        <w:gridCol w:w="1586"/>
        <w:gridCol w:w="928"/>
      </w:tblGrid>
      <w:tr>
        <w:trPr>
          <w:trHeight w:val="402" w:hRule="exact"/>
        </w:trPr>
        <w:tc>
          <w:tcPr>
            <w:tcW w:w="228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592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0"/>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754" w:hRule="exact"/>
        </w:trPr>
        <w:tc>
          <w:tcPr>
            <w:tcW w:w="2280" w:type="dxa"/>
            <w:vMerge/>
            <w:tcBorders>
              <w:left w:val="nil" w:sz="6" w:space="0" w:color="auto"/>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681" w:right="692"/>
              <w:jc w:val="center"/>
              <w:rPr>
                <w:rFonts w:ascii="宋体" w:hAnsi="宋体" w:cs="宋体" w:eastAsia="宋体" w:hint="default"/>
                <w:sz w:val="18"/>
                <w:szCs w:val="18"/>
              </w:rPr>
            </w:pPr>
            <w:r>
              <w:rPr>
                <w:rFonts w:ascii="宋体" w:hAnsi="宋体" w:cs="宋体" w:eastAsia="宋体" w:hint="default"/>
                <w:sz w:val="18"/>
                <w:szCs w:val="18"/>
              </w:rPr>
              <w:t>追加 投资</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640" w:right="652"/>
              <w:jc w:val="center"/>
              <w:rPr>
                <w:rFonts w:ascii="宋体" w:hAnsi="宋体" w:cs="宋体" w:eastAsia="宋体" w:hint="default"/>
                <w:sz w:val="18"/>
                <w:szCs w:val="18"/>
              </w:rPr>
            </w:pPr>
            <w:r>
              <w:rPr>
                <w:rFonts w:ascii="宋体" w:hAnsi="宋体" w:cs="宋体" w:eastAsia="宋体" w:hint="default"/>
                <w:sz w:val="18"/>
                <w:szCs w:val="18"/>
              </w:rPr>
              <w:t>减少 投资</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31" w:right="253"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928"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92" w:right="108"/>
              <w:jc w:val="left"/>
              <w:rPr>
                <w:rFonts w:ascii="宋体" w:hAnsi="宋体" w:cs="宋体" w:eastAsia="宋体" w:hint="default"/>
                <w:sz w:val="18"/>
                <w:szCs w:val="18"/>
              </w:rPr>
            </w:pPr>
            <w:r>
              <w:rPr>
                <w:rFonts w:ascii="宋体" w:hAnsi="宋体" w:cs="宋体" w:eastAsia="宋体" w:hint="default"/>
                <w:sz w:val="18"/>
                <w:szCs w:val="18"/>
              </w:rPr>
              <w:t>其他综合 收益调整</w:t>
            </w:r>
          </w:p>
        </w:tc>
      </w:tr>
      <w:tr>
        <w:trPr>
          <w:trHeight w:val="558"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3"/>
              <w:jc w:val="left"/>
              <w:rPr>
                <w:rFonts w:ascii="宋体" w:hAnsi="宋体" w:cs="宋体" w:eastAsia="宋体" w:hint="default"/>
                <w:sz w:val="18"/>
                <w:szCs w:val="18"/>
              </w:rPr>
            </w:pPr>
            <w:r>
              <w:rPr>
                <w:rFonts w:ascii="宋体" w:hAnsi="宋体" w:cs="宋体" w:eastAsia="宋体" w:hint="default"/>
                <w:spacing w:val="6"/>
                <w:sz w:val="18"/>
                <w:szCs w:val="18"/>
              </w:rPr>
              <w:t>温岭市利欧小额贷款有限</w:t>
            </w:r>
            <w:r>
              <w:rPr>
                <w:rFonts w:ascii="宋体" w:hAnsi="宋体" w:cs="宋体" w:eastAsia="宋体" w:hint="default"/>
                <w:sz w:val="18"/>
                <w:szCs w:val="18"/>
              </w:rPr>
              <w:t> 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74,615,658.61</w:t>
            </w:r>
          </w:p>
        </w:tc>
        <w:tc>
          <w:tcPr>
            <w:tcW w:w="17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-241,138.33</w:t>
            </w:r>
          </w:p>
        </w:tc>
        <w:tc>
          <w:tcPr>
            <w:tcW w:w="92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22,129,769.43</w:t>
            </w:r>
          </w:p>
        </w:tc>
        <w:tc>
          <w:tcPr>
            <w:tcW w:w="17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913,756.85</w:t>
            </w:r>
          </w:p>
        </w:tc>
        <w:tc>
          <w:tcPr>
            <w:tcW w:w="92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3"/>
              <w:jc w:val="left"/>
              <w:rPr>
                <w:rFonts w:ascii="宋体" w:hAnsi="宋体" w:cs="宋体" w:eastAsia="宋体" w:hint="default"/>
                <w:sz w:val="18"/>
                <w:szCs w:val="18"/>
              </w:rPr>
            </w:pPr>
            <w:r>
              <w:rPr>
                <w:rFonts w:ascii="宋体" w:hAnsi="宋体" w:cs="宋体" w:eastAsia="宋体" w:hint="default"/>
                <w:spacing w:val="6"/>
                <w:sz w:val="18"/>
                <w:szCs w:val="18"/>
              </w:rPr>
              <w:t>浙江利斯特智慧管网股份</w:t>
            </w:r>
            <w:r>
              <w:rPr>
                <w:rFonts w:ascii="宋体" w:hAnsi="宋体" w:cs="宋体" w:eastAsia="宋体" w:hint="default"/>
                <w:sz w:val="18"/>
                <w:szCs w:val="18"/>
              </w:rPr>
              <w:t> 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1,750,000.00</w:t>
            </w:r>
          </w:p>
        </w:tc>
        <w:tc>
          <w:tcPr>
            <w:tcW w:w="166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-366,475.74</w:t>
            </w:r>
          </w:p>
        </w:tc>
        <w:tc>
          <w:tcPr>
            <w:tcW w:w="928"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3"/>
              <w:jc w:val="left"/>
              <w:rPr>
                <w:rFonts w:ascii="宋体" w:hAnsi="宋体" w:cs="宋体" w:eastAsia="宋体" w:hint="default"/>
                <w:sz w:val="18"/>
                <w:szCs w:val="18"/>
              </w:rPr>
            </w:pPr>
            <w:r>
              <w:rPr>
                <w:rFonts w:ascii="宋体" w:hAnsi="宋体" w:cs="宋体" w:eastAsia="宋体" w:hint="default"/>
                <w:spacing w:val="6"/>
                <w:sz w:val="18"/>
                <w:szCs w:val="18"/>
              </w:rPr>
              <w:t>杭州碧橙网络技术有限公</w:t>
            </w:r>
            <w:r>
              <w:rPr>
                <w:rFonts w:ascii="宋体" w:hAnsi="宋体" w:cs="宋体" w:eastAsia="宋体" w:hint="default"/>
                <w:sz w:val="18"/>
                <w:szCs w:val="18"/>
              </w:rPr>
              <w:t> 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40,000,000.00</w:t>
            </w:r>
          </w:p>
        </w:tc>
        <w:tc>
          <w:tcPr>
            <w:tcW w:w="166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2,040,344.07</w:t>
            </w:r>
          </w:p>
        </w:tc>
        <w:tc>
          <w:tcPr>
            <w:tcW w:w="928"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96,745,428.04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41,750,000.00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30,000,000.00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2,346,486.85</w:t>
            </w:r>
          </w:p>
        </w:tc>
        <w:tc>
          <w:tcPr>
            <w:tcW w:w="928"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6"/>
          <w:szCs w:val="6"/>
        </w:rPr>
      </w:pPr>
    </w:p>
    <w:p>
      <w:pPr>
        <w:spacing w:before="44"/>
        <w:ind w:left="11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534" w:type="dxa"/>
        <w:tblLayout w:type="fixed"/>
        <w:tblCellMar>
          <w:top w:w="0" w:type="dxa"/>
          <w:left w:w="0" w:type="dxa"/>
          <w:bottom w:w="0" w:type="dxa"/>
          <w:right w:w="0" w:type="dxa"/>
        </w:tblCellMar>
        <w:tblLook w:val="01E0"/>
      </w:tblPr>
      <w:tblGrid>
        <w:gridCol w:w="3057"/>
        <w:gridCol w:w="1216"/>
        <w:gridCol w:w="1475"/>
        <w:gridCol w:w="884"/>
        <w:gridCol w:w="502"/>
        <w:gridCol w:w="1727"/>
        <w:gridCol w:w="1046"/>
      </w:tblGrid>
      <w:tr>
        <w:trPr>
          <w:trHeight w:val="402" w:hRule="exact"/>
        </w:trPr>
        <w:tc>
          <w:tcPr>
            <w:tcW w:w="30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04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57" w:lineRule="auto"/>
              <w:ind w:left="143" w:right="17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54" w:hRule="exact"/>
        </w:trPr>
        <w:tc>
          <w:tcPr>
            <w:tcW w:w="3057" w:type="dxa"/>
            <w:vMerge/>
            <w:tcBorders>
              <w:left w:val="nil" w:sz="6" w:space="0" w:color="auto"/>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25" w:right="339"/>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96" w:right="176"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60" w:right="17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nil" w:sz="6" w:space="0" w:color="auto"/>
            </w:tcBorders>
          </w:tcPr>
          <w:p>
            <w:pPr/>
          </w:p>
        </w:tc>
      </w:tr>
      <w:tr>
        <w:trPr>
          <w:trHeight w:val="558" w:hRule="exact"/>
        </w:trPr>
        <w:tc>
          <w:tcPr>
            <w:tcW w:w="3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1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21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44,374,520.28</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21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23,043,526.28</w:t>
            </w:r>
          </w:p>
        </w:tc>
        <w:tc>
          <w:tcPr>
            <w:tcW w:w="104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440" w:right="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057"/>
        <w:gridCol w:w="1216"/>
        <w:gridCol w:w="1475"/>
        <w:gridCol w:w="884"/>
        <w:gridCol w:w="502"/>
        <w:gridCol w:w="1727"/>
        <w:gridCol w:w="1046"/>
      </w:tblGrid>
      <w:tr>
        <w:trPr>
          <w:trHeight w:val="754" w:hRule="exact"/>
        </w:trPr>
        <w:tc>
          <w:tcPr>
            <w:tcW w:w="305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51"/>
              <w:ind w:left="122" w:right="947"/>
              <w:jc w:val="left"/>
              <w:rPr>
                <w:rFonts w:ascii="宋体" w:hAnsi="宋体" w:cs="宋体" w:eastAsia="宋体" w:hint="default"/>
                <w:sz w:val="18"/>
                <w:szCs w:val="18"/>
              </w:rPr>
            </w:pPr>
            <w:r>
              <w:rPr>
                <w:rFonts w:ascii="宋体" w:hAnsi="宋体" w:cs="宋体" w:eastAsia="宋体" w:hint="default"/>
                <w:sz w:val="18"/>
                <w:szCs w:val="18"/>
              </w:rPr>
              <w:t>浙江利斯特智慧管网股份 有限公司</w:t>
            </w:r>
          </w:p>
        </w:tc>
        <w:tc>
          <w:tcPr>
            <w:tcW w:w="121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1,383,524.26</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3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杭州碧橙网络技术有限公司</w:t>
            </w:r>
          </w:p>
        </w:tc>
        <w:tc>
          <w:tcPr>
            <w:tcW w:w="121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42,040,344.07</w:t>
            </w:r>
          </w:p>
        </w:tc>
        <w:tc>
          <w:tcPr>
            <w:tcW w:w="1046" w:type="dxa"/>
            <w:tcBorders>
              <w:top w:val="single" w:sz="4" w:space="0" w:color="000000"/>
              <w:left w:val="single" w:sz="4" w:space="0" w:color="000000"/>
              <w:bottom w:val="single" w:sz="4" w:space="0" w:color="000000"/>
              <w:right w:val="nil" w:sz="6" w:space="0" w:color="auto"/>
            </w:tcBorders>
          </w:tcPr>
          <w:p>
            <w:pPr/>
          </w:p>
        </w:tc>
      </w:tr>
      <w:tr>
        <w:trPr>
          <w:trHeight w:val="560" w:hRule="exact"/>
        </w:trPr>
        <w:tc>
          <w:tcPr>
            <w:tcW w:w="3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16"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110,841,914.89</w:t>
            </w:r>
          </w:p>
        </w:tc>
        <w:tc>
          <w:tcPr>
            <w:tcW w:w="10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441" w:lineRule="auto" w:before="172"/>
        <w:ind w:left="694" w:right="7812"/>
        <w:jc w:val="left"/>
      </w:pPr>
      <w:r>
        <w:rPr/>
        <w:pict>
          <v:shape style="position:absolute;margin-left:50.34pt;margin-top:54.103653pt;width:494.25pt;height:11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2"/>
                    <w:gridCol w:w="1965"/>
                    <w:gridCol w:w="1968"/>
                    <w:gridCol w:w="1985"/>
                    <w:gridCol w:w="2010"/>
                  </w:tblGrid>
                  <w:tr>
                    <w:trPr>
                      <w:trHeight w:val="340" w:hRule="exact"/>
                    </w:trPr>
                    <w:tc>
                      <w:tcPr>
                        <w:tcW w:w="1942"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99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1" w:hRule="exact"/>
                    </w:trPr>
                    <w:tc>
                      <w:tcPr>
                        <w:tcW w:w="1942" w:type="dxa"/>
                        <w:vMerge/>
                        <w:tcBorders>
                          <w:left w:val="nil" w:sz="6" w:space="0" w:color="auto"/>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 w:right="0"/>
                          <w:jc w:val="center"/>
                          <w:rPr>
                            <w:rFonts w:ascii="宋体" w:hAnsi="宋体" w:cs="宋体" w:eastAsia="宋体" w:hint="default"/>
                            <w:sz w:val="18"/>
                            <w:szCs w:val="18"/>
                          </w:rPr>
                        </w:pPr>
                        <w:r>
                          <w:rPr>
                            <w:rFonts w:ascii="宋体" w:hAnsi="宋体" w:cs="宋体" w:eastAsia="宋体" w:hint="default"/>
                            <w:sz w:val="18"/>
                            <w:szCs w:val="18"/>
                          </w:rPr>
                          <w:t>收  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成  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t>收  入</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7" w:right="0"/>
                          <w:jc w:val="center"/>
                          <w:rPr>
                            <w:rFonts w:ascii="宋体" w:hAnsi="宋体" w:cs="宋体" w:eastAsia="宋体" w:hint="default"/>
                            <w:sz w:val="18"/>
                            <w:szCs w:val="18"/>
                          </w:rPr>
                        </w:pPr>
                        <w:r>
                          <w:rPr>
                            <w:rFonts w:ascii="宋体" w:hAnsi="宋体" w:cs="宋体" w:eastAsia="宋体" w:hint="default"/>
                            <w:sz w:val="18"/>
                            <w:szCs w:val="18"/>
                          </w:rPr>
                          <w:t>成  本</w:t>
                        </w:r>
                      </w:p>
                    </w:tc>
                  </w:tr>
                  <w:tr>
                    <w:trPr>
                      <w:trHeight w:val="558"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1,410,380,452.63</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1,040,996,691.82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1,322,270,461.34</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96"/>
                          <w:jc w:val="right"/>
                          <w:rPr>
                            <w:rFonts w:ascii="宋体" w:hAnsi="宋体" w:cs="宋体" w:eastAsia="宋体" w:hint="default"/>
                            <w:sz w:val="18"/>
                            <w:szCs w:val="18"/>
                          </w:rPr>
                        </w:pPr>
                        <w:r>
                          <w:rPr>
                            <w:rFonts w:ascii="宋体"/>
                            <w:sz w:val="18"/>
                          </w:rPr>
                          <w:t>998,179,686.70</w:t>
                        </w:r>
                      </w:p>
                    </w:tc>
                  </w:tr>
                  <w:tr>
                    <w:trPr>
                      <w:trHeight w:val="558"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15,499,258.59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11,781,685.41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20,373,793.29</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97"/>
                          <w:jc w:val="right"/>
                          <w:rPr>
                            <w:rFonts w:ascii="宋体" w:hAnsi="宋体" w:cs="宋体" w:eastAsia="宋体" w:hint="default"/>
                            <w:sz w:val="18"/>
                            <w:szCs w:val="18"/>
                          </w:rPr>
                        </w:pPr>
                        <w:r>
                          <w:rPr>
                            <w:rFonts w:ascii="宋体"/>
                            <w:sz w:val="18"/>
                          </w:rPr>
                          <w:t>13,862,282.85</w:t>
                        </w:r>
                      </w:p>
                    </w:tc>
                  </w:tr>
                  <w:tr>
                    <w:trPr>
                      <w:trHeight w:val="45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1,425,879,711.22</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1,052,778,377.23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1,342,644,254.63</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96"/>
                          <w:jc w:val="right"/>
                          <w:rPr>
                            <w:rFonts w:ascii="宋体" w:hAnsi="宋体" w:cs="宋体" w:eastAsia="宋体" w:hint="default"/>
                            <w:sz w:val="18"/>
                            <w:szCs w:val="18"/>
                          </w:rPr>
                        </w:pPr>
                        <w:r>
                          <w:rPr>
                            <w:rFonts w:ascii="宋体"/>
                            <w:sz w:val="18"/>
                          </w:rPr>
                          <w:t>1,012,041,969.55</w:t>
                        </w:r>
                      </w:p>
                    </w:tc>
                  </w:tr>
                </w:tbl>
                <w:p>
                  <w:pPr/>
                </w:p>
              </w:txbxContent>
            </v:textbox>
            <w10:wrap type="none"/>
          </v:shape>
        </w:pict>
      </w:r>
      <w:bookmarkStart w:name="(二)母公司利润表项目注释" w:id="262"/>
      <w:bookmarkEnd w:id="262"/>
      <w:r>
        <w:rPr/>
      </w:r>
      <w:r>
        <w:rPr>
          <w:rFonts w:ascii="宋体" w:hAnsi="宋体" w:cs="宋体" w:eastAsia="宋体" w:hint="default"/>
        </w:rPr>
        <w:t>(</w:t>
      </w:r>
      <w:r>
        <w:rPr/>
        <w:t>二</w:t>
      </w:r>
      <w:r>
        <w:rPr>
          <w:rFonts w:ascii="宋体" w:hAnsi="宋体" w:cs="宋体" w:eastAsia="宋体" w:hint="default"/>
        </w:rPr>
        <w:t>)</w:t>
      </w:r>
      <w:r>
        <w:rPr/>
        <w:t>母公司利润表项目注释 </w:t>
      </w:r>
      <w:bookmarkStart w:name="1. 营业收入/营业成本" w:id="263"/>
      <w:bookmarkEnd w:id="263"/>
      <w:r>
        <w:rPr/>
      </w:r>
      <w:r>
        <w:rPr>
          <w:rFonts w:ascii="宋体" w:hAnsi="宋体" w:cs="宋体" w:eastAsia="宋体" w:hint="default"/>
        </w:rPr>
        <w:t>1.</w:t>
      </w:r>
      <w:r>
        <w:rPr>
          <w:rFonts w:ascii="宋体" w:hAnsi="宋体" w:cs="宋体" w:eastAsia="宋体" w:hint="default"/>
          <w:spacing w:val="-1"/>
        </w:rPr>
        <w:t> </w:t>
      </w:r>
      <w:r>
        <w:rPr/>
        <w:t>营业收入</w:t>
      </w:r>
      <w:r>
        <w:rPr>
          <w:rFonts w:ascii="宋体" w:hAnsi="宋体" w:cs="宋体" w:eastAsia="宋体" w:hint="default"/>
        </w:rPr>
        <w:t>/</w:t>
      </w:r>
      <w:r>
        <w:rPr/>
        <w:t>营业成本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94" w:right="1198"/>
        <w:jc w:val="left"/>
      </w:pPr>
      <w:bookmarkStart w:name="2.投资收益" w:id="264"/>
      <w:bookmarkEnd w:id="264"/>
      <w:r>
        <w:rPr/>
      </w:r>
      <w:r>
        <w:rPr>
          <w:rFonts w:ascii="宋体" w:hAnsi="宋体" w:cs="宋体" w:eastAsia="宋体" w:hint="default"/>
        </w:rPr>
        <w:t>2.</w:t>
      </w:r>
      <w:r>
        <w:rPr/>
        <w:t>投资收益</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070"/>
        <w:gridCol w:w="2400"/>
        <w:gridCol w:w="2400"/>
      </w:tblGrid>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2,346,486.85</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7,683,487.82</w:t>
            </w:r>
          </w:p>
        </w:tc>
      </w:tr>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406,560.00</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宋体" w:hAnsi="宋体" w:cs="宋体" w:eastAsia="宋体" w:hint="default"/>
                <w:sz w:val="18"/>
                <w:szCs w:val="18"/>
              </w:rPr>
            </w:pPr>
            <w:r>
              <w:rPr>
                <w:rFonts w:ascii="宋体"/>
                <w:sz w:val="18"/>
              </w:rPr>
              <w:t>677,600.00</w:t>
            </w:r>
          </w:p>
        </w:tc>
      </w:tr>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-9,772,384.49</w:t>
            </w:r>
          </w:p>
        </w:tc>
        <w:tc>
          <w:tcPr>
            <w:tcW w:w="2400"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5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18"/>
                <w:szCs w:val="18"/>
              </w:rPr>
            </w:pPr>
            <w:r>
              <w:rPr>
                <w:rFonts w:ascii="宋体"/>
                <w:sz w:val="18"/>
              </w:rPr>
              <w:t>-7,019,337.64</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8,361,087.82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3"/>
        <w:spacing w:line="240" w:lineRule="auto" w:before="35"/>
        <w:ind w:left="696" w:right="1198"/>
        <w:jc w:val="left"/>
        <w:rPr>
          <w:rFonts w:ascii="黑体" w:hAnsi="黑体" w:cs="黑体" w:eastAsia="黑体" w:hint="default"/>
          <w:b w:val="0"/>
          <w:bCs w:val="0"/>
        </w:rPr>
      </w:pPr>
      <w:bookmarkStart w:name="十七、其他补充资料" w:id="265"/>
      <w:bookmarkEnd w:id="265"/>
      <w:r>
        <w:rPr>
          <w:b w:val="0"/>
          <w:bCs w:val="0"/>
        </w:rPr>
      </w:r>
      <w:r>
        <w:rPr>
          <w:rFonts w:ascii="黑体" w:hAnsi="黑体" w:cs="黑体" w:eastAsia="黑体" w:hint="default"/>
        </w:rPr>
        <w:t>十七、其他补充资料</w:t>
      </w:r>
      <w:r>
        <w:rPr>
          <w:rFonts w:ascii="黑体" w:hAnsi="黑体" w:cs="黑体" w:eastAsia="黑体" w:hint="default"/>
          <w:b w:val="0"/>
          <w:bCs w:val="0"/>
        </w:rPr>
      </w:r>
    </w:p>
    <w:p>
      <w:pPr>
        <w:spacing w:line="240" w:lineRule="auto" w:before="12"/>
        <w:rPr>
          <w:rFonts w:ascii="黑体" w:hAnsi="黑体" w:cs="黑体" w:eastAsia="黑体" w:hint="default"/>
          <w:b/>
          <w:bCs/>
          <w:sz w:val="17"/>
          <w:szCs w:val="17"/>
        </w:rPr>
      </w:pPr>
    </w:p>
    <w:p>
      <w:pPr>
        <w:pStyle w:val="BodyText"/>
        <w:spacing w:line="240" w:lineRule="auto"/>
        <w:ind w:left="693" w:right="1198"/>
        <w:jc w:val="left"/>
      </w:pPr>
      <w:r>
        <w:rPr>
          <w:rFonts w:ascii="宋体" w:hAnsi="宋体" w:cs="宋体" w:eastAsia="宋体" w:hint="default"/>
        </w:rPr>
        <w:t>(</w:t>
      </w:r>
      <w:r>
        <w:rPr/>
        <w:t>一</w:t>
      </w:r>
      <w:r>
        <w:rPr>
          <w:rFonts w:ascii="宋体" w:hAnsi="宋体" w:cs="宋体" w:eastAsia="宋体" w:hint="default"/>
        </w:rPr>
        <w:t>)</w:t>
      </w:r>
      <w:r>
        <w:rPr/>
        <w:t>非经常性损益</w:t>
      </w:r>
    </w:p>
    <w:p>
      <w:pPr>
        <w:spacing w:line="240" w:lineRule="auto" w:before="12"/>
        <w:rPr>
          <w:rFonts w:ascii="宋体" w:hAnsi="宋体" w:cs="宋体" w:eastAsia="宋体" w:hint="default"/>
          <w:sz w:val="17"/>
          <w:szCs w:val="17"/>
        </w:rPr>
      </w:pPr>
    </w:p>
    <w:p>
      <w:pPr>
        <w:pStyle w:val="BodyText"/>
        <w:spacing w:line="240" w:lineRule="auto"/>
        <w:ind w:left="694" w:right="1198"/>
        <w:jc w:val="left"/>
      </w:pPr>
      <w:r>
        <w:rPr>
          <w:rFonts w:ascii="宋体" w:hAnsi="宋体" w:cs="宋体" w:eastAsia="宋体" w:hint="default"/>
        </w:rPr>
        <w:t>1.</w:t>
      </w:r>
      <w:r>
        <w:rPr>
          <w:rFonts w:ascii="宋体" w:hAnsi="宋体" w:cs="宋体" w:eastAsia="宋体" w:hint="default"/>
          <w:spacing w:val="-1"/>
        </w:rPr>
        <w:t> </w:t>
      </w:r>
      <w:r>
        <w:rPr/>
        <w:t>非经常性损益明细表</w:t>
      </w:r>
    </w:p>
    <w:p>
      <w:pPr>
        <w:spacing w:line="240" w:lineRule="auto" w:before="11"/>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6037"/>
        <w:gridCol w:w="2130"/>
        <w:gridCol w:w="1703"/>
      </w:tblGrid>
      <w:tr>
        <w:trPr>
          <w:trHeight w:val="464"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5"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561" w:right="0"/>
              <w:jc w:val="left"/>
              <w:rPr>
                <w:rFonts w:ascii="宋体" w:hAnsi="宋体" w:cs="宋体" w:eastAsia="宋体" w:hint="default"/>
                <w:sz w:val="18"/>
                <w:szCs w:val="18"/>
              </w:rPr>
            </w:pPr>
            <w:r>
              <w:rPr>
                <w:rFonts w:ascii="宋体" w:hAnsi="宋体" w:cs="宋体" w:eastAsia="宋体" w:hint="default"/>
                <w:sz w:val="18"/>
                <w:szCs w:val="18"/>
              </w:rPr>
              <w:t>说  明</w:t>
            </w: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-501,569.59</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22" w:right="107"/>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计入当期损益的政府补助（与公司正常经营业务密切相关，符合国家政策</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规定、按照一定标准定额或定量持续享受的政府补助除外）</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35,415,673.30</w:t>
            </w:r>
          </w:p>
        </w:tc>
        <w:tc>
          <w:tcPr>
            <w:tcW w:w="170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79" w:top="1100" w:bottom="1160" w:left="86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6037"/>
        <w:gridCol w:w="2130"/>
        <w:gridCol w:w="1703"/>
      </w:tblGrid>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7"/>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被投资单位可辨认净资产公允价值产生的收益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133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除同公司正常经营业务相关的有效套期保值业务外，持有以公允价值计量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且其变动计入当期损益的金融资产、金融负债产生的公允价值变动收益，</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以及处置以公允价值计量且其变动计入当期损益的金融资产、金融负债和</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可供出售金融资产取得的投资收益</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z w:val="18"/>
              </w:rPr>
              <w:t>-8,597,505.00</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51"/>
              <w:ind w:left="122" w:right="107"/>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益的影响</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1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-3,333,531.40</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283,931.41</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23,266,998.72</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1,920,305.06</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216,839.18</w:t>
            </w:r>
          </w:p>
        </w:tc>
        <w:tc>
          <w:tcPr>
            <w:tcW w:w="1703"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6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z w:val="18"/>
              </w:rPr>
              <w:t>21,129,854.48</w:t>
            </w:r>
          </w:p>
        </w:tc>
        <w:tc>
          <w:tcPr>
            <w:tcW w:w="1703"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净资产收益率及每股收益</w:t>
      </w:r>
    </w:p>
    <w:p>
      <w:pPr>
        <w:spacing w:after="0" w:line="240" w:lineRule="auto"/>
        <w:jc w:val="left"/>
        <w:sectPr>
          <w:pgSz w:w="11910" w:h="16840"/>
          <w:pgMar w:header="877" w:footer="979" w:top="1100" w:bottom="1160" w:left="900" w:right="0"/>
        </w:sectPr>
      </w:pPr>
    </w:p>
    <w:p>
      <w:pPr>
        <w:spacing w:line="240" w:lineRule="auto" w:before="9"/>
        <w:rPr>
          <w:rFonts w:ascii="宋体" w:hAnsi="宋体" w:cs="宋体" w:eastAsia="宋体" w:hint="default"/>
          <w:sz w:val="26"/>
          <w:szCs w:val="26"/>
        </w:rPr>
      </w:pPr>
    </w:p>
    <w:p>
      <w:pPr>
        <w:pStyle w:val="BodyText"/>
        <w:spacing w:line="240" w:lineRule="auto" w:before="35"/>
        <w:ind w:left="654" w:right="102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306"/>
        <w:gridCol w:w="2238"/>
        <w:gridCol w:w="2130"/>
        <w:gridCol w:w="2195"/>
      </w:tblGrid>
      <w:tr>
        <w:trPr>
          <w:trHeight w:val="350" w:hRule="exact"/>
        </w:trPr>
        <w:tc>
          <w:tcPr>
            <w:tcW w:w="3306"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238" w:type="dxa"/>
            <w:vMerge w:val="restart"/>
            <w:tcBorders>
              <w:top w:val="single" w:sz="4" w:space="0" w:color="000000"/>
              <w:left w:val="single" w:sz="4" w:space="0" w:color="000000"/>
              <w:right w:val="single" w:sz="4" w:space="0" w:color="000000"/>
            </w:tcBorders>
          </w:tcPr>
          <w:p>
            <w:pPr>
              <w:pStyle w:val="TableParagraph"/>
              <w:spacing w:line="232" w:lineRule="exact" w:before="107"/>
              <w:ind w:left="708" w:right="479" w:hanging="222"/>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43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29"/>
              <w:jc w:val="center"/>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350" w:hRule="exact"/>
        </w:trPr>
        <w:tc>
          <w:tcPr>
            <w:tcW w:w="3306" w:type="dxa"/>
            <w:vMerge/>
            <w:tcBorders>
              <w:left w:val="nil" w:sz="6" w:space="0" w:color="auto"/>
              <w:bottom w:val="single" w:sz="4" w:space="0" w:color="000000"/>
              <w:right w:val="single" w:sz="4" w:space="0" w:color="000000"/>
            </w:tcBorders>
          </w:tcPr>
          <w:p>
            <w:pPr/>
          </w:p>
        </w:tc>
        <w:tc>
          <w:tcPr>
            <w:tcW w:w="2238" w:type="dxa"/>
            <w:vMerge/>
            <w:tcBorders>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25"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6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8" w:right="0"/>
              <w:jc w:val="left"/>
              <w:rPr>
                <w:rFonts w:ascii="宋体" w:hAnsi="宋体" w:cs="宋体" w:eastAsia="宋体" w:hint="default"/>
                <w:sz w:val="18"/>
                <w:szCs w:val="18"/>
              </w:rPr>
            </w:pPr>
            <w:r>
              <w:rPr>
                <w:rFonts w:ascii="宋体"/>
                <w:sz w:val="18"/>
              </w:rPr>
              <w:t>10.72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0.19</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sz w:val="18"/>
              </w:rPr>
              <w:t>0.19</w:t>
            </w:r>
          </w:p>
        </w:tc>
      </w:tr>
      <w:tr>
        <w:trPr>
          <w:trHeight w:val="478"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33" w:right="0"/>
              <w:jc w:val="left"/>
              <w:rPr>
                <w:rFonts w:ascii="宋体" w:hAnsi="宋体" w:cs="宋体" w:eastAsia="宋体" w:hint="default"/>
                <w:sz w:val="18"/>
                <w:szCs w:val="18"/>
              </w:rPr>
            </w:pPr>
            <w:r>
              <w:rPr>
                <w:rFonts w:ascii="宋体"/>
                <w:sz w:val="18"/>
              </w:rPr>
              <w:t>9.72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0.17</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0.17</w:t>
            </w:r>
          </w:p>
        </w:tc>
      </w:tr>
    </w:tbl>
    <w:p>
      <w:pPr>
        <w:spacing w:line="240" w:lineRule="auto" w:before="6"/>
        <w:rPr>
          <w:rFonts w:ascii="宋体" w:hAnsi="宋体" w:cs="宋体" w:eastAsia="宋体" w:hint="default"/>
          <w:sz w:val="6"/>
          <w:szCs w:val="6"/>
        </w:rPr>
      </w:pPr>
    </w:p>
    <w:p>
      <w:pPr>
        <w:spacing w:before="44"/>
        <w:ind w:left="654" w:right="1029"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加权平均净资产收益率的计算过程</w:t>
      </w:r>
    </w:p>
    <w:p>
      <w:pPr>
        <w:spacing w:line="240" w:lineRule="auto" w:before="0"/>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88"/>
        <w:gridCol w:w="4257"/>
        <w:gridCol w:w="2165"/>
        <w:gridCol w:w="2160"/>
      </w:tblGrid>
      <w:tr>
        <w:trPr>
          <w:trHeight w:val="463"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0"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43"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4"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8" w:right="0"/>
              <w:jc w:val="center"/>
              <w:rPr>
                <w:rFonts w:ascii="宋体" w:hAnsi="宋体" w:cs="宋体" w:eastAsia="宋体" w:hint="default"/>
                <w:sz w:val="18"/>
                <w:szCs w:val="18"/>
              </w:rPr>
            </w:pPr>
            <w:r>
              <w:rPr>
                <w:rFonts w:ascii="宋体"/>
                <w:sz w:val="18"/>
              </w:rPr>
              <w:t>A</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225,410,543.63</w:t>
            </w:r>
          </w:p>
        </w:tc>
      </w:tr>
      <w:tr>
        <w:trPr>
          <w:trHeight w:val="464"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B</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21,129,854.48</w:t>
            </w:r>
          </w:p>
        </w:tc>
      </w:tr>
      <w:tr>
        <w:trPr>
          <w:trHeight w:val="463"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C=A-B</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204,280,689.15</w:t>
            </w:r>
          </w:p>
        </w:tc>
      </w:tr>
      <w:tr>
        <w:trPr>
          <w:trHeight w:val="464"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8" w:right="0"/>
              <w:jc w:val="center"/>
              <w:rPr>
                <w:rFonts w:ascii="宋体" w:hAnsi="宋体" w:cs="宋体" w:eastAsia="宋体" w:hint="default"/>
                <w:sz w:val="18"/>
                <w:szCs w:val="18"/>
              </w:rPr>
            </w:pPr>
            <w:r>
              <w:rPr>
                <w:rFonts w:ascii="宋体"/>
                <w:sz w:val="18"/>
              </w:rPr>
              <w:t>D</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6"/>
              <w:jc w:val="right"/>
              <w:rPr>
                <w:rFonts w:ascii="宋体" w:hAnsi="宋体" w:cs="宋体" w:eastAsia="宋体" w:hint="default"/>
                <w:sz w:val="18"/>
                <w:szCs w:val="18"/>
              </w:rPr>
            </w:pPr>
            <w:r>
              <w:rPr>
                <w:rFonts w:ascii="宋体"/>
                <w:sz w:val="18"/>
              </w:rPr>
              <w:t>2,003,735,842.79</w:t>
            </w:r>
          </w:p>
        </w:tc>
      </w:tr>
      <w:tr>
        <w:trPr>
          <w:trHeight w:val="464"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E</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335,154,299.00</w:t>
            </w:r>
          </w:p>
        </w:tc>
      </w:tr>
      <w:tr>
        <w:trPr>
          <w:trHeight w:val="463"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F</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8" w:right="0"/>
              <w:jc w:val="center"/>
              <w:rPr>
                <w:rFonts w:ascii="宋体" w:hAnsi="宋体" w:cs="宋体" w:eastAsia="宋体" w:hint="default"/>
                <w:sz w:val="18"/>
                <w:szCs w:val="18"/>
              </w:rPr>
            </w:pPr>
            <w:r>
              <w:rPr>
                <w:rFonts w:ascii="宋体"/>
                <w:sz w:val="18"/>
              </w:rPr>
              <w:t>G</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19,571,222.50</w:t>
            </w:r>
          </w:p>
        </w:tc>
      </w:tr>
      <w:tr>
        <w:trPr>
          <w:trHeight w:val="464"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H</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9</w:t>
            </w:r>
          </w:p>
        </w:tc>
      </w:tr>
      <w:tr>
        <w:trPr>
          <w:trHeight w:val="464" w:hRule="exact"/>
        </w:trPr>
        <w:tc>
          <w:tcPr>
            <w:tcW w:w="12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外币财务报表折算差额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0" w:right="0"/>
              <w:jc w:val="center"/>
              <w:rPr>
                <w:rFonts w:ascii="宋体" w:hAnsi="宋体" w:cs="宋体" w:eastAsia="宋体" w:hint="default"/>
                <w:sz w:val="18"/>
                <w:szCs w:val="18"/>
              </w:rPr>
            </w:pPr>
            <w:r>
              <w:rPr>
                <w:rFonts w:ascii="宋体"/>
                <w:sz w:val="18"/>
              </w:rPr>
              <w:t>I1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1,080,675.38</w:t>
            </w:r>
          </w:p>
        </w:tc>
      </w:tr>
      <w:tr>
        <w:trPr>
          <w:trHeight w:val="464" w:hRule="exact"/>
        </w:trPr>
        <w:tc>
          <w:tcPr>
            <w:tcW w:w="1288" w:type="dxa"/>
            <w:vMerge/>
            <w:tcBorders>
              <w:left w:val="nil" w:sz="6" w:space="0" w:color="auto"/>
              <w:right w:val="single" w:sz="4" w:space="0" w:color="000000"/>
            </w:tcBorders>
          </w:tcPr>
          <w:p>
            <w:pPr/>
          </w:p>
        </w:tc>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0" w:right="0"/>
              <w:jc w:val="center"/>
              <w:rPr>
                <w:rFonts w:ascii="宋体" w:hAnsi="宋体" w:cs="宋体" w:eastAsia="宋体" w:hint="default"/>
                <w:sz w:val="18"/>
                <w:szCs w:val="18"/>
              </w:rPr>
            </w:pPr>
            <w:r>
              <w:rPr>
                <w:rFonts w:ascii="宋体"/>
                <w:sz w:val="18"/>
              </w:rPr>
              <w:t>J1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6</w:t>
            </w:r>
          </w:p>
        </w:tc>
      </w:tr>
      <w:tr>
        <w:trPr>
          <w:trHeight w:val="464" w:hRule="exact"/>
        </w:trPr>
        <w:tc>
          <w:tcPr>
            <w:tcW w:w="1288" w:type="dxa"/>
            <w:vMerge/>
            <w:tcBorders>
              <w:left w:val="nil" w:sz="6" w:space="0" w:color="auto"/>
              <w:right w:val="single" w:sz="4" w:space="0" w:color="000000"/>
            </w:tcBorders>
          </w:tcPr>
          <w:p>
            <w:pPr/>
          </w:p>
        </w:tc>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专项储备变动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0" w:right="0"/>
              <w:jc w:val="center"/>
              <w:rPr>
                <w:rFonts w:ascii="宋体" w:hAnsi="宋体" w:cs="宋体" w:eastAsia="宋体" w:hint="default"/>
                <w:sz w:val="18"/>
                <w:szCs w:val="18"/>
              </w:rPr>
            </w:pPr>
            <w:r>
              <w:rPr>
                <w:rFonts w:ascii="宋体"/>
                <w:sz w:val="18"/>
              </w:rPr>
              <w:t>I2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390,633.74</w:t>
            </w:r>
          </w:p>
        </w:tc>
      </w:tr>
      <w:tr>
        <w:trPr>
          <w:trHeight w:val="463" w:hRule="exact"/>
        </w:trPr>
        <w:tc>
          <w:tcPr>
            <w:tcW w:w="1288" w:type="dxa"/>
            <w:vMerge/>
            <w:tcBorders>
              <w:left w:val="nil" w:sz="6" w:space="0" w:color="auto"/>
              <w:right w:val="single" w:sz="4" w:space="0" w:color="000000"/>
            </w:tcBorders>
          </w:tcPr>
          <w:p>
            <w:pPr/>
          </w:p>
        </w:tc>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0" w:right="0"/>
              <w:jc w:val="center"/>
              <w:rPr>
                <w:rFonts w:ascii="宋体" w:hAnsi="宋体" w:cs="宋体" w:eastAsia="宋体" w:hint="default"/>
                <w:sz w:val="18"/>
                <w:szCs w:val="18"/>
              </w:rPr>
            </w:pPr>
            <w:r>
              <w:rPr>
                <w:rFonts w:ascii="宋体"/>
                <w:sz w:val="18"/>
              </w:rPr>
              <w:t>J2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w:t>
            </w:r>
          </w:p>
        </w:tc>
      </w:tr>
      <w:tr>
        <w:trPr>
          <w:trHeight w:val="464" w:hRule="exact"/>
        </w:trPr>
        <w:tc>
          <w:tcPr>
            <w:tcW w:w="1288" w:type="dxa"/>
            <w:vMerge/>
            <w:tcBorders>
              <w:left w:val="nil" w:sz="6" w:space="0" w:color="auto"/>
              <w:right w:val="single" w:sz="4" w:space="0" w:color="000000"/>
            </w:tcBorders>
          </w:tcPr>
          <w:p>
            <w:pPr/>
          </w:p>
        </w:tc>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购买少数股权变动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0" w:right="0"/>
              <w:jc w:val="center"/>
              <w:rPr>
                <w:rFonts w:ascii="宋体" w:hAnsi="宋体" w:cs="宋体" w:eastAsia="宋体" w:hint="default"/>
                <w:sz w:val="18"/>
                <w:szCs w:val="18"/>
              </w:rPr>
            </w:pPr>
            <w:r>
              <w:rPr>
                <w:rFonts w:ascii="宋体"/>
                <w:sz w:val="18"/>
              </w:rPr>
              <w:t>I3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-445,862.19</w:t>
            </w:r>
          </w:p>
        </w:tc>
      </w:tr>
      <w:tr>
        <w:trPr>
          <w:trHeight w:val="464" w:hRule="exact"/>
        </w:trPr>
        <w:tc>
          <w:tcPr>
            <w:tcW w:w="1288" w:type="dxa"/>
            <w:vMerge/>
            <w:tcBorders>
              <w:left w:val="nil" w:sz="6" w:space="0" w:color="auto"/>
              <w:right w:val="single" w:sz="4" w:space="0" w:color="000000"/>
            </w:tcBorders>
          </w:tcPr>
          <w:p>
            <w:pPr/>
          </w:p>
        </w:tc>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0" w:right="0"/>
              <w:jc w:val="center"/>
              <w:rPr>
                <w:rFonts w:ascii="宋体" w:hAnsi="宋体" w:cs="宋体" w:eastAsia="宋体" w:hint="default"/>
                <w:sz w:val="18"/>
                <w:szCs w:val="18"/>
              </w:rPr>
            </w:pPr>
            <w:r>
              <w:rPr>
                <w:rFonts w:ascii="宋体"/>
                <w:sz w:val="18"/>
              </w:rPr>
              <w:t>J3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w:t>
            </w:r>
          </w:p>
        </w:tc>
      </w:tr>
      <w:tr>
        <w:trPr>
          <w:trHeight w:val="463" w:hRule="exact"/>
        </w:trPr>
        <w:tc>
          <w:tcPr>
            <w:tcW w:w="1288" w:type="dxa"/>
            <w:vMerge/>
            <w:tcBorders>
              <w:left w:val="nil" w:sz="6" w:space="0" w:color="auto"/>
              <w:right w:val="single" w:sz="4" w:space="0" w:color="000000"/>
            </w:tcBorders>
          </w:tcPr>
          <w:p>
            <w:pPr/>
          </w:p>
        </w:tc>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非公开发行股票股本溢价</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0" w:right="0"/>
              <w:jc w:val="center"/>
              <w:rPr>
                <w:rFonts w:ascii="宋体" w:hAnsi="宋体" w:cs="宋体" w:eastAsia="宋体" w:hint="default"/>
                <w:sz w:val="18"/>
                <w:szCs w:val="18"/>
              </w:rPr>
            </w:pPr>
            <w:r>
              <w:rPr>
                <w:rFonts w:ascii="宋体"/>
                <w:sz w:val="18"/>
              </w:rPr>
              <w:t>I4</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3,178,029,381.09</w:t>
            </w:r>
          </w:p>
        </w:tc>
      </w:tr>
      <w:tr>
        <w:trPr>
          <w:trHeight w:val="464" w:hRule="exact"/>
        </w:trPr>
        <w:tc>
          <w:tcPr>
            <w:tcW w:w="1288" w:type="dxa"/>
            <w:vMerge/>
            <w:tcBorders>
              <w:left w:val="nil" w:sz="6" w:space="0" w:color="auto"/>
              <w:bottom w:val="single" w:sz="4" w:space="0" w:color="000000"/>
              <w:right w:val="single" w:sz="4" w:space="0" w:color="000000"/>
            </w:tcBorders>
          </w:tcPr>
          <w:p>
            <w:pPr/>
          </w:p>
        </w:tc>
        <w:tc>
          <w:tcPr>
            <w:tcW w:w="4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0" w:right="0"/>
              <w:jc w:val="center"/>
              <w:rPr>
                <w:rFonts w:ascii="宋体" w:hAnsi="宋体" w:cs="宋体" w:eastAsia="宋体" w:hint="default"/>
                <w:sz w:val="18"/>
                <w:szCs w:val="18"/>
              </w:rPr>
            </w:pPr>
            <w:r>
              <w:rPr>
                <w:rFonts w:ascii="宋体"/>
                <w:sz w:val="18"/>
              </w:rPr>
              <w:t>J4</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K</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12</w:t>
            </w:r>
          </w:p>
        </w:tc>
      </w:tr>
      <w:tr>
        <w:trPr>
          <w:trHeight w:val="754"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72" w:right="377" w:hanging="46"/>
              <w:jc w:val="left"/>
              <w:rPr>
                <w:rFonts w:ascii="宋体" w:hAnsi="宋体" w:cs="宋体" w:eastAsia="宋体" w:hint="default"/>
                <w:sz w:val="18"/>
                <w:szCs w:val="18"/>
              </w:rPr>
            </w:pPr>
            <w:r>
              <w:rPr>
                <w:rFonts w:ascii="宋体" w:hAnsi="宋体" w:cs="宋体" w:eastAsia="宋体" w:hint="default"/>
                <w:sz w:val="18"/>
                <w:szCs w:val="18"/>
              </w:rPr>
              <w:t>L=D+A/2+E</w:t>
            </w:r>
            <w:r>
              <w:rPr>
                <w:rFonts w:ascii="宋体" w:hAnsi="宋体" w:cs="宋体" w:eastAsia="宋体" w:hint="default"/>
                <w:sz w:val="18"/>
                <w:szCs w:val="18"/>
              </w:rPr>
              <w:t>×</w:t>
            </w:r>
            <w:r>
              <w:rPr>
                <w:rFonts w:ascii="宋体" w:hAnsi="宋体" w:cs="宋体" w:eastAsia="宋体" w:hint="default"/>
                <w:sz w:val="18"/>
                <w:szCs w:val="18"/>
              </w:rPr>
              <w:t>F/K- G</w:t>
            </w:r>
            <w:r>
              <w:rPr>
                <w:rFonts w:ascii="宋体" w:hAnsi="宋体" w:cs="宋体" w:eastAsia="宋体" w:hint="default"/>
                <w:sz w:val="18"/>
                <w:szCs w:val="18"/>
              </w:rPr>
              <w:t>×</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2,102,498,352.29</w:t>
            </w:r>
          </w:p>
        </w:tc>
      </w:tr>
      <w:tr>
        <w:trPr>
          <w:trHeight w:val="464"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8" w:right="0"/>
              <w:jc w:val="center"/>
              <w:rPr>
                <w:rFonts w:ascii="宋体" w:hAnsi="宋体" w:cs="宋体" w:eastAsia="宋体" w:hint="default"/>
                <w:sz w:val="18"/>
                <w:szCs w:val="18"/>
              </w:rPr>
            </w:pPr>
            <w:r>
              <w:rPr>
                <w:rFonts w:ascii="宋体"/>
                <w:sz w:val="18"/>
              </w:rPr>
              <w:t>M=A/L</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10.72%</w:t>
            </w:r>
          </w:p>
        </w:tc>
      </w:tr>
      <w:tr>
        <w:trPr>
          <w:trHeight w:val="465" w:hRule="exact"/>
        </w:trPr>
        <w:tc>
          <w:tcPr>
            <w:tcW w:w="5545"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8" w:right="0"/>
              <w:jc w:val="center"/>
              <w:rPr>
                <w:rFonts w:ascii="宋体" w:hAnsi="宋体" w:cs="宋体" w:eastAsia="宋体" w:hint="default"/>
                <w:sz w:val="18"/>
                <w:szCs w:val="18"/>
              </w:rPr>
            </w:pPr>
            <w:r>
              <w:rPr>
                <w:rFonts w:ascii="宋体"/>
                <w:sz w:val="18"/>
              </w:rPr>
              <w:t>N=C/L</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9.72%</w:t>
            </w:r>
          </w:p>
        </w:tc>
      </w:tr>
    </w:tbl>
    <w:p>
      <w:pPr>
        <w:spacing w:line="240" w:lineRule="auto" w:before="3"/>
        <w:rPr>
          <w:rFonts w:ascii="宋体" w:hAnsi="宋体" w:cs="宋体" w:eastAsia="宋体" w:hint="default"/>
          <w:sz w:val="5"/>
          <w:szCs w:val="5"/>
        </w:rPr>
      </w:pPr>
    </w:p>
    <w:p>
      <w:pPr>
        <w:pStyle w:val="BodyText"/>
        <w:spacing w:line="240" w:lineRule="auto" w:before="35"/>
        <w:ind w:left="654" w:right="1029"/>
        <w:jc w:val="left"/>
      </w:pPr>
      <w:r>
        <w:rPr>
          <w:rFonts w:ascii="宋体" w:hAnsi="宋体" w:cs="宋体" w:eastAsia="宋体" w:hint="default"/>
        </w:rPr>
        <w:t>3.</w:t>
      </w:r>
      <w:r>
        <w:rPr>
          <w:rFonts w:ascii="宋体" w:hAnsi="宋体" w:cs="宋体" w:eastAsia="宋体" w:hint="default"/>
          <w:spacing w:val="-1"/>
        </w:rPr>
        <w:t> </w:t>
      </w:r>
      <w:r>
        <w:rPr/>
        <w:t>基本每股收益和稀释每股收益的计算过程</w:t>
      </w:r>
    </w:p>
    <w:p>
      <w:pPr>
        <w:spacing w:line="240" w:lineRule="auto" w:before="10"/>
        <w:rPr>
          <w:rFonts w:ascii="宋体" w:hAnsi="宋体" w:cs="宋体" w:eastAsia="宋体" w:hint="default"/>
          <w:sz w:val="17"/>
          <w:szCs w:val="17"/>
        </w:rPr>
      </w:pPr>
    </w:p>
    <w:p>
      <w:pPr>
        <w:pStyle w:val="BodyText"/>
        <w:spacing w:line="240" w:lineRule="auto"/>
        <w:ind w:left="654" w:right="1029"/>
        <w:jc w:val="left"/>
      </w:pPr>
      <w:r>
        <w:rPr>
          <w:rFonts w:ascii="宋体" w:hAnsi="宋体" w:cs="宋体" w:eastAsia="宋体" w:hint="default"/>
        </w:rPr>
        <w:t>(1)</w:t>
      </w:r>
      <w:r>
        <w:rPr>
          <w:rFonts w:ascii="宋体" w:hAnsi="宋体" w:cs="宋体" w:eastAsia="宋体" w:hint="default"/>
          <w:spacing w:val="-1"/>
        </w:rPr>
        <w:t> </w:t>
      </w:r>
      <w:r>
        <w:rPr/>
        <w:t>基本每股收益的计算过程</w:t>
      </w:r>
    </w:p>
    <w:p>
      <w:pPr>
        <w:spacing w:after="0" w:line="240" w:lineRule="auto"/>
        <w:jc w:val="left"/>
        <w:sectPr>
          <w:pgSz w:w="11910" w:h="16840"/>
          <w:pgMar w:header="877" w:footer="979" w:top="1100" w:bottom="1160" w:left="900" w:right="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545"/>
        <w:gridCol w:w="2130"/>
        <w:gridCol w:w="2195"/>
      </w:tblGrid>
      <w:tr>
        <w:trPr>
          <w:trHeight w:val="464"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90"/>
                <w:sz w:val="18"/>
                <w:szCs w:val="18"/>
              </w:rPr>
              <w:t> </w:t>
            </w:r>
            <w:r>
              <w:rPr>
                <w:rFonts w:ascii="宋体" w:hAnsi="宋体" w:cs="宋体" w:eastAsia="宋体" w:hint="default"/>
                <w:sz w:val="18"/>
                <w:szCs w:val="18"/>
              </w:rPr>
              <w:t>号</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A</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225,410,543.63</w:t>
            </w:r>
          </w:p>
        </w:tc>
      </w:tr>
      <w:tr>
        <w:trPr>
          <w:trHeight w:val="465"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B</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21,129,854.48</w:t>
            </w:r>
          </w:p>
        </w:tc>
      </w:tr>
      <w:tr>
        <w:trPr>
          <w:trHeight w:val="464"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C=A-B</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204,280,689.15</w:t>
            </w:r>
          </w:p>
        </w:tc>
      </w:tr>
      <w:tr>
        <w:trPr>
          <w:trHeight w:val="463"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D</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391,424,450.00</w:t>
            </w:r>
          </w:p>
        </w:tc>
      </w:tr>
      <w:tr>
        <w:trPr>
          <w:trHeight w:val="464"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E</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782,848,900.00</w:t>
            </w:r>
          </w:p>
        </w:tc>
      </w:tr>
      <w:tr>
        <w:trPr>
          <w:trHeight w:val="464"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F</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335,154,299.00</w:t>
            </w:r>
          </w:p>
        </w:tc>
      </w:tr>
      <w:tr>
        <w:trPr>
          <w:trHeight w:val="463"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G</w:t>
            </w:r>
          </w:p>
        </w:tc>
        <w:tc>
          <w:tcPr>
            <w:tcW w:w="219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H</w:t>
            </w:r>
          </w:p>
        </w:tc>
        <w:tc>
          <w:tcPr>
            <w:tcW w:w="219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I</w:t>
            </w:r>
          </w:p>
        </w:tc>
        <w:tc>
          <w:tcPr>
            <w:tcW w:w="219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J</w:t>
            </w:r>
          </w:p>
        </w:tc>
        <w:tc>
          <w:tcPr>
            <w:tcW w:w="219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K</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12</w:t>
            </w:r>
          </w:p>
        </w:tc>
      </w:tr>
      <w:tr>
        <w:trPr>
          <w:trHeight w:val="754"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-H</w:t>
            </w:r>
            <w:r>
              <w:rPr>
                <w:rFonts w:ascii="宋体" w:hAnsi="宋体" w:cs="宋体" w:eastAsia="宋体" w:hint="default"/>
                <w:sz w:val="18"/>
                <w:szCs w:val="18"/>
              </w:rPr>
              <w:t>×</w:t>
            </w:r>
            <w:r>
              <w:rPr>
                <w:rFonts w:ascii="宋体" w:hAnsi="宋体" w:cs="宋体" w:eastAsia="宋体" w:hint="default"/>
                <w:sz w:val="18"/>
                <w:szCs w:val="18"/>
              </w:rPr>
              <w:t>I/K-J</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1,174,273,350.00</w:t>
            </w:r>
          </w:p>
        </w:tc>
      </w:tr>
      <w:tr>
        <w:trPr>
          <w:trHeight w:val="464"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M=A/L</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0.19</w:t>
            </w:r>
          </w:p>
        </w:tc>
      </w:tr>
      <w:tr>
        <w:trPr>
          <w:trHeight w:val="465" w:hRule="exact"/>
        </w:trPr>
        <w:tc>
          <w:tcPr>
            <w:tcW w:w="5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sz w:val="18"/>
              </w:rPr>
              <w:t>N=C/L</w:t>
            </w:r>
          </w:p>
        </w:tc>
        <w:tc>
          <w:tcPr>
            <w:tcW w:w="2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7"/>
              <w:jc w:val="right"/>
              <w:rPr>
                <w:rFonts w:ascii="宋体" w:hAnsi="宋体" w:cs="宋体" w:eastAsia="宋体" w:hint="default"/>
                <w:sz w:val="18"/>
                <w:szCs w:val="18"/>
              </w:rPr>
            </w:pPr>
            <w:r>
              <w:rPr>
                <w:rFonts w:ascii="宋体"/>
                <w:sz w:val="18"/>
              </w:rPr>
              <w:t>0.17</w:t>
            </w:r>
          </w:p>
        </w:tc>
      </w:tr>
    </w:tbl>
    <w:p>
      <w:pPr>
        <w:spacing w:line="240" w:lineRule="auto" w:before="3"/>
        <w:rPr>
          <w:rFonts w:ascii="宋体" w:hAnsi="宋体" w:cs="宋体" w:eastAsia="宋体" w:hint="default"/>
          <w:sz w:val="5"/>
          <w:szCs w:val="5"/>
        </w:rPr>
      </w:pPr>
    </w:p>
    <w:p>
      <w:pPr>
        <w:pStyle w:val="BodyText"/>
        <w:spacing w:line="444" w:lineRule="auto" w:before="35"/>
        <w:ind w:left="654" w:right="4872"/>
        <w:jc w:val="left"/>
      </w:pPr>
      <w:r>
        <w:rPr>
          <w:rFonts w:ascii="宋体" w:hAnsi="宋体" w:cs="宋体" w:eastAsia="宋体" w:hint="default"/>
        </w:rPr>
        <w:t>(2) </w:t>
      </w:r>
      <w:r>
        <w:rPr/>
        <w:t>稀释每股收益的计算过程 稀释每股收益的计算过程与基本每股收益的计算过程相同。</w:t>
      </w:r>
    </w:p>
    <w:p>
      <w:pPr>
        <w:spacing w:after="0" w:line="444" w:lineRule="auto"/>
        <w:jc w:val="left"/>
        <w:sectPr>
          <w:pgSz w:w="11910" w:h="16840"/>
          <w:pgMar w:header="877" w:footer="979" w:top="110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十一节 备查文件目录" w:id="266"/>
      <w:bookmarkEnd w:id="266"/>
      <w:r>
        <w:rPr>
          <w:b w:val="0"/>
          <w:bCs w:val="0"/>
        </w:rPr>
      </w:r>
      <w:bookmarkStart w:name="_bookmark10" w:id="267"/>
      <w:bookmarkEnd w:id="267"/>
      <w:r>
        <w:rPr>
          <w:b w:val="0"/>
          <w:bCs w:val="0"/>
        </w:rPr>
      </w:r>
      <w:r>
        <w:rPr/>
        <w:t>第十一节</w:t>
      </w:r>
      <w:r>
        <w:rPr>
          <w:spacing w:val="-7"/>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408" w:lineRule="auto"/>
        <w:ind w:left="574" w:right="3192"/>
        <w:jc w:val="left"/>
      </w:pPr>
      <w:r>
        <w:rPr/>
        <w:t>一、载有法定代表人、财务负责人、会计机构负责人签名并盖章的会计报表。 二、载有会计师事务所盖章、注册会计师签名并盖章的审计报告原件。 三、载有法定代表人签名的</w:t>
      </w:r>
      <w:r>
        <w:rPr>
          <w:rFonts w:ascii="宋体" w:hAnsi="宋体" w:cs="宋体" w:eastAsia="宋体" w:hint="default"/>
        </w:rPr>
        <w:t>2015</w:t>
      </w:r>
      <w:r>
        <w:rPr/>
        <w:t>年年度报告文本原件。 四、以上备查文件的备置地点：公司董事会办公室。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544" w:lineRule="auto"/>
        <w:ind w:left="6246" w:right="1130"/>
        <w:jc w:val="right"/>
      </w:pPr>
      <w:r>
        <w:rPr/>
        <w:t>利欧集团股份有限公司 董事长：王相荣 二〇一六年四月十九日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ourier New">
    <w:altName w:val="Courier New"/>
    <w:charset w:val="0"/>
    <w:family w:val="modern"/>
    <w:pitch w:val="fixed"/>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8664" type="#_x0000_t75" stroked="false">
          <v:imagedata r:id="rId1" o:title=""/>
        </v:shape>
      </w:pict>
    </w:r>
    <w:r>
      <w:rPr/>
      <w:pict>
        <v:shape style="position:absolute;margin-left:294.420013pt;margin-top:795.517944pt;width:6.5pt;height:11pt;mso-position-horizontal-relative:page;mso-position-vertical-relative:page;z-index:-9786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8088" type="#_x0000_t75" stroked="false">
          <v:imagedata r:id="rId1" o:title=""/>
        </v:shape>
      </w:pict>
    </w:r>
    <w:r>
      <w:rPr/>
      <w:pict>
        <v:shape style="position:absolute;margin-left:288.920013pt;margin-top:781.957947pt;width:17.5pt;height:11pt;mso-position-horizontal-relative:page;mso-position-vertical-relative:page;z-index:-97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8616" type="#_x0000_t75" stroked="false">
          <v:imagedata r:id="rId1" o:title=""/>
        </v:shape>
      </w:pict>
    </w:r>
    <w:r>
      <w:rPr/>
      <w:pict>
        <v:shape style="position:absolute;margin-left:291.200012pt;margin-top:781.957947pt;width:13pt;height:11pt;mso-position-horizontal-relative:page;mso-position-vertical-relative:page;z-index:-978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78544" type="#_x0000_t75" stroked="false">
          <v:imagedata r:id="rId1" o:title=""/>
        </v:shape>
      </w:pict>
    </w:r>
    <w:r>
      <w:rPr/>
      <w:pict>
        <v:shape style="position:absolute;margin-left:414.480011pt;margin-top:535.357971pt;width:13pt;height:11pt;mso-position-horizontal-relative:page;mso-position-vertical-relative:page;z-index:-978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8448" type="#_x0000_t75" stroked="false">
          <v:imagedata r:id="rId1" o:title=""/>
        </v:shape>
      </w:pict>
    </w:r>
    <w:r>
      <w:rPr/>
      <w:pict>
        <v:shape style="position:absolute;margin-left:291.200012pt;margin-top:781.957947pt;width:13pt;height:11pt;mso-position-horizontal-relative:page;mso-position-vertical-relative:page;z-index:-978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8400" type="#_x0000_t75" stroked="false">
          <v:imagedata r:id="rId1" o:title=""/>
        </v:shape>
      </w:pict>
    </w:r>
    <w:r>
      <w:rPr/>
      <w:pict>
        <v:shape style="position:absolute;margin-left:291.200012pt;margin-top:781.957947pt;width:13pt;height:11pt;mso-position-horizontal-relative:page;mso-position-vertical-relative:page;z-index:-978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78280" type="#_x0000_t75" stroked="false">
          <v:imagedata r:id="rId1" o:title=""/>
        </v:shape>
      </w:pict>
    </w:r>
    <w:r>
      <w:rPr/>
      <w:pict>
        <v:shape style="position:absolute;margin-left:414.480011pt;margin-top:535.357971pt;width:13pt;height:11pt;mso-position-horizontal-relative:page;mso-position-vertical-relative:page;z-index:-978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78232" type="#_x0000_t75" stroked="false">
          <v:imagedata r:id="rId1" o:title=""/>
        </v:shape>
      </w:pict>
    </w:r>
    <w:r>
      <w:rPr/>
      <w:pict>
        <v:shape style="position:absolute;margin-left:413.200012pt;margin-top:535.357971pt;width:15.5pt;height:11pt;mso-position-horizontal-relative:page;mso-position-vertical-relative:page;z-index:-978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78184" type="#_x0000_t75" stroked="false">
          <v:imagedata r:id="rId1" o:title=""/>
        </v:shape>
      </w:pict>
    </w:r>
    <w:r>
      <w:rPr/>
      <w:pict>
        <v:shape style="position:absolute;margin-left:413.200012pt;margin-top:535.357971pt;width:15.5pt;height:11pt;mso-position-horizontal-relative:page;mso-position-vertical-relative:page;z-index:-978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978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978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784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978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18.7pt;height:.1pt;mso-position-horizontal-relative:page;mso-position-vertical-relative:page;z-index:-978352" coordorigin="1768,1112" coordsize="8374,2">
          <v:shape style="position:absolute;left:1768;top:1112;width:8374;height:2" coordorigin="1768,1112" coordsize="8374,0" path="m1768,1112l10141,1112e" filled="false" stroked="true" strokeweight=".72pt" strokecolor="#000000">
            <v:path arrowok="t"/>
          </v:shape>
          <w10:wrap type="none"/>
        </v:group>
      </w:pict>
    </w:r>
    <w:r>
      <w:rPr/>
      <w:pict>
        <v:shape style="position:absolute;margin-left:329.040009pt;margin-top:42.865608pt;width:177.55pt;height:11.5pt;mso-position-horizontal-relative:page;mso-position-vertical-relative:page;z-index:-978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60022pt;margin-top:42.865631pt;width:177.55pt;height:11.5pt;mso-position-horizontal-relative:page;mso-position-vertical-relative:page;z-index:-978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7813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160004pt;margin-top:42.865608pt;width:177.55pt;height:11.5pt;mso-position-horizontal-relative:page;mso-position-vertical-relative:page;z-index:-978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46"/>
      <w:ind w:left="576"/>
      <w:outlineLvl w:val="3"/>
    </w:pPr>
    <w:rPr>
      <w:rFonts w:ascii="仿宋" w:hAnsi="仿宋" w:eastAsia="仿宋"/>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leogroup.cn/" TargetMode="External"/><Relationship Id="rId10" Type="http://schemas.openxmlformats.org/officeDocument/2006/relationships/hyperlink" Target="mailto:wxr@leogroup.cn" TargetMode="External"/><Relationship Id="rId11" Type="http://schemas.openxmlformats.org/officeDocument/2006/relationships/hyperlink" Target="mailto:sec@leogroup.cn"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image" Target="media/image1.png"/><Relationship Id="rId22" Type="http://schemas.openxmlformats.org/officeDocument/2006/relationships/footer" Target="footer6.xml"/><Relationship Id="rId23" Type="http://schemas.openxmlformats.org/officeDocument/2006/relationships/image" Target="media/image5.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7.xml"/><Relationship Id="rId30"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利欧集团股份有限公司</dc:creator>
  <dc:title>利欧集团股份有限公司2015年年度报告全文</dc:title>
  <dcterms:created xsi:type="dcterms:W3CDTF">2020-05-04T12:28:52Z</dcterms:created>
  <dcterms:modified xsi:type="dcterms:W3CDTF">2020-05-04T12:28:52Z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Microsoft® Office Word 2007</vt:lpwstr>
  </property>
  <property fmtid="{D5CDD505-2E9C-101B-9397-08002B2CF9AE}" pid="4" name="LastSaved">
    <vt:filetime>2020-05-04T00:00:00Z</vt:filetime>
  </property>
</Properties>
</file>